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2320" w:right="1080" w:hanging="1144"/>
        <w:spacing w:after="0" w:line="266" w:lineRule="auto"/>
        <w:tabs>
          <w:tab w:leader="none" w:pos="2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320" w:right="1080" w:hanging="1108"/>
        <w:spacing w:after="0" w:line="282" w:lineRule="auto"/>
        <w:tabs>
          <w:tab w:leader="none" w:pos="23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FIDELITY NATIONAL FINANCIAL, INC.</w:t>
      </w:r>
    </w:p>
    <w:p>
      <w:pPr>
        <w:spacing w:after="0" w:line="45" w:lineRule="exact"/>
        <w:rPr>
          <w:sz w:val="24"/>
          <w:szCs w:val="24"/>
          <w:color w:val="auto"/>
        </w:rPr>
      </w:pPr>
    </w:p>
    <w:p>
      <w:pPr>
        <w:ind w:left="1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89"/>
              </w:rPr>
              <w:t>Delaware</w:t>
            </w:r>
          </w:p>
        </w:tc>
        <w:tc>
          <w:tcPr>
            <w:tcW w:w="3620" w:type="dxa"/>
            <w:vAlign w:val="bottom"/>
          </w:tcPr>
          <w:p>
            <w:pPr>
              <w:jc w:val="right"/>
              <w:ind w:right="2090"/>
              <w:spacing w:after="0"/>
              <w:rPr>
                <w:sz w:val="20"/>
                <w:szCs w:val="20"/>
                <w:color w:val="auto"/>
              </w:rPr>
            </w:pPr>
            <w:r>
              <w:rPr>
                <w:rFonts w:ascii="Arial" w:cs="Arial" w:eastAsia="Arial" w:hAnsi="Arial"/>
                <w:sz w:val="18"/>
                <w:szCs w:val="18"/>
                <w:color w:val="auto"/>
              </w:rPr>
              <w:t>16-1725106</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22"/>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3"/>
              </w:rPr>
              <w:t>(I.R.S. Employer</w:t>
            </w:r>
          </w:p>
        </w:tc>
      </w:t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5"/>
              </w:rPr>
              <w:t>Identification Number)</w:t>
            </w:r>
          </w:p>
        </w:tc>
      </w:tr>
      <w:tr>
        <w:trPr>
          <w:trHeight w:val="540"/>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1"/>
              </w:rPr>
              <w:t>601 Riverside Avenue, Jacksonville, Florida</w:t>
            </w:r>
          </w:p>
        </w:tc>
        <w:tc>
          <w:tcPr>
            <w:tcW w:w="3620" w:type="dxa"/>
            <w:vAlign w:val="bottom"/>
          </w:tcPr>
          <w:p>
            <w:pPr>
              <w:jc w:val="right"/>
              <w:ind w:right="2310"/>
              <w:spacing w:after="0"/>
              <w:rPr>
                <w:sz w:val="20"/>
                <w:szCs w:val="20"/>
                <w:color w:val="auto"/>
              </w:rPr>
            </w:pPr>
            <w:r>
              <w:rPr>
                <w:rFonts w:ascii="Arial" w:cs="Arial" w:eastAsia="Arial" w:hAnsi="Arial"/>
                <w:sz w:val="18"/>
                <w:szCs w:val="18"/>
                <w:color w:val="auto"/>
              </w:rPr>
              <w:t>32204</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4"/>
              </w:rPr>
              <w:t>(Zip Code)</w:t>
            </w:r>
          </w:p>
        </w:tc>
      </w:tr>
      <w:tr>
        <w:trPr>
          <w:trHeight w:val="257"/>
        </w:trPr>
        <w:tc>
          <w:tcPr>
            <w:tcW w:w="7800" w:type="dxa"/>
            <w:vAlign w:val="bottom"/>
            <w:gridSpan w:val="3"/>
          </w:tcPr>
          <w:p>
            <w:pPr>
              <w:jc w:val="right"/>
              <w:ind w:right="1520"/>
              <w:spacing w:after="0"/>
              <w:rPr>
                <w:sz w:val="20"/>
                <w:szCs w:val="20"/>
                <w:color w:val="auto"/>
              </w:rPr>
            </w:pPr>
            <w:r>
              <w:rPr>
                <w:rFonts w:ascii="Arial" w:cs="Arial" w:eastAsia="Arial" w:hAnsi="Arial"/>
                <w:sz w:val="18"/>
                <w:szCs w:val="18"/>
                <w:color w:val="auto"/>
              </w:rPr>
              <w:t>(904) 854-8100</w:t>
            </w:r>
          </w:p>
        </w:tc>
        <w:tc>
          <w:tcPr>
            <w:tcW w:w="3620" w:type="dxa"/>
            <w:vAlign w:val="bottom"/>
          </w:tcPr>
          <w:p>
            <w:pPr>
              <w:spacing w:after="0"/>
              <w:rPr>
                <w:sz w:val="22"/>
                <w:szCs w:val="22"/>
                <w:color w:val="auto"/>
              </w:rPr>
            </w:pPr>
          </w:p>
        </w:tc>
      </w:tr>
      <w:tr>
        <w:trPr>
          <w:trHeight w:val="134"/>
        </w:trPr>
        <w:tc>
          <w:tcPr>
            <w:tcW w:w="7800" w:type="dxa"/>
            <w:vAlign w:val="bottom"/>
            <w:gridSpan w:val="3"/>
          </w:tcPr>
          <w:p>
            <w:pPr>
              <w:jc w:val="right"/>
              <w:ind w:right="280"/>
              <w:spacing w:after="0"/>
              <w:rPr>
                <w:sz w:val="20"/>
                <w:szCs w:val="20"/>
                <w:color w:val="auto"/>
              </w:rPr>
            </w:pPr>
            <w:r>
              <w:rPr>
                <w:rFonts w:ascii="Arial" w:cs="Arial" w:eastAsia="Arial" w:hAnsi="Arial"/>
                <w:sz w:val="11"/>
                <w:szCs w:val="11"/>
                <w:color w:val="auto"/>
              </w:rPr>
              <w:t>___________________________________________________________________</w:t>
            </w:r>
          </w:p>
        </w:tc>
        <w:tc>
          <w:tcPr>
            <w:tcW w:w="3620" w:type="dxa"/>
            <w:vAlign w:val="bottom"/>
          </w:tcPr>
          <w:p>
            <w:pPr>
              <w:spacing w:after="0"/>
              <w:rPr>
                <w:sz w:val="11"/>
                <w:szCs w:val="11"/>
                <w:color w:val="auto"/>
              </w:rPr>
            </w:pPr>
          </w:p>
        </w:tc>
      </w:tr>
      <w:tr>
        <w:trPr>
          <w:trHeight w:val="230"/>
        </w:trPr>
        <w:tc>
          <w:tcPr>
            <w:tcW w:w="7800" w:type="dxa"/>
            <w:vAlign w:val="bottom"/>
            <w:gridSpan w:val="3"/>
          </w:tcPr>
          <w:p>
            <w:pPr>
              <w:ind w:left="3800"/>
              <w:spacing w:after="0"/>
              <w:rPr>
                <w:sz w:val="20"/>
                <w:szCs w:val="20"/>
                <w:color w:val="auto"/>
              </w:rPr>
            </w:pPr>
            <w:r>
              <w:rPr>
                <w:rFonts w:ascii="Arial" w:cs="Arial" w:eastAsia="Arial" w:hAnsi="Arial"/>
                <w:sz w:val="18"/>
                <w:szCs w:val="18"/>
                <w:color w:val="auto"/>
                <w:w w:val="94"/>
              </w:rPr>
              <w:t>(Registrant’s telephone number, including area code)</w:t>
            </w:r>
          </w:p>
        </w:tc>
        <w:tc>
          <w:tcPr>
            <w:tcW w:w="3620" w:type="dxa"/>
            <w:vAlign w:val="bottom"/>
          </w:tcPr>
          <w:p>
            <w:pPr>
              <w:spacing w:after="0"/>
              <w:rPr>
                <w:sz w:val="20"/>
                <w:szCs w:val="20"/>
                <w:color w:val="auto"/>
              </w:rPr>
            </w:pPr>
          </w:p>
        </w:tc>
      </w:tr>
    </w:tbl>
    <w:p>
      <w:pPr>
        <w:spacing w:after="0" w:line="94" w:lineRule="exact"/>
        <w:rPr>
          <w:sz w:val="24"/>
          <w:szCs w:val="24"/>
          <w:color w:val="auto"/>
        </w:rPr>
      </w:pPr>
    </w:p>
    <w:p>
      <w:pPr>
        <w:jc w:val="both"/>
        <w:ind w:firstLine="263"/>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4"/>
          <w:szCs w:val="24"/>
          <w:color w:val="auto"/>
        </w:rPr>
      </w:pPr>
    </w:p>
    <w:p>
      <w:pPr>
        <w:jc w:val="both"/>
        <w:ind w:firstLine="227"/>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4"/>
          <w:szCs w:val="24"/>
          <w:color w:val="auto"/>
        </w:rPr>
      </w:pPr>
    </w:p>
    <w:p>
      <w:pPr>
        <w:jc w:val="both"/>
        <w:ind w:right="20" w:firstLine="25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7" w:lineRule="exact"/>
        <w:rPr>
          <w:sz w:val="24"/>
          <w:szCs w:val="24"/>
          <w:color w:val="auto"/>
        </w:rPr>
      </w:pPr>
    </w:p>
    <w:p>
      <w:pPr>
        <w:ind w:left="40"/>
        <w:spacing w:after="0" w:line="207" w:lineRule="exact"/>
        <w:tabs>
          <w:tab w:leader="none" w:pos="3280" w:val="left"/>
          <w:tab w:leader="none" w:pos="5900" w:val="left"/>
          <w:tab w:leader="none" w:pos="9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96" w:lineRule="exact"/>
        <w:rPr>
          <w:sz w:val="24"/>
          <w:szCs w:val="24"/>
          <w:color w:val="auto"/>
        </w:rPr>
      </w:pPr>
    </w:p>
    <w:p>
      <w:pPr>
        <w:jc w:val="center"/>
        <w:ind w:left="2080"/>
        <w:spacing w:after="0"/>
        <w:rPr>
          <w:sz w:val="20"/>
          <w:szCs w:val="20"/>
          <w:color w:val="auto"/>
        </w:rPr>
      </w:pPr>
      <w:r>
        <w:rPr>
          <w:rFonts w:ascii="Arial" w:cs="Arial" w:eastAsia="Arial" w:hAnsi="Arial"/>
          <w:sz w:val="18"/>
          <w:szCs w:val="18"/>
          <w:color w:val="auto"/>
        </w:rPr>
        <w:t>(Do not check if a smaller</w:t>
      </w:r>
    </w:p>
    <w:p>
      <w:pPr>
        <w:spacing w:after="0" w:line="23" w:lineRule="exact"/>
        <w:rPr>
          <w:sz w:val="24"/>
          <w:szCs w:val="24"/>
          <w:color w:val="auto"/>
        </w:rPr>
      </w:pPr>
    </w:p>
    <w:p>
      <w:pPr>
        <w:jc w:val="center"/>
        <w:ind w:left="2080"/>
        <w:spacing w:after="0"/>
        <w:rPr>
          <w:sz w:val="20"/>
          <w:szCs w:val="20"/>
          <w:color w:val="auto"/>
        </w:rPr>
      </w:pPr>
      <w:r>
        <w:rPr>
          <w:rFonts w:ascii="Arial" w:cs="Arial" w:eastAsia="Arial" w:hAnsi="Arial"/>
          <w:sz w:val="18"/>
          <w:szCs w:val="18"/>
          <w:color w:val="auto"/>
        </w:rPr>
        <w:t>reporting company)</w:t>
      </w:r>
    </w:p>
    <w:p>
      <w:pPr>
        <w:spacing w:after="0" w:line="22" w:lineRule="exact"/>
        <w:rPr>
          <w:sz w:val="24"/>
          <w:szCs w:val="24"/>
          <w:color w:val="auto"/>
        </w:rPr>
      </w:pPr>
    </w:p>
    <w:p>
      <w:pPr>
        <w:ind w:left="1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5240"/>
        <w:spacing w:after="0"/>
        <w:rPr>
          <w:sz w:val="20"/>
          <w:szCs w:val="20"/>
          <w:color w:val="auto"/>
        </w:rPr>
      </w:pPr>
      <w:r>
        <w:rPr>
          <w:rFonts w:ascii="Arial" w:cs="Arial" w:eastAsia="Arial" w:hAnsi="Arial"/>
          <w:sz w:val="18"/>
          <w:szCs w:val="18"/>
          <w:color w:val="auto"/>
        </w:rPr>
        <w:t>YES o NO R</w:t>
      </w:r>
    </w:p>
    <w:p>
      <w:pPr>
        <w:spacing w:after="0" w:line="103" w:lineRule="exact"/>
        <w:rPr>
          <w:sz w:val="24"/>
          <w:szCs w:val="24"/>
          <w:color w:val="auto"/>
        </w:rPr>
      </w:pPr>
    </w:p>
    <w:p>
      <w:pPr>
        <w:ind w:left="220"/>
        <w:spacing w:after="0"/>
        <w:rPr>
          <w:sz w:val="20"/>
          <w:szCs w:val="20"/>
          <w:color w:val="auto"/>
        </w:rPr>
      </w:pPr>
      <w:r>
        <w:rPr>
          <w:rFonts w:ascii="Arial" w:cs="Arial" w:eastAsia="Arial" w:hAnsi="Arial"/>
          <w:sz w:val="18"/>
          <w:szCs w:val="18"/>
          <w:color w:val="auto"/>
        </w:rPr>
        <w:t>As of April 30, 2013, there were 227,552,466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March 31, 2013</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03"/>
        </w:trPr>
        <w:tc>
          <w:tcPr>
            <w:tcW w:w="2740" w:type="dxa"/>
            <w:vAlign w:val="bottom"/>
            <w:tcBorders>
              <w:bottom w:val="single" w:sz="8" w:color="0000FF"/>
            </w:tcBorders>
            <w:gridSpan w:val="8"/>
          </w:tcPr>
          <w:p>
            <w:pPr>
              <w:spacing w:after="0" w:line="202" w:lineRule="exact"/>
              <w:rPr>
                <w:rFonts w:ascii="Arial" w:cs="Arial" w:eastAsia="Arial" w:hAnsi="Arial"/>
                <w:sz w:val="18"/>
                <w:szCs w:val="18"/>
                <w:color w:val="0000FF"/>
                <w:w w:val="97"/>
              </w:rPr>
            </w:pPr>
            <w:hyperlink w:anchor="page2">
              <w:r>
                <w:rPr>
                  <w:rFonts w:ascii="Arial" w:cs="Arial" w:eastAsia="Arial" w:hAnsi="Arial"/>
                  <w:sz w:val="18"/>
                  <w:szCs w:val="18"/>
                  <w:color w:val="0000FF"/>
                  <w:w w:val="97"/>
                </w:rPr>
                <w:t>Part I: FINANCIAL INFORMATION</w:t>
              </w:r>
            </w:hyperlink>
          </w:p>
        </w:tc>
        <w:tc>
          <w:tcPr>
            <w:tcW w:w="7500" w:type="dxa"/>
            <w:vAlign w:val="bottom"/>
            <w:gridSpan w:val="11"/>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240" w:type="dxa"/>
            <w:vAlign w:val="bottom"/>
          </w:tcPr>
          <w:p>
            <w:pPr>
              <w:spacing w:after="0"/>
              <w:rPr>
                <w:sz w:val="21"/>
                <w:szCs w:val="21"/>
                <w:color w:val="auto"/>
              </w:rPr>
            </w:pPr>
          </w:p>
        </w:tc>
        <w:tc>
          <w:tcPr>
            <w:tcW w:w="390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Condensed Consolidated Financial Statements</w:t>
              </w:r>
            </w:hyperlink>
          </w:p>
        </w:tc>
        <w:tc>
          <w:tcPr>
            <w:tcW w:w="6100" w:type="dxa"/>
            <w:vAlign w:val="bottom"/>
            <w:gridSpan w:val="10"/>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74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A. Condensed Consolidated Balance Sheets as of March 31, 2013 and December 31, 2012</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2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B. Condensed Consolidated Statements of Earnings for the three-months ended March 31, 2013 and 2012</w:t>
              </w:r>
            </w:hyperlink>
          </w:p>
        </w:tc>
        <w:tc>
          <w:tcPr>
            <w:tcW w:w="212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30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 Condensed Consolidated Statements of Comprehensive Earnings for the three-month periods ended March 31, 2013 and 2012</w:t>
              </w:r>
            </w:hyperlink>
          </w:p>
        </w:tc>
        <w:tc>
          <w:tcPr>
            <w:tcW w:w="44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74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D. Condensed Consolidated Statement of Equity for the three-month period ended March 31, 2013</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32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E. Condensed Consolidated Statements of Cash Flows for the three-month periods ended March 31, 2013 and 2012</w:t>
              </w:r>
            </w:hyperlink>
          </w:p>
        </w:tc>
        <w:tc>
          <w:tcPr>
            <w:tcW w:w="1420" w:type="dxa"/>
            <w:vAlign w:val="bottom"/>
            <w:gridSpan w:val="2"/>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180" w:type="dxa"/>
            <w:vAlign w:val="bottom"/>
            <w:tcBorders>
              <w:bottom w:val="single" w:sz="8" w:color="0000FF"/>
            </w:tcBorders>
            <w:gridSpan w:val="8"/>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F. Notes to Condensed Consolidated Financial Statements</w:t>
              </w:r>
            </w:hyperlink>
          </w:p>
        </w:tc>
        <w:tc>
          <w:tcPr>
            <w:tcW w:w="5560" w:type="dxa"/>
            <w:vAlign w:val="bottom"/>
            <w:gridSpan w:val="9"/>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7020" w:type="dxa"/>
            <w:vAlign w:val="bottom"/>
            <w:gridSpan w:val="13"/>
          </w:tcPr>
          <w:p>
            <w:pPr>
              <w:spacing w:after="0"/>
              <w:rPr>
                <w:rFonts w:ascii="Arial" w:cs="Arial" w:eastAsia="Arial" w:hAnsi="Arial"/>
                <w:sz w:val="18"/>
                <w:szCs w:val="18"/>
                <w:color w:val="0000FF"/>
                <w:w w:val="91"/>
              </w:rPr>
            </w:pPr>
            <w:hyperlink w:anchor="page23">
              <w:r>
                <w:rPr>
                  <w:rFonts w:ascii="Arial" w:cs="Arial" w:eastAsia="Arial" w:hAnsi="Arial"/>
                  <w:sz w:val="18"/>
                  <w:szCs w:val="18"/>
                  <w:color w:val="0000FF"/>
                  <w:w w:val="91"/>
                </w:rPr>
                <w:t>Item 2. Management’s Discussion and Analysis of Financial Condition and Results of Operations</w:t>
              </w:r>
            </w:hyperlink>
          </w:p>
        </w:tc>
        <w:tc>
          <w:tcPr>
            <w:tcW w:w="298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7020" w:type="dxa"/>
            <w:vAlign w:val="bottom"/>
            <w:gridSpan w:val="1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3. Quantitative and Qualitative Disclosure About Market Risk</w:t>
              </w:r>
            </w:hyperlink>
          </w:p>
        </w:tc>
        <w:tc>
          <w:tcPr>
            <w:tcW w:w="298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Arial" w:cs="Arial" w:eastAsia="Arial" w:hAnsi="Arial"/>
                <w:sz w:val="18"/>
                <w:szCs w:val="18"/>
                <w:color w:val="0000FF"/>
                <w:w w:val="94"/>
              </w:rPr>
            </w:pPr>
            <w:hyperlink w:anchor="page37">
              <w:r>
                <w:rPr>
                  <w:rFonts w:ascii="Arial" w:cs="Arial" w:eastAsia="Arial" w:hAnsi="Arial"/>
                  <w:sz w:val="18"/>
                  <w:szCs w:val="18"/>
                  <w:color w:val="0000FF"/>
                  <w:w w:val="94"/>
                </w:rPr>
                <w:t>Item 4.</w:t>
              </w:r>
            </w:hyperlink>
          </w:p>
        </w:tc>
        <w:tc>
          <w:tcPr>
            <w:tcW w:w="4300" w:type="dxa"/>
            <w:vAlign w:val="bottom"/>
            <w:gridSpan w:val="8"/>
          </w:tcPr>
          <w:p>
            <w:pPr>
              <w:ind w:left="20"/>
              <w:spacing w:after="0"/>
              <w:rPr>
                <w:rFonts w:ascii="Arial" w:cs="Arial" w:eastAsia="Arial" w:hAnsi="Arial"/>
                <w:sz w:val="18"/>
                <w:szCs w:val="18"/>
                <w:color w:val="0000FF"/>
              </w:rPr>
            </w:pPr>
            <w:hyperlink w:anchor="page37">
              <w:r>
                <w:rPr>
                  <w:rFonts w:ascii="Arial" w:cs="Arial" w:eastAsia="Arial" w:hAnsi="Arial"/>
                  <w:sz w:val="18"/>
                  <w:szCs w:val="18"/>
                  <w:color w:val="0000FF"/>
                </w:rPr>
                <w:t>Controls and Procedures</w:t>
              </w:r>
            </w:hyperlink>
          </w:p>
        </w:tc>
        <w:tc>
          <w:tcPr>
            <w:tcW w:w="5160" w:type="dxa"/>
            <w:vAlign w:val="bottom"/>
            <w:gridSpan w:val="8"/>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40" w:type="dxa"/>
            <w:vAlign w:val="bottom"/>
            <w:gridSpan w:val="19"/>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Part II: OTHER INFORMATION</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40" w:type="dxa"/>
            <w:vAlign w:val="bottom"/>
            <w:tcBorders>
              <w:top w:val="single" w:sz="8" w:color="0000FF"/>
            </w:tcBorders>
          </w:tcPr>
          <w:p>
            <w:pPr>
              <w:spacing w:after="0"/>
              <w:rPr>
                <w:sz w:val="21"/>
                <w:szCs w:val="21"/>
                <w:color w:val="auto"/>
              </w:rPr>
            </w:pPr>
          </w:p>
        </w:tc>
        <w:tc>
          <w:tcPr>
            <w:tcW w:w="540" w:type="dxa"/>
            <w:vAlign w:val="bottom"/>
            <w:tcBorders>
              <w:top w:val="single" w:sz="8" w:color="0000FF"/>
            </w:tcBorders>
            <w:gridSpan w:val="2"/>
          </w:tcPr>
          <w:p>
            <w:pPr>
              <w:spacing w:after="0"/>
              <w:rPr>
                <w:rFonts w:ascii="Arial" w:cs="Arial" w:eastAsia="Arial" w:hAnsi="Arial"/>
                <w:sz w:val="18"/>
                <w:szCs w:val="18"/>
                <w:color w:val="0000FF"/>
                <w:w w:val="94"/>
              </w:rPr>
            </w:pPr>
            <w:hyperlink w:anchor="page38">
              <w:r>
                <w:rPr>
                  <w:rFonts w:ascii="Arial" w:cs="Arial" w:eastAsia="Arial" w:hAnsi="Arial"/>
                  <w:sz w:val="18"/>
                  <w:szCs w:val="18"/>
                  <w:color w:val="0000FF"/>
                  <w:w w:val="94"/>
                </w:rPr>
                <w:t>Item 1.</w:t>
              </w:r>
            </w:hyperlink>
          </w:p>
        </w:tc>
        <w:tc>
          <w:tcPr>
            <w:tcW w:w="1640" w:type="dxa"/>
            <w:vAlign w:val="bottom"/>
            <w:tcBorders>
              <w:top w:val="single" w:sz="8" w:color="0000FF"/>
            </w:tcBorders>
            <w:gridSpan w:val="3"/>
          </w:tcPr>
          <w:p>
            <w:pPr>
              <w:ind w:left="20"/>
              <w:spacing w:after="0"/>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7820" w:type="dxa"/>
            <w:vAlign w:val="bottom"/>
            <w:gridSpan w:val="13"/>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Arial" w:cs="Arial" w:eastAsia="Arial" w:hAnsi="Arial"/>
                <w:sz w:val="18"/>
                <w:szCs w:val="18"/>
                <w:color w:val="0000FF"/>
                <w:w w:val="94"/>
              </w:rPr>
            </w:pPr>
            <w:hyperlink w:anchor="page38">
              <w:r>
                <w:rPr>
                  <w:rFonts w:ascii="Arial" w:cs="Arial" w:eastAsia="Arial" w:hAnsi="Arial"/>
                  <w:sz w:val="18"/>
                  <w:szCs w:val="18"/>
                  <w:color w:val="0000FF"/>
                  <w:w w:val="94"/>
                </w:rPr>
                <w:t>Item 2.</w:t>
              </w:r>
            </w:hyperlink>
          </w:p>
        </w:tc>
        <w:tc>
          <w:tcPr>
            <w:tcW w:w="9460" w:type="dxa"/>
            <w:vAlign w:val="bottom"/>
            <w:gridSpan w:val="16"/>
          </w:tcPr>
          <w:p>
            <w:pPr>
              <w:ind w:left="20"/>
              <w:spacing w:after="0"/>
              <w:rPr>
                <w:rFonts w:ascii="Arial" w:cs="Arial" w:eastAsia="Arial" w:hAnsi="Arial"/>
                <w:sz w:val="18"/>
                <w:szCs w:val="18"/>
                <w:color w:val="0000FF"/>
              </w:rPr>
            </w:pPr>
            <w:hyperlink w:anchor="page38">
              <w:r>
                <w:rPr>
                  <w:rFonts w:ascii="Arial" w:cs="Arial" w:eastAsia="Arial" w:hAnsi="Arial"/>
                  <w:sz w:val="18"/>
                  <w:szCs w:val="18"/>
                  <w:color w:val="0000FF"/>
                </w:rPr>
                <w:t>Unregistered Sales of Equity Securities and Use of Proceeds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740" w:type="dxa"/>
            <w:vAlign w:val="bottom"/>
            <w:gridSpan w:val="8"/>
            <w:shd w:val="clear" w:color="auto" w:fill="0000FF"/>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Arial" w:cs="Arial" w:eastAsia="Arial" w:hAnsi="Arial"/>
                <w:sz w:val="18"/>
                <w:szCs w:val="18"/>
                <w:color w:val="0000FF"/>
                <w:w w:val="94"/>
              </w:rPr>
            </w:pPr>
            <w:hyperlink w:anchor="page38">
              <w:r>
                <w:rPr>
                  <w:rFonts w:ascii="Arial" w:cs="Arial" w:eastAsia="Arial" w:hAnsi="Arial"/>
                  <w:sz w:val="18"/>
                  <w:szCs w:val="18"/>
                  <w:color w:val="0000FF"/>
                  <w:w w:val="94"/>
                </w:rPr>
                <w:t>Item 6.</w:t>
              </w:r>
            </w:hyperlink>
          </w:p>
        </w:tc>
        <w:tc>
          <w:tcPr>
            <w:tcW w:w="620" w:type="dxa"/>
            <w:vAlign w:val="bottom"/>
          </w:tcPr>
          <w:p>
            <w:pPr>
              <w:ind w:left="20"/>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Exhibits</w:t>
              </w:r>
            </w:hyperlink>
          </w:p>
        </w:tc>
        <w:tc>
          <w:tcPr>
            <w:tcW w:w="3740" w:type="dxa"/>
            <w:vAlign w:val="bottom"/>
            <w:gridSpan w:val="8"/>
          </w:tcPr>
          <w:p>
            <w:pPr>
              <w:spacing w:after="0"/>
              <w:rPr>
                <w:sz w:val="21"/>
                <w:szCs w:val="21"/>
                <w:color w:val="auto"/>
              </w:rPr>
            </w:pPr>
          </w:p>
        </w:tc>
        <w:tc>
          <w:tcPr>
            <w:tcW w:w="510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37</w:t>
              </w:r>
            </w:hyperlink>
          </w:p>
        </w:tc>
      </w:tr>
      <w:tr>
        <w:trPr>
          <w:trHeight w:val="20"/>
        </w:trPr>
        <w:tc>
          <w:tcPr>
            <w:tcW w:w="2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20" w:type="dxa"/>
            <w:vAlign w:val="bottom"/>
            <w:gridSpan w:val="4"/>
          </w:tcPr>
          <w:p>
            <w:pPr>
              <w:spacing w:after="0"/>
              <w:rPr>
                <w:rFonts w:ascii="Arial" w:cs="Arial" w:eastAsia="Arial" w:hAnsi="Arial"/>
                <w:sz w:val="18"/>
                <w:szCs w:val="18"/>
                <w:b w:val="1"/>
                <w:bCs w:val="1"/>
                <w:color w:val="0000FF"/>
              </w:rPr>
            </w:pPr>
            <w:hyperlink w:anchor="page1">
              <w:r>
                <w:rPr>
                  <w:rFonts w:ascii="Arial" w:cs="Arial" w:eastAsia="Arial" w:hAnsi="Arial"/>
                  <w:sz w:val="18"/>
                  <w:szCs w:val="18"/>
                  <w:b w:val="1"/>
                  <w:bCs w:val="1"/>
                  <w:color w:val="0000FF"/>
                </w:rPr>
                <w:t>Table of Contents</w:t>
              </w:r>
            </w:hyperlink>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3"/>
            <w:shd w:val="clear" w:color="auto" w:fill="0000FF"/>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020" w:type="dxa"/>
            <w:vAlign w:val="bottom"/>
            <w:gridSpan w:val="4"/>
          </w:tcPr>
          <w:p>
            <w:pPr>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gridSpan w:val="2"/>
          </w:tcPr>
          <w:p>
            <w:pPr>
              <w:spacing w:after="0"/>
              <w:rPr>
                <w:sz w:val="20"/>
                <w:szCs w:val="20"/>
                <w:color w:val="auto"/>
              </w:rPr>
            </w:pPr>
            <w:r>
              <w:rPr>
                <w:rFonts w:ascii="Arial" w:cs="Arial" w:eastAsia="Arial" w:hAnsi="Arial"/>
                <w:sz w:val="18"/>
                <w:szCs w:val="18"/>
                <w:b w:val="1"/>
                <w:bCs w:val="1"/>
                <w:color w:val="auto"/>
                <w:w w:val="94"/>
              </w:rPr>
              <w:t>Item 1.</w:t>
            </w:r>
          </w:p>
        </w:tc>
        <w:tc>
          <w:tcPr>
            <w:tcW w:w="8460" w:type="dxa"/>
            <w:vAlign w:val="bottom"/>
            <w:gridSpan w:val="2"/>
          </w:tcPr>
          <w:p>
            <w:pPr>
              <w:ind w:left="420"/>
              <w:spacing w:after="0"/>
              <w:rPr>
                <w:sz w:val="20"/>
                <w:szCs w:val="20"/>
                <w:color w:val="auto"/>
              </w:rPr>
            </w:pPr>
            <w:r>
              <w:rPr>
                <w:rFonts w:ascii="Arial" w:cs="Arial" w:eastAsia="Arial" w:hAnsi="Arial"/>
                <w:sz w:val="18"/>
                <w:szCs w:val="18"/>
                <w:b w:val="1"/>
                <w:bCs w:val="1"/>
                <w:color w:val="auto"/>
              </w:rPr>
              <w:t>Condensed Consolidated Financial Statements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60" w:type="dxa"/>
            <w:vAlign w:val="bottom"/>
          </w:tcPr>
          <w:p>
            <w:pPr>
              <w:jc w:val="center"/>
              <w:ind w:left="977"/>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60" w:type="dxa"/>
            <w:vAlign w:val="bottom"/>
          </w:tcPr>
          <w:p>
            <w:pPr>
              <w:jc w:val="center"/>
              <w:ind w:left="957"/>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60" w:type="dxa"/>
            <w:vAlign w:val="bottom"/>
          </w:tcPr>
          <w:p>
            <w:pPr>
              <w:jc w:val="center"/>
              <w:ind w:left="977"/>
              <w:spacing w:after="0"/>
              <w:rPr>
                <w:sz w:val="20"/>
                <w:szCs w:val="20"/>
                <w:color w:val="auto"/>
              </w:rPr>
            </w:pPr>
            <w:r>
              <w:rPr>
                <w:rFonts w:ascii="Arial" w:cs="Arial" w:eastAsia="Arial" w:hAnsi="Arial"/>
                <w:sz w:val="14"/>
                <w:szCs w:val="14"/>
                <w:color w:val="auto"/>
                <w:w w:val="94"/>
              </w:rPr>
              <w:t>(Dollars in millions, except share data)</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March 31,</w:t>
            </w:r>
          </w:p>
        </w:tc>
        <w:tc>
          <w:tcPr>
            <w:tcW w:w="11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(Unaudited)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7660" w:type="dxa"/>
            <w:vAlign w:val="bottom"/>
            <w:tcBorders>
              <w:bottom w:val="single" w:sz="8" w:color="CCEEFF"/>
            </w:tcBorders>
            <w:shd w:val="clear" w:color="auto" w:fill="CCEEFF"/>
          </w:tcPr>
          <w:p>
            <w:pPr>
              <w:jc w:val="center"/>
              <w:ind w:left="977"/>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0"/>
              <w:spacing w:after="0"/>
              <w:rPr>
                <w:sz w:val="20"/>
                <w:szCs w:val="20"/>
                <w:color w:val="auto"/>
              </w:rPr>
            </w:pPr>
            <w:r>
              <w:rPr>
                <w:rFonts w:ascii="Arial" w:cs="Arial" w:eastAsia="Arial" w:hAnsi="Arial"/>
                <w:sz w:val="16"/>
                <w:szCs w:val="16"/>
                <w:color w:val="auto"/>
              </w:rPr>
              <w:t>Investments: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90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4"/>
              </w:rPr>
              <w:t>Fixed maturity securities available for sale, at fair value, at March 31, 2013 and December 31, 2012 includes $275 of pledged fixed</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maturity securities related to secured trust deposits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Preferred stock available for sale, at fair value</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Equity securities available for sale,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Other long-term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000" w:type="dxa"/>
            <w:vAlign w:val="bottom"/>
            <w:gridSpan w:val="3"/>
          </w:tcPr>
          <w:p>
            <w:pPr>
              <w:ind w:left="20"/>
              <w:spacing w:after="0"/>
              <w:rPr>
                <w:sz w:val="20"/>
                <w:szCs w:val="20"/>
                <w:color w:val="auto"/>
              </w:rPr>
            </w:pPr>
            <w:r>
              <w:rPr>
                <w:rFonts w:ascii="Arial" w:cs="Arial" w:eastAsia="Arial" w:hAnsi="Arial"/>
                <w:sz w:val="16"/>
                <w:szCs w:val="16"/>
                <w:color w:val="auto"/>
                <w:w w:val="92"/>
              </w:rPr>
              <w:t>Cash and cash equivalents, at March 31, 2013 and December 31, 2012 includes $205 and $266, respectively, of pledged cash related to</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000" w:type="dxa"/>
            <w:vAlign w:val="bottom"/>
            <w:gridSpan w:val="3"/>
          </w:tcPr>
          <w:p>
            <w:pPr>
              <w:ind w:left="20"/>
              <w:spacing w:after="0"/>
              <w:rPr>
                <w:sz w:val="20"/>
                <w:szCs w:val="20"/>
                <w:color w:val="auto"/>
              </w:rPr>
            </w:pPr>
            <w:r>
              <w:rPr>
                <w:rFonts w:ascii="Arial" w:cs="Arial" w:eastAsia="Arial" w:hAnsi="Arial"/>
                <w:sz w:val="16"/>
                <w:szCs w:val="16"/>
                <w:color w:val="auto"/>
              </w:rPr>
              <w:t>secured trust deposits</w:t>
            </w:r>
          </w:p>
        </w:tc>
        <w:tc>
          <w:tcPr>
            <w:tcW w:w="14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1,132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Trade and notes receivables, net of allowance of $22, at March 31, 2013 and December 31, 2012</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1,909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Prepaid expenses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0"/>
              <w:spacing w:after="0"/>
              <w:rPr>
                <w:sz w:val="20"/>
                <w:szCs w:val="20"/>
                <w:color w:val="auto"/>
              </w:rPr>
            </w:pPr>
            <w:r>
              <w:rPr>
                <w:rFonts w:ascii="Arial" w:cs="Arial" w:eastAsia="Arial" w:hAnsi="Arial"/>
                <w:sz w:val="16"/>
                <w:szCs w:val="16"/>
                <w:color w:val="auto"/>
              </w:rPr>
              <w:t>Other intangible assets, net</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Title plants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7660" w:type="dxa"/>
            <w:vAlign w:val="bottom"/>
            <w:vMerge w:val="restart"/>
          </w:tcPr>
          <w:p>
            <w:pPr>
              <w:jc w:val="center"/>
              <w:ind w:left="957"/>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w w:val="93"/>
              </w:rPr>
              <w:t>Accounts payable and accrued liabilities, at March 31, 2013 and December 31, 2012 includes accounts payable to related parties of</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$5</w:t>
            </w:r>
          </w:p>
        </w:tc>
        <w:tc>
          <w:tcPr>
            <w:tcW w:w="80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1,212</w:t>
            </w:r>
          </w:p>
        </w:tc>
        <w:tc>
          <w:tcPr>
            <w:tcW w:w="10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1,308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Reserve for title claim losses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1,748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Secured trust deposits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Income taxes payable</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Deferred tax liability</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4,909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5,154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800" w:type="dxa"/>
            <w:vAlign w:val="bottom"/>
            <w:tcBorders>
              <w:bottom w:val="single" w:sz="8" w:color="CCEEFF"/>
            </w:tcBorders>
            <w:shd w:val="clear" w:color="auto" w:fill="CCEEFF"/>
          </w:tcPr>
          <w:p>
            <w:pPr>
              <w:spacing w:after="0"/>
              <w:rPr>
                <w:sz w:val="20"/>
                <w:szCs w:val="20"/>
                <w:color w:val="auto"/>
              </w:rPr>
            </w:pPr>
          </w:p>
        </w:tc>
        <w:tc>
          <w:tcPr>
            <w:tcW w:w="7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w w:val="94"/>
              </w:rPr>
              <w:t>Common stock, Class A, $0.0001 par value; authorized 600,000,000 shares as of March 31, 2013 and December 31, 2012; issued</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268,766,795 as of March 31, 2013 and 268,541,117 as of December 31, 2012</w:t>
            </w:r>
          </w:p>
        </w:tc>
        <w:tc>
          <w:tcPr>
            <w:tcW w:w="1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4,018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Accumulated other comprehensive earnings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w w:val="93"/>
              </w:rPr>
              <w:t>Less: treasury stock, 41,395,513 shares and 39,995,513 shares as of March 31, 2013 and December 31, 2012, respectively, at cost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Total Fidelity National Financial, Inc. shareholders’ equity</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4,295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4,268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Total equity</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4,773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4,749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00"/>
          </w:cols>
          <w:pgMar w:left="240" w:top="108"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108" w:right="25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180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Three months ended March</w:t>
            </w:r>
          </w:p>
        </w:tc>
        <w:tc>
          <w:tcPr>
            <w:tcW w:w="0" w:type="dxa"/>
            <w:vAlign w:val="bottom"/>
          </w:tcPr>
          <w:p>
            <w:pPr>
              <w:spacing w:after="0"/>
              <w:rPr>
                <w:sz w:val="1"/>
                <w:szCs w:val="1"/>
                <w:color w:val="auto"/>
              </w:rPr>
            </w:pPr>
          </w:p>
        </w:tc>
      </w:tr>
      <w:tr>
        <w:trPr>
          <w:trHeight w:val="192"/>
        </w:trPr>
        <w:tc>
          <w:tcPr>
            <w:tcW w:w="9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2"/>
              </w:rPr>
              <w:t>31,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9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9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76"/>
        </w:trPr>
        <w:tc>
          <w:tcPr>
            <w:tcW w:w="9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620" w:type="dxa"/>
            <w:vAlign w:val="bottom"/>
          </w:tcPr>
          <w:p>
            <w:pPr>
              <w:ind w:left="280"/>
              <w:spacing w:after="0"/>
              <w:rPr>
                <w:sz w:val="20"/>
                <w:szCs w:val="20"/>
                <w:color w:val="auto"/>
              </w:rPr>
            </w:pPr>
            <w:r>
              <w:rPr>
                <w:rFonts w:ascii="Arial" w:cs="Arial" w:eastAsia="Arial" w:hAnsi="Arial"/>
                <w:sz w:val="14"/>
                <w:szCs w:val="14"/>
                <w:color w:val="auto"/>
              </w:rPr>
              <w:t>Direct title insurance premiums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414</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276"/>
        </w:trPr>
        <w:tc>
          <w:tcPr>
            <w:tcW w:w="9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Agency title insurance premiums</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264"/>
        </w:trPr>
        <w:tc>
          <w:tcPr>
            <w:tcW w:w="9620" w:type="dxa"/>
            <w:vAlign w:val="bottom"/>
          </w:tcPr>
          <w:p>
            <w:pPr>
              <w:ind w:left="280"/>
              <w:spacing w:after="0"/>
              <w:rPr>
                <w:sz w:val="20"/>
                <w:szCs w:val="20"/>
                <w:color w:val="auto"/>
              </w:rPr>
            </w:pPr>
            <w:r>
              <w:rPr>
                <w:rFonts w:ascii="Arial" w:cs="Arial" w:eastAsia="Arial" w:hAnsi="Arial"/>
                <w:sz w:val="14"/>
                <w:szCs w:val="14"/>
                <w:color w:val="auto"/>
              </w:rPr>
              <w:t>Escrow, title related and other fees</w:t>
            </w:r>
          </w:p>
        </w:tc>
        <w:tc>
          <w:tcPr>
            <w:tcW w:w="1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76"/>
        </w:trPr>
        <w:tc>
          <w:tcPr>
            <w:tcW w:w="9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Auto parts revenue</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620" w:type="dxa"/>
            <w:vAlign w:val="bottom"/>
          </w:tcPr>
          <w:p>
            <w:pPr>
              <w:ind w:left="280"/>
              <w:spacing w:after="0"/>
              <w:rPr>
                <w:sz w:val="20"/>
                <w:szCs w:val="20"/>
                <w:color w:val="auto"/>
              </w:rPr>
            </w:pPr>
            <w:r>
              <w:rPr>
                <w:rFonts w:ascii="Arial" w:cs="Arial" w:eastAsia="Arial" w:hAnsi="Arial"/>
                <w:sz w:val="14"/>
                <w:szCs w:val="14"/>
                <w:color w:val="auto"/>
              </w:rPr>
              <w:t>Restaurant revenue</w:t>
            </w:r>
          </w:p>
        </w:tc>
        <w:tc>
          <w:tcPr>
            <w:tcW w:w="1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9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and investment income</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64"/>
        </w:trPr>
        <w:tc>
          <w:tcPr>
            <w:tcW w:w="9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Realized gains and losses, net</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6"/>
        </w:trPr>
        <w:tc>
          <w:tcPr>
            <w:tcW w:w="96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Total revenues</w:t>
            </w: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264"/>
        </w:trPr>
        <w:tc>
          <w:tcPr>
            <w:tcW w:w="9620" w:type="dxa"/>
            <w:vAlign w:val="bottom"/>
          </w:tcPr>
          <w:p>
            <w:pPr>
              <w:ind w:left="40"/>
              <w:spacing w:after="0"/>
              <w:rPr>
                <w:sz w:val="20"/>
                <w:szCs w:val="20"/>
                <w:color w:val="auto"/>
              </w:rPr>
            </w:pPr>
            <w:r>
              <w:rPr>
                <w:rFonts w:ascii="Arial" w:cs="Arial" w:eastAsia="Arial" w:hAnsi="Arial"/>
                <w:sz w:val="14"/>
                <w:szCs w:val="14"/>
                <w:color w:val="auto"/>
              </w:rPr>
              <w:t>Expenses:</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Personnel costs</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264"/>
        </w:trPr>
        <w:tc>
          <w:tcPr>
            <w:tcW w:w="9620" w:type="dxa"/>
            <w:vAlign w:val="bottom"/>
          </w:tcPr>
          <w:p>
            <w:pPr>
              <w:ind w:left="280"/>
              <w:spacing w:after="0"/>
              <w:rPr>
                <w:sz w:val="20"/>
                <w:szCs w:val="20"/>
                <w:color w:val="auto"/>
              </w:rPr>
            </w:pPr>
            <w:r>
              <w:rPr>
                <w:rFonts w:ascii="Arial" w:cs="Arial" w:eastAsia="Arial" w:hAnsi="Arial"/>
                <w:sz w:val="14"/>
                <w:szCs w:val="14"/>
                <w:color w:val="auto"/>
              </w:rPr>
              <w:t>Agent commissions</w:t>
            </w:r>
          </w:p>
        </w:tc>
        <w:tc>
          <w:tcPr>
            <w:tcW w:w="1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76"/>
        </w:trPr>
        <w:tc>
          <w:tcPr>
            <w:tcW w:w="9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operating expenses</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64"/>
        </w:trPr>
        <w:tc>
          <w:tcPr>
            <w:tcW w:w="9620" w:type="dxa"/>
            <w:vAlign w:val="bottom"/>
          </w:tcPr>
          <w:p>
            <w:pPr>
              <w:ind w:left="280"/>
              <w:spacing w:after="0"/>
              <w:rPr>
                <w:sz w:val="20"/>
                <w:szCs w:val="20"/>
                <w:color w:val="auto"/>
              </w:rPr>
            </w:pPr>
            <w:r>
              <w:rPr>
                <w:rFonts w:ascii="Arial" w:cs="Arial" w:eastAsia="Arial" w:hAnsi="Arial"/>
                <w:sz w:val="14"/>
                <w:szCs w:val="14"/>
                <w:color w:val="auto"/>
              </w:rPr>
              <w:t>Cost of auto parts revenue, includes $18 of depreciation and amortization in the three months ended March 31, 2013</w:t>
            </w:r>
          </w:p>
        </w:tc>
        <w:tc>
          <w:tcPr>
            <w:tcW w:w="1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9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restaurant revenue</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62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6"/>
        </w:trPr>
        <w:tc>
          <w:tcPr>
            <w:tcW w:w="9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title claim losses</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64"/>
        </w:trPr>
        <w:tc>
          <w:tcPr>
            <w:tcW w:w="9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Interest expense</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50"/>
        </w:trPr>
        <w:tc>
          <w:tcPr>
            <w:tcW w:w="96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Total expenses</w:t>
            </w: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250"/>
        </w:trPr>
        <w:tc>
          <w:tcPr>
            <w:tcW w:w="9620" w:type="dxa"/>
            <w:vAlign w:val="bottom"/>
          </w:tcPr>
          <w:p>
            <w:pPr>
              <w:ind w:left="40"/>
              <w:spacing w:after="0"/>
              <w:rPr>
                <w:sz w:val="20"/>
                <w:szCs w:val="20"/>
                <w:color w:val="auto"/>
              </w:rPr>
            </w:pPr>
            <w:r>
              <w:rPr>
                <w:rFonts w:ascii="Arial" w:cs="Arial" w:eastAsia="Arial" w:hAnsi="Arial"/>
                <w:sz w:val="14"/>
                <w:szCs w:val="14"/>
                <w:color w:val="auto"/>
              </w:rPr>
              <w:t>Earnings from continuing operations before income taxes and equity in (losses) earnings of unconsolidated affiliates</w:t>
            </w:r>
          </w:p>
        </w:tc>
        <w:tc>
          <w:tcPr>
            <w:tcW w:w="18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70"/>
        </w:trPr>
        <w:tc>
          <w:tcPr>
            <w:tcW w:w="9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50"/>
        </w:trPr>
        <w:tc>
          <w:tcPr>
            <w:tcW w:w="9620" w:type="dxa"/>
            <w:vAlign w:val="bottom"/>
          </w:tcPr>
          <w:p>
            <w:pPr>
              <w:ind w:left="40"/>
              <w:spacing w:after="0"/>
              <w:rPr>
                <w:sz w:val="20"/>
                <w:szCs w:val="20"/>
                <w:color w:val="auto"/>
              </w:rPr>
            </w:pPr>
            <w:r>
              <w:rPr>
                <w:rFonts w:ascii="Arial" w:cs="Arial" w:eastAsia="Arial" w:hAnsi="Arial"/>
                <w:sz w:val="14"/>
                <w:szCs w:val="14"/>
                <w:color w:val="auto"/>
              </w:rPr>
              <w:t>Earnings from continuing operations before equity in (losses) earnings of unconsolidated affiliates</w:t>
            </w:r>
          </w:p>
        </w:tc>
        <w:tc>
          <w:tcPr>
            <w:tcW w:w="18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0"/>
        </w:trPr>
        <w:tc>
          <w:tcPr>
            <w:tcW w:w="9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earnings of unconsolidated affiliates</w:t>
            </w: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0"/>
        </w:trPr>
        <w:tc>
          <w:tcPr>
            <w:tcW w:w="9620" w:type="dxa"/>
            <w:vAlign w:val="bottom"/>
          </w:tcPr>
          <w:p>
            <w:pPr>
              <w:ind w:left="40"/>
              <w:spacing w:after="0"/>
              <w:rPr>
                <w:sz w:val="20"/>
                <w:szCs w:val="20"/>
                <w:color w:val="auto"/>
              </w:rPr>
            </w:pPr>
            <w:r>
              <w:rPr>
                <w:rFonts w:ascii="Arial" w:cs="Arial" w:eastAsia="Arial" w:hAnsi="Arial"/>
                <w:sz w:val="14"/>
                <w:szCs w:val="14"/>
                <w:color w:val="auto"/>
              </w:rPr>
              <w:t>Net earnings from continuing operations</w:t>
            </w:r>
          </w:p>
        </w:tc>
        <w:tc>
          <w:tcPr>
            <w:tcW w:w="18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70"/>
        </w:trPr>
        <w:tc>
          <w:tcPr>
            <w:tcW w:w="9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from discontinued operations, net of tax</w:t>
            </w: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0"/>
        </w:trPr>
        <w:tc>
          <w:tcPr>
            <w:tcW w:w="962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18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70"/>
        </w:trPr>
        <w:tc>
          <w:tcPr>
            <w:tcW w:w="9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(losses) earnings attributable to noncontrolling interests</w:t>
            </w: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43"/>
        </w:trPr>
        <w:tc>
          <w:tcPr>
            <w:tcW w:w="9620" w:type="dxa"/>
            <w:vAlign w:val="bottom"/>
          </w:tcPr>
          <w:p>
            <w:pPr>
              <w:ind w:left="44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9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9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620" w:type="dxa"/>
            <w:vAlign w:val="bottom"/>
          </w:tcPr>
          <w:p>
            <w:pPr>
              <w:ind w:left="40"/>
              <w:spacing w:after="0"/>
              <w:rPr>
                <w:sz w:val="20"/>
                <w:szCs w:val="20"/>
                <w:color w:val="auto"/>
              </w:rPr>
            </w:pPr>
            <w:r>
              <w:rPr>
                <w:rFonts w:ascii="Arial" w:cs="Arial" w:eastAsia="Arial" w:hAnsi="Arial"/>
                <w:sz w:val="14"/>
                <w:szCs w:val="14"/>
                <w:i w:val="1"/>
                <w:iCs w:val="1"/>
                <w:color w:val="auto"/>
              </w:rPr>
              <w:t>Basic</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from continuing operations attributable to Fidelity National Financial, Inc. common shareholders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264"/>
        </w:trPr>
        <w:tc>
          <w:tcPr>
            <w:tcW w:w="9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earnings from discontinued operations attributable to Fidelity National Financial, Inc. common shareholders</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43"/>
        </w:trPr>
        <w:tc>
          <w:tcPr>
            <w:tcW w:w="9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20"/>
        </w:trPr>
        <w:tc>
          <w:tcPr>
            <w:tcW w:w="9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i w:val="1"/>
                <w:iCs w:val="1"/>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62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from continuing operations attributable to Fidelity National Financial, Inc. common shareholders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264"/>
        </w:trPr>
        <w:tc>
          <w:tcPr>
            <w:tcW w:w="9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earnings from discontinued operations attributable to Fidelity National Financial, Inc. common shareholders</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43"/>
        </w:trPr>
        <w:tc>
          <w:tcPr>
            <w:tcW w:w="9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Weighted average shares outstanding, basic basis</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1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diluted basis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tcPr>
          <w:p>
            <w:pPr>
              <w:ind w:left="40"/>
              <w:spacing w:after="0"/>
              <w:rPr>
                <w:sz w:val="20"/>
                <w:szCs w:val="20"/>
                <w:color w:val="auto"/>
              </w:rPr>
            </w:pPr>
            <w:r>
              <w:rPr>
                <w:rFonts w:ascii="Arial" w:cs="Arial" w:eastAsia="Arial" w:hAnsi="Arial"/>
                <w:sz w:val="14"/>
                <w:szCs w:val="14"/>
                <w:color w:val="auto"/>
              </w:rPr>
              <w:t>Cash dividends paid per share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0.16</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0"/>
        </w:trPr>
        <w:tc>
          <w:tcPr>
            <w:tcW w:w="9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attributable to Fidelity National Financial, Inc. common shareholders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9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and diluted net earnings from continuing operations attributable to FNF common shareholders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64"/>
        </w:trPr>
        <w:tc>
          <w:tcPr>
            <w:tcW w:w="9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Basic and diluted net earnings from discontinued operations attributable to FNF common shareholders</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43"/>
        </w:trPr>
        <w:tc>
          <w:tcPr>
            <w:tcW w:w="9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and diluted net earnings attributable to FNF common shareholders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786"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786"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COMPREHENSIVE EARNINGS </w:t>
      </w:r>
      <w:r>
        <w:rPr>
          <w:rFonts w:ascii="Arial" w:cs="Arial" w:eastAsia="Arial" w:hAnsi="Arial"/>
          <w:sz w:val="18"/>
          <w:szCs w:val="18"/>
          <w:color w:val="auto"/>
        </w:rPr>
        <w:t>(In millions)</w:t>
      </w:r>
    </w:p>
    <w:p>
      <w:pPr>
        <w:spacing w:after="0" w:line="386"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9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2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w w:val="92"/>
              </w:rPr>
              <w:t>(Unaudited)</w:t>
            </w:r>
          </w:p>
        </w:tc>
        <w:tc>
          <w:tcPr>
            <w:tcW w:w="0" w:type="dxa"/>
            <w:vAlign w:val="bottom"/>
          </w:tcPr>
          <w:p>
            <w:pPr>
              <w:spacing w:after="0"/>
              <w:rPr>
                <w:sz w:val="1"/>
                <w:szCs w:val="1"/>
                <w:color w:val="auto"/>
              </w:rPr>
            </w:pPr>
          </w:p>
        </w:tc>
      </w:tr>
      <w:tr>
        <w:trPr>
          <w:trHeight w:val="256"/>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89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Other comprehensive earnings:</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Unrealized gain on investments and other financial instruments, net (excluding investments in unconsolidated affiliates) (1)</w:t>
            </w:r>
          </w:p>
        </w:tc>
        <w:tc>
          <w:tcPr>
            <w:tcW w:w="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9480" w:type="dxa"/>
            <w:vAlign w:val="bottom"/>
          </w:tcPr>
          <w:p>
            <w:pPr>
              <w:ind w:left="280"/>
              <w:spacing w:after="0"/>
              <w:rPr>
                <w:sz w:val="20"/>
                <w:szCs w:val="20"/>
                <w:color w:val="auto"/>
              </w:rPr>
            </w:pPr>
            <w:r>
              <w:rPr>
                <w:rFonts w:ascii="Arial" w:cs="Arial" w:eastAsia="Arial" w:hAnsi="Arial"/>
                <w:sz w:val="18"/>
                <w:szCs w:val="18"/>
                <w:color w:val="auto"/>
              </w:rPr>
              <w:t>Unrealized loss on investments in unconsolidated affiliates (2)</w:t>
            </w:r>
          </w:p>
        </w:tc>
        <w:tc>
          <w:tcPr>
            <w:tcW w:w="6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gain on foreign currency translation and cash flow hedging (3)</w:t>
            </w:r>
          </w:p>
        </w:tc>
        <w:tc>
          <w:tcPr>
            <w:tcW w:w="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9480" w:type="dxa"/>
            <w:vAlign w:val="bottom"/>
          </w:tcPr>
          <w:p>
            <w:pPr>
              <w:ind w:left="280"/>
              <w:spacing w:after="0"/>
              <w:rPr>
                <w:sz w:val="20"/>
                <w:szCs w:val="20"/>
                <w:color w:val="auto"/>
              </w:rPr>
            </w:pPr>
            <w:r>
              <w:rPr>
                <w:rFonts w:ascii="Arial" w:cs="Arial" w:eastAsia="Arial" w:hAnsi="Arial"/>
                <w:sz w:val="18"/>
                <w:szCs w:val="18"/>
                <w:color w:val="auto"/>
              </w:rPr>
              <w:t>Reclassification adjustments for change in unrealized gains and losses included in net earnings (4)</w:t>
            </w:r>
          </w:p>
        </w:tc>
        <w:tc>
          <w:tcPr>
            <w:tcW w:w="6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Minimum pension liability adjustment (5)</w:t>
            </w:r>
          </w:p>
        </w:tc>
        <w:tc>
          <w:tcPr>
            <w:tcW w:w="6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9480" w:type="dxa"/>
            <w:vAlign w:val="bottom"/>
          </w:tcPr>
          <w:p>
            <w:pPr>
              <w:ind w:left="40"/>
              <w:spacing w:after="0"/>
              <w:rPr>
                <w:sz w:val="20"/>
                <w:szCs w:val="20"/>
                <w:color w:val="auto"/>
              </w:rPr>
            </w:pPr>
            <w:r>
              <w:rPr>
                <w:rFonts w:ascii="Arial" w:cs="Arial" w:eastAsia="Arial" w:hAnsi="Arial"/>
                <w:sz w:val="18"/>
                <w:szCs w:val="18"/>
                <w:color w:val="auto"/>
              </w:rPr>
              <w:t>Other comprehensive earnings</w:t>
            </w:r>
          </w:p>
        </w:tc>
        <w:tc>
          <w:tcPr>
            <w:tcW w:w="6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w:t>
            </w:r>
          </w:p>
        </w:tc>
        <w:tc>
          <w:tcPr>
            <w:tcW w:w="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Less: Comprehensive (losses) earnings attributable to noncontrolling interests</w:t>
            </w:r>
          </w:p>
        </w:tc>
        <w:tc>
          <w:tcPr>
            <w:tcW w:w="6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 attributable to Fidelity National Financial, Inc. common shareholders</w:t>
            </w:r>
          </w:p>
        </w:tc>
        <w:tc>
          <w:tcPr>
            <w:tcW w:w="6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91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$8 million and $16 million for the three-month periods ended March 31, 2013 and 2012, respectively.</w:t>
      </w:r>
    </w:p>
    <w:p>
      <w:pPr>
        <w:spacing w:after="0" w:line="171"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of income tax benefit of $5 million and less than $1 million for the three-month periods ended March 31, 2013 and 2012, respectively.</w:t>
      </w:r>
    </w:p>
    <w:p>
      <w:pPr>
        <w:spacing w:after="0" w:line="182" w:lineRule="exact"/>
        <w:rPr>
          <w:rFonts w:ascii="Arial" w:cs="Arial" w:eastAsia="Arial" w:hAnsi="Arial"/>
          <w:sz w:val="17"/>
          <w:szCs w:val="17"/>
          <w:color w:val="auto"/>
        </w:rPr>
      </w:pPr>
    </w:p>
    <w:p>
      <w:pPr>
        <w:ind w:left="980" w:hanging="972"/>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income tax (benefit) expense of $(2) million and $1 million for the three-month periods ended March 31, 2013 and 2012, respectively.</w:t>
      </w:r>
    </w:p>
    <w:p>
      <w:pPr>
        <w:spacing w:after="0" w:line="194" w:lineRule="exact"/>
        <w:rPr>
          <w:rFonts w:ascii="Arial" w:cs="Arial" w:eastAsia="Arial" w:hAnsi="Arial"/>
          <w:sz w:val="16"/>
          <w:szCs w:val="16"/>
          <w:color w:val="auto"/>
        </w:rPr>
      </w:pPr>
    </w:p>
    <w:p>
      <w:pPr>
        <w:ind w:left="980" w:hanging="972"/>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of income tax expense of less than $1 million and $1 million for the three-month periods ended March 31, 2013 and 2012, respectively.</w:t>
      </w:r>
    </w:p>
    <w:p>
      <w:pPr>
        <w:spacing w:after="0" w:line="182" w:lineRule="exact"/>
        <w:rPr>
          <w:rFonts w:ascii="Arial" w:cs="Arial" w:eastAsia="Arial" w:hAnsi="Arial"/>
          <w:sz w:val="17"/>
          <w:szCs w:val="17"/>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of less than $1 million for three-month period ended March 31, 2013.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10"/>
          </w:tcPr>
          <w:p>
            <w:pPr>
              <w:ind w:left="100"/>
              <w:spacing w:after="0"/>
              <w:rPr>
                <w:sz w:val="20"/>
                <w:szCs w:val="20"/>
                <w:color w:val="auto"/>
              </w:rPr>
            </w:pPr>
            <w:r>
              <w:rPr>
                <w:rFonts w:ascii="Arial" w:cs="Arial" w:eastAsia="Arial" w:hAnsi="Arial"/>
                <w:sz w:val="14"/>
                <w:szCs w:val="14"/>
                <w:b w:val="1"/>
                <w:bCs w:val="1"/>
                <w:color w:val="auto"/>
                <w:w w:val="97"/>
              </w:rPr>
              <w:t>Fidelity National Financial, Inc. Common Shareholders</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58"/>
        </w:trPr>
        <w:tc>
          <w:tcPr>
            <w:tcW w:w="2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0"/>
        </w:trPr>
        <w:tc>
          <w:tcPr>
            <w:tcW w:w="2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6"/>
        </w:trPr>
        <w:tc>
          <w:tcPr>
            <w:tcW w:w="2160" w:type="dxa"/>
            <w:vAlign w:val="bottom"/>
          </w:tcPr>
          <w:p>
            <w:pPr>
              <w:spacing w:after="0"/>
              <w:rPr>
                <w:sz w:val="24"/>
                <w:szCs w:val="24"/>
                <w:color w:val="auto"/>
              </w:rPr>
            </w:pPr>
          </w:p>
        </w:tc>
        <w:tc>
          <w:tcPr>
            <w:tcW w:w="16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154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Noncontrolling</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64"/>
        </w:trPr>
        <w:tc>
          <w:tcPr>
            <w:tcW w:w="216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0"/>
              </w:rPr>
              <w:t>Earnings (Loss)</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Equity</w:t>
            </w:r>
          </w:p>
        </w:tc>
      </w:tr>
      <w:tr>
        <w:trPr>
          <w:trHeight w:val="236"/>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2012</w:t>
            </w:r>
          </w:p>
        </w:tc>
        <w:tc>
          <w:tcPr>
            <w:tcW w:w="7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4,018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849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4,749</w:t>
            </w:r>
          </w:p>
        </w:tc>
      </w:tr>
      <w:tr>
        <w:trPr>
          <w:trHeight w:val="237"/>
        </w:trPr>
        <w:tc>
          <w:tcPr>
            <w:tcW w:w="216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63"/>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w:t>
            </w:r>
          </w:p>
        </w:tc>
      </w:tr>
      <w:tr>
        <w:trPr>
          <w:trHeight w:val="33"/>
        </w:trPr>
        <w:tc>
          <w:tcPr>
            <w:tcW w:w="2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 repurchased</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33"/>
        </w:trPr>
        <w:tc>
          <w:tcPr>
            <w:tcW w:w="2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ind w:left="80"/>
        <w:spacing w:after="0"/>
        <w:rPr>
          <w:sz w:val="20"/>
          <w:szCs w:val="20"/>
          <w:color w:val="auto"/>
        </w:rPr>
      </w:pPr>
      <w:r>
        <w:rPr>
          <w:rFonts w:ascii="Arial" w:cs="Arial" w:eastAsia="Arial" w:hAnsi="Arial"/>
          <w:sz w:val="16"/>
          <w:szCs w:val="16"/>
          <w:color w:val="auto"/>
        </w:rPr>
        <w:t>Other comprehensive earnings</w:t>
      </w:r>
    </w:p>
    <w:p>
      <w:pPr>
        <w:spacing w:after="0" w:line="22" w:lineRule="exact"/>
        <w:rPr>
          <w:sz w:val="20"/>
          <w:szCs w:val="20"/>
          <w:color w:val="auto"/>
        </w:rPr>
      </w:pPr>
    </w:p>
    <w:p>
      <w:pPr>
        <w:ind w:left="80" w:right="9260"/>
        <w:spacing w:after="0" w:line="301" w:lineRule="auto"/>
        <w:rPr>
          <w:sz w:val="20"/>
          <w:szCs w:val="20"/>
          <w:color w:val="auto"/>
        </w:rPr>
      </w:pPr>
      <w:r>
        <w:rPr>
          <w:rFonts w:ascii="Arial" w:cs="Arial" w:eastAsia="Arial" w:hAnsi="Arial"/>
          <w:sz w:val="14"/>
          <w:szCs w:val="14"/>
          <w:color w:val="auto"/>
        </w:rPr>
        <w:t>— unrealized gain on investments and other financial instruments (excluding investments in unconsolidated</w:t>
      </w:r>
    </w:p>
    <w:p>
      <w:pPr>
        <w:spacing w:after="0" w:line="3" w:lineRule="exact"/>
        <w:rPr>
          <w:sz w:val="20"/>
          <w:szCs w:val="20"/>
          <w:color w:val="auto"/>
        </w:rPr>
      </w:pPr>
    </w:p>
    <w:p>
      <w:pPr>
        <w:ind w:left="80"/>
        <w:spacing w:after="0"/>
        <w:tabs>
          <w:tab w:leader="none" w:pos="2600" w:val="left"/>
          <w:tab w:leader="none" w:pos="3540" w:val="left"/>
          <w:tab w:leader="none" w:pos="4580" w:val="left"/>
          <w:tab w:leader="none" w:pos="5640" w:val="left"/>
          <w:tab w:leader="none" w:pos="7100" w:val="left"/>
          <w:tab w:leader="none" w:pos="7860" w:val="left"/>
          <w:tab w:leader="none" w:pos="8740" w:val="left"/>
          <w:tab w:leader="none" w:pos="10080" w:val="left"/>
          <w:tab w:leader="none" w:pos="11080" w:val="left"/>
        </w:tabs>
        <w:rPr>
          <w:sz w:val="20"/>
          <w:szCs w:val="20"/>
          <w:color w:val="auto"/>
        </w:rPr>
      </w:pPr>
      <w:r>
        <w:rPr>
          <w:rFonts w:ascii="Arial" w:cs="Arial" w:eastAsia="Arial" w:hAnsi="Arial"/>
          <w:sz w:val="16"/>
          <w:szCs w:val="16"/>
          <w:color w:val="auto"/>
        </w:rPr>
        <w:t>affiliates)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33020</wp:posOffset>
            </wp:positionV>
            <wp:extent cx="7186295" cy="548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295" cy="548640"/>
                    </a:xfrm>
                    <a:prstGeom prst="rect">
                      <a:avLst/>
                    </a:prstGeom>
                    <a:noFill/>
                  </pic:spPr>
                </pic:pic>
              </a:graphicData>
            </a:graphic>
          </wp:anchor>
        </w:drawing>
      </w:r>
    </w:p>
    <w:p>
      <w:pPr>
        <w:spacing w:after="0" w:line="49" w:lineRule="exact"/>
        <w:rPr>
          <w:sz w:val="20"/>
          <w:szCs w:val="20"/>
          <w:color w:val="auto"/>
        </w:rPr>
      </w:pPr>
    </w:p>
    <w:p>
      <w:pPr>
        <w:ind w:left="80"/>
        <w:spacing w:after="0"/>
        <w:rPr>
          <w:sz w:val="20"/>
          <w:szCs w:val="20"/>
          <w:color w:val="auto"/>
        </w:rPr>
      </w:pPr>
      <w:r>
        <w:rPr>
          <w:rFonts w:ascii="Arial" w:cs="Arial" w:eastAsia="Arial" w:hAnsi="Arial"/>
          <w:sz w:val="16"/>
          <w:szCs w:val="16"/>
          <w:color w:val="auto"/>
        </w:rPr>
        <w:t>Other comprehensive earnings</w:t>
      </w:r>
    </w:p>
    <w:p>
      <w:pPr>
        <w:spacing w:after="0" w:line="22" w:lineRule="exact"/>
        <w:rPr>
          <w:sz w:val="20"/>
          <w:szCs w:val="20"/>
          <w:color w:val="auto"/>
        </w:rPr>
      </w:pPr>
    </w:p>
    <w:p>
      <w:pPr>
        <w:ind w:left="80" w:right="9340"/>
        <w:spacing w:after="0" w:line="301" w:lineRule="auto"/>
        <w:rPr>
          <w:sz w:val="20"/>
          <w:szCs w:val="20"/>
          <w:color w:val="auto"/>
        </w:rPr>
      </w:pPr>
      <w:r>
        <w:rPr>
          <w:rFonts w:ascii="Arial" w:cs="Arial" w:eastAsia="Arial" w:hAnsi="Arial"/>
          <w:sz w:val="14"/>
          <w:szCs w:val="14"/>
          <w:color w:val="auto"/>
        </w:rPr>
        <w:t>— unrealized loss on investments in unconsolidated</w:t>
      </w:r>
    </w:p>
    <w:p>
      <w:pPr>
        <w:spacing w:after="0" w:line="1" w:lineRule="exact"/>
        <w:rPr>
          <w:sz w:val="20"/>
          <w:szCs w:val="20"/>
          <w:color w:val="auto"/>
        </w:rPr>
      </w:pPr>
    </w:p>
    <w:p>
      <w:pPr>
        <w:ind w:left="80"/>
        <w:spacing w:after="0"/>
        <w:tabs>
          <w:tab w:leader="none" w:pos="2600" w:val="left"/>
          <w:tab w:leader="none" w:pos="3540" w:val="left"/>
          <w:tab w:leader="none" w:pos="4580" w:val="left"/>
          <w:tab w:leader="none" w:pos="5640" w:val="left"/>
          <w:tab w:leader="none" w:pos="7120" w:val="left"/>
          <w:tab w:leader="none" w:pos="7860" w:val="left"/>
          <w:tab w:leader="none" w:pos="8740" w:val="left"/>
          <w:tab w:leader="none" w:pos="10080" w:val="left"/>
          <w:tab w:leader="none" w:pos="11100" w:val="left"/>
        </w:tabs>
        <w:rPr>
          <w:sz w:val="20"/>
          <w:szCs w:val="20"/>
          <w:color w:val="auto"/>
        </w:rPr>
      </w:pPr>
      <w:r>
        <w:rPr>
          <w:rFonts w:ascii="Arial" w:cs="Arial" w:eastAsia="Arial" w:hAnsi="Arial"/>
          <w:sz w:val="16"/>
          <w:szCs w:val="16"/>
          <w:color w:val="auto"/>
        </w:rPr>
        <w:t>affiliates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w:t>
      </w:r>
    </w:p>
    <w:p>
      <w:pPr>
        <w:spacing w:after="0" w:line="69"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160" w:type="dxa"/>
            <w:vAlign w:val="bottom"/>
          </w:tcPr>
          <w:p>
            <w:pPr>
              <w:ind w:left="20"/>
              <w:spacing w:after="0"/>
              <w:rPr>
                <w:sz w:val="20"/>
                <w:szCs w:val="20"/>
                <w:color w:val="auto"/>
              </w:rPr>
            </w:pPr>
            <w:r>
              <w:rPr>
                <w:rFonts w:ascii="Arial" w:cs="Arial" w:eastAsia="Arial" w:hAnsi="Arial"/>
                <w:sz w:val="16"/>
                <w:szCs w:val="16"/>
                <w:color w:val="auto"/>
                <w:w w:val="96"/>
              </w:rPr>
              <w:t>Other comprehensive earnings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160" w:type="dxa"/>
            <w:vAlign w:val="bottom"/>
          </w:tcPr>
          <w:p>
            <w:pPr>
              <w:ind w:left="20"/>
              <w:spacing w:after="0"/>
              <w:rPr>
                <w:sz w:val="20"/>
                <w:szCs w:val="20"/>
                <w:color w:val="auto"/>
              </w:rPr>
            </w:pPr>
            <w:r>
              <w:rPr>
                <w:rFonts w:ascii="Arial" w:cs="Arial" w:eastAsia="Arial" w:hAnsi="Arial"/>
                <w:sz w:val="16"/>
                <w:szCs w:val="16"/>
                <w:color w:val="auto"/>
              </w:rPr>
              <w:t>— unrealized loss on foreign</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160" w:type="dxa"/>
            <w:vAlign w:val="bottom"/>
          </w:tcPr>
          <w:p>
            <w:pPr>
              <w:ind w:left="20"/>
              <w:spacing w:after="0"/>
              <w:rPr>
                <w:sz w:val="20"/>
                <w:szCs w:val="20"/>
                <w:color w:val="auto"/>
              </w:rPr>
            </w:pPr>
            <w:r>
              <w:rPr>
                <w:rFonts w:ascii="Arial" w:cs="Arial" w:eastAsia="Arial" w:hAnsi="Arial"/>
                <w:sz w:val="16"/>
                <w:szCs w:val="16"/>
                <w:color w:val="auto"/>
              </w:rPr>
              <w:t>currency translation and cash</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flow hedging</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0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7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2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0"/>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Other comprehensive earnings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03"/>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minimum pension liability</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9"/>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216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0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w:t>
            </w:r>
          </w:p>
        </w:tc>
      </w:tr>
      <w:tr>
        <w:trPr>
          <w:trHeight w:val="33"/>
        </w:trPr>
        <w:tc>
          <w:tcPr>
            <w:tcW w:w="2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declared</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20"/>
        </w:trPr>
        <w:tc>
          <w:tcPr>
            <w:tcW w:w="2160" w:type="dxa"/>
            <w:vAlign w:val="bottom"/>
          </w:tcPr>
          <w:p>
            <w:pPr>
              <w:ind w:left="20"/>
              <w:spacing w:after="0"/>
              <w:rPr>
                <w:sz w:val="20"/>
                <w:szCs w:val="20"/>
                <w:color w:val="auto"/>
              </w:rPr>
            </w:pPr>
            <w:r>
              <w:rPr>
                <w:rFonts w:ascii="Arial" w:cs="Arial" w:eastAsia="Arial" w:hAnsi="Arial"/>
                <w:sz w:val="16"/>
                <w:szCs w:val="16"/>
                <w:color w:val="auto"/>
                <w:w w:val="98"/>
              </w:rPr>
              <w:t>Contributions to noncontrolling</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interests</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0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2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0"/>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Subsidiary dividends paid to</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9"/>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2160" w:type="dxa"/>
            <w:vAlign w:val="bottom"/>
          </w:tcPr>
          <w:p>
            <w:pPr>
              <w:ind w:left="20"/>
              <w:spacing w:after="0"/>
              <w:rPr>
                <w:sz w:val="20"/>
                <w:szCs w:val="20"/>
                <w:color w:val="auto"/>
              </w:rPr>
            </w:pPr>
            <w:r>
              <w:rPr>
                <w:rFonts w:ascii="Arial" w:cs="Arial" w:eastAsia="Arial" w:hAnsi="Arial"/>
                <w:sz w:val="16"/>
                <w:szCs w:val="16"/>
                <w:color w:val="auto"/>
              </w:rPr>
              <w:t>Net earnings (loss)</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0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89</w:t>
            </w:r>
          </w:p>
        </w:tc>
      </w:tr>
      <w:tr>
        <w:trPr>
          <w:trHeight w:val="33"/>
        </w:trPr>
        <w:tc>
          <w:tcPr>
            <w:tcW w:w="2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March 31, 2013</w:t>
            </w: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    $</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4,025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902</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4,773</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1"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11" w:lineRule="exact"/>
        <w:rPr>
          <w:sz w:val="20"/>
          <w:szCs w:val="20"/>
          <w:color w:val="auto"/>
        </w:rPr>
      </w:pPr>
    </w:p>
    <w:p>
      <w:pPr>
        <w:jc w:val="center"/>
        <w:ind w:left="95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5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33020</wp:posOffset>
            </wp:positionV>
            <wp:extent cx="12261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Net earnings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80" w:type="dxa"/>
            <w:vAlign w:val="bottom"/>
          </w:tcPr>
          <w:p>
            <w:pPr>
              <w:ind w:left="5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Equity in losses (earnings) of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Loss (gain) on sales of investments and other assets, net</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Tax benefit associated with the exercise of stock options</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decrease in pledged cash, pledged investments, and secured trust deposits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(increase) in trade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increase in prepaid expenses and other assets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 accounts payable, accrued liabilities, deferred revenue and other</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decrease in reserve for title claim losses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change in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cash used in operating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Proceeds from sales of investment securities available for sale</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calls and maturities of investment securities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Proceeds from sale of other assets</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Additions to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Purchases of investment securities available for sale</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proceeds from (purchases of) short-term investment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Net purchases of other long term investments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Contributions to investments in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Net other investing activities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acquisitions/disposals of businesses, net of cash acquired</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Borrowings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service payments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Subsidiary dividends paid to noncontrolling interest shareholders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Exercise of stock options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Tax benefit associated with the exercise of stock options</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treasury stock</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 excluding pledged cash related to secured trust deposits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9480" w:type="dxa"/>
            <w:vAlign w:val="bottom"/>
          </w:tcPr>
          <w:p>
            <w:pPr>
              <w:ind w:left="40"/>
              <w:spacing w:after="0"/>
              <w:rPr>
                <w:sz w:val="20"/>
                <w:szCs w:val="20"/>
                <w:color w:val="auto"/>
              </w:rPr>
            </w:pPr>
            <w:r>
              <w:rPr>
                <w:rFonts w:ascii="Arial" w:cs="Arial" w:eastAsia="Arial" w:hAnsi="Arial"/>
                <w:sz w:val="16"/>
                <w:szCs w:val="16"/>
                <w:color w:val="auto"/>
              </w:rPr>
              <w:t>Cash and cash equivalents, excluding pledged cash related to secured trust deposits at beginning of period</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excluding pledged cash related to secured trust deposits at end of period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0"/>
        </w:trPr>
        <w:tc>
          <w:tcPr>
            <w:tcW w:w="9480" w:type="dxa"/>
            <w:vAlign w:val="bottom"/>
            <w:vMerge w:val="restart"/>
          </w:tcPr>
          <w:p>
            <w:pPr>
              <w:ind w:left="40"/>
              <w:spacing w:after="0"/>
              <w:rPr>
                <w:sz w:val="20"/>
                <w:szCs w:val="20"/>
                <w:color w:val="auto"/>
              </w:rPr>
            </w:pPr>
            <w:r>
              <w:rPr>
                <w:rFonts w:ascii="Arial" w:cs="Arial" w:eastAsia="Arial" w:hAnsi="Arial"/>
                <w:sz w:val="16"/>
                <w:szCs w:val="16"/>
                <w:color w:val="auto"/>
              </w:rPr>
              <w:t>Supplemental cash flow information:</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4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paid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Interest paid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111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111"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financial information in this report includes the accounts of Fidelity National Financial, Inc. and its subsidiaries (collectively, “we,” “us,” “our,” or “FNF”) prepared in accordance with generally accepted accounting principles and the instructions to Form 10-Q and Article 10 of Regulation S-X. All adjustments considered necessary for a fair presentation have been included. This report should be read in conjunction with our Annual Report on Form 10-K for the year ended December 31, 2012.</w:t>
      </w:r>
    </w:p>
    <w:p>
      <w:pPr>
        <w:spacing w:after="0" w:line="79" w:lineRule="exact"/>
        <w:rPr>
          <w:sz w:val="20"/>
          <w:szCs w:val="20"/>
          <w:color w:val="auto"/>
        </w:rPr>
      </w:pPr>
    </w:p>
    <w:p>
      <w:pPr>
        <w:ind w:right="800" w:firstLine="324"/>
        <w:spacing w:after="0" w:line="375" w:lineRule="auto"/>
        <w:rPr>
          <w:sz w:val="20"/>
          <w:szCs w:val="20"/>
          <w:color w:val="auto"/>
        </w:rPr>
      </w:pPr>
      <w:r>
        <w:rPr>
          <w:rFonts w:ascii="Arial" w:cs="Arial" w:eastAsia="Arial" w:hAnsi="Arial"/>
          <w:sz w:val="18"/>
          <w:szCs w:val="18"/>
          <w:color w:val="auto"/>
        </w:rPr>
        <w:t xml:space="preserve">Certain reclassifications have been made in the 2012 Condensed Consolidated Financial Statements to conform to classifications used in 2013.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a leading provider of title insurance, mortgage services and other diversified services. FNF is the nation's largest title insurance company through its title insurance underwriters - Fidelity National Title, Chicago Title, Commonwealth Land Title and Alamo Title - that collectively issue more title insurance policies than any other title company in the United States. We also hold a 55% ownership interest in American Blue Ribbon Holdings, LLC ("ABRH"), the owner and operator of the O'Charley's, Ninety Nine Restaurants, Max &amp; Erma's, Village Inn and Bakers Square restaurant concepts, and an 87% ownership interest in J. Alexander's Holdings, LLC ("J. Alexander's"), an upscale dining restaurant owner and operator of the J. Alexander's and Stoney River Legendary Steaks ("Stoney River") concepts. In addition, we hold a 51% ownership interest in Remy International, Inc. ("Remy"), a leading designer, manufacturer, remanufacturer, marketer and distributor of aftermarket and original equipment electrical components for automobiles, light trucks, heavy-duty trucks and other vehicles. FNF also owns a minority interest in Ceridian Corporation ("Ceridian"), a leading provider of global human capital management and payment solutions.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25, 2013, we formed J. Alexander's, a restaurant company which is focused on the upscale dining segment. J. Alexander's consists of the current thirty J. Alexander's locations and the ten existing Stoney River locations. ABRH contributed the ten Stoney River locations to J. Alexanders for an approximate 28% ownership interest in the new company, giving us an 87% ownership interest in J. Alexanders. The operations of J. Alexander's will continue to be consolidated in our existing Restaurant Group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9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May 1, 2012, we completed the sale of an 85% interest in our remaining subsidiaries that write personal lines insurance to WT Holdings, Inc. for $120 million. Accordingly, the results of this business through the date of sale (which we refer to as our "at-risk" insurance business) for all periods presented are reflected in the Condensed Consolidated Statements of Earnings as discontinued operations. Total revenues from the at-risk insurance business included in discontinued operations are $36 million for the three months ending March 31, 2012. Pre-tax earnings from the at-risk insurance business included in discontinued operations are $4 million for the three months ending March 31, 2012.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Fidelity National Information Services ("FIS")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agreements that were in effect with FIS through March 31, 2013, is as follows:</w:t>
      </w:r>
    </w:p>
    <w:p>
      <w:pPr>
        <w:spacing w:after="0" w:line="279" w:lineRule="exact"/>
        <w:rPr>
          <w:sz w:val="20"/>
          <w:szCs w:val="20"/>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Technology (“IT”) and data processing services from FIS. These agreements govern IT support services provided to us by FIS, primarily consisting of infrastructure support and data center management. Subject to certain early termination provisions, the agreement expires on or about June 30, 2013 with an option to renew for one or two additional years.</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Administrative corporate support and cost-sharing services to FIS. We have provided certain administrative corporate support services such as corporate aviation and other administrative support services to FIS.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detail of net revenues and expenses between us and FIS that were included in our results of operations for the periods presented is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14"/>
                <w:szCs w:val="14"/>
                <w:color w:val="auto"/>
              </w:rPr>
            </w:pPr>
          </w:p>
        </w:tc>
        <w:tc>
          <w:tcPr>
            <w:tcW w:w="154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Three months ended</w:t>
            </w:r>
          </w:p>
        </w:tc>
      </w:tr>
      <w:tr>
        <w:trPr>
          <w:trHeight w:val="192"/>
        </w:trPr>
        <w:tc>
          <w:tcPr>
            <w:tcW w:w="7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March 31, 2013</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March 31, 2012</w:t>
            </w:r>
          </w:p>
        </w:tc>
      </w:tr>
      <w:tr>
        <w:trPr>
          <w:trHeight w:val="196"/>
        </w:trPr>
        <w:tc>
          <w:tcPr>
            <w:tcW w:w="7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4"/>
          </w:tcPr>
          <w:p>
            <w:pPr>
              <w:jc w:val="right"/>
              <w:ind w:right="1297"/>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services and cost-sharing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Data processing expense</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the amounts earned by us or charged to us under each of the foregoing arrangements are fair and reasonable. The information technology infrastructure support and data center management services provided to us are priced within the range of prices that FIS offers to its unaffiliated third party customers for the same types of services. However, the amounts we earned or were charged under these arrangements were not negotiated at arm’s-length, and may not represent the terms that we might have obtained from an unrelated third party. The net amounts due to FIS as a result of these agreements were $5 million as of March 31, 2013 and December 31, 2012.</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Included in equity securities available for sale are 1,603,860 shares of FIS stock which were purchased during the fourth quarter of 2009 in connection with a merger between FIS and Metavante Technologies, Inc. The fair value of our investment was $64 million and $56 million as of March 31, 2013 and December 31, 2012, respectively.</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Also included in fixed maturities available for sale are FIS bonds with a fair value of $48 million and $53 million as of March 31, 2013 and December 31, 2012,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February 2013, the FASB issued ASU No. 2013-02 which updated ASC Topic 220, Comprehensive Income, which requires an entity to report the effect of significant reclassifications out of accumulated other comprehensive income on the respective line items in net income if the amount being reclassified is required under U.S. generally accepted accounting principles (GAAP) to be reclassified in its entirety to net income. For other amounts that are not reclassified in their entirety to net income an entity is required to cross-reference other disclosures required under U.S. GAAP that provide additional detail about those amounts. ASU No. 2013-02 is effective for annual reporting periods beginning on or after December 15, 2012 and interim periods within those annual periods. ASU No. 2013-02 did not have an impact on our consolidated financial position, results of operations or cash flows.</w:t>
      </w:r>
    </w:p>
    <w:p>
      <w:pPr>
        <w:spacing w:after="0" w:line="12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December 2011, the FASB issued ASU No. 2011-11 which updated ASC Topic 210, Disclosures about Offsetting Assets and Liabilities, which requires an entity to disclose information about offsetting and related arrangements to enable users of its financial statements to understand the effect of those arrangements on its financial position. ASU No. 2011-11 is effective for annual reporting periods beginning on or after January 1, 2013 and interim periods within those annual periods. ASU No. 2011-11 did not have an impact on our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Earnings Per Share</w:t>
      </w:r>
    </w:p>
    <w:p>
      <w:pPr>
        <w:spacing w:after="0" w:line="1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Basic earnings per share is computed by dividing net earnings available to common shareholders by the weighted average number of common shares outstanding during the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options and shares of restricted stock which have been treated as common share equivalents for purposes of calculating diluted earnings per share for periods in which positive earnings have been reported.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computation of basic and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264"/>
        </w:trPr>
        <w:tc>
          <w:tcPr>
            <w:tcW w:w="9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r>
      <w:tr>
        <w:trPr>
          <w:trHeight w:val="139"/>
        </w:trPr>
        <w:tc>
          <w:tcPr>
            <w:tcW w:w="9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4"/>
          </w:tcPr>
          <w:p>
            <w:pPr>
              <w:ind w:left="40"/>
              <w:spacing w:after="0" w:line="139" w:lineRule="exact"/>
              <w:rPr>
                <w:sz w:val="20"/>
                <w:szCs w:val="20"/>
                <w:color w:val="auto"/>
              </w:rPr>
            </w:pPr>
            <w:r>
              <w:rPr>
                <w:rFonts w:ascii="Arial" w:cs="Arial" w:eastAsia="Arial" w:hAnsi="Arial"/>
                <w:sz w:val="14"/>
                <w:szCs w:val="14"/>
                <w:b w:val="1"/>
                <w:bCs w:val="1"/>
                <w:color w:val="auto"/>
              </w:rPr>
              <w:t>(In millions, except per share</w:t>
            </w:r>
          </w:p>
        </w:tc>
      </w:tr>
      <w:tr>
        <w:trPr>
          <w:trHeight w:val="186"/>
        </w:trPr>
        <w:tc>
          <w:tcPr>
            <w:tcW w:w="9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amounts)</w:t>
            </w:r>
          </w:p>
        </w:tc>
        <w:tc>
          <w:tcPr>
            <w:tcW w:w="800" w:type="dxa"/>
            <w:vAlign w:val="bottom"/>
          </w:tcPr>
          <w:p>
            <w:pPr>
              <w:spacing w:after="0"/>
              <w:rPr>
                <w:sz w:val="16"/>
                <w:szCs w:val="16"/>
                <w:color w:val="auto"/>
              </w:rPr>
            </w:pPr>
          </w:p>
        </w:tc>
      </w:tr>
      <w:tr>
        <w:trPr>
          <w:trHeight w:val="255"/>
        </w:trPr>
        <w:tc>
          <w:tcPr>
            <w:tcW w:w="9160" w:type="dxa"/>
            <w:vAlign w:val="bottom"/>
          </w:tcPr>
          <w:p>
            <w:pPr>
              <w:ind w:left="40"/>
              <w:spacing w:after="0"/>
              <w:rPr>
                <w:sz w:val="20"/>
                <w:szCs w:val="20"/>
                <w:color w:val="auto"/>
              </w:rPr>
            </w:pPr>
            <w:r>
              <w:rPr>
                <w:rFonts w:ascii="Arial" w:cs="Arial" w:eastAsia="Arial" w:hAnsi="Arial"/>
                <w:sz w:val="18"/>
                <w:szCs w:val="18"/>
                <w:color w:val="auto"/>
              </w:rPr>
              <w:t>Basic and diluted net earnings from continuing operations attributable to FNF common 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71</w:t>
            </w:r>
          </w:p>
        </w:tc>
      </w:tr>
      <w:tr>
        <w:trPr>
          <w:trHeight w:val="27"/>
        </w:trPr>
        <w:tc>
          <w:tcPr>
            <w:tcW w:w="9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net earnings from discontinued operations attributable to FNF common shareholders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97"/>
        </w:trPr>
        <w:tc>
          <w:tcPr>
            <w:tcW w:w="9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and diluted net earnings attributable to FNF common shareholders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w:t>
            </w:r>
          </w:p>
        </w:tc>
      </w:tr>
      <w:tr>
        <w:trPr>
          <w:trHeight w:val="230"/>
        </w:trPr>
        <w:tc>
          <w:tcPr>
            <w:tcW w:w="9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Weighted average shares outstanding during the period, basic basis</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219</w:t>
            </w:r>
          </w:p>
        </w:tc>
      </w:tr>
      <w:tr>
        <w:trPr>
          <w:trHeight w:val="27"/>
        </w:trPr>
        <w:tc>
          <w:tcPr>
            <w:tcW w:w="9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Common stock equivalent shares assumed from conversion of options</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97"/>
        </w:trPr>
        <w:tc>
          <w:tcPr>
            <w:tcW w:w="9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 outstanding during the period, diluted basis</w:t>
            </w: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223</w:t>
            </w:r>
          </w:p>
        </w:tc>
      </w:tr>
      <w:tr>
        <w:trPr>
          <w:trHeight w:val="217"/>
        </w:trPr>
        <w:tc>
          <w:tcPr>
            <w:tcW w:w="9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Basic net earnings per share from continuing operations attributable to FNF common 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0.33</w:t>
            </w:r>
          </w:p>
        </w:tc>
      </w:tr>
      <w:tr>
        <w:trPr>
          <w:trHeight w:val="27"/>
        </w:trPr>
        <w:tc>
          <w:tcPr>
            <w:tcW w:w="9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earnings per share from discontinued operations attributable to FNF common shareholders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r>
      <w:tr>
        <w:trPr>
          <w:trHeight w:val="297"/>
        </w:trPr>
        <w:tc>
          <w:tcPr>
            <w:tcW w:w="9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 attributable to FNF common shareholders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0.34</w:t>
            </w:r>
          </w:p>
        </w:tc>
      </w:tr>
      <w:tr>
        <w:trPr>
          <w:trHeight w:val="163"/>
        </w:trPr>
        <w:tc>
          <w:tcPr>
            <w:tcW w:w="9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Diluted net earnings per share from continuing operations attributable to FNF common 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0.32</w:t>
            </w:r>
          </w:p>
        </w:tc>
      </w:tr>
      <w:tr>
        <w:trPr>
          <w:trHeight w:val="27"/>
        </w:trPr>
        <w:tc>
          <w:tcPr>
            <w:tcW w:w="9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earnings per share from discontinued operations attributable to FNF common shareholders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r>
      <w:tr>
        <w:trPr>
          <w:trHeight w:val="257"/>
        </w:trPr>
        <w:tc>
          <w:tcPr>
            <w:tcW w:w="9160" w:type="dxa"/>
            <w:vAlign w:val="bottom"/>
          </w:tcPr>
          <w:p>
            <w:pPr>
              <w:ind w:left="40"/>
              <w:spacing w:after="0"/>
              <w:rPr>
                <w:sz w:val="20"/>
                <w:szCs w:val="20"/>
                <w:color w:val="auto"/>
              </w:rPr>
            </w:pPr>
            <w:r>
              <w:rPr>
                <w:rFonts w:ascii="Arial" w:cs="Arial" w:eastAsia="Arial" w:hAnsi="Arial"/>
                <w:sz w:val="18"/>
                <w:szCs w:val="18"/>
                <w:color w:val="auto"/>
              </w:rPr>
              <w:t>Diluted earnings per share attributable to FNF common shareholders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0.33</w:t>
            </w:r>
          </w:p>
        </w:tc>
      </w:tr>
      <w:tr>
        <w:trPr>
          <w:trHeight w:val="20"/>
        </w:trPr>
        <w:tc>
          <w:tcPr>
            <w:tcW w:w="9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Options to purchase shares of our common stock that are antidilutive are excluded from the computation of diluted earnings per share. Antidilutive options totaled 1 million shares and 4 million shares for the three months ended March 31, 2013 and 2012,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Measurements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fair value hierarchy for those assets and liabilities measured at fair value on a recurring basis as of March 31, 2013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13"/>
              <w:spacing w:after="0"/>
              <w:rPr>
                <w:sz w:val="20"/>
                <w:szCs w:val="20"/>
                <w:color w:val="auto"/>
              </w:rPr>
            </w:pPr>
            <w:r>
              <w:rPr>
                <w:rFonts w:ascii="Arial" w:cs="Arial" w:eastAsia="Arial" w:hAnsi="Arial"/>
                <w:sz w:val="14"/>
                <w:szCs w:val="14"/>
                <w:b w:val="1"/>
                <w:bCs w:val="1"/>
                <w:color w:val="auto"/>
                <w:w w:val="94"/>
              </w:rPr>
              <w:t>March 31, 2013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center"/>
              <w:ind w:left="33"/>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120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60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272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3,548</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Liabilities:</w:t>
            </w: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0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606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60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left="33"/>
              <w:spacing w:after="0"/>
              <w:rPr>
                <w:sz w:val="20"/>
                <w:szCs w:val="20"/>
                <w:color w:val="auto"/>
              </w:rPr>
            </w:pPr>
            <w:r>
              <w:rPr>
                <w:rFonts w:ascii="Arial" w:cs="Arial" w:eastAsia="Arial" w:hAnsi="Arial"/>
                <w:sz w:val="14"/>
                <w:szCs w:val="14"/>
                <w:b w:val="1"/>
                <w:bCs w:val="1"/>
                <w:color w:val="auto"/>
                <w:w w:val="91"/>
              </w:rPr>
              <w:t>December 31, 2012</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center"/>
              <w:ind w:left="33"/>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4"/>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900" w:type="dxa"/>
            <w:vAlign w:val="bottom"/>
          </w:tcPr>
          <w:p>
            <w:pPr>
              <w:jc w:val="right"/>
              <w:ind w:right="695"/>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138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247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3,253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880" w:type="dxa"/>
            <w:vAlign w:val="bottom"/>
          </w:tcPr>
          <w:p>
            <w:pPr>
              <w:jc w:val="right"/>
              <w:ind w:right="674"/>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606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Level 2 fair value measures for fixed-maturities available for sale are provided by third-party pricing services. We utilize one firm for our taxable bond and preferred stock portfolio and another for our tax-exempt bond portfolio.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 party pricing services are as follows: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U.S. government and agencies: These securities are valued based on data obtained for similar securities in active markets and from inter-dealer brokers.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State and political subdivisions: These securities are valued based on data obtained for similar securities in active markets and from inter-dealer brokers.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considered include relevant trade information, dealer quotes and other relevant market data.</w:t>
      </w:r>
    </w:p>
    <w:p>
      <w:pPr>
        <w:spacing w:after="0" w:line="21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Mortgage-backed/asset-backed securities: These securities are comprised of agency mortgage-backed securities, commercial mortgage-backed securities, collaterized mortgage obligations, and asset-backed securities. They are valued based on available trade information, dealer quotes, cash flows, relevant indices and market data for similar assets in active markets.</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Preferred stock: Preferred stocks are valued by calculating the appropriate spread over a comparable U.S. Treasury security. Inputs include benchmark quotes and other relevant market data.</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Level 2 fair value measures for our interest rate swap, foreign exchange contracts, and commodity contracts are valued using the income approach. This approach uses techniques to convert future amounts to a single present value amount based upon market expectations (including present value techniques, option-pricing and excess earnings models).</w:t>
      </w:r>
    </w:p>
    <w:p>
      <w:pPr>
        <w:spacing w:after="0" w:line="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Level 3 investments consist of structured notes that were purchased in 2009. The structured notes had a par value of $38 million and fair value of $40 million at March 31, 2013, and a par value of $38 million and fair value of $41 million at December 31, 2012. The structured notes are held for general investment purposes and represent approximately one percent of our total investment portfolio. The structured notes are classified as other long-term investments and are measured in their entirety at fair value with changes in fair value recognized in earnings. The fair value of these instruments represents exit prices obtained from a broker-dealer. These exit prices are the product of a proprietary valuation model utilized by the trading desk of the broker-dealer and contain assumptions relating to volatility, the level of interest rates, and the value of the underlying commodity indices. We reviewed the pricing methodologies for our Level 3 investments to ensure that they are reasonable and believe they represent an exit price for the securities as of March 31, 2013.</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changes in our investments that are classified as Level 3 for the period ended March 31, 2013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December 31, 2012</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Net realized loss</w:t>
            </w:r>
          </w:p>
        </w:tc>
        <w:tc>
          <w:tcPr>
            <w:tcW w:w="6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10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2013</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0"/>
        </w:trPr>
        <w:tc>
          <w:tcPr>
            <w:tcW w:w="10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of short-term investments, accounts receivable and notes receivable approximate fair value due to their short-term nature.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and fair values of our available for sale securities at March 31, 2013 and December 31, 2012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March 31, 2013</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58"/>
        </w:trPr>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22"/>
                <w:szCs w:val="22"/>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22"/>
                <w:szCs w:val="2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22"/>
                <w:szCs w:val="22"/>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22"/>
                <w:szCs w:val="22"/>
                <w:color w:val="auto"/>
              </w:rPr>
            </w:pPr>
          </w:p>
        </w:tc>
        <w:tc>
          <w:tcPr>
            <w:tcW w:w="980" w:type="dxa"/>
            <w:vAlign w:val="bottom"/>
          </w:tcPr>
          <w:p>
            <w:pPr>
              <w:jc w:val="center"/>
              <w:ind w:right="194"/>
              <w:spacing w:after="0"/>
              <w:rPr>
                <w:sz w:val="20"/>
                <w:szCs w:val="20"/>
                <w:color w:val="auto"/>
              </w:rPr>
            </w:pPr>
            <w:r>
              <w:rPr>
                <w:rFonts w:ascii="Arial" w:cs="Arial" w:eastAsia="Arial" w:hAnsi="Arial"/>
                <w:sz w:val="14"/>
                <w:szCs w:val="14"/>
                <w:b w:val="1"/>
                <w:bCs w:val="1"/>
                <w:color w:val="auto"/>
              </w:rPr>
              <w:t>Fair</w:t>
            </w:r>
          </w:p>
        </w:tc>
      </w:tr>
      <w:tr>
        <w:trPr>
          <w:trHeight w:val="276"/>
        </w:trPr>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Basis</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1,245</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1,486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1,550</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152</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3,502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3,298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3,502</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9"/>
        </w:trPr>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2012</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58"/>
        </w:trPr>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22"/>
                <w:szCs w:val="22"/>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22"/>
                <w:szCs w:val="2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22"/>
                <w:szCs w:val="22"/>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22"/>
                <w:szCs w:val="22"/>
                <w:color w:val="auto"/>
              </w:rPr>
            </w:pPr>
          </w:p>
        </w:tc>
        <w:tc>
          <w:tcPr>
            <w:tcW w:w="980" w:type="dxa"/>
            <w:vAlign w:val="bottom"/>
          </w:tcPr>
          <w:p>
            <w:pPr>
              <w:jc w:val="center"/>
              <w:ind w:right="194"/>
              <w:spacing w:after="0"/>
              <w:rPr>
                <w:sz w:val="20"/>
                <w:szCs w:val="20"/>
                <w:color w:val="auto"/>
              </w:rPr>
            </w:pPr>
            <w:r>
              <w:rPr>
                <w:rFonts w:ascii="Arial" w:cs="Arial" w:eastAsia="Arial" w:hAnsi="Arial"/>
                <w:sz w:val="14"/>
                <w:szCs w:val="14"/>
                <w:b w:val="1"/>
                <w:bCs w:val="1"/>
                <w:color w:val="auto"/>
              </w:rPr>
              <w:t>Fair</w:t>
            </w:r>
          </w:p>
        </w:tc>
      </w:tr>
      <w:tr>
        <w:trPr>
          <w:trHeight w:val="276"/>
        </w:trPr>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Basis</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140</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1,439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1,499</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154</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138</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3,495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3,495</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cost basis of fixed maturity securities available for sale includes an adjustment for amortized premium or discount since the date of purchase.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March 31,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817"/>
              <w:spacing w:after="0"/>
              <w:rPr>
                <w:sz w:val="20"/>
                <w:szCs w:val="20"/>
                <w:color w:val="auto"/>
              </w:rPr>
            </w:pPr>
            <w:r>
              <w:rPr>
                <w:rFonts w:ascii="Arial" w:cs="Arial" w:eastAsia="Arial" w:hAnsi="Arial"/>
                <w:sz w:val="14"/>
                <w:szCs w:val="14"/>
                <w:b w:val="1"/>
                <w:bCs w:val="1"/>
                <w:color w:val="auto"/>
                <w:w w:val="96"/>
              </w:rPr>
              <w:t>March 31, 2013</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58"/>
        </w:trPr>
        <w:tc>
          <w:tcPr>
            <w:tcW w:w="5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1420" w:type="dxa"/>
            <w:vAlign w:val="bottom"/>
            <w:gridSpan w:val="2"/>
          </w:tcPr>
          <w:p>
            <w:pPr>
              <w:ind w:left="500"/>
              <w:spacing w:after="0"/>
              <w:rPr>
                <w:sz w:val="20"/>
                <w:szCs w:val="20"/>
                <w:color w:val="auto"/>
              </w:rPr>
            </w:pPr>
            <w:r>
              <w:rPr>
                <w:rFonts w:ascii="Arial" w:cs="Arial" w:eastAsia="Arial" w:hAnsi="Arial"/>
                <w:sz w:val="14"/>
                <w:szCs w:val="14"/>
                <w:b w:val="1"/>
                <w:bCs w:val="1"/>
                <w:color w:val="auto"/>
              </w:rPr>
              <w:t>% of</w:t>
            </w:r>
          </w:p>
        </w:tc>
        <w:tc>
          <w:tcPr>
            <w:tcW w:w="440" w:type="dxa"/>
            <w:vAlign w:val="bottom"/>
          </w:tcPr>
          <w:p>
            <w:pPr>
              <w:spacing w:after="0"/>
              <w:rPr>
                <w:sz w:val="22"/>
                <w:szCs w:val="22"/>
                <w:color w:val="auto"/>
              </w:rPr>
            </w:pPr>
          </w:p>
        </w:tc>
        <w:tc>
          <w:tcPr>
            <w:tcW w:w="9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Fair</w:t>
            </w:r>
          </w:p>
        </w:tc>
        <w:tc>
          <w:tcPr>
            <w:tcW w:w="1340" w:type="dxa"/>
            <w:vAlign w:val="bottom"/>
          </w:tcPr>
          <w:p>
            <w:pPr>
              <w:jc w:val="right"/>
              <w:ind w:right="434"/>
              <w:spacing w:after="0"/>
              <w:rPr>
                <w:sz w:val="20"/>
                <w:szCs w:val="20"/>
                <w:color w:val="auto"/>
              </w:rPr>
            </w:pPr>
            <w:r>
              <w:rPr>
                <w:rFonts w:ascii="Arial" w:cs="Arial" w:eastAsia="Arial" w:hAnsi="Arial"/>
                <w:sz w:val="14"/>
                <w:szCs w:val="14"/>
                <w:b w:val="1"/>
                <w:bCs w:val="1"/>
                <w:color w:val="auto"/>
              </w:rPr>
              <w:t>% of</w:t>
            </w:r>
          </w:p>
        </w:tc>
      </w:tr>
      <w:tr>
        <w:trPr>
          <w:trHeight w:val="276"/>
        </w:trPr>
        <w:tc>
          <w:tcPr>
            <w:tcW w:w="590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42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24"/>
                <w:szCs w:val="24"/>
                <w:color w:val="auto"/>
              </w:rPr>
            </w:pPr>
          </w:p>
        </w:tc>
        <w:tc>
          <w:tcPr>
            <w:tcW w:w="9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Value</w:t>
            </w:r>
          </w:p>
        </w:tc>
        <w:tc>
          <w:tcPr>
            <w:tcW w:w="13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50"/>
        </w:trPr>
        <w:tc>
          <w:tcPr>
            <w:tcW w:w="5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1340" w:type="dxa"/>
            <w:vAlign w:val="bottom"/>
            <w:tcBorders>
              <w:top w:val="single" w:sz="8" w:color="auto"/>
            </w:tcBorders>
          </w:tcPr>
          <w:p>
            <w:pPr>
              <w:spacing w:after="0"/>
              <w:rPr>
                <w:sz w:val="21"/>
                <w:szCs w:val="21"/>
                <w:color w:val="auto"/>
              </w:rPr>
            </w:pPr>
          </w:p>
        </w:tc>
      </w:tr>
      <w:tr>
        <w:trPr>
          <w:trHeight w:val="256"/>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After one year through five years</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21"/>
                <w:szCs w:val="21"/>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21"/>
                <w:szCs w:val="21"/>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58</w:t>
            </w: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29</w:t>
            </w: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After ten years</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1</w:t>
            </w: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w:t>
            </w:r>
          </w:p>
        </w:tc>
      </w:tr>
      <w:tr>
        <w:trPr>
          <w:trHeight w:val="297"/>
        </w:trPr>
        <w:tc>
          <w:tcPr>
            <w:tcW w:w="59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2,980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3,121</w:t>
            </w:r>
          </w:p>
        </w:tc>
        <w:tc>
          <w:tcPr>
            <w:tcW w:w="10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51"/>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Subject to call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1,571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Included above in amounts subject to call are $1,218 million and $1,265 million in amortized cost and fair value, respectively, of fixed maturity securities with make-whole call provisions as of March 31, 2013.</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Equity securities available for sale includes an investment in FIS stock. The fair value of our investment in the FIS stock was $64 million and $56 million at March 31, 2013 and December 31, 2012, respectively.</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Included in our other long-term investments are fixed maturity structured notes purchased in 2009 and various cost-method investments. The structured notes are carried at fair value (see Note C) and changes in the fair value of these structured notes are recorded as realized gains and losses in the Condensed Consolidated Statements of Earnings. The carrying value of the structured notes was $40 million and $41 million as of March 31, 2013 and December 31, 2012, respectively. We recorded a net loss of $1 million related to the structured notes in the three-month period ended March 31, 2013, and recorded a net gain of $1 million in three-month period ended March 31, 2012.</w:t>
      </w:r>
    </w:p>
    <w:p>
      <w:pPr>
        <w:spacing w:after="0" w:line="80" w:lineRule="exact"/>
        <w:rPr>
          <w:sz w:val="20"/>
          <w:szCs w:val="20"/>
          <w:color w:val="auto"/>
        </w:rPr>
      </w:pPr>
    </w:p>
    <w:p>
      <w:pPr>
        <w:jc w:val="both"/>
        <w:ind w:right="20" w:firstLine="274"/>
        <w:spacing w:after="0" w:line="308" w:lineRule="auto"/>
        <w:rPr>
          <w:sz w:val="20"/>
          <w:szCs w:val="20"/>
          <w:color w:val="auto"/>
        </w:rPr>
      </w:pPr>
      <w:r>
        <w:rPr>
          <w:rFonts w:ascii="Arial" w:cs="Arial" w:eastAsia="Arial" w:hAnsi="Arial"/>
          <w:sz w:val="17"/>
          <w:szCs w:val="17"/>
          <w:color w:val="auto"/>
        </w:rPr>
        <w:t>Net unrealized losses on investment securities and the fair value of the related securities, aggregated by investment category and length of time that individual securities have been in a continuous unrealized loss position at March 31, 2013 and December 31, 2012, were as follows (in millions):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60" w:type="dxa"/>
            <w:vAlign w:val="bottom"/>
            <w:tcBorders>
              <w:bottom w:val="single" w:sz="8" w:color="auto"/>
            </w:tcBorders>
            <w:gridSpan w:val="5"/>
          </w:tcPr>
          <w:p>
            <w:pPr>
              <w:jc w:val="right"/>
              <w:ind w:right="497"/>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center"/>
              <w:ind w:left="322"/>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7"/>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center"/>
              <w:ind w:left="322"/>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government bonds</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7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4000" w:type="dxa"/>
            <w:vAlign w:val="bottom"/>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145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December 31, 2012</w:t>
            </w: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2460" w:type="dxa"/>
            <w:vAlign w:val="bottom"/>
            <w:tcBorders>
              <w:bottom w:val="single" w:sz="8" w:color="auto"/>
            </w:tcBorders>
            <w:gridSpan w:val="5"/>
          </w:tcPr>
          <w:p>
            <w:pPr>
              <w:jc w:val="right"/>
              <w:ind w:right="497"/>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center"/>
              <w:ind w:left="322"/>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7"/>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Pr>
          <w:p>
            <w:pPr>
              <w:spacing w:after="0"/>
              <w:rPr>
                <w:sz w:val="24"/>
                <w:szCs w:val="24"/>
                <w:color w:val="auto"/>
              </w:rPr>
            </w:pPr>
          </w:p>
        </w:tc>
        <w:tc>
          <w:tcPr>
            <w:tcW w:w="780" w:type="dxa"/>
            <w:vAlign w:val="bottom"/>
          </w:tcPr>
          <w:p>
            <w:pPr>
              <w:jc w:val="center"/>
              <w:ind w:left="322"/>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24"/>
                <w:szCs w:val="24"/>
                <w:color w:val="auto"/>
              </w:rPr>
            </w:pPr>
          </w:p>
        </w:tc>
        <w:tc>
          <w:tcPr>
            <w:tcW w:w="780" w:type="dxa"/>
            <w:vAlign w:val="bottom"/>
          </w:tcPr>
          <w:p>
            <w:pPr>
              <w:jc w:val="center"/>
              <w:ind w:right="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right="77"/>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127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the three-month period ended March 31, 2013, we recorded impairment charges relating to investments that were determined to be other-than-temporarily impaired, which resulted in additional expense of $1 million. Impairment charges related to fixed maturity securities primarily related to our conclusion that the credit risk of these holdings was high and the ability of the issuer to pay the full amount of the principal outstanding was unlikely. As of March 31, 2013, we held $3 million in fixed maturity securities for which other-than-temporary impairment had been previously recognized. It is possible that future events may lead us to recognize potential future impairment losses related to our investment portfolio and that unanticipated future events may lead us to dispose of certain investment holdings and recognize the effects of any market movements in our condensed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realized gains and losses on investments and other assets and proceeds from the sale or maturity of investments and other assets for the three-month periods ending March 31, 2013 and 2012, respectively: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4"/>
          </w:tcPr>
          <w:p>
            <w:pPr>
              <w:jc w:val="center"/>
              <w:ind w:left="164"/>
              <w:spacing w:after="0"/>
              <w:rPr>
                <w:sz w:val="20"/>
                <w:szCs w:val="20"/>
                <w:color w:val="auto"/>
              </w:rPr>
            </w:pPr>
            <w:r>
              <w:rPr>
                <w:rFonts w:ascii="Arial" w:cs="Arial" w:eastAsia="Arial" w:hAnsi="Arial"/>
                <w:sz w:val="14"/>
                <w:szCs w:val="14"/>
                <w:b w:val="1"/>
                <w:bCs w:val="1"/>
                <w:color w:val="auto"/>
                <w:w w:val="91"/>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ind w:left="144"/>
              <w:spacing w:after="0"/>
              <w:rPr>
                <w:sz w:val="20"/>
                <w:szCs w:val="20"/>
                <w:color w:val="auto"/>
              </w:rPr>
            </w:pPr>
            <w:r>
              <w:rPr>
                <w:rFonts w:ascii="Arial" w:cs="Arial" w:eastAsia="Arial" w:hAnsi="Arial"/>
                <w:sz w:val="14"/>
                <w:szCs w:val="14"/>
                <w:b w:val="1"/>
                <w:bCs w:val="1"/>
                <w:color w:val="auto"/>
                <w:w w:val="96"/>
              </w:rPr>
              <w:t>March 31, 2013</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780" w:type="dxa"/>
            <w:vAlign w:val="bottom"/>
            <w:vMerge w:val="restart"/>
          </w:tcPr>
          <w:p>
            <w:pPr>
              <w:jc w:val="center"/>
              <w:ind w:right="144"/>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line="149" w:lineRule="exact"/>
              <w:rPr>
                <w:sz w:val="20"/>
                <w:szCs w:val="20"/>
                <w:color w:val="auto"/>
              </w:rPr>
            </w:pPr>
            <w:r>
              <w:rPr>
                <w:rFonts w:ascii="Arial" w:cs="Arial" w:eastAsia="Arial" w:hAnsi="Arial"/>
                <w:sz w:val="14"/>
                <w:szCs w:val="14"/>
                <w:b w:val="1"/>
                <w:bCs w:val="1"/>
                <w:color w:val="auto"/>
                <w:w w:val="98"/>
              </w:rPr>
              <w:t>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1"/>
              </w:rPr>
              <w:t>Realized</w:t>
            </w:r>
          </w:p>
        </w:tc>
        <w:tc>
          <w:tcPr>
            <w:tcW w:w="220" w:type="dxa"/>
            <w:vAlign w:val="bottom"/>
          </w:tcPr>
          <w:p>
            <w:pPr>
              <w:spacing w:after="0"/>
              <w:rPr>
                <w:sz w:val="12"/>
                <w:szCs w:val="12"/>
                <w:color w:val="auto"/>
              </w:rPr>
            </w:pPr>
          </w:p>
        </w:tc>
        <w:tc>
          <w:tcPr>
            <w:tcW w:w="78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1"/>
              </w:rPr>
              <w:t>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Gains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76"/>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92"/>
        </w:trPr>
        <w:tc>
          <w:tcPr>
            <w:tcW w:w="7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(Losses)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Sale/Maturity</w:t>
            </w:r>
          </w:p>
        </w:tc>
        <w:tc>
          <w:tcPr>
            <w:tcW w:w="0" w:type="dxa"/>
            <w:vAlign w:val="bottom"/>
          </w:tcPr>
          <w:p>
            <w:pPr>
              <w:spacing w:after="0"/>
              <w:rPr>
                <w:sz w:val="1"/>
                <w:szCs w:val="1"/>
                <w:color w:val="auto"/>
              </w:rPr>
            </w:pPr>
          </w:p>
        </w:tc>
      </w:tr>
      <w:tr>
        <w:trPr>
          <w:trHeight w:val="250"/>
        </w:trPr>
        <w:tc>
          <w:tcPr>
            <w:tcW w:w="7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center"/>
              <w:ind w:left="164"/>
              <w:spacing w:after="0"/>
              <w:rPr>
                <w:sz w:val="20"/>
                <w:szCs w:val="20"/>
                <w:color w:val="auto"/>
              </w:rPr>
            </w:pPr>
            <w:r>
              <w:rPr>
                <w:rFonts w:ascii="Arial" w:cs="Arial" w:eastAsia="Arial" w:hAnsi="Arial"/>
                <w:sz w:val="14"/>
                <w:szCs w:val="14"/>
                <w:b w:val="1"/>
                <w:bCs w:val="1"/>
                <w:color w:val="auto"/>
                <w:w w:val="93"/>
              </w:rPr>
              <w:t>(Dollars in millions)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120" w:type="dxa"/>
            <w:vAlign w:val="bottom"/>
          </w:tcPr>
          <w:p>
            <w:pPr>
              <w:spacing w:after="0"/>
              <w:rPr>
                <w:sz w:val="21"/>
                <w:szCs w:val="21"/>
                <w:color w:val="auto"/>
              </w:rPr>
            </w:pPr>
          </w:p>
        </w:tc>
        <w:tc>
          <w:tcPr>
            <w:tcW w:w="680" w:type="dxa"/>
            <w:vAlign w:val="bottom"/>
          </w:tcPr>
          <w:p>
            <w:pPr>
              <w:jc w:val="right"/>
              <w:ind w:right="42"/>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780" w:type="dxa"/>
            <w:vAlign w:val="bottom"/>
          </w:tcPr>
          <w:p>
            <w:pPr>
              <w:jc w:val="right"/>
              <w:ind w:right="12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gridSpan w:val="4"/>
          </w:tcPr>
          <w:p>
            <w:pPr>
              <w:jc w:val="center"/>
              <w:ind w:left="164"/>
              <w:spacing w:after="0"/>
              <w:rPr>
                <w:sz w:val="20"/>
                <w:szCs w:val="20"/>
                <w:color w:val="auto"/>
              </w:rPr>
            </w:pPr>
            <w:r>
              <w:rPr>
                <w:rFonts w:ascii="Arial" w:cs="Arial" w:eastAsia="Arial" w:hAnsi="Arial"/>
                <w:sz w:val="14"/>
                <w:szCs w:val="14"/>
                <w:b w:val="1"/>
                <w:bCs w:val="1"/>
                <w:color w:val="auto"/>
                <w:w w:val="91"/>
              </w:rPr>
              <w:t>Three months ended</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7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ind w:left="144"/>
              <w:spacing w:after="0"/>
              <w:rPr>
                <w:sz w:val="20"/>
                <w:szCs w:val="20"/>
                <w:color w:val="auto"/>
              </w:rPr>
            </w:pPr>
            <w:r>
              <w:rPr>
                <w:rFonts w:ascii="Arial" w:cs="Arial" w:eastAsia="Arial" w:hAnsi="Arial"/>
                <w:sz w:val="14"/>
                <w:szCs w:val="14"/>
                <w:b w:val="1"/>
                <w:bCs w:val="1"/>
                <w:color w:val="auto"/>
                <w:w w:val="96"/>
              </w:rPr>
              <w:t>March 31, 2012</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78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jc w:val="center"/>
              <w:ind w:left="80"/>
              <w:spacing w:after="0" w:line="153" w:lineRule="exact"/>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center"/>
              <w:ind w:right="76"/>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8"/>
              </w:rPr>
              <w:t>Proceeds</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1"/>
              </w:rPr>
              <w:t>Realized</w:t>
            </w:r>
          </w:p>
        </w:tc>
        <w:tc>
          <w:tcPr>
            <w:tcW w:w="220" w:type="dxa"/>
            <w:vAlign w:val="bottom"/>
          </w:tcPr>
          <w:p>
            <w:pPr>
              <w:spacing w:after="0"/>
              <w:rPr>
                <w:sz w:val="12"/>
                <w:szCs w:val="12"/>
                <w:color w:val="auto"/>
              </w:rPr>
            </w:pPr>
          </w:p>
        </w:tc>
        <w:tc>
          <w:tcPr>
            <w:tcW w:w="7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1"/>
              </w:rPr>
              <w:t>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center"/>
              <w:ind w:left="100"/>
              <w:spacing w:after="0" w:line="149" w:lineRule="exact"/>
              <w:rPr>
                <w:sz w:val="20"/>
                <w:szCs w:val="20"/>
                <w:color w:val="auto"/>
              </w:rPr>
            </w:pPr>
            <w:r>
              <w:rPr>
                <w:rFonts w:ascii="Arial" w:cs="Arial" w:eastAsia="Arial" w:hAnsi="Arial"/>
                <w:sz w:val="14"/>
                <w:szCs w:val="14"/>
                <w:b w:val="1"/>
                <w:bCs w:val="1"/>
                <w:color w:val="auto"/>
                <w:w w:val="92"/>
              </w:rPr>
              <w:t>Gains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7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6"/>
              </w:rPr>
              <w:t>(Losses)</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Sale/Maturity</w:t>
            </w:r>
          </w:p>
        </w:tc>
        <w:tc>
          <w:tcPr>
            <w:tcW w:w="0" w:type="dxa"/>
            <w:vAlign w:val="bottom"/>
          </w:tcPr>
          <w:p>
            <w:pPr>
              <w:spacing w:after="0"/>
              <w:rPr>
                <w:sz w:val="1"/>
                <w:szCs w:val="1"/>
                <w:color w:val="auto"/>
              </w:rPr>
            </w:pPr>
          </w:p>
        </w:tc>
      </w:tr>
      <w:tr>
        <w:trPr>
          <w:trHeight w:val="250"/>
        </w:trPr>
        <w:tc>
          <w:tcPr>
            <w:tcW w:w="7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center"/>
              <w:ind w:left="164"/>
              <w:spacing w:after="0"/>
              <w:rPr>
                <w:sz w:val="20"/>
                <w:szCs w:val="20"/>
                <w:color w:val="auto"/>
              </w:rPr>
            </w:pPr>
            <w:r>
              <w:rPr>
                <w:rFonts w:ascii="Arial" w:cs="Arial" w:eastAsia="Arial" w:hAnsi="Arial"/>
                <w:sz w:val="14"/>
                <w:szCs w:val="14"/>
                <w:b w:val="1"/>
                <w:bCs w:val="1"/>
                <w:color w:val="auto"/>
                <w:w w:val="93"/>
              </w:rPr>
              <w:t>(Dollars in millions)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5"/>
                <w:szCs w:val="15"/>
                <w:color w:val="auto"/>
                <w:w w:val="71"/>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Investments in unconsolidated affiliates are recorded using the equity method of accounting. As of March 31, 2013 and December 31, 2012, investments in unconsolidated affiliates consisted of the following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Current Ownership</w:t>
            </w:r>
          </w:p>
        </w:tc>
        <w:tc>
          <w:tcPr>
            <w:tcW w:w="26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2013</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2012</w:t>
            </w:r>
          </w:p>
        </w:tc>
      </w:tr>
      <w:tr>
        <w:trPr>
          <w:trHeight w:val="250"/>
        </w:trPr>
        <w:tc>
          <w:tcPr>
            <w:tcW w:w="6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Ceridian</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Other</w:t>
            </w:r>
          </w:p>
        </w:tc>
        <w:tc>
          <w:tcPr>
            <w:tcW w:w="1660" w:type="dxa"/>
            <w:vAlign w:val="bottom"/>
            <w:gridSpan w:val="2"/>
          </w:tcPr>
          <w:p>
            <w:pPr>
              <w:ind w:left="820"/>
              <w:spacing w:after="0"/>
              <w:rPr>
                <w:sz w:val="20"/>
                <w:szCs w:val="20"/>
                <w:color w:val="auto"/>
              </w:rPr>
            </w:pPr>
            <w:r>
              <w:rPr>
                <w:rFonts w:ascii="Arial" w:cs="Arial" w:eastAsia="Arial" w:hAnsi="Arial"/>
                <w:sz w:val="18"/>
                <w:szCs w:val="18"/>
                <w:color w:val="auto"/>
              </w:rPr>
              <w:t>Various</w:t>
            </w:r>
          </w:p>
        </w:tc>
        <w:tc>
          <w:tcPr>
            <w:tcW w:w="2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41</w:t>
            </w:r>
          </w:p>
        </w:tc>
      </w:tr>
      <w:tr>
        <w:trPr>
          <w:trHeight w:val="27"/>
        </w:trPr>
        <w:tc>
          <w:tcPr>
            <w:tcW w:w="62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392</w:t>
            </w:r>
          </w:p>
        </w:tc>
      </w:tr>
      <w:tr>
        <w:trPr>
          <w:trHeight w:val="20"/>
        </w:trPr>
        <w:tc>
          <w:tcPr>
            <w:tcW w:w="6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first quarter of 2013, we purchased $24 million in Ceridian bonds which are included in Fixed maturity securities available for sale, and have a fair value of $25 million as of March 31, 2013.</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account for our equity in Ceridian on a three-month lag. Accordingly, our net earnings for the three-month period ended March 31, 2013, includes our equity in Ceridian’s earnings for the three-month period ended December 31, 2012, and our net earnings for the three-month period ended March 31, 2012, includes our equity in Ceridian’s earnings for the three-month period ended December 31, 2011. During the three-month periods ended March 31, 2013 and 2012, we recorded $4 million and $7 million in equity in losses of Ceridian. Equity in earnings of other unconsolidated affiliates was $1 million and $13 million for the three-month periods ended March 31, 2013 and 2012.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Summarized financial information for Ceridian for the relevant dates and time periods included in our Condensed Consolidated Financial Statements is presented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1"/>
              </w:rPr>
              <w:t>December 31, 2012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6"/>
              </w:rPr>
              <w:t>September 30, 2012</w:t>
            </w:r>
          </w:p>
        </w:tc>
      </w:tr>
      <w:tr>
        <w:trPr>
          <w:trHeight w:val="250"/>
        </w:trPr>
        <w:tc>
          <w:tcPr>
            <w:tcW w:w="7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21"/>
                <w:szCs w:val="21"/>
                <w:color w:val="auto"/>
              </w:rPr>
            </w:pPr>
          </w:p>
        </w:tc>
        <w:tc>
          <w:tcPr>
            <w:tcW w:w="1600" w:type="dxa"/>
            <w:vAlign w:val="bottom"/>
          </w:tcPr>
          <w:p>
            <w:pPr>
              <w:jc w:val="right"/>
              <w:ind w:right="45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Goodwill and other intangible assets, net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4,572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4,630</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4,275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4,082</w:t>
            </w: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9,904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9,921</w:t>
            </w:r>
          </w:p>
        </w:tc>
      </w:tr>
      <w:tr>
        <w:trPr>
          <w:trHeight w:val="23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Long-term obligations, less current portion</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3,443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3,445</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4,363</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8,837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8,803</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1,118</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9,904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9,921</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55" w:lineRule="exact"/>
        <w:rPr>
          <w:sz w:val="20"/>
          <w:szCs w:val="20"/>
          <w:color w:val="auto"/>
        </w:rPr>
      </w:pPr>
    </w:p>
    <w:p>
      <w:pPr>
        <w:jc w:val="center"/>
        <w:ind w:left="792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13335</wp:posOffset>
            </wp:positionV>
            <wp:extent cx="2383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26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December 30, 2011</w:t>
      </w:r>
    </w:p>
    <w:p>
      <w:pPr>
        <w:spacing w:after="0" w:line="39" w:lineRule="exact"/>
        <w:rPr>
          <w:sz w:val="20"/>
          <w:szCs w:val="20"/>
          <w:color w:val="auto"/>
        </w:rPr>
      </w:pPr>
    </w:p>
    <w:p>
      <w:pPr>
        <w:sectPr>
          <w:pgSz w:w="11900" w:h="16838" w:orient="portrait"/>
          <w:cols w:equalWidth="0" w:num="2">
            <w:col w:w="9240" w:space="620"/>
            <w:col w:w="15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4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6"/>
                <w:szCs w:val="16"/>
                <w:color w:val="auto"/>
              </w:rPr>
            </w:pPr>
          </w:p>
        </w:tc>
      </w:tr>
      <w:tr>
        <w:trPr>
          <w:trHeight w:val="256"/>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400</w:t>
            </w:r>
          </w:p>
        </w:tc>
        <w:tc>
          <w:tcPr>
            <w:tcW w:w="94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6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9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47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9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78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—Remy Derivative Financial Instruments and Concentration of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risks based and derivative instruments held by Remy.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Remy manufactures and sells products primarily in North America, South America, Asia, Europe and Africa. As a result, financial results could be significantly affected by factors such as changes in foreign currency exchange rates or weak economic conditions in foreign markets in which Remy manufactures and sells products. Remy generally tries to use natural hedges within its foreign currency activities, including the matching of revenues and costs, to minimize foreign currency risk. Where natural hedges are not in place, Remy considers managing certain aspects of its foreign currency activities through the use of foreign exchange contracts. Remy primarily utilizes forward exchange contracts with maturities generally within twenty-four months to hedge against currency rate fluctuations, some of which are designated as hedges. As of March 31, 2013, Remy had the following outstanding foreign currency contracts to hedge forecasted purchases and revenues (in millions):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5"/>
          </w:tcPr>
          <w:p>
            <w:pPr>
              <w:jc w:val="right"/>
              <w:ind w:right="950"/>
              <w:spacing w:after="0"/>
              <w:rPr>
                <w:sz w:val="20"/>
                <w:szCs w:val="20"/>
                <w:color w:val="auto"/>
              </w:rPr>
            </w:pPr>
            <w:r>
              <w:rPr>
                <w:rFonts w:ascii="Arial" w:cs="Arial" w:eastAsia="Arial" w:hAnsi="Arial"/>
                <w:sz w:val="18"/>
                <w:szCs w:val="18"/>
                <w:b w:val="1"/>
                <w:bCs w:val="1"/>
                <w:color w:val="auto"/>
              </w:rPr>
              <w:t>Currency Denomination</w:t>
            </w: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Foreign currency contract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March 31, 2013</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2012</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 Korean Won Forward</w:t>
            </w:r>
          </w:p>
        </w:tc>
        <w:tc>
          <w:tcPr>
            <w:tcW w:w="1600" w:type="dxa"/>
            <w:vAlign w:val="bottom"/>
            <w:tcBorders>
              <w:bottom w:val="single" w:sz="8" w:color="CCEEFF"/>
            </w:tcBorders>
            <w:shd w:val="clear" w:color="auto" w:fill="CCEEFF"/>
          </w:tcPr>
          <w:p>
            <w:pPr>
              <w:jc w:val="right"/>
              <w:ind w:right="13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Mexican Peso Contracts</w:t>
            </w:r>
          </w:p>
        </w:tc>
        <w:tc>
          <w:tcPr>
            <w:tcW w:w="1600" w:type="dxa"/>
            <w:vAlign w:val="bottom"/>
          </w:tcPr>
          <w:p>
            <w:pPr>
              <w:jc w:val="right"/>
              <w:ind w:right="139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Brazilian Real Forward</w:t>
            </w:r>
          </w:p>
        </w:tc>
        <w:tc>
          <w:tcPr>
            <w:tcW w:w="1600" w:type="dxa"/>
            <w:vAlign w:val="bottom"/>
            <w:tcBorders>
              <w:bottom w:val="single" w:sz="8" w:color="CCEEFF"/>
            </w:tcBorders>
            <w:shd w:val="clear" w:color="auto" w:fill="CCEEFF"/>
          </w:tcPr>
          <w:p>
            <w:pPr>
              <w:jc w:val="right"/>
              <w:ind w:right="13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Hungarian Forint Forward</w:t>
            </w:r>
          </w:p>
        </w:tc>
        <w:tc>
          <w:tcPr>
            <w:tcW w:w="1600" w:type="dxa"/>
            <w:vAlign w:val="bottom"/>
          </w:tcPr>
          <w:p>
            <w:pPr>
              <w:jc w:val="right"/>
              <w:ind w:right="139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British Pound Forward</w:t>
            </w:r>
          </w:p>
        </w:tc>
        <w:tc>
          <w:tcPr>
            <w:tcW w:w="1600" w:type="dxa"/>
            <w:vAlign w:val="bottom"/>
            <w:shd w:val="clear" w:color="auto" w:fill="CCEEFF"/>
          </w:tcPr>
          <w:p>
            <w:pPr>
              <w:jc w:val="right"/>
              <w:ind w:right="13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Accumulated unrealized net gains of $3 million were recorded in Accumulated other comprehensive earnings (loss) as of March 31, 2013 and December 31, 2012, related to these instruments. As of March 31, 2013, gains related to these instruments of $3 million are expected to be reclassified to the Condensed Consolidated Statement of Earnings within the next 12 months. Any ineffectiveness during the three months ended March 31, 2013 was immaterial.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2010, Remy entered into an interest rate swap agreement in respect of 50% of the outstanding principal balance of its Term B Loan under which a variable LIBOR rate with a floor of 1.750% was swapped to a fixed rate of 3.345%. The Term B Loan $150 million notional value interest rate swap expires December 31, 2013. This interest rate swap is an undesignated hedge and changes in the fair value are recorded as interest expense in the accompanying Condensed Consolidated Statement of Earnings.</w:t>
      </w:r>
    </w:p>
    <w:p>
      <w:pPr>
        <w:spacing w:after="0" w:line="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March 27, 2013, Remy terminated its undesignated Term B Loan interest rate swap and transferred the value into a new undesignated interest rate swap agreement of $72 million of the outstanding principal loan balance under which Remy will swap a variable LIBOR rate with a floor of 1.25% to a fixed rate of 4.045% with an effective date of December 30, 2016 and expiration date of December 31, 2019. The notional value of this interest rate swap is $72 million. Due to the significant value of the terminated swaps which were transferred into this new swap, this interest rate swap is an undesignated hedge and changes in the fair value are recorded as Interest expense in the accompanying Condensed Consolidated Statements of Earnings.</w:t>
      </w:r>
    </w:p>
    <w:p>
      <w:pPr>
        <w:spacing w:after="0" w:line="5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March 27, 2013, Remy also entered into a designated interest rate swap agreement for $72 million of the outstanding principal balance of their long term debt. Under the terms of the new interest rate swap agreement, Remy will swap a variable LIBOR rate with a floor of 1.25% to a fixed rate of 2.75% with an effective date of December 30, 2016 and expiration date of December 31, 2019. The notional value of this interest rate swap is $72 million. This interest rate swap has been designated as a cash flow hedging instrument. There were no accumulated unrealized net losses recorded in Accumulated other comprehensive income (loss) as of March 31, 2013 or December 31, 2012. As of March 31, 2013, no losses are expected to be reclassified to the Condensed Consolidated Statement of Earnings within the next twelve months. Any ineffectiveness during the three months ended March 31, 2013 was immaterial.</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interest rate swaps reduce Remy's overall 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Remy production processes are dependent upon the supply of certain components whose raw materials are exposed to price fluctuations on the open market. The primary purpose of Remy's commodity price forward contract activity is to manage the volatility associated with forecasted purchases. Remy monitors commodity price risk exposures regularly to maximize the overall</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effectiveness of commodity forward contracts. The principal raw material hedged is copper. Forward contracts are used to mitigate commodity price risk associated with raw materials, generally related to purchases forecast for up to twenty-four months in the future. Additionally, Remy purchases certain commodities during the normal course of business which result in physical delivery and are excluded from hedge accounting.</w:t>
      </w:r>
    </w:p>
    <w:p>
      <w:pPr>
        <w:spacing w:after="0" w:line="2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Remy had thirty-five commodity price hedge contracts outstanding at March 31, 2013, and thirty-six commodity price hedge contracts outstanding at December 31, 2012, with combined notional quantities of 6,805 and 6,566 metric tons of copper, respectively. These contracts mature within the next eighteen months and were designated as cash flow hedging instruments. Accumulated unrealized net losses of $1 million were recorded in Accumulated other comprehensive earnings as of March 31, 2013 related to these contracts. As of March 31, 2013, net losses related to these contracts of $2 million are expected to be reclassified to the accompanying Condensed Consolidated Statement of Earnings within the next 12 months. Hedging ineffectiveness during the three month period ended March 31, 2013 was immaterial.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Remy's derivative positions and any related material collateral under master netting agreements are presented on a net basis.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derivatives designated as cash flow hedges, changes in the time value are excluded from the assessment of hedge effectiveness. Unrealized gains and losses associated with ineffective hedges, determined using the change in fair value method, are recognized in the accompanying Condensed Consolidated Statement of Earnings. Derivative gains and losses included in Accumulated other comprehensive earnings for effective hedges are reclassified into the accompanying Condensed Consolidated Statement of Earnings upon recognition of the hedged transaction.</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Any derivative instrument designated initially, but no longer effective as a hedge, or initially not effective as a hedge, is recorded at fair value and the related gains and losses are recognized in the accompanying Condensed Consolidated Statement of Earnings. Remy's undesignated hedges are primarily Remy's interest rate swaps whose fair value at inception of the instrument due to the rollover of existing interest rate swaps resulted in ineffectiveness. All asset and liability derivatives are included in Prepaid expenses and other assets and Accounts payable and accrued liabilities, respectively, on the Condensed Consolidated Balance Sheets. The following table discloses the fair values of Remy's derivative instruments (in millions):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March 31, 2013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5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2012</w:t>
            </w:r>
          </w:p>
        </w:tc>
      </w:tr>
      <w:tr>
        <w:trPr>
          <w:trHeight w:val="27"/>
        </w:trPr>
        <w:tc>
          <w:tcPr>
            <w:tcW w:w="5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Liability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b w:val="1"/>
                <w:bCs w:val="1"/>
                <w:color w:val="auto"/>
              </w:rPr>
              <w:t>Liability</w:t>
            </w:r>
          </w:p>
        </w:tc>
      </w:tr>
      <w:tr>
        <w:trPr>
          <w:trHeight w:val="234"/>
        </w:trPr>
        <w:tc>
          <w:tcPr>
            <w:tcW w:w="5160" w:type="dxa"/>
            <w:vAlign w:val="bottom"/>
          </w:tcPr>
          <w:p>
            <w:pPr>
              <w:spacing w:after="0"/>
              <w:rPr>
                <w:sz w:val="20"/>
                <w:szCs w:val="20"/>
                <w:color w:val="auto"/>
              </w:rPr>
            </w:pPr>
          </w:p>
        </w:tc>
        <w:tc>
          <w:tcPr>
            <w:tcW w:w="1620" w:type="dxa"/>
            <w:vAlign w:val="bottom"/>
            <w:gridSpan w:val="3"/>
          </w:tcPr>
          <w:p>
            <w:pPr>
              <w:ind w:left="80"/>
              <w:spacing w:after="0"/>
              <w:rPr>
                <w:sz w:val="20"/>
                <w:szCs w:val="20"/>
                <w:color w:val="auto"/>
              </w:rPr>
            </w:pPr>
            <w:r>
              <w:rPr>
                <w:rFonts w:ascii="Arial" w:cs="Arial" w:eastAsia="Arial" w:hAnsi="Arial"/>
                <w:sz w:val="18"/>
                <w:szCs w:val="18"/>
                <w:b w:val="1"/>
                <w:bCs w:val="1"/>
                <w:color w:val="auto"/>
              </w:rPr>
              <w:t>Asset Derivatives</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Derivatives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Asset Derivatives</w:t>
            </w: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Derivatives</w:t>
            </w:r>
          </w:p>
        </w:tc>
      </w:tr>
      <w:tr>
        <w:trPr>
          <w:trHeight w:val="27"/>
        </w:trPr>
        <w:tc>
          <w:tcPr>
            <w:tcW w:w="51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5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311"/>
        </w:trPr>
        <w:tc>
          <w:tcPr>
            <w:tcW w:w="5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5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8"/>
          <w:szCs w:val="18"/>
          <w:color w:val="auto"/>
        </w:rPr>
        <w:t>Gains and losses on Remy's derivative instruments, which are reclassified from Accumulated other comprehensive earnings (OCI) into earnings, are included in Cost of auto parts revenue for commodity and foreign currency contracts, and Interest expense for interest rate swap contracts on the accompanying Condensed Consolidated Statement of Earnings. The following table discloses the effect of Remy's derivative instruments for the three months ended March 31, 2013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Amount of gain (loss)</w:t>
            </w:r>
          </w:p>
        </w:tc>
        <w:tc>
          <w:tcPr>
            <w:tcW w:w="180" w:type="dxa"/>
            <w:vAlign w:val="bottom"/>
          </w:tcPr>
          <w:p>
            <w:pPr>
              <w:spacing w:after="0"/>
              <w:rPr>
                <w:sz w:val="14"/>
                <w:szCs w:val="14"/>
                <w:color w:val="auto"/>
              </w:rPr>
            </w:pPr>
          </w:p>
        </w:tc>
        <w:tc>
          <w:tcPr>
            <w:tcW w:w="18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Amount of gain (loss)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Amount of gain (loss)</w:t>
            </w: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reclassified from OCI</w:t>
            </w:r>
          </w:p>
        </w:tc>
        <w:tc>
          <w:tcPr>
            <w:tcW w:w="180" w:type="dxa"/>
            <w:vAlign w:val="bottom"/>
          </w:tcPr>
          <w:p>
            <w:pPr>
              <w:spacing w:after="0"/>
              <w:rPr>
                <w:sz w:val="12"/>
                <w:szCs w:val="12"/>
                <w:color w:val="auto"/>
              </w:rPr>
            </w:pPr>
          </w:p>
        </w:tc>
        <w:tc>
          <w:tcPr>
            <w:tcW w:w="18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(ineffective portion and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 of gain (loss)</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recognized in OCI</w:t>
            </w: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into income (effective</w:t>
            </w:r>
          </w:p>
        </w:tc>
        <w:tc>
          <w:tcPr>
            <w:tcW w:w="180" w:type="dxa"/>
            <w:vAlign w:val="bottom"/>
          </w:tcPr>
          <w:p>
            <w:pPr>
              <w:spacing w:after="0"/>
              <w:rPr>
                <w:sz w:val="12"/>
                <w:szCs w:val="12"/>
                <w:color w:val="auto"/>
              </w:rPr>
            </w:pPr>
          </w:p>
        </w:tc>
        <w:tc>
          <w:tcPr>
            <w:tcW w:w="18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amount excluded from</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(effective portion)</w:t>
            </w:r>
          </w:p>
        </w:tc>
        <w:tc>
          <w:tcPr>
            <w:tcW w:w="120" w:type="dxa"/>
            <w:vAlign w:val="bottom"/>
          </w:tcPr>
          <w:p>
            <w:pPr>
              <w:spacing w:after="0"/>
              <w:rPr>
                <w:sz w:val="16"/>
                <w:szCs w:val="16"/>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portion</w:t>
            </w:r>
          </w:p>
        </w:tc>
        <w:tc>
          <w:tcPr>
            <w:tcW w:w="180" w:type="dxa"/>
            <w:vAlign w:val="bottom"/>
          </w:tcPr>
          <w:p>
            <w:pPr>
              <w:spacing w:after="0"/>
              <w:rPr>
                <w:sz w:val="16"/>
                <w:szCs w:val="16"/>
                <w:color w:val="auto"/>
              </w:rPr>
            </w:pPr>
          </w:p>
        </w:tc>
        <w:tc>
          <w:tcPr>
            <w:tcW w:w="18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effectiveness testing)</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recognized in income</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Derivatives designated as cash flow hedging instruments: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360" w:type="dxa"/>
            <w:vAlign w:val="bottom"/>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4360" w:type="dxa"/>
            <w:vAlign w:val="bottom"/>
          </w:tcPr>
          <w:p>
            <w:pPr>
              <w:spacing w:after="0"/>
              <w:rPr>
                <w:sz w:val="20"/>
                <w:szCs w:val="20"/>
                <w:color w:val="auto"/>
              </w:rPr>
            </w:pPr>
            <w:r>
              <w:rPr>
                <w:rFonts w:ascii="Arial" w:cs="Arial" w:eastAsia="Arial" w:hAnsi="Arial"/>
                <w:sz w:val="18"/>
                <w:szCs w:val="18"/>
                <w:b w:val="1"/>
                <w:bCs w:val="1"/>
                <w:color w:val="auto"/>
              </w:rPr>
              <w:t>Note F —Notes Payable</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60" w:type="dxa"/>
            <w:vAlign w:val="bottom"/>
          </w:tcPr>
          <w:p>
            <w:pPr>
              <w:ind w:left="280"/>
              <w:spacing w:after="0"/>
              <w:rPr>
                <w:sz w:val="20"/>
                <w:szCs w:val="20"/>
                <w:color w:val="auto"/>
              </w:rPr>
            </w:pPr>
            <w:r>
              <w:rPr>
                <w:rFonts w:ascii="Arial" w:cs="Arial" w:eastAsia="Arial" w:hAnsi="Arial"/>
                <w:sz w:val="18"/>
                <w:szCs w:val="18"/>
                <w:color w:val="auto"/>
              </w:rPr>
              <w:t>Notes payable consists of the following:</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ind w:left="34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6"/>
          </w:tcPr>
          <w:p>
            <w:pPr>
              <w:ind w:left="84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70"/>
        </w:trPr>
        <w:tc>
          <w:tcPr>
            <w:tcW w:w="7780" w:type="dxa"/>
            <w:vAlign w:val="bottom"/>
            <w:gridSpan w:val="7"/>
          </w:tcPr>
          <w:p>
            <w:pPr>
              <w:ind w:left="40"/>
              <w:spacing w:after="0"/>
              <w:rPr>
                <w:sz w:val="20"/>
                <w:szCs w:val="20"/>
                <w:color w:val="auto"/>
              </w:rPr>
            </w:pPr>
            <w:r>
              <w:rPr>
                <w:rFonts w:ascii="Arial" w:cs="Arial" w:eastAsia="Arial" w:hAnsi="Arial"/>
                <w:sz w:val="18"/>
                <w:szCs w:val="18"/>
                <w:color w:val="auto"/>
              </w:rPr>
              <w:t>Unsecured notes, net of discount, interest payable semi-annually at 5.50%, due September 2022</w:t>
            </w:r>
          </w:p>
        </w:tc>
        <w:tc>
          <w:tcPr>
            <w:tcW w:w="180" w:type="dxa"/>
            <w:vAlign w:val="bottom"/>
          </w:tcPr>
          <w:p>
            <w:pPr>
              <w:spacing w:after="0"/>
              <w:rPr>
                <w:sz w:val="23"/>
                <w:szCs w:val="23"/>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7"/>
        </w:trPr>
        <w:tc>
          <w:tcPr>
            <w:tcW w:w="7780" w:type="dxa"/>
            <w:vAlign w:val="bottom"/>
            <w:gridSpan w:val="7"/>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w w:val="92"/>
              </w:rPr>
              <w:t>Unsecured convertible notes, net of discount, interest payable semi-annually at 4.25%, due August 2018</w:t>
            </w: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7780" w:type="dxa"/>
            <w:vAlign w:val="bottom"/>
            <w:gridSpan w:val="7"/>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8360" w:type="dxa"/>
            <w:vAlign w:val="bottom"/>
            <w:gridSpan w:val="9"/>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10"/>
            <w:shd w:val="clear" w:color="auto" w:fill="CCEEFF"/>
          </w:tcPr>
          <w:p>
            <w:pPr>
              <w:ind w:left="40"/>
              <w:spacing w:after="0"/>
              <w:rPr>
                <w:sz w:val="20"/>
                <w:szCs w:val="20"/>
                <w:color w:val="auto"/>
              </w:rPr>
            </w:pPr>
            <w:r>
              <w:rPr>
                <w:rFonts w:ascii="Arial" w:cs="Arial" w:eastAsia="Arial" w:hAnsi="Arial"/>
                <w:sz w:val="18"/>
                <w:szCs w:val="18"/>
                <w:color w:val="auto"/>
                <w:w w:val="99"/>
              </w:rPr>
              <w:t>Revolving Credit Facility, unsecured, unused portion of $800 at March 31, 2013, due April 2016 with interest</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monthly at LIBOR + 1.45%</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gridSpan w:val="7"/>
          </w:tcPr>
          <w:p>
            <w:pPr>
              <w:ind w:left="40"/>
              <w:spacing w:after="0"/>
              <w:rPr>
                <w:sz w:val="20"/>
                <w:szCs w:val="20"/>
                <w:color w:val="auto"/>
              </w:rPr>
            </w:pPr>
            <w:r>
              <w:rPr>
                <w:rFonts w:ascii="Arial" w:cs="Arial" w:eastAsia="Arial" w:hAnsi="Arial"/>
                <w:sz w:val="18"/>
                <w:szCs w:val="18"/>
                <w:color w:val="auto"/>
                <w:w w:val="94"/>
              </w:rPr>
              <w:t>Remy Term B Loan, interest payable quarterly at LIBOR (floor of 1.75%) + 4.50%, due December 2016</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8360" w:type="dxa"/>
            <w:vAlign w:val="bottom"/>
            <w:gridSpan w:val="9"/>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10"/>
            <w:shd w:val="clear" w:color="auto" w:fill="CCEEFF"/>
          </w:tcPr>
          <w:p>
            <w:pPr>
              <w:ind w:left="40"/>
              <w:spacing w:after="0"/>
              <w:rPr>
                <w:sz w:val="20"/>
                <w:szCs w:val="20"/>
                <w:color w:val="auto"/>
              </w:rPr>
            </w:pPr>
            <w:r>
              <w:rPr>
                <w:rFonts w:ascii="Arial" w:cs="Arial" w:eastAsia="Arial" w:hAnsi="Arial"/>
                <w:sz w:val="18"/>
                <w:szCs w:val="18"/>
                <w:color w:val="auto"/>
              </w:rPr>
              <w:t>Remy Amended and Restated Term B Loan, interest payable quarterly at LIBOR (floor of 1.25%) + 3.00%</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(4.25% at March 31, 2013), due March 2020</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580" w:type="dxa"/>
            <w:vAlign w:val="bottom"/>
            <w:gridSpan w:val="10"/>
          </w:tcPr>
          <w:p>
            <w:pPr>
              <w:ind w:left="40"/>
              <w:spacing w:after="0"/>
              <w:rPr>
                <w:sz w:val="20"/>
                <w:szCs w:val="20"/>
                <w:color w:val="auto"/>
              </w:rPr>
            </w:pPr>
            <w:r>
              <w:rPr>
                <w:rFonts w:ascii="Arial" w:cs="Arial" w:eastAsia="Arial" w:hAnsi="Arial"/>
                <w:sz w:val="18"/>
                <w:szCs w:val="18"/>
                <w:color w:val="auto"/>
                <w:w w:val="99"/>
              </w:rPr>
              <w:t>Remy Revolving Credit Facility, unused portion of $86 at March 31, 2013 due September 2018 with interest</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7"/>
          </w:tcPr>
          <w:p>
            <w:pPr>
              <w:ind w:left="40"/>
              <w:spacing w:after="0"/>
              <w:rPr>
                <w:sz w:val="20"/>
                <w:szCs w:val="20"/>
                <w:color w:val="auto"/>
              </w:rPr>
            </w:pPr>
            <w:r>
              <w:rPr>
                <w:rFonts w:ascii="Arial" w:cs="Arial" w:eastAsia="Arial" w:hAnsi="Arial"/>
                <w:sz w:val="18"/>
                <w:szCs w:val="18"/>
                <w:color w:val="auto"/>
              </w:rPr>
              <w:t>payable monthly at base rate 3.25% + base rate margin .50% (3.75% at March 31, 2013)</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gridSpan w:val="9"/>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10"/>
            <w:shd w:val="clear" w:color="auto" w:fill="CCEEFF"/>
          </w:tcPr>
          <w:p>
            <w:pPr>
              <w:ind w:left="40"/>
              <w:spacing w:after="0"/>
              <w:rPr>
                <w:sz w:val="20"/>
                <w:szCs w:val="20"/>
                <w:color w:val="auto"/>
              </w:rPr>
            </w:pPr>
            <w:r>
              <w:rPr>
                <w:rFonts w:ascii="Arial" w:cs="Arial" w:eastAsia="Arial" w:hAnsi="Arial"/>
                <w:sz w:val="18"/>
                <w:szCs w:val="18"/>
                <w:color w:val="auto"/>
                <w:w w:val="95"/>
              </w:rPr>
              <w:t>Restaurant Group Term Loan, interest payable monthly at LIBOR + 3.50% (3.70% at March 31, 2013), due May</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8580" w:type="dxa"/>
            <w:vAlign w:val="bottom"/>
            <w:gridSpan w:val="10"/>
          </w:tcPr>
          <w:p>
            <w:pPr>
              <w:ind w:left="40"/>
              <w:spacing w:after="0"/>
              <w:rPr>
                <w:sz w:val="20"/>
                <w:szCs w:val="20"/>
                <w:color w:val="auto"/>
              </w:rPr>
            </w:pPr>
            <w:r>
              <w:rPr>
                <w:rFonts w:ascii="Arial" w:cs="Arial" w:eastAsia="Arial" w:hAnsi="Arial"/>
                <w:sz w:val="18"/>
                <w:szCs w:val="18"/>
                <w:color w:val="auto"/>
              </w:rPr>
              <w:t>Restaurant Group Revolving Credit Facility, unused portion of $60 at March 31, 2013 due May 2017 with</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7"/>
          </w:tcPr>
          <w:p>
            <w:pPr>
              <w:ind w:left="40"/>
              <w:spacing w:after="0"/>
              <w:rPr>
                <w:sz w:val="20"/>
                <w:szCs w:val="20"/>
                <w:color w:val="auto"/>
              </w:rPr>
            </w:pPr>
            <w:r>
              <w:rPr>
                <w:rFonts w:ascii="Arial" w:cs="Arial" w:eastAsia="Arial" w:hAnsi="Arial"/>
                <w:sz w:val="18"/>
                <w:szCs w:val="18"/>
                <w:color w:val="auto"/>
                <w:w w:val="98"/>
              </w:rPr>
              <w:t>interest payable monthly at base rate 3.25% + base rate margin 2.50% (5.75% at March 31, 2013)</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1,354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At March 31, 2013, the estimated fair value of our long-term debt was approximately $1,547 million or $193 million higher than its carrying value. The fair value of our long-term debt at December 31, 2012 was approximately $1,504 million or $160 million higher than its estimated carrying value. The fair value of our unsecured notes payable was $1,174 million as of March 31, 2013. The fair values of our unsecured notes payable are based on established market prices for the securities on March 31, 2013 and are considered Level 2 financial liabilities. The fair value of our Remy Term Loan was $269 million, based on established market prices for the securities on March 31, 2013 and is considered a Level 2 financial liability. The fair value of our Restaurant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Group Term Loan was $71 million, based on established market prices for the securities on March 31, 2013 and is considered a Level 2 financial liability.</w:t>
      </w:r>
    </w:p>
    <w:p>
      <w:pPr>
        <w:spacing w:after="0" w:line="16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March 5, 2013, Remy entered into a First Amendment to its existing five year Asset-Based Revolving Credit Facility (the "Remy Credit Facility" and "Remy Credit Facility First Amendment") to extend the maturity date of the Remy Credit Facility from December 17, 2015 to September 5, 2018 and reduce the interest rate. The Remy Credit Facility now bears interest at a defined Base Rate plus0.50%-1.00% per year or, at Remy's election, at an applicable LIBOR Rate plus 1.50%-2.00% per year and is paid monthly. The Remy Credit Facility First Amendment maintains the current maximum availability at $95 million, which may be increased, under certain circumstances, by $20 million, though the actual amount that may be borrowed is based on the amount of collateral. The Remy Credit Facility is secured by substantially all domestic accounts receivable and inventory held by Remy. Remy will incur an unused commitment fee of 0.375% on the unused amount of commitments under the Remy Credit Facility First Amendment. At March 31, 2013, the Remy Credit Facility balance was zero. Based upon the collateral supporting the Remy Credit Facility, the amount borrowed, and the outstanding letters of credit of $3 million, there was additional availability for borrowing of $86 million on March 31, 2013. The Remy Credit Facility contains various restrictive covenants, which include, among other things: (i) a maximum leverage ratio, decreasing over the term of the facility; (ii) a minimum interest coverage ratio, increasing over the term of the facility; (iii) limitations on capital expenditures; (iv) mandatory prepayments upon certain asset sales and debt issuances; (v) requirements for minimum liquidity; and (vi) limitations on the payment of dividends in excess of a specified amount.</w:t>
      </w:r>
    </w:p>
    <w:p>
      <w:pPr>
        <w:spacing w:after="0" w:line="6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March 5, 2013, Remy entered into a $300 million Amended and Restated Term B Loan Credit Agreement ("Term B Amendment") to refinance the existing $287 million Term B Loan, extend the maturity from December 17, 2016 to March 5, 2020, and reduce the interest rate. The Term B Loan now bears interest at LIBOR (subject to a floor of 1.25%) plus 3% per year, with an original issue discount of approximately $1 million. The Term B Amendment also contains an option to increase the borrowing provided certain conditions are satisfied, including maintaining a maximum leverage ratio. The Term B Loan is secured by a first priority lien on the stock of Remy's subsidiaries and substantially all domestic assets other than accounts receivable and inventory pledged to the Remy Credit Facility. Principal payments in the amount of approximately $1 million are due at the end of each calendar quarter with termination and final payment no later than March 5, 2020. The Term B Loan also includes covenants and events of default customary for a facility of this type, including a cross-default provision under which the lenders may declare the loan in default if we (i) fail to make a payment when due under any debt having a principal amount greater than $5 million or (ii) breach any other covenant in any such debt as a result of which the holders of such debt are permitted to accelerate its maturity. Remy is in compliance with all covenants as of March 31, 2013. The Term B Loan is subject to an excess cash calculation which may require the payment of additional principal on an annual basis. At March 31, 2013, the average borrowing rate, including the impact of the interest rate swaps, was 4.25%.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ind w:left="300"/>
              <w:spacing w:after="0"/>
              <w:rPr>
                <w:sz w:val="20"/>
                <w:szCs w:val="20"/>
                <w:color w:val="auto"/>
              </w:rPr>
            </w:pPr>
            <w:r>
              <w:rPr>
                <w:rFonts w:ascii="Arial" w:cs="Arial" w:eastAsia="Arial" w:hAnsi="Arial"/>
                <w:sz w:val="18"/>
                <w:szCs w:val="18"/>
                <w:color w:val="auto"/>
              </w:rPr>
              <w:t>Principal maturities of notes payable at March 31, 2013 are as follows (in millions):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10060" w:type="dxa"/>
            <w:vAlign w:val="bottom"/>
          </w:tcPr>
          <w:p>
            <w:pPr>
              <w:ind w:left="40"/>
              <w:spacing w:after="0"/>
              <w:rPr>
                <w:sz w:val="20"/>
                <w:szCs w:val="20"/>
                <w:color w:val="auto"/>
              </w:rPr>
            </w:pPr>
            <w:r>
              <w:rPr>
                <w:rFonts w:ascii="Arial" w:cs="Arial" w:eastAsia="Arial" w:hAnsi="Arial"/>
                <w:sz w:val="18"/>
                <w:szCs w:val="18"/>
                <w:color w:val="auto"/>
              </w:rPr>
              <w:t>2013</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2015</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340</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w:t>
            </w:r>
          </w:p>
        </w:tc>
      </w:tr>
      <w:tr>
        <w:trPr>
          <w:trHeight w:val="237"/>
        </w:trPr>
        <w:tc>
          <w:tcPr>
            <w:tcW w:w="1006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1,373</w:t>
            </w:r>
          </w:p>
        </w:tc>
      </w:tr>
      <w:tr>
        <w:trPr>
          <w:trHeight w:val="27"/>
        </w:trPr>
        <w:tc>
          <w:tcPr>
            <w:tcW w:w="100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Contingencies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ordinary course of business, we are involved in various pending and threatened litigation matters related to our title operations, some of which include claims for punitive or exemplary damages. This customary litigation includes but is not limited to a wide variety of cases arising out of or related to title and escrow claims, for which we make provisions through our loss reserves. Additionally, like other insurance companies, our ordinary course litigation includes a number of class action and purported class action lawsuits, which make allegations related to aspects of our insurance operations. We believe that no actions depart from customary litigation incidental to our insurance business.</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Remy is a defendant from time to time in various legal proceedings arising in the ordinary course of business, including claims relating to commercial transactions, product liability, safety, health, taxes, environmental, intellectual property and other matters.</w:t>
      </w:r>
    </w:p>
    <w:p>
      <w:pPr>
        <w:spacing w:after="0" w:line="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injury caused by an intoxicated person who was wrongfully served alcoholic beverages at one of the restaurants and claims from guests or employees alleging illness, injury or other food quality, health or operational concerns.</w:t>
      </w:r>
    </w:p>
    <w:p>
      <w:pPr>
        <w:spacing w:after="0" w:line="3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None of the amounts we have currently recorded are considered to be individually or in the aggregate material to our financial condition. Actual losses may materially differ from the amounts recorded and the ultimate outcome of our pending cases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 results of operations or cash flows.</w:t>
      </w:r>
    </w:p>
    <w:p>
      <w:pPr>
        <w:spacing w:after="0" w:line="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Dividends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April 24, 2013, our Board of Directors declared cash dividends of $0.16 per share, payable on June 28, 2013, to shareholders of record as of June 14,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Segment Information</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Summarized financial information concerning our reportable segments is presented in the following tables. As a result of combining O'Charley's with our investment in ABRH, which increased our ownership of ABRH to 55%, we have consolidated the operations of ABRH, including the O'Charley's group of companies, and added the restaurant group reporting segment. Restaurant group results include the results of operations of O'Charley's beginning April 9, 2012, ABRH beginning May 11, 2012, and J. Alexanders beginning September 26, 2012 . As a result of our increase in ownership of Remy to 51%, we have consolidated the operations of Remy and added the Remy reporting segment. Remy results include the results of operations of Remy beginning August 14, 2012. Prior period segment information has been restated to conform to the current segment presentation.</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March 31,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Fidelity</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0"/>
        </w:trPr>
        <w:tc>
          <w:tcPr>
            <w:tcW w:w="5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National</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Restaurant</w:t>
            </w:r>
          </w:p>
        </w:tc>
        <w:tc>
          <w:tcPr>
            <w:tcW w:w="180" w:type="dxa"/>
            <w:vAlign w:val="bottom"/>
          </w:tcPr>
          <w:p>
            <w:pPr>
              <w:spacing w:after="0"/>
              <w:rPr>
                <w:sz w:val="23"/>
                <w:szCs w:val="23"/>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03"/>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Title Group</w:t>
            </w:r>
          </w:p>
        </w:tc>
        <w:tc>
          <w:tcPr>
            <w:tcW w:w="24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Remy</w:t>
            </w:r>
          </w:p>
        </w:tc>
        <w:tc>
          <w:tcPr>
            <w:tcW w:w="200" w:type="dxa"/>
            <w:vAlign w:val="bottom"/>
          </w:tcPr>
          <w:p>
            <w:pPr>
              <w:spacing w:after="0"/>
              <w:rPr>
                <w:sz w:val="17"/>
                <w:szCs w:val="17"/>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Group</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300" w:type="dxa"/>
            <w:vAlign w:val="bottom"/>
          </w:tcPr>
          <w:p>
            <w:pPr>
              <w:spacing w:after="0"/>
              <w:rPr>
                <w:sz w:val="17"/>
                <w:szCs w:val="17"/>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80"/>
        </w:trPr>
        <w:tc>
          <w:tcPr>
            <w:tcW w:w="50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184"/>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5"/>
        </w:trPr>
        <w:tc>
          <w:tcPr>
            <w:tcW w:w="5040" w:type="dxa"/>
            <w:vAlign w:val="bottom"/>
          </w:tcPr>
          <w:p>
            <w:pPr>
              <w:ind w:left="40"/>
              <w:spacing w:after="0"/>
              <w:rPr>
                <w:sz w:val="20"/>
                <w:szCs w:val="20"/>
                <w:color w:val="auto"/>
              </w:rPr>
            </w:pPr>
            <w:r>
              <w:rPr>
                <w:rFonts w:ascii="Arial" w:cs="Arial" w:eastAsia="Arial" w:hAnsi="Arial"/>
                <w:sz w:val="18"/>
                <w:szCs w:val="18"/>
                <w:color w:val="auto"/>
              </w:rPr>
              <w:t>Title premiums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938</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Auto parts revenues</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284</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Restaurant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2,021</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Interest and investment income, including net realized gains and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2,050</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 before income taxes and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 before equity in earnings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of 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6,831</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9,682</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1,449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1,883</w:t>
            </w:r>
          </w:p>
        </w:tc>
      </w:tr>
      <w:tr>
        <w:trPr>
          <w:trHeight w:val="27"/>
        </w:trPr>
        <w:tc>
          <w:tcPr>
            <w:tcW w:w="50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March 31,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Fidelity</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0"/>
        </w:trPr>
        <w:tc>
          <w:tcPr>
            <w:tcW w:w="5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National</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Restaurant</w:t>
            </w:r>
          </w:p>
        </w:tc>
        <w:tc>
          <w:tcPr>
            <w:tcW w:w="180" w:type="dxa"/>
            <w:vAlign w:val="bottom"/>
          </w:tcPr>
          <w:p>
            <w:pPr>
              <w:spacing w:after="0"/>
              <w:rPr>
                <w:sz w:val="23"/>
                <w:szCs w:val="23"/>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03"/>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Title Group</w:t>
            </w:r>
          </w:p>
        </w:tc>
        <w:tc>
          <w:tcPr>
            <w:tcW w:w="24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Remy</w:t>
            </w:r>
          </w:p>
        </w:tc>
        <w:tc>
          <w:tcPr>
            <w:tcW w:w="200" w:type="dxa"/>
            <w:vAlign w:val="bottom"/>
          </w:tcPr>
          <w:p>
            <w:pPr>
              <w:spacing w:after="0"/>
              <w:rPr>
                <w:sz w:val="17"/>
                <w:szCs w:val="17"/>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Group</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300" w:type="dxa"/>
            <w:vAlign w:val="bottom"/>
          </w:tcPr>
          <w:p>
            <w:pPr>
              <w:spacing w:after="0"/>
              <w:rPr>
                <w:sz w:val="17"/>
                <w:szCs w:val="17"/>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80"/>
        </w:trPr>
        <w:tc>
          <w:tcPr>
            <w:tcW w:w="50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184"/>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5"/>
        </w:trPr>
        <w:tc>
          <w:tcPr>
            <w:tcW w:w="5040" w:type="dxa"/>
            <w:vAlign w:val="bottom"/>
          </w:tcPr>
          <w:p>
            <w:pPr>
              <w:ind w:left="40"/>
              <w:spacing w:after="0"/>
              <w:rPr>
                <w:sz w:val="20"/>
                <w:szCs w:val="20"/>
                <w:color w:val="auto"/>
              </w:rPr>
            </w:pPr>
            <w:r>
              <w:rPr>
                <w:rFonts w:ascii="Arial" w:cs="Arial" w:eastAsia="Arial" w:hAnsi="Arial"/>
                <w:sz w:val="18"/>
                <w:szCs w:val="18"/>
                <w:color w:val="auto"/>
              </w:rPr>
              <w:t>Title premiums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768</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1,150</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Interest and investment income, including realized gains and losses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1,190</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 before income taxes and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 before equity in earnings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of 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6,498</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8,002</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w:t>
            </w: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w w:val="94"/>
              </w:rPr>
              <w:t>The activities of the reportable segments include the following:</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Fidelity National Title Group</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segment consists of the operations of our title insurance underwriters and related businesses. This segment provides core title insurance and escrow and other title related services including collection and trust activities, trustee’s sales guarantees, recordings and reconveyances, and home warranty insurance.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Remy</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segment consists of the operations of Remy, a publicly traded company on the NASDAQ stock exchange, in which we have a 51% ownership interest. Remy is a leading designer, manufacturer, remanufacturer, marketer and distributor of aftermarket and original equipment electrical components for automobiles, light trucks, heavy-duty trucks and other vehicles.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Restaurant Group</w:t>
      </w:r>
    </w:p>
    <w:p>
      <w:pPr>
        <w:spacing w:after="0" w:line="9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Restaurant Group segment consists of the operations of ABRH, in which we have a 55% ownership interest and the operations of J. Alexander's in which we have an 87% ownership interest. ABRH is the owner and operator of the O'Charley's, Ninety Nine Restaurants, Max &amp; Erma's, Village Inn, and Bakers Square concepts. J. Alexander's is the owner and operator of the J. Alexander's and Stoney River Legendary Steaks concepts.</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corporate and other segment consists of the operations of the parent holding company, certain other unallocated corporate overhead expenses, other smaller operations, and our share in the operations of certain equity investments, including Ceridian.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statements contained in this Quarterly Report on Form 10-Q that are not purely historical are forward-looking statements within the meaning of Section 27A of the Securities Act of 1933 and Section 21E of the Securities Exchange Act of 1934,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continued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integrating acquisitions; our dependence on distributions from our title insurance underwriters as our main source of cash flow; significant competition that our operating subsidiaries face; compliance with extensive government regulation of our operating subsidiaries and adverse changes in applicable laws or regulations or in their application by regulators; and other risks detailed in the “Statement Regarding Forward-Looking Information,” “Risk Factors” and other sections of the Company’s Form 10-K and other filings with the Securities and Exchange Commission.</w:t>
      </w:r>
    </w:p>
    <w:p>
      <w:pPr>
        <w:spacing w:after="0" w:line="72" w:lineRule="exact"/>
        <w:rPr>
          <w:sz w:val="20"/>
          <w:szCs w:val="20"/>
          <w:color w:val="auto"/>
        </w:rPr>
      </w:pPr>
    </w:p>
    <w:p>
      <w:pPr>
        <w:ind w:right="1400" w:firstLine="324"/>
        <w:spacing w:after="0" w:line="375" w:lineRule="auto"/>
        <w:rPr>
          <w:sz w:val="20"/>
          <w:szCs w:val="20"/>
          <w:color w:val="auto"/>
        </w:rPr>
      </w:pPr>
      <w:r>
        <w:rPr>
          <w:rFonts w:ascii="Arial" w:cs="Arial" w:eastAsia="Arial" w:hAnsi="Arial"/>
          <w:sz w:val="18"/>
          <w:szCs w:val="18"/>
          <w:color w:val="auto"/>
        </w:rPr>
        <w:t xml:space="preserve">The following discussion should be read in conjunction with our Annual Report on Form 10-K for the year ended December 31, 2012. </w:t>
      </w:r>
      <w:r>
        <w:rPr>
          <w:rFonts w:ascii="Arial" w:cs="Arial" w:eastAsia="Arial" w:hAnsi="Arial"/>
          <w:sz w:val="18"/>
          <w:szCs w:val="18"/>
          <w:b w:val="1"/>
          <w:bCs w:val="1"/>
          <w:color w:val="auto"/>
        </w:rPr>
        <w:t>Overview</w:t>
      </w:r>
    </w:p>
    <w:p>
      <w:pPr>
        <w:spacing w:after="0" w:line="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a leading provider of title insurance, mortgage services and other diversified services. FNF is the nation's largest title insurance company through its title insurance underwriters - Fidelity National Title, Chicago Title, Commonwealth Land Title and Alamo Title - that collectively issue more title insurance policies than any other title company in the United States. We also hold a 55% ownership interest in American Blue Ribbon Holdings, LLC ("ABRH"), the owner and operator of the O'Charley's, Ninety Nine Restaurants, Max &amp; Erma's, Village Inn and Bakers Square restaurant concepts, and an 87% ownership interest in J. Alexander's Holdings, LLC ("J. Alexander's"), an upscale dining restaurant owner and operator of the J. Alexander's and Stoney River Legendary Steaks ("Stoney River") concepts. In addition, we hold a 51% ownership interest in Remy International, Inc. ("Remy"), a leading designer, manufacturer, remanufacturer, marketer and distributor of aftermarket and original equipment electrical components for automobiles, light trucks, heavy-duty trucks and other vehicles. FNF also owns a minority interest in Ceridian Corporation ("Ceridian"), a leading provider of global human capital management and payment solutions.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have four reporting segments as follows:</w:t>
      </w:r>
    </w:p>
    <w:p>
      <w:pPr>
        <w:spacing w:after="0" w:line="171" w:lineRule="exact"/>
        <w:rPr>
          <w:sz w:val="20"/>
          <w:szCs w:val="20"/>
          <w:color w:val="auto"/>
        </w:rPr>
      </w:pPr>
    </w:p>
    <w:p>
      <w:pPr>
        <w:jc w:val="both"/>
        <w:ind w:left="660" w:hanging="409"/>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Fidelity National Title Group. </w:t>
      </w:r>
      <w:r>
        <w:rPr>
          <w:rFonts w:ascii="Arial" w:cs="Arial" w:eastAsia="Arial" w:hAnsi="Arial"/>
          <w:sz w:val="18"/>
          <w:szCs w:val="18"/>
          <w:color w:val="auto"/>
        </w:rPr>
        <w:t>This segment consists of the operations of our title insurance underwriters and related businesses. This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core title insurance and escrow and other title related services including collection and trust activities, trustee’s sales guarantees, recordings and reconveyances, and home warranty insurance.</w:t>
      </w:r>
    </w:p>
    <w:p>
      <w:pPr>
        <w:spacing w:after="0" w:line="127"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Remy. </w:t>
      </w:r>
      <w:r>
        <w:rPr>
          <w:rFonts w:ascii="Arial" w:cs="Arial" w:eastAsia="Arial" w:hAnsi="Arial"/>
          <w:sz w:val="18"/>
          <w:szCs w:val="18"/>
          <w:color w:val="auto"/>
        </w:rPr>
        <w:t>This segment consists of the operations of Remy, a publicly traded company on the NASDAQ stock exchange, in which we have a 51%</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interest. Remy is a leading designer, manufacturer, remanufacturer, marketer and distributor of aftermarket and original equipment electrical components for automobiles, light trucks, heavy-duty trucks and other vehicles.</w:t>
      </w:r>
    </w:p>
    <w:p>
      <w:pPr>
        <w:spacing w:after="0" w:line="127" w:lineRule="exact"/>
        <w:rPr>
          <w:rFonts w:ascii="Arial" w:cs="Arial" w:eastAsia="Arial" w:hAnsi="Arial"/>
          <w:sz w:val="18"/>
          <w:szCs w:val="18"/>
          <w:color w:val="auto"/>
        </w:rPr>
      </w:pPr>
    </w:p>
    <w:p>
      <w:pPr>
        <w:jc w:val="both"/>
        <w:ind w:left="660" w:right="20" w:hanging="409"/>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The Restaurant Group segment consists of the operations of ABRH, in which we have a 55% ownership interest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of J. Alexander's in which we have an 87% ownership interest. ABRH is the owner and operator of the O'Charley's, Ninety Nine Restaurants, Max &amp; Erma's, Village Inn, and Bakers Square concepts. J. Alexander's is the owner and operator of the J. Alexander's and Stoney River Legendary Steaks concepts.</w:t>
      </w:r>
    </w:p>
    <w:p>
      <w:pPr>
        <w:spacing w:after="0" w:line="132" w:lineRule="exact"/>
        <w:rPr>
          <w:rFonts w:ascii="Arial" w:cs="Arial" w:eastAsia="Arial" w:hAnsi="Arial"/>
          <w:sz w:val="18"/>
          <w:szCs w:val="18"/>
          <w:color w:val="auto"/>
        </w:rPr>
      </w:pPr>
    </w:p>
    <w:p>
      <w:pPr>
        <w:ind w:left="660" w:hanging="409"/>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Corporate and Other. </w:t>
      </w:r>
      <w:r>
        <w:rPr>
          <w:rFonts w:ascii="Arial" w:cs="Arial" w:eastAsia="Arial" w:hAnsi="Arial"/>
          <w:sz w:val="17"/>
          <w:szCs w:val="17"/>
          <w:color w:val="auto"/>
        </w:rPr>
        <w:t>The corporate and other segment consists of the operations of the parent holding company, certain other unallocated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overhead expenses, other smaller operations, and our share in the operations of certain equity investments, including Ceridian.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February 25, 2013, we formed J. Alexander's, a restaurant company which is focused on the upscale dining segment. J. Alexander's consists of the current thirty J. Alexander's locations and the ten existing Stoney River locations. ABRH contributed the ten Stoney River locations to J. Alexander's for an approximate 28% ownership interest in the new company, giving us an aggregate 87% ownership interest in J. Alexander's including our indirect interest through ABRH. The operations of J. Alexander's will continue to be consolidated in our existing Restaurant Group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May 1, 2012, we completed the sale of an 85% interest in our remaining subsidiaries that write personal lines insurance to WT Holdings, Inc. for $120 million. Accordingly, the results of this business through the date of sale (which we refer to as our "at-risk" insurance business) for all periods presented are reflected in the Condensed Consolidated Statements of Earnings as discontinued operations. Total revenues from the at-risk insurance business included in discontinued operations are $36 million for the three months ending March 31, 2012. Pre-tax earnings from the at-risk insurance business included in discontinued operations are $4 million for the three months ending March 31, 2012.</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financial statements reflect related party transactions with Fidelity National Information Services ("FIS"), which is a related party. See Note A of the Notes to Condensed Consolidated Financial Statements for further details on our transactions with related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Fidelity National Title Group</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mortgage interest rates and the strength of the United States economy, including employment levels. Declines in the level of real estate activity or the average price of real estate sales will adversely affect our title insurance revenues.</w:t>
      </w:r>
    </w:p>
    <w:p>
      <w:pPr>
        <w:spacing w:after="0" w:line="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According to the Mortgage Banker's Association ("MBA"), U.S. mortgage originations (including refinancings) were approximately $1.8 trillion, $1.3 trillion and $1.6 trillion in 2012, 2011 and 2010, respectively. As of April 2013, the MBA’s Mortgage Finance Forecast estimates an approximately $1.5 trillion mortgage origination market for 2013, with the 17% decrease primarily due to decreased refinance transactions in 2013.</w:t>
      </w:r>
    </w:p>
    <w:p>
      <w:pPr>
        <w:spacing w:after="0" w:line="3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Since December 2008, the Federal Reserve has held the federal funds rate at 0.0%-0.25%, and has indicated that rates will stay at this level at least through 2014. Mortgage interest rates remained at historically low levels throughout 2012 and have risen marginally during the first three months of 2013.</w:t>
      </w:r>
    </w:p>
    <w:p>
      <w:pPr>
        <w:spacing w:after="0" w:line="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Several pieces of legislation were enacted to address the struggling mortgage market and the current economic and financial environment. On October 24, 2011, the Federal Housing Finance Agency ("FHFA") announced a series of changes to the Home Affordable Refinance Program ("HARP") that would make it easier for certain borrowers who owe more than their home is worth and who are current on their mortgage payments to refinance their mortgages at lower interest rates. The new program reduces or eliminates the risk-based fees Fannie Mae and Freddie Mac charge on many loans, raises the loan-to-home value ratio requirement for refinancing, and streamlines the underwriting process. According to the Federal Housing Authority ("FHA"), lenders began taking refinancing applications on December 1, 2011 under the modified HARP. We believe that the modified HARP program has had a positive impact on the volume of our refinance orders during 2012. On April 11, 2013, the FHFA announced that the modified HARP program has been extended through 2015. We are uncertain to what degree the modified HARP program may affect our results in the future.</w:t>
      </w:r>
    </w:p>
    <w:p>
      <w:pPr>
        <w:spacing w:after="0" w:line="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February 1, 2012, the Obama Administration announced new initiatives designed to increase refinancing of mortgages, reduce foreclosures and improve the housing market. Under these initiatives, among other things: (i) certain borrowers with loans insured by Fannie Mae or Freddie Mac ("GSEs" and such loans, "GSE loans") and certain borrowers with non-GSE loans, through a new FHA program, would be able to refinance their mortgages and take advantage of the currently low interest rates; (ii) the FHA will begin transitioning foreclosed properties in the nation's hardest-hit cities into rental housing units; (iii) GSEs and major banks have begun offering one year of forbearance (up from three months) to certain unemployed borrowers; and (iv) the Home Affordable Modification Program ("HAMP") was extended through 2013, including easing the eligibility requirements and increasing the financial incentives for banks to participate. As indicated, the Obama Administration has already begun implementing these initiatives, except for the refinancing initiatives. The GSEs have not started the refinancing program. The Obama Administration is looking to Congress to pass legislation to implement a refinancing program for non-GSE loans. We are uncertain to what degree these initiatives may affect our results in the future.</w:t>
      </w:r>
    </w:p>
    <w:p>
      <w:pPr>
        <w:spacing w:after="0" w:line="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2010, a number of lenders imposed freezes on foreclosures in some or all states as they reviewed their foreclosure practices. In response to these freezes, the Office of the Comptroller of the Currency ("OCC") is concurrently reviewing the foreclosure practices in the residential mortgage loan servicing industry. On April 13, 2011, the OCC and other federal regulators announced formal consent orders against several national bank mortgage servicers and third-party servicer providers for inappropriate practices related to residential mortgage loan servicing and foreclosure processing. The consent orders require the servicers to promptly correct deficiencies and make improvements in practices for residential mortgage loan servicing and foreclosure processing, including improvements to future communications with borrowers and a comprehensive "look back" to</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assess whether foreclosures complied with federal and state laws and whether any deficiencies in the process or related documentation resulted in financial injury to borrowers. We are not involved in these enforcement actions and we do not believe that we are exposed to significant losses resulting from faulty foreclosure practices. Our title insurance underwriters issue title policies on real estate owned properties to new purchasers and lenders to those purchasers. We believe that these policies will not result in significant additional claims exposure to us because even if a court sets aside a foreclosure due to a defect in documentation, the foreclosing lender would be required to return to our insureds all funds obtained from them, resulting in reduced exposure under the title insurance policy. Further, we believe that under current law and the rights we have under our policies, we would have the right to seek recovery from the foreclosing lender in the event of a failure to comply with state laws or local practices in connection with a foreclosure. Many states continue to evaluate foreclosure practices and related legislation may change in the future. The consent orders imposed by the federal regulators have continued to delay lender foreclosure completions. In January 2012, ten large mortgage servicers concluded the reviews required by the 2011 consent orders and agreed to monetary settlements.</w:t>
      </w:r>
    </w:p>
    <w:p>
      <w:pPr>
        <w:spacing w:after="0" w:line="4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February 9, 2012, federal officials, state attorneys general and representatives of Bank of America, JP Morgan Chase, Wells Fargo, Citigroup and Ally Financial agreed to a $25 billion settlement of federal and state investigations into the foreclosure practices of banks and other mortgage servicers from September 2008 to December 2011. Under the settlement, approximately 1,000,000 underwater borrowers will have their mortgages reduced by lenders and 300,000 homeowners will be able to refinance their homes at lower interest rates. We are uncertain to what degree these initiatives have affected our results or may affect our results in the future. In April of 2013, payments to borrowers under this order have begun to be made.</w:t>
      </w:r>
    </w:p>
    <w:p>
      <w:pPr>
        <w:spacing w:after="0" w:line="2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to state-level regulation, segments of our title insurance business are subject to regulation by federal agencies, including the Consumer Financial Protection Bureau (“CFPB”). The Dodd-Frank Wall Street Reform and Consumer Protection Act of 2010 established the CFPB, and in January 2012, President Obama appointed its first director. The CFPB has been given broad authority to regulate, among other areas, the mortgage and real estate markets in matters pertaining to consumers. This authority includes the enforcement of the Real Estate Settlement Procedures Act formerly placed with the Department of Housing and Urban Development. On July 9, 2012, the CFPB introduced a number of proposed rules related to the enforcement of the Real Estate Settlement Procedures Act and the Truth in Lending Act, including, among others, measures designed to (i) simplify financing documentation and (ii) require lenders to deliver to consumers a statement of final financing charges (and the related annual percentage rate) at least three business days prior to the closing. A final version of these rules is expected to be published later in 2013. We cannot be certain what impact, if any, the final rules, or the CFPB generally, will have on our title insurance business.</w:t>
      </w:r>
    </w:p>
    <w:p>
      <w:pPr>
        <w:spacing w:after="0" w:line="4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Historically, real estate transactions have produced seasonal revenue levels for title insurers. The first 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 and the implementation and subsequent expiration of government programs designed to stimulate the real estate market. During 2012 and the first three months of 2013, we experienced an increase in existing home sales to the highest volume levels since 2007. We have also seen a decline in total housing inventory to the lowest levels since 2005.</w:t>
      </w:r>
    </w:p>
    <w:p>
      <w:pPr>
        <w:spacing w:after="0" w:line="4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Because commercial real estate transactions tend to be driven more by supply and demand for commercial space and occupancy rates in a particular area rather than by macroeconomic events, we believe that our commercial real estate title insurance business is less dependent on the industry cycles discussed above than our residential real estate title business. In 2012 and through the first three months of 2013, we have experienced an increase in fee per file and in the volume of commercial transactions from the previous years, which indicates an improvement in commercial markets.</w:t>
      </w:r>
    </w:p>
    <w:p>
      <w:pPr>
        <w:spacing w:after="0" w:line="4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limit our maximum loss exposure by reinsuring risks with other insurers under excess of loss and case-by-case (“facultative”) reinsurance agreements. Reinsurance agreements generally provide that the reinsurer is liable for loss and loss adjustment expense payments exceeding the amount retained by the ceding company. However, the ceding company remains primarily liable in the event the reinsurer does not meet its contractual obligations. Facultative reinsurance agreements are entered into with other title insurers when the transaction to be insured will exceed state statutory or self-imposed limits. Excess of loss reinsurance protects us from a loss from a single occurrence. Our excess of loss coverage is split into two tiers. The first tier provides coverage for residential and commercial transactions up to $100 million per loss occurrence, subject to a $20 million retention per loss. The second tier provides additional coverage for commercial transactions from $100 million to $400 million of loss per per occurrence, with the Company participating at 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Remy</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Remy manufactures and sells auto parts, principally starter motors and alternators, as well as hybrid electric motors, for sale to original equipment manufacturers (OEM) and aftermarket customers. Remy manufactures products for automobiles as well as light and heavy duty commercial vehicles. The OEM market for auto parts is dependent on levels of new vehicle production, which</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turn, is affected by the overall economy, consumer confidence, discounts and incentives offered by automakers and the availability of funds to finance purchases.</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its aftermarket operations, Remy's results are affected by the strength of the economy and by gas prices, but do not follow the same cycles as original equipment market sales. In a weaker economy, drivers tend to keep their vehicles and repair them rather than buying new vehicles. Lower gas prices have historically tended to result in more miles driven, which increases the frequency with which auto repairs are needed. Nevertheless, a weak economy also may reduce miles driven. Over the long term, improvements in the durability of original equipment and aftermarket parts has reduced, and is expected to further reduce, the number of units sold in the aftermarket. Aftermarket revenues are also affected by other factors, including severe weather (which tends to lead to increased sales) and competitive pressures. Many parts retailers and warehouse distributors purchase starters and alternators from only one or two suppliers, under contracts that run for five years or less. When contracts are up for renewal, competitors tend to bid very aggressively to replace the incumbent supplier, although the cost of switching from the incumbent tends to mitigate this competition.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most significant commodities that may affect our cost of food and beverage are beef, seafood, poultry, and dairy, which have accounted for almost 45 percent of our overall cost of food and beverage in the past. Generally, temporary increases in these costs are not passed on to guests; however, in the past, we have adjusted menu prices to compensate for increased costs of a more permanent nature.</w:t>
      </w:r>
    </w:p>
    <w:p>
      <w:pPr>
        <w:spacing w:after="0" w:line="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73"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7"/>
          <w:szCs w:val="17"/>
          <w:color w:val="auto"/>
        </w:rPr>
        <w:t>In 2010, the Patient Protection and Affordable Care Act ("Affordable Care Act") was passed and becomes effective in 2014. We are continuing to assess the impact of the Affordable Care Act on our health care benefit costs. The imposition of any requirement that we provide health insurance benefits to employees that are more extensive than the health insurance benefits we currently provide, or the imposition of additional employer paid employment taxes on income earned by our employees, could have a material adverse effect on our results of operations in the future. The Affordable Care Act is likely to similarly affect the restaurant industry in general. Additionally, our Restaurant Group and suppliers may also be affected by higher minimum wage and benefit standards, which could result in higher costs for goods and services supplied to us.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Our revenues in future periods will continue to be subject to these and other factors that are beyond our control and, as a result, are likely to fluctuate.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264"/>
        </w:trPr>
        <w:tc>
          <w:tcPr>
            <w:tcW w:w="9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2012</w:t>
            </w:r>
          </w:p>
        </w:tc>
      </w:tr>
      <w:tr>
        <w:trPr>
          <w:trHeight w:val="187"/>
        </w:trPr>
        <w:tc>
          <w:tcPr>
            <w:tcW w:w="9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300"/>
              <w:spacing w:after="0"/>
              <w:rPr>
                <w:sz w:val="20"/>
                <w:szCs w:val="20"/>
                <w:color w:val="auto"/>
              </w:rPr>
            </w:pPr>
            <w:r>
              <w:rPr>
                <w:rFonts w:ascii="Arial" w:cs="Arial" w:eastAsia="Arial" w:hAnsi="Arial"/>
                <w:sz w:val="14"/>
                <w:szCs w:val="14"/>
                <w:b w:val="1"/>
                <w:bCs w:val="1"/>
                <w:color w:val="auto"/>
              </w:rPr>
              <w:t>(Dollars in</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millions)</w:t>
            </w:r>
          </w:p>
        </w:tc>
      </w:tr>
      <w:tr>
        <w:trPr>
          <w:trHeight w:val="252"/>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354</w:t>
            </w: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382</w:t>
            </w: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Auto parts revenue</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Restaurant revenue</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9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Expenses:</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Agent commissions</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316</w:t>
            </w: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w w:val="96"/>
              </w:rPr>
              <w:t>Cost of auto parts revenue, includes $18 of depreciation and amortization in the three months ended March 31, 2013</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Cost of restaurant revenue</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9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1,085</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w w:val="99"/>
              </w:rPr>
              <w:t>Earnings from continuing operations before income taxes and equity in (losses) earnings of unconsolidated affiliates</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w:t>
            </w: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Equity in (losses) earnings of unconsolidated affiliates</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
        </w:trPr>
        <w:tc>
          <w:tcPr>
            <w:tcW w:w="9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r>
      <w:tr>
        <w:trPr>
          <w:trHeight w:val="20"/>
        </w:trPr>
        <w:tc>
          <w:tcPr>
            <w:tcW w:w="9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0"/>
        </w:trPr>
        <w:tc>
          <w:tcPr>
            <w:tcW w:w="9260" w:type="dxa"/>
            <w:vAlign w:val="bottom"/>
          </w:tcPr>
          <w:p>
            <w:pPr>
              <w:ind w:left="40"/>
              <w:spacing w:after="0"/>
              <w:rPr>
                <w:sz w:val="20"/>
                <w:szCs w:val="20"/>
                <w:color w:val="auto"/>
              </w:rPr>
            </w:pPr>
            <w:r>
              <w:rPr>
                <w:rFonts w:ascii="Arial" w:cs="Arial" w:eastAsia="Arial" w:hAnsi="Arial"/>
                <w:sz w:val="18"/>
                <w:szCs w:val="18"/>
                <w:color w:val="auto"/>
              </w:rPr>
              <w:t>Orders opened by direct title operations</w:t>
            </w:r>
          </w:p>
        </w:tc>
        <w:tc>
          <w:tcPr>
            <w:tcW w:w="12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643,000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651,000</w:t>
            </w: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Orders closed by direct title operations</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487,000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410,000</w:t>
            </w:r>
          </w:p>
        </w:tc>
      </w:tr>
      <w:tr>
        <w:trPr>
          <w:trHeight w:val="27"/>
        </w:trPr>
        <w:tc>
          <w:tcPr>
            <w:tcW w:w="9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Total revenues increased $860 million in the three months ended March 31, 2013, compared to the 2012 period. The increase consisted of increases of $210 million in the Fidelity National Title Group segment and a $14 million increase in the corporate and other segment, an additional $351 million from the restaurant group segment and $285 million from the Remy segment.</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Escrow, title-related and other fees increased $61 million, or 16%, in the three months ended March 31, 2013, from the 2012 period, consisting of increases of $46 million in the Fidelity National Title Group segment and $15 million in the corporate and other segment.</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Restaurant revenue includes the consolidated results of operations of ABRH and J. Alexander's. Auto parts revenue includes the consolidated results of operations of Remy.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from operations is discussed in further detail at the segment level below.</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and investment income levels are primarily a function of securities markets, interest rates and the amount of cash available for investment. Interest and investment income decreased $3 million in the three months ended March 31, 2013 compared to the 2012 period, primarily due to a decrease in our fixed-maturity holdings and related interest income.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Net realized gains and losses totaled $(4) million and $4 million in the three-month periods ended March 31, 2013 and 2012, respectively. The decrease is primarily the result of recognizing a $1 million loss on our structured notes as well as $5 million of impairments recognized in our Restaurant Group related to the closing of three J. Alexander's locations and one Max &amp; Erma's location. The 2012 period included a $2 million gain on the sale of a small title agency in Illinois, with the remaining increase relating to various gains on our fixed maturity securities portfolio.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operating expenses consist primarily of personnel costs and other operating expenses, which in our title insurance business are incurred as orders are received and processed, and agent commissions, which are incurred as revenue is recognized, as well as cost of auto parts revenue and cost of restaurant revenue. Title insurance premiums, escrow and title-related fees are generally recognized as income at the time the underlying transaction closes. As a result, direct title operations revenue lags approximately 45-60 days behind expenses and therefore gross margins may fluctuate. The changes in the market environment, mix of business between direct and agency operations and the contributions from our various business units have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5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Personnel costs include base salaries, commissions, benefits, stock-based compensation and bonuses paid to employees, and are one of our most significant operating expenses. Personnel costs increased $113 million, or 28%, in the three months ended March 31, 2013, from the 2012 period, with an increase of $53 million in the Fidelity National Title Group segment, an additional $15 million from the Restaurant group segment and $27 million from the Remy segment, and an increase of $18 million in the corporate and other segment. Personnel costs as a percentage of total revenue were 25% and 34% in the three-month periods ended March 31, 2013 and 2012, respectively. Average employee count, excluding Remy and the Restaurant group, was 20,351 and 17,846 in the three-month periods ended March 31, 2013 and 2012, respectively. There were 33,266 employees added with the consolidation of the Restaurant group since March 31, 2012, and 6,503 employees added with the consolidation of Remy since March 31, 2012. Personnel costs that are directly attributable to the operations of Remy and the Restaurant Group are included in Cost of auto parts revenue and Cost of restaurant revenue, respectively. The change in personnel costs is discussed in further detail at the segment level below.</w:t>
      </w:r>
    </w:p>
    <w:p>
      <w:pPr>
        <w:spacing w:after="0" w:line="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Agent commissions represent the portion of premiums retained by agents pursuant to the terms of their respective agency contracts. The change in agent commissions is discussed in further detail at the segment level below.</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trade and notes receivable allowances. Other operating expenses increased $52 million in the three months ended March 31, 2013, from the 2012 period, reflecting an increase of $22 million or 8% in the Fidelity National Title Group segment and a decrease of $1 million in the corporate and other segment as well as $20 million from the Restaurant group segment and $11 million from Remy. In the Fidelity National Title Group segment, the increase in other operating expenses was due mainly to increases in title plant costs, premium taxes and costs of sales, consistent with the increase in revenues.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auto parts revenue includes cost of raw materials, payroll and related costs and expenses directly related to manufacturing, and overhead expenses allocated to the costs of production such as depreciation and amortization at Remy. Remy results of operations are discussed in further detail at the segment level below.</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restaurant revenue includes cost of food and beverage, primarily the costs of beef, seafood, poultry and alcoholic and non-alcoholic beverages net of vendor discounts and rebates, payroll and related costs and expenses directly relating to restaurant level activities, and restaurant operating costs including occupancy, advertising and other expenses at the restaurant level. The Restaurant group results of operations are discussed in further detail at the segment level below.</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Depreciation and amortization increased $17 million in the three months ended March 31, 2013, from the 2012 period. The increase is due to $13 million of additional depreciation and amortization from the Restaurant group and $1 million from Remy, as well as an additional increase of $1 million in the Fidelity National Title Group Segment and $2 million in the Corporate and other segment as a result of the acquisition of Digital Insurance in the fourth quarter of 2012.</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 We monitor our claims loss experience on a continual basis and adjust the provision for claim losses accordingly as new information becomes known, new loss patterns emerge, or as other contributing factors are considered and incorporated into the analysis of the reserve for claim losses. The provision for title claim losses is discussed in further detail below at the segment level.</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increased $8 million in the three months ended March 31, 2013, from the 2012 period. The increase is due to interest expense incurred on the 5.50% notes issued in August 2012 as well as $9 million in interest expense on notes payable held by the Restaurant group and Remy, offset by decreases in interest expense relating to our revolving credit facility.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Income tax expense was $46 million and $37 million in the three-month periods ended March 31, 2013 and 2012, respectively. Income tax expense as a percentage of earnings before income taxes was 33% and 35% for the three-month periods ended March 31, 2013 and 2012, respectively. Income tax expense as a percentage of earnings before income taxes fluctuates depending on our estimate of ultimate income tax liability and changes in the characteristics of net earnings, such as the weighting of operating income versus investment income. The decrease in the effective tax rate in the three months ending March 31, 2013, from the corresponding 2012 period is due to an increase in tax credits from the restaurant group and a lower tax rate on the non-US earnings of Remy.</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Equity in (losses) earnings of unconsolidated affiliates was $(3) million and $6 million for the three-month periods ended March 31, 2013 and 2012, respectively. The equity in earnings in 2013 and 2012 consisted of net (losses) earnings related to our investment in Ceridian, Remy (prior to its consolidation in August 2012), and other investments in unconsolidated affiliates.</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Fidelity National Title Group</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264"/>
        </w:trPr>
        <w:tc>
          <w:tcPr>
            <w:tcW w:w="9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2012</w:t>
            </w:r>
          </w:p>
        </w:tc>
      </w:tr>
      <w:tr>
        <w:trPr>
          <w:trHeight w:val="187"/>
        </w:trPr>
        <w:tc>
          <w:tcPr>
            <w:tcW w:w="9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6"/>
                <w:szCs w:val="16"/>
                <w:color w:val="auto"/>
              </w:rPr>
            </w:pPr>
          </w:p>
        </w:tc>
      </w:tr>
      <w:tr>
        <w:trPr>
          <w:trHeight w:val="252"/>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354</w:t>
            </w: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Escrow, title related and other fees</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368</w:t>
            </w: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9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259</w:t>
            </w: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r>
      <w:tr>
        <w:trPr>
          <w:trHeight w:val="237"/>
        </w:trPr>
        <w:tc>
          <w:tcPr>
            <w:tcW w:w="926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1,046</w:t>
            </w:r>
          </w:p>
        </w:tc>
      </w:tr>
      <w:tr>
        <w:trPr>
          <w:trHeight w:val="27"/>
        </w:trPr>
        <w:tc>
          <w:tcPr>
            <w:tcW w:w="9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 and equity in earnings of unconsolidated affiliates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r>
      <w:tr>
        <w:trPr>
          <w:trHeight w:val="20"/>
        </w:trPr>
        <w:tc>
          <w:tcPr>
            <w:tcW w:w="9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Total revenues for the Fidelity National Title Group segment increased $210 million, or 18%, in the three months ended March 31, 2013, from the 2012 period.</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6"/>
              </w:rPr>
              <w:t>Three months ended March 31,</w:t>
            </w:r>
          </w:p>
        </w:tc>
        <w:tc>
          <w:tcPr>
            <w:tcW w:w="980" w:type="dxa"/>
            <w:vAlign w:val="bottom"/>
            <w:tcBorders>
              <w:bottom w:val="single" w:sz="8" w:color="auto"/>
            </w:tcBorders>
          </w:tcPr>
          <w:p>
            <w:pPr>
              <w:spacing w:after="0"/>
              <w:rPr>
                <w:sz w:val="16"/>
                <w:szCs w:val="16"/>
                <w:color w:val="auto"/>
              </w:rPr>
            </w:pPr>
          </w:p>
        </w:tc>
      </w:tr>
      <w:tr>
        <w:trPr>
          <w:trHeight w:val="258"/>
        </w:trPr>
        <w:tc>
          <w:tcPr>
            <w:tcW w:w="7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57"/>
              <w:spacing w:after="0"/>
              <w:rPr>
                <w:sz w:val="20"/>
                <w:szCs w:val="20"/>
                <w:color w:val="auto"/>
              </w:rPr>
            </w:pPr>
            <w:r>
              <w:rPr>
                <w:rFonts w:ascii="Arial" w:cs="Arial" w:eastAsia="Arial" w:hAnsi="Arial"/>
                <w:sz w:val="14"/>
                <w:szCs w:val="14"/>
                <w:b w:val="1"/>
                <w:bCs w:val="1"/>
                <w:color w:val="auto"/>
              </w:rPr>
              <w:t>% of</w:t>
            </w:r>
          </w:p>
        </w:tc>
      </w:tr>
      <w:tr>
        <w:trPr>
          <w:trHeight w:val="276"/>
        </w:trPr>
        <w:tc>
          <w:tcPr>
            <w:tcW w:w="7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4"/>
                <w:szCs w:val="24"/>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Total</w:t>
            </w:r>
          </w:p>
        </w:tc>
      </w:tr>
      <w:tr>
        <w:trPr>
          <w:trHeight w:val="187"/>
        </w:trPr>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380"/>
              <w:spacing w:after="0"/>
              <w:rPr>
                <w:sz w:val="20"/>
                <w:szCs w:val="20"/>
                <w:color w:val="auto"/>
              </w:rPr>
            </w:pPr>
            <w:r>
              <w:rPr>
                <w:rFonts w:ascii="Arial" w:cs="Arial" w:eastAsia="Arial" w:hAnsi="Arial"/>
                <w:sz w:val="14"/>
                <w:szCs w:val="14"/>
                <w:b w:val="1"/>
                <w:bCs w:val="1"/>
                <w:color w:val="auto"/>
              </w:rPr>
              <w:t>(Dollars in</w:t>
            </w:r>
          </w:p>
        </w:tc>
        <w:tc>
          <w:tcPr>
            <w:tcW w:w="1020" w:type="dxa"/>
            <w:vAlign w:val="bottom"/>
            <w:gridSpan w:val="2"/>
          </w:tcPr>
          <w:p>
            <w:pPr>
              <w:jc w:val="right"/>
              <w:ind w:right="434"/>
              <w:spacing w:after="0"/>
              <w:rPr>
                <w:sz w:val="20"/>
                <w:szCs w:val="20"/>
                <w:color w:val="auto"/>
              </w:rPr>
            </w:pPr>
            <w:r>
              <w:rPr>
                <w:rFonts w:ascii="Arial" w:cs="Arial" w:eastAsia="Arial" w:hAnsi="Arial"/>
                <w:sz w:val="14"/>
                <w:szCs w:val="14"/>
                <w:b w:val="1"/>
                <w:bCs w:val="1"/>
                <w:color w:val="auto"/>
                <w:w w:val="83"/>
              </w:rPr>
              <w:t>millions)</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2"/>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 from direct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Title premiums from agency operations</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1000" w:type="dxa"/>
            <w:vAlign w:val="bottom"/>
          </w:tcPr>
          <w:p>
            <w:pPr>
              <w:jc w:val="right"/>
              <w:ind w:right="1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980" w:type="dxa"/>
            <w:vAlign w:val="bottom"/>
          </w:tcPr>
          <w:p>
            <w:pPr>
              <w:jc w:val="right"/>
              <w:ind w:right="97"/>
              <w:spacing w:after="0"/>
              <w:rPr>
                <w:sz w:val="20"/>
                <w:szCs w:val="20"/>
                <w:color w:val="auto"/>
              </w:rPr>
            </w:pPr>
            <w:r>
              <w:rPr>
                <w:rFonts w:ascii="Arial" w:cs="Arial" w:eastAsia="Arial" w:hAnsi="Arial"/>
                <w:sz w:val="18"/>
                <w:szCs w:val="18"/>
                <w:color w:val="auto"/>
              </w:rPr>
              <w:t>54</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Title insurance premiums increased 22% in the three months ended March 31, 2013 as compared to the 2012 period. The increase was made up of an increase in premiums from direct operations of $60 million, or 17%, and an increase in premiums from agency operations of $110 million, or 27%.</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increase in title premiums from direct operations in the 2013 period was primarily due to an increase in closed order volumes, offset by a decrease in fee per file. Closed order volumes were 487,000 in the three months ended March 31, 2013 compared with 410,000 in the three months ended March 31, 2012. The average fee per file in our direct operations was $1,373 in the three months ended March 31, 2013, compared to $1,398 in the three months ended March 31, 2012, with the decrease reflecting a higher volume of refinance transactions, which typically have a lower fee per file, offset by a higher average fee per file on commercial transactions over the 2012 period. The fee per file tends to change as the mix of refinance and purchase transactions changes, because purchase transactions generally involve the issuance of both a lender’s policy and an owner’s policy,</w:t>
      </w:r>
    </w:p>
    <w:p>
      <w:pPr>
        <w:sectPr>
          <w:pgSz w:w="11900" w:h="16838" w:orient="portrait"/>
          <w:cols w:equalWidth="0" w:num="1">
            <w:col w:w="11420"/>
          </w:cols>
          <w:pgMar w:left="240" w:top="121"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resulting in higher fees, whereas refinance transactions typically only require a lender’s policy, resulting in lower fees. Also, commercial transactions typically have a higher fee per file.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 in title premiums from agency operations is primarily the result of an increase in remitted agency premiums related to the mix of business. Our percentage of title premiums from agency operations compared to direct operations has increased since 2012 due to our agency operations typically garnering a higher percentage of purchase transactions and a lower percentage of commercial and refinance transactions. The increase in the three months ending March 31, 2013 was due to strengthening in the residential purchase environment.</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Fidelity National Title Group segment, escrow fees, which are more directly related to our direct operations, increased $27 million, or 18%, in the three months ended March 31, 2013 compared to the 2012 period due to the increase in direct residential activity. Other fees in the Fidelity National Title Group segment, excluding escrow fees, increased $19 million, or 9%, in the three months ended March 31, 2013 compared to the 2012 period. The increase is primarily due to increases in our revenue from refinance transactions as well as increases in our other title related business, consistent with the title operations, partially offset by declines in our default business.</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Personnel costs include base salaries, commissions, benefits, stock-based compensation and bonuses paid to employees, and are one of our most significant operating expenses. The $53 million or 13% increase in the three-month periods ended March 31, 2013 from the 2012 period is due mainly to increases in opened and closed order counts and a related increase in employee levels. Personnel costs as a percentage of total revenues from direct title premiums and escrow, title-related and other fees were 55% and 56% for the three-month periods ended March 31, 2013 and 2012, respectively. Average employee count was 20,080 and 17,531 in the three-month periods ended March 31, 2013 and 2012, respectively.</w:t>
      </w:r>
    </w:p>
    <w:p>
      <w:pPr>
        <w:spacing w:after="0" w:line="6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relationship of agent premiums and agent commissions: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187"/>
        </w:trPr>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380"/>
              <w:spacing w:after="0"/>
              <w:rPr>
                <w:sz w:val="20"/>
                <w:szCs w:val="20"/>
                <w:color w:val="auto"/>
              </w:rPr>
            </w:pPr>
            <w:r>
              <w:rPr>
                <w:rFonts w:ascii="Arial" w:cs="Arial" w:eastAsia="Arial" w:hAnsi="Arial"/>
                <w:sz w:val="14"/>
                <w:szCs w:val="14"/>
                <w:b w:val="1"/>
                <w:bCs w:val="1"/>
                <w:color w:val="auto"/>
              </w:rPr>
              <w:t>(Dollars in</w:t>
            </w:r>
          </w:p>
        </w:tc>
        <w:tc>
          <w:tcPr>
            <w:tcW w:w="1020" w:type="dxa"/>
            <w:vAlign w:val="bottom"/>
            <w:gridSpan w:val="2"/>
          </w:tcPr>
          <w:p>
            <w:pPr>
              <w:jc w:val="right"/>
              <w:ind w:right="434"/>
              <w:spacing w:after="0"/>
              <w:rPr>
                <w:sz w:val="20"/>
                <w:szCs w:val="20"/>
                <w:color w:val="auto"/>
              </w:rPr>
            </w:pPr>
            <w:r>
              <w:rPr>
                <w:rFonts w:ascii="Arial" w:cs="Arial" w:eastAsia="Arial" w:hAnsi="Arial"/>
                <w:sz w:val="14"/>
                <w:szCs w:val="14"/>
                <w:b w:val="1"/>
                <w:bCs w:val="1"/>
                <w:color w:val="auto"/>
                <w:w w:val="83"/>
              </w:rPr>
              <w:t>millions)</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2"/>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premiums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retained agent premiums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margin from agency title insurance premiums as a percentage of total agency premiums was 24% in the three-month periods ended March 31, 2013 and 2012.</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provision for title claim losses includes an estimate of anticipated title and title-related claims and escrow losses. The estimate of anticipated title and title-related claims is accrued as a percentage of title premium revenue based on our historical loss experience and other relevant factors. We monitor our claims loss experience on a continual basis and adjust the provision for title claim losses accordingly as new information becomes known, new loss patterns emerge, or as other contributing factors are considered and incorporated into the analysis of the reserve for claim losses. The claim loss provision for title insurance was $65 million and $54 million for the three-month periods ended March 31, 2013 and 2012, respectively, and reflects an average provision rate of 7% of title premiums in the three-month periods ended March 31, 2013 and 2012. We will continue to monitor and evaluate our loss provision level, actual claims paid, and the loss reserve position each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Remy</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results of this segment reflected in the three months ended March 31, 2013, reflect results of Remy and subsidiaries, which were initially consolidated on August 14, 2012.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jc w:val="center"/>
              <w:ind w:right="174"/>
              <w:spacing w:after="0"/>
              <w:rPr>
                <w:sz w:val="20"/>
                <w:szCs w:val="20"/>
                <w:color w:val="auto"/>
              </w:rPr>
            </w:pPr>
            <w:r>
              <w:rPr>
                <w:rFonts w:ascii="Arial" w:cs="Arial" w:eastAsia="Arial" w:hAnsi="Arial"/>
                <w:sz w:val="14"/>
                <w:szCs w:val="14"/>
                <w:b w:val="1"/>
                <w:bCs w:val="1"/>
                <w:color w:val="auto"/>
                <w:w w:val="91"/>
              </w:rPr>
              <w:t>Three months ended</w:t>
            </w:r>
          </w:p>
        </w:tc>
      </w:tr>
      <w:tr>
        <w:trPr>
          <w:trHeight w:val="203"/>
        </w:trPr>
        <w:tc>
          <w:tcPr>
            <w:tcW w:w="9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jc w:val="center"/>
              <w:ind w:right="154"/>
              <w:spacing w:after="0"/>
              <w:rPr>
                <w:sz w:val="20"/>
                <w:szCs w:val="20"/>
                <w:color w:val="auto"/>
              </w:rPr>
            </w:pPr>
            <w:r>
              <w:rPr>
                <w:rFonts w:ascii="Arial" w:cs="Arial" w:eastAsia="Arial" w:hAnsi="Arial"/>
                <w:sz w:val="14"/>
                <w:szCs w:val="14"/>
                <w:b w:val="1"/>
                <w:bCs w:val="1"/>
                <w:color w:val="auto"/>
                <w:w w:val="96"/>
              </w:rPr>
              <w:t>March 31, 2013</w:t>
            </w:r>
          </w:p>
        </w:tc>
      </w:tr>
      <w:tr>
        <w:trPr>
          <w:trHeight w:val="343"/>
        </w:trPr>
        <w:tc>
          <w:tcPr>
            <w:tcW w:w="9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(In millions)</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9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Auto parts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26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
        </w:trPr>
        <w:tc>
          <w:tcPr>
            <w:tcW w:w="9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9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Cost of auto parts revenue, includes $18 of depreciation and amortization</w:t>
            </w:r>
          </w:p>
        </w:tc>
        <w:tc>
          <w:tcPr>
            <w:tcW w:w="26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240</w:t>
            </w:r>
          </w:p>
        </w:tc>
      </w:tr>
      <w:tr>
        <w:trPr>
          <w:trHeight w:val="27"/>
        </w:trPr>
        <w:tc>
          <w:tcPr>
            <w:tcW w:w="9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
        </w:trPr>
        <w:tc>
          <w:tcPr>
            <w:tcW w:w="9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r>
      <w:tr>
        <w:trPr>
          <w:trHeight w:val="237"/>
        </w:trPr>
        <w:tc>
          <w:tcPr>
            <w:tcW w:w="936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286</w:t>
            </w:r>
          </w:p>
        </w:tc>
      </w:tr>
      <w:tr>
        <w:trPr>
          <w:trHeight w:val="27"/>
        </w:trPr>
        <w:tc>
          <w:tcPr>
            <w:tcW w:w="9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9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results of the Remy group for the three months ending March 31, 2013 were negatively affected by a $7 million charge to Personnel costs for a one-time executive severance payment made to Remy's former Chief Executive Officer and President pursuant to the terms of a Transition, Noncompetition and Release Agreement, effective February 28, 2013.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Group</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this segment for the three months ended March 31, 2013, include results of ABRH, which was initially consolidated during the second quarter of 2012 and J. Alexander's, which was initially consolidated during the third quarter of 2012.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jc w:val="center"/>
              <w:ind w:right="174"/>
              <w:spacing w:after="0"/>
              <w:rPr>
                <w:sz w:val="20"/>
                <w:szCs w:val="20"/>
                <w:color w:val="auto"/>
              </w:rPr>
            </w:pPr>
            <w:r>
              <w:rPr>
                <w:rFonts w:ascii="Arial" w:cs="Arial" w:eastAsia="Arial" w:hAnsi="Arial"/>
                <w:sz w:val="14"/>
                <w:szCs w:val="14"/>
                <w:b w:val="1"/>
                <w:bCs w:val="1"/>
                <w:color w:val="auto"/>
                <w:w w:val="91"/>
              </w:rPr>
              <w:t>Three months ended</w:t>
            </w:r>
          </w:p>
        </w:tc>
      </w:tr>
      <w:tr>
        <w:trPr>
          <w:trHeight w:val="209"/>
        </w:trPr>
        <w:tc>
          <w:tcPr>
            <w:tcW w:w="9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March 31, 2013</w:t>
            </w:r>
          </w:p>
        </w:tc>
      </w:tr>
      <w:tr>
        <w:trPr>
          <w:trHeight w:val="190"/>
        </w:trPr>
        <w:tc>
          <w:tcPr>
            <w:tcW w:w="9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jc w:val="center"/>
              <w:ind w:right="154"/>
              <w:spacing w:after="0"/>
              <w:rPr>
                <w:sz w:val="20"/>
                <w:szCs w:val="20"/>
                <w:color w:val="auto"/>
              </w:rPr>
            </w:pPr>
            <w:r>
              <w:rPr>
                <w:rFonts w:ascii="Arial" w:cs="Arial" w:eastAsia="Arial" w:hAnsi="Arial"/>
                <w:sz w:val="14"/>
                <w:szCs w:val="14"/>
                <w:b w:val="1"/>
                <w:bCs w:val="1"/>
                <w:color w:val="auto"/>
                <w:w w:val="96"/>
              </w:rPr>
              <w:t>(In millions)</w:t>
            </w:r>
          </w:p>
        </w:tc>
      </w:tr>
      <w:tr>
        <w:trPr>
          <w:trHeight w:val="255"/>
        </w:trPr>
        <w:tc>
          <w:tcPr>
            <w:tcW w:w="93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7"/>
        </w:trPr>
        <w:tc>
          <w:tcPr>
            <w:tcW w:w="9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9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9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Cost of restaurant revenue</w:t>
            </w:r>
          </w:p>
        </w:tc>
        <w:tc>
          <w:tcPr>
            <w:tcW w:w="26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305</w:t>
            </w:r>
          </w:p>
        </w:tc>
      </w:tr>
      <w:tr>
        <w:trPr>
          <w:trHeight w:val="27"/>
        </w:trPr>
        <w:tc>
          <w:tcPr>
            <w:tcW w:w="9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13</w:t>
            </w:r>
          </w:p>
        </w:tc>
      </w:tr>
      <w:tr>
        <w:trPr>
          <w:trHeight w:val="27"/>
        </w:trPr>
        <w:tc>
          <w:tcPr>
            <w:tcW w:w="9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r>
      <w:tr>
        <w:trPr>
          <w:trHeight w:val="237"/>
        </w:trPr>
        <w:tc>
          <w:tcPr>
            <w:tcW w:w="936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355</w:t>
            </w:r>
          </w:p>
        </w:tc>
      </w:tr>
      <w:tr>
        <w:trPr>
          <w:trHeight w:val="27"/>
        </w:trPr>
        <w:tc>
          <w:tcPr>
            <w:tcW w:w="9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9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results of the Restaurant group for the three months ending March 31, 2013 were negatively affected by a $5 million impairment charge related to the closing of three J. Alexander's locations and one Max &amp; Erma's location, which was included in Realized gains and losses, net and $3 million in transaction and integration costs included in Other operating expenses.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9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corporate and other segment consists of the operations of the parent holding company, certain other unallocated corporate overhead expenses, other smaller operations, and our share in the operations of certain equity investments, including Ceridian. The corporate and other segment generated revenues of $29 million and $15 million in the three-month periods ended March 31, 2013 and 2012, respectively.</w:t>
      </w:r>
    </w:p>
    <w:p>
      <w:pPr>
        <w:sectPr>
          <w:pgSz w:w="11900" w:h="16838" w:orient="portrait"/>
          <w:cols w:equalWidth="0" w:num="1">
            <w:col w:w="11420"/>
          </w:cols>
          <w:pgMar w:left="240" w:top="121"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fees increased $15 million or 115% in the three months ended March 31, 2013 compared to the 2012 period due to income earned at Digital Insurance which was acquired in the fourth quarter of 2012.</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Personnel costs increased $18 million in the three months ended March 31, 2013 compared to the 2012 period, due to an $8 million accrual relating to our Long Term Incentive Plan established in the third quarter of 2012 which is tied to the fair value of certain of our non-title operations. Also included were $9 million in personnel costs at Digital Insurance.</w:t>
      </w:r>
    </w:p>
    <w:p>
      <w:pPr>
        <w:spacing w:after="0" w:line="73" w:lineRule="exact"/>
        <w:rPr>
          <w:sz w:val="20"/>
          <w:szCs w:val="20"/>
          <w:color w:val="auto"/>
        </w:rPr>
      </w:pPr>
    </w:p>
    <w:p>
      <w:pPr>
        <w:ind w:right="840" w:firstLine="324"/>
        <w:spacing w:after="0" w:line="402" w:lineRule="auto"/>
        <w:rPr>
          <w:sz w:val="20"/>
          <w:szCs w:val="20"/>
          <w:color w:val="auto"/>
        </w:rPr>
      </w:pPr>
      <w:r>
        <w:rPr>
          <w:rFonts w:ascii="Arial" w:cs="Arial" w:eastAsia="Arial" w:hAnsi="Arial"/>
          <w:sz w:val="18"/>
          <w:szCs w:val="18"/>
          <w:color w:val="auto"/>
        </w:rPr>
        <w:t xml:space="preserve">This segment generated pretax losses of $28 million and $24 million in the three-month periods ended March 31, 2013 and 2012, respectively. </w:t>
      </w:r>
      <w:r>
        <w:rPr>
          <w:rFonts w:ascii="Arial" w:cs="Arial" w:eastAsia="Arial" w:hAnsi="Arial"/>
          <w:sz w:val="18"/>
          <w:szCs w:val="18"/>
          <w:b w:val="1"/>
          <w:bCs w:val="1"/>
          <w:color w:val="auto"/>
        </w:rPr>
        <w:t>Liquidity and Capital Resources</w:t>
      </w:r>
    </w:p>
    <w:p>
      <w:pPr>
        <w:spacing w:after="0" w:line="6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Cash Requirements. </w:t>
      </w:r>
      <w:r>
        <w:rPr>
          <w:rFonts w:ascii="Arial" w:cs="Arial" w:eastAsia="Arial" w:hAnsi="Arial"/>
          <w:sz w:val="17"/>
          <w:szCs w:val="17"/>
          <w:color w:val="auto"/>
        </w:rPr>
        <w:t>Our current cash requirements include personnel costs, operating expenses, claim payments, taxes, payments of interest and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on our debt, capital expenditures, business acquisitions, stock repurchases, and dividends on our common stock. We paid dividends of $0.16 per share for the first quarter of 2013, or approximately $37 million. On April 24, 2013, our Board of Directors declared cash dividends of $0.16 per share, payable on June 28, 2013, to shareholders of record as of June 14, 2013.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stock repurchases, acquisitions, and debt repayments.We continually assess our capital allocation strategy, including decisions relating to the amount of our dividend, reducing debt, repurchasing our stock,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other distributions. As of December 31, 2012, $1,997 million of our net assets were restricted from dividend payments without prior approval from the relevant departments of insurance. As of March 31, 2013, our title subsidiaries could pay or make distributions to us of approximately $225 million without prior approval. Our underwritten title companies and non-insurance subsidiaries collect revenue and pay operating expenses. However, they are not regulated to the same extent as our insurance subsidiaries.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used in operations for the three months ended March 31, 2013 and 2012 totaled $36 million and $45 million, respectively.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were $27 million and $11 million for the three-month periods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2013 and 2012, respectively, with the increase primarily relating to capital expenditures in the Fidelity National Title Group segment for technology equipment of $5 million and furniture and equipment of $6 million, $9 million in our Restaurant Group segment to remodel several locations, and $6 million in our Remy segment on property and equipment.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Financing. </w:t>
      </w:r>
      <w:r>
        <w:rPr>
          <w:rFonts w:ascii="Arial" w:cs="Arial" w:eastAsia="Arial" w:hAnsi="Arial"/>
          <w:sz w:val="16"/>
          <w:szCs w:val="16"/>
          <w:color w:val="auto"/>
        </w:rPr>
        <w:t>On March 5, 2013, Remy entered into a First Amendment to its existing five year Asset-Based Revolving Credit Facility (the "Remy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and "Remy Credit Facility First Amendment") to extend the maturity date of the Remy Credit Facility from December 17, 2015 to September 5, 2018 and reduce the interest rate. The Remy Credit Facility now bears interest at a defined Base Rate plus 0.50%-1.00% per year or, at Remy's election, at an applicable LIBOR Rate plus 1.50%-2.00% per year and is paid monthly. The Remy Credit Facility First Amendment maintains the current maximum availability at $95 million, which may be increased, under certain circumstances, by $20 million, though the actual amount that may be borrowed is based on the amount of collateral. The Remy Credit Facility is secured by substantially all domestic accounts receivable and inventory. Remy will incur an unused commitment fee of 0.375% on the unused amount of commitments under the Remy Credit Facility First Amendment. At March 31, 2013, the Remy Credit Facility balance was zero. Based upon the collateral supporting the Remy Credit Facility, the amount borrowed, and the outstanding letters of credit of $3 million, there was additional availability for borrowing of $86 million on March 31, 2013. The Remy Credit Facility contains various restrictive covenants, which include, among other things: (i) a maximum leverage ratio, decreasing over the term of the facility; (ii) a minimum interest coverage ratio, increasing over the term of the facility; (iii) limitations on capital expenditures; (iv) mandatory prepayments upon certain asset sales and debt issuances; (v) requirements for minimum liquidity; and (vi) limitations on the payment of dividends in excess of a specified amount.</w:t>
      </w:r>
    </w:p>
    <w:p>
      <w:pPr>
        <w:spacing w:after="0" w:line="6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March 5, 2013, Remy entered into a $300 million Amended and Restated Term B Loan Credit Agreement ("Term B Amendment") to refinance the existing $287 million Term B Loan, extend the maturity from December 17, 2016 to March 5, 2020, and reduce the interest rate. The Term B Loan now bears interest at LIBOR (subject to a floor of 1.25%) plus 3% per year, with an original issue discount of $1 million. The Term B Amendment also contains an option to increase the borrowing provided certain conditions are satisfied, including maintaining a maximum leverage ratio. The Term B Loan is secured by a first priority lien on the stock of Remy's subsidiaries and substantially all domestic assets other than accounts receivable and inventory pledged to the Remy Credit Facility. Principal payments in the amount of approximately $1 million are due at the end of each calendar quarter with termination and final payment no later than March 5, 2020. The Term B Loan also includes covenants and events of default customary for a facility of this type, including a cross-default provision under which the lenders may declare the loan in default if we (i) fail to make a payment when due under any debt having a principal amount greater than $5 million or (ii) breach any other covenant in any such debt as a result of which the holders of such debt are permitted to accelerate its maturity. Remy is in compliance with all covenants as of March 31, 2013. The Term B Loan is subject to an excess cash calculation which may require the payment of additional principal on an annual basis. At March 31, 2013, the average borrowing rate, including the impact of the interest rate swaps, was 4.25%.</w:t>
      </w:r>
    </w:p>
    <w:p>
      <w:pPr>
        <w:spacing w:after="0" w:line="6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August 28, 2012, we completed an offering of $400 million in aggregate principal amount of 5.50% notes due September 2022 (the "5.50% notes"), pursuant to an effective registration statement previously filed with the Securities and Exchange Commission. The notes were priced at 99.513% of par to yield 5.564% annual interest. As such we recorded a discount of $2 million, which is netted against the $400 million aggregate principal amount of the 5.50% notes. The discount is amortized to September 2022 when the 5.50% notes mature. The 5.50% notes pay interest semi-annually on the 1st of March and September, beginning March 1, 2013. We received net proceeds of $396 million, after expenses, which were used to repay the $237 million aggregate principal amount outstanding of our 5.25% unsecured notes maturing in March 2013, the $50 million outstanding on our revolving credit facility, and the remainder is being held for general corporate purposes.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May 31, 2012, ABRH entered into a credit agreement (the “ABRH Credit Facility”) with Wells Fargo Capital Finance, LLC as administrative agent and swing lender (the “ABRH Administrative Lender”) and the other financial institutions party thereto. The ABRH Credit Facility provides for a maximum revolving loan of $80 million with a maturity date of May 31, 2017. Additionally, the ABRH Credit Facility provides for a maximum term loan ("Restaurant Group Term Loan") of $85 million with quarterly installment repayments through December 25, 2016 and a maturity date of May 31, 2017 for the outstanding unpaid principal balance and all accrued and unpaid interest. On May 31, 2012, ABRH borrowed the entire $85 million under such term loan. Pricing for the ABRH Credit Facility is based on an applicable margin between 300 basis points to 375 basis points over LIBOR. The ABRH Credit Facility is subject to affirmative, negative and financial covenants customary for financings of this type, including, among other things, limits on ABRH's creation of liens, sales of assets, incurrence of indebtedness, restricted payments, transactions with affiliates, and certain amendments. The covenants addressing restricted payments include certain limitations on the declaration or payment of dividends by ABRH to its parent, Fidelity Newport Holdings, LLC (“FNH”), and by FNH to its members. The ABRH Credit Facility includes customary events of default for facilities of this type (with customary grace periods, as applicable), which include a cross-default provision whereby an event of default will be deemed to have occurred if (i) ABRH or any of its guarantors, which consists of FNH and certain of its subsidiaries, (together, the “Loan Parties”) or any of their subsidiaries default on any agreement with a third party of $2 million or more related to their indebtedness and such default (a) occurs at the final maturity of the obligations thereunder or (b) results in a right by such third party to accelerate such Loan</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Party's or its subsidiary's obligations or (ii) a default or an early termination occurs with respect to certain hedge agreements to which a Loan Party or its subsidiaries is a party involving an amount of $750,000 or more. The ABRH Credit Facility provides that, upon the occurrence of an event of default, the ABRH Administrative Lender may (i) declare the principal of, and any and all accrued and unpaid interest and fees in respect of, the loans immediately due and payable, (ii) terminate loan commitments and (iii) exercise all other rights and remedies available to the ABRH Administrative Lender or the lenders under the loan documents. As of March 31, 2013, the balance of the term loan was $71 million and there was no outstanding balance on the revolving loan. ABRH had $20 million of outstanding letters of credit and $60 million of remaining borrowing capacity under its revolving credit facility.</w:t>
      </w:r>
    </w:p>
    <w:p>
      <w:pPr>
        <w:spacing w:after="0" w:line="7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April 16, 2012, we entered into an agreement to amend and extend our credit agreement dated September 12, 2006, as amended and restated as of March 5, 2010 (the “ Revolving Credit Facility”) with Bank of America, N.A. as administrative agent and swing line lender (the “Administrative Agent”), and the other financial institutions party thereto, and an agreement to change the aggregate size of the credit facility under the Revolving Credit Facility. These agreements reduced the total size of the credit facility from $925 million to $800 million, with an option to increase the size of the credit facility to $900 million, and established an extended maturity date of April 16, 2016. Pricing for the new agreement is based on an applicable margin between 132.5 basis points to 160 basis points over LIBOR, depending on the senior debt ratings of FNF. The Revolving Credit Facility remains subject to affirmative, negative and financial covenants customary for financings of this type, including, among other things, limits on the creation of liens, sales of assets, the incurrence of indebtedness, restricted payments, transactions with affiliates, and certain amendments. The Revolving Credit Facility prohibits us from paying dividends to our stockholders if an event of default has occurred and is continuing or would result therefrom. The Revolving Credit Facility requires us to maintain certain financial ratios and levels of capitalization. The Revolving Credit Facility includes customary events of default for facilities of this type (with customary grace periods, as applicable). These events of default include a cross-default provision that, subject to limited exceptions, permits the lenders to declare the Revolving Credit Facility in default if: (i) (a) we fail to make any payment after the applicable grace period under any indebtedness with a principal amount (including undrawn committed amounts) in excess of 3.0% of our net worth, as defined in the Revolving Credit Facility,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The Revolving Credit Facility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Revolving Credit Facility shall automatically become immediately due and payable, and the lenders' commitments will automatically terminate. As of March 31, 2013, there was no outstanding balance under the Revolving Credit Facility.</w:t>
      </w:r>
    </w:p>
    <w:p>
      <w:pPr>
        <w:spacing w:after="0" w:line="143"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August 2, 2011, we completed an offering of $300 million in aggregate principal amount of 4.25% convertible senior notes due August 2018 (the "Notes") in an offering conducted in accordance with Rule 144A under the Securities Act of 1933, as amended. The Notes contain customary event-of-default provisions which, subject to certain notice and cure-period conditions, can result in the acceleration of the principal amount of, and accrued interest on, all outstanding Notes if we breach the terms of the Notes or the indenture pursuant to which the Notes were issued. The Notes are unsecured and unsubordinated obligations and (i) rank senior in right of payment to any of our existing or future unsecured indebtedness that is expressly subordinated in right of payment to the Notes; (ii) rank equal in right of payment to our existing and future unsecured indebtedness that is not so subordinated; (iii) are effectively subordinated in right of payment to any of our secured indebtedness to the extent of the value of the assets securing such indebtedness; and (iv) are structurally subordinated to all existing and future indebtedness and liabilities of our subsidiaries. Interest is payable on the principal amount of the Notes, semi-annually in arrears in cash on February 15 and August 15 of each year, commencing February 15, 2012. The Notes mature on August 15, 2018, unless earlier purchased by us or converted. The Notes were issued for cash at 100% of their principal amount. However, for financial reporting purposes, the notes were deemed to have been issued at 92.818% of par value, and as such we recorded a discount of $22 million to be amortized to August 2018, when the Notes mature. The Notes will be convertible into cash, shares of common stock, or a combination of cash and shares of common stock, at our election, based on an initial conversion rate, subject to adjustment, of 46.3870 shares per $1,000 principal amount of the Notes (which represents an initial conversion price of approximately $21.56 per share), only in the following circumstances and to the following extent: (i) during any calendar quarter commencing after December 31, 2011, if, for each of at least 20 trading days (whether or not consecutive) during the 30 consecutive trading day period ending on, and including, the last trading day of the immediately preceding calendar quarter, the last reported sale price per share of our common stock on such trading day is greater than or equal to 130% of the applicable conversion price on such trading day; (ii) during the five consecutive business day period immediately following any ten consecutive trading day period (the “measurement period”) in which, for each trading day of the measurement period, the trading price per $1,000 principal amount of notes was less than 98% of the product of the last reported sale price per share of our common stock on such trading day and the applicable conversion rate on such trading day; (iii) upon the occurrence of specified corporate transactions; or (iv) at any time on and after May 15, 2018. However, in all cases, the Notes will cease to be convertible at the close of business on the second scheduled trading day immediately preceding the maturity date. It is our intent and policy to settle conversions through “net-share settlement”. Generally,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“net-share settlement,” the conversion value is settled in cash, up to the principal amount being converted, and the conversion value in excess of the principal amount is settled in shares of our common stock.</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Remy also has revolving credit facilities with four Korean banks with a total facility amount of approximately $16 million, of which $6 million is borrowed at average interest rates of 3.84% at March 31, 2013. In Hungary, there is a revolving credit facility and a note payable with two separate banks for a credit facility of $5 million, of which $4 million is borrowed at average interest rates of 2.7% at March 31, 2013. In Belgium, Remy has revolving loans with two banks for a credit facility of $3 million with no outstanding borrowings at March 31, 2013.</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May 5, 2010, we completed an offering of $300 million in aggregate principal amount of our 6.60% notes due May 2017 (the "6.60% Notes"), pursuant to an effective registration statement previously filed with the Securities and Exchange Commission. The 6.60% Notes were priced at 99.897% of par to yield 6.61% annual interest. As such, we recorded a discount of less than $1 million, which is netted against the $300 million aggregate principal amount of notes. The discount is amortized to May 2017 when the 6.60% Notes mature. We received net proceeds of $297 million, after expenses, which were used to repay outstanding borrowings under our credit agreement. Interest is payable semi-annually.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Historically, real estate transactions have produced seasonal revenue levels for title insurers. The first calendar quarter is typically the</w:t>
      </w:r>
      <w:r>
        <w:rPr>
          <w:rFonts w:ascii="Arial" w:cs="Arial" w:eastAsia="Arial" w:hAnsi="Arial"/>
          <w:sz w:val="17"/>
          <w:szCs w:val="17"/>
          <w:i w:val="1"/>
          <w:iCs w:val="1"/>
          <w:color w:val="auto"/>
        </w:rPr>
        <w:t xml:space="preserve"> </w:t>
      </w:r>
      <w:r>
        <w:rPr>
          <w:rFonts w:ascii="Arial" w:cs="Arial" w:eastAsia="Arial" w:hAnsi="Arial"/>
          <w:sz w:val="17"/>
          <w:szCs w:val="17"/>
          <w:color w:val="auto"/>
        </w:rPr>
        <w:t>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 and the implementation and subsequent expiration of government programs designed to stimulate the real estate market. During 2012 and the first three months of 2013, we experienced an increase in existing home sales to the highest volume levels since 2007. We have also seen a decline in total housing inventory to the lowest levels since 2005.</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Restaurant Group, average weekly sales per restaurant are typically higher in the first and fourth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Changes have been made to our payout schedule for Notes payable, specifically related to Remy's Term B Loan.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ending March 31, 2013, Remy entered into a $300 million Term B Amendment to refinance the existing $287 million Term B Loan and extend the maturity from December 17, 2016 to March 5, 2020. See the "financing" section above as well as Note F in the Condensed Consolidated Financial Statements for further information on this obligation.</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Capital Stock Transactions</w:t>
      </w:r>
      <w:r>
        <w:rPr>
          <w:rFonts w:ascii="Arial" w:cs="Arial" w:eastAsia="Arial" w:hAnsi="Arial"/>
          <w:sz w:val="16"/>
          <w:szCs w:val="16"/>
          <w:color w:val="auto"/>
        </w:rPr>
        <w:t>. On July 21, 2012, our Board of Directors approved a three-year stock purchase program, effective August 1, 2012, under</w:t>
      </w:r>
      <w:r>
        <w:rPr>
          <w:rFonts w:ascii="Arial" w:cs="Arial" w:eastAsia="Arial" w:hAnsi="Arial"/>
          <w:sz w:val="16"/>
          <w:szCs w:val="16"/>
          <w:i w:val="1"/>
          <w:iCs w:val="1"/>
          <w:color w:val="auto"/>
        </w:rPr>
        <w:t xml:space="preserve"> </w:t>
      </w:r>
      <w:r>
        <w:rPr>
          <w:rFonts w:ascii="Arial" w:cs="Arial" w:eastAsia="Arial" w:hAnsi="Arial"/>
          <w:sz w:val="16"/>
          <w:szCs w:val="16"/>
          <w:color w:val="auto"/>
        </w:rPr>
        <w:t>which we can repurchase up to 15 million shares of our common stock through July 31, 2015. We may make repurchases from time to time in the open market, in block purchases or in privately negotiated transactions, depending on market conditions and other factors. In the three months ended March 31, 2013, we repurchased 1,400,000 shares for $34 million, or an average of $24.11 per share. Subsequent to March 31, 2013 through market close on May 1, 2013, we did not purchase any additional shares. Since the original commencement of the plan on August 1, 2012, we have repurchased a total of 2,080,000 shares for $50 million, or an average of $23.89 per share, and there are 12,920,000 shares available to be repurchased under this program.</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Equity Security and Preferred Stock Investments. </w:t>
      </w:r>
      <w:r>
        <w:rPr>
          <w:rFonts w:ascii="Arial" w:cs="Arial" w:eastAsia="Arial" w:hAnsi="Arial"/>
          <w:sz w:val="18"/>
          <w:szCs w:val="18"/>
          <w:color w:val="auto"/>
        </w:rPr>
        <w:t>Our equity security and preferred stock investments may be subject to significant volatility. Should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1, 2009, pursuant to an investment agreement between us and FIS dated March 31, 2009 (the “Investment Agreement”), we invested a total of $50 million in FIS common stock in connection with a merger between FIS and Metavante Technologies, Inc. Under the terms of the Investment Agreement, we purchased 3,215,434 shares of FIS’s common stock at a price of $15.55 per share. Additionally, we received a transaction fee of $2 million from FIS. During the third quarter of 2010, we sold 1,611,574 shares as part of a tender offer by FIS at $29.00 per share for a realized gain of $22 million. The fair value of our remaining investment was $64 million as of March 31, 2013.</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We do not engage in off-balance sheet activities other than facility and equipment leasing arrangements. On June 29,</w:t>
      </w:r>
      <w:r>
        <w:rPr>
          <w:rFonts w:ascii="Arial" w:cs="Arial" w:eastAsia="Arial" w:hAnsi="Arial"/>
          <w:sz w:val="18"/>
          <w:szCs w:val="18"/>
          <w:i w:val="1"/>
          <w:iCs w:val="1"/>
          <w:color w:val="auto"/>
        </w:rPr>
        <w:t xml:space="preserve"> </w:t>
      </w:r>
      <w:r>
        <w:rPr>
          <w:rFonts w:ascii="Arial" w:cs="Arial" w:eastAsia="Arial" w:hAnsi="Arial"/>
          <w:sz w:val="18"/>
          <w:szCs w:val="18"/>
          <w:color w:val="auto"/>
        </w:rPr>
        <w:t>2004 we entered into an off-balance sheet financing arrangement (commonly referred to as a “synthetic lease”). The owner/lessor in this arrangement acquired land and various real property improvements associated with new construction of an office building in Jacksonville, Florida, at our corporate campus and headquarters. The lessor financed the acquisition of the facilities through funding provided by third-party financial institutions. On June 27, 2011, we renewed and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amended the synthetic lease for the facilities. The amended synthetic lease provides for a five year term ending June 27, 2016 and had an outstanding balance as of March 31, 2013 of $71.3 million. The amended lease includes guarantees by us of up to 83.0% of the outstanding lease balance, and options to purchase the facilities at the outstanding lease balance. The guarantee becomes effective if we decline to purchase the facilities or renew the lease at the end of its term. The lessor is a third-party company and we have no affiliation or relationship with the lessor or any of its employees, directors or affiliates, and transactions with the lessor are limited to the operating lease agreements and the associated rent expense that have been included in other operating expenses in the Condensed Consolidated Statements of Earnings. We do not believe the lessor is a variable interest entity, as defined in the FASB standard on consolidation of variable interest entities.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have been no material changes in our critical accounting policies described in our Annual Report on Form 10-K for our fiscal year ended December 31, 2012.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2012.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Exchange Act. Based on this evaluation, our principal executive officer and principal financial officer concluded that our disclosure controls and procedures are effective to ensure that information required to be disclosed by the Company in the reports that we file or submit under the Act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2013 that have materially affected, or are reasonably likely to materially affect,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See discussion of legal proceedings in Note G to the Condensed Consolidated Financial Statements included in Item 1 of Part I of this Report, which is incorporated by reference into this Part II, Item 1, as well as Item 3. Legal Proceedings, in our Annual Report on Form 10-K for the year ended December 31, 2012.</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purchases of equity securities by the issuer during the quarter ended March 31, 2013.</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2"/>
              </w:rPr>
              <w:t>(c) Total Number of Shares</w:t>
            </w:r>
          </w:p>
        </w:tc>
        <w:tc>
          <w:tcPr>
            <w:tcW w:w="120" w:type="dxa"/>
            <w:vAlign w:val="bottom"/>
          </w:tcPr>
          <w:p>
            <w:pPr>
              <w:spacing w:after="0"/>
              <w:rPr>
                <w:sz w:val="14"/>
                <w:szCs w:val="14"/>
                <w:color w:val="auto"/>
              </w:rPr>
            </w:pPr>
          </w:p>
        </w:tc>
        <w:tc>
          <w:tcPr>
            <w:tcW w:w="1780" w:type="dxa"/>
            <w:vAlign w:val="bottom"/>
          </w:tcPr>
          <w:p>
            <w:pPr>
              <w:jc w:val="right"/>
              <w:ind w:right="48"/>
              <w:spacing w:after="0"/>
              <w:rPr>
                <w:sz w:val="20"/>
                <w:szCs w:val="20"/>
                <w:color w:val="auto"/>
              </w:rPr>
            </w:pPr>
            <w:r>
              <w:rPr>
                <w:rFonts w:ascii="Arial" w:cs="Arial" w:eastAsia="Arial" w:hAnsi="Arial"/>
                <w:sz w:val="14"/>
                <w:szCs w:val="14"/>
                <w:b w:val="1"/>
                <w:bCs w:val="1"/>
                <w:color w:val="auto"/>
              </w:rPr>
              <w:t>(d) Maximum Number of</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 Total Number of Shares</w:t>
            </w:r>
          </w:p>
        </w:tc>
        <w:tc>
          <w:tcPr>
            <w:tcW w:w="120" w:type="dxa"/>
            <w:vAlign w:val="bottom"/>
          </w:tcPr>
          <w:p>
            <w:pPr>
              <w:spacing w:after="0"/>
              <w:rPr>
                <w:sz w:val="12"/>
                <w:szCs w:val="12"/>
                <w:color w:val="auto"/>
              </w:rPr>
            </w:pPr>
          </w:p>
        </w:tc>
        <w:tc>
          <w:tcPr>
            <w:tcW w:w="1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(b) Average Price Paid per</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 the Plans</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 Program (1)</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(2)</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1/1/2013 - 1/31/2013</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60,000</w:t>
            </w:r>
          </w:p>
        </w:tc>
        <w:tc>
          <w:tcPr>
            <w:tcW w:w="54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24.46</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60,000</w:t>
            </w:r>
          </w:p>
        </w:tc>
        <w:tc>
          <w:tcPr>
            <w:tcW w:w="19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14,260,000</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2/1/2013 - 2/28/2013</w:t>
            </w:r>
          </w:p>
        </w:tc>
        <w:tc>
          <w:tcPr>
            <w:tcW w:w="120" w:type="dxa"/>
            <w:vAlign w:val="bottom"/>
          </w:tcPr>
          <w:p>
            <w:pPr>
              <w:spacing w:after="0"/>
              <w:rPr>
                <w:sz w:val="21"/>
                <w:szCs w:val="21"/>
                <w:color w:val="auto"/>
              </w:rPr>
            </w:pPr>
          </w:p>
        </w:tc>
        <w:tc>
          <w:tcPr>
            <w:tcW w:w="1780" w:type="dxa"/>
            <w:vAlign w:val="bottom"/>
          </w:tcPr>
          <w:p>
            <w:pPr>
              <w:jc w:val="right"/>
              <w:ind w:right="16"/>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21"/>
                <w:szCs w:val="21"/>
                <w:color w:val="auto"/>
              </w:rPr>
            </w:pPr>
          </w:p>
        </w:tc>
        <w:tc>
          <w:tcPr>
            <w:tcW w:w="1780" w:type="dxa"/>
            <w:vAlign w:val="bottom"/>
          </w:tcPr>
          <w:p>
            <w:pPr>
              <w:jc w:val="right"/>
              <w:ind w:right="19"/>
              <w:spacing w:after="0"/>
              <w:rPr>
                <w:sz w:val="20"/>
                <w:szCs w:val="20"/>
                <w:color w:val="auto"/>
              </w:rPr>
            </w:pPr>
            <w:r>
              <w:rPr>
                <w:rFonts w:ascii="Arial" w:cs="Arial" w:eastAsia="Arial" w:hAnsi="Arial"/>
                <w:sz w:val="18"/>
                <w:szCs w:val="18"/>
                <w:color w:val="auto"/>
              </w:rPr>
              <w:t>80,000</w:t>
            </w:r>
          </w:p>
        </w:tc>
        <w:tc>
          <w:tcPr>
            <w:tcW w:w="1900" w:type="dxa"/>
            <w:vAlign w:val="bottom"/>
            <w:gridSpan w:val="2"/>
          </w:tcPr>
          <w:p>
            <w:pPr>
              <w:jc w:val="right"/>
              <w:ind w:right="28"/>
              <w:spacing w:after="0"/>
              <w:rPr>
                <w:sz w:val="20"/>
                <w:szCs w:val="20"/>
                <w:color w:val="auto"/>
              </w:rPr>
            </w:pPr>
            <w:r>
              <w:rPr>
                <w:rFonts w:ascii="Arial" w:cs="Arial" w:eastAsia="Arial" w:hAnsi="Arial"/>
                <w:sz w:val="18"/>
                <w:szCs w:val="18"/>
                <w:color w:val="auto"/>
              </w:rPr>
              <w:t>14,180,000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3/1/2013 - 3/31/2013</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1,260,000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1,260,000</w:t>
            </w:r>
          </w:p>
        </w:tc>
        <w:tc>
          <w:tcPr>
            <w:tcW w:w="19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12,920,000</w:t>
            </w:r>
          </w:p>
        </w:tc>
        <w:tc>
          <w:tcPr>
            <w:tcW w:w="0" w:type="dxa"/>
            <w:vAlign w:val="bottom"/>
          </w:tcPr>
          <w:p>
            <w:pPr>
              <w:spacing w:after="0"/>
              <w:rPr>
                <w:sz w:val="1"/>
                <w:szCs w:val="1"/>
                <w:color w:val="auto"/>
              </w:rPr>
            </w:pPr>
          </w:p>
        </w:tc>
      </w:tr>
      <w:tr>
        <w:trPr>
          <w:trHeight w:val="237"/>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7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1,400,000</w:t>
            </w:r>
          </w:p>
        </w:tc>
        <w:tc>
          <w:tcPr>
            <w:tcW w:w="5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20"/>
                <w:szCs w:val="20"/>
                <w:color w:val="auto"/>
              </w:rPr>
            </w:pPr>
          </w:p>
        </w:tc>
        <w:tc>
          <w:tcPr>
            <w:tcW w:w="17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1,400,000</w:t>
            </w: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300" w:right="20" w:hanging="129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July 21, 2012, our Board of Directors approved a three-year stock repurchase program, effective August 1, 2012. Under the stock repurchase program, we can repurchase up to 15 million shares or our common stock.</w:t>
      </w:r>
    </w:p>
    <w:p>
      <w:pPr>
        <w:spacing w:after="0" w:line="62" w:lineRule="exact"/>
        <w:rPr>
          <w:rFonts w:ascii="Arial" w:cs="Arial" w:eastAsia="Arial" w:hAnsi="Arial"/>
          <w:sz w:val="18"/>
          <w:szCs w:val="18"/>
          <w:color w:val="auto"/>
        </w:rPr>
      </w:pPr>
    </w:p>
    <w:p>
      <w:pPr>
        <w:ind w:left="1300" w:hanging="129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2020" w:type="dxa"/>
            <w:vAlign w:val="bottom"/>
            <w:gridSpan w:val="2"/>
          </w:tcPr>
          <w:p>
            <w:pPr>
              <w:spacing w:after="0"/>
              <w:rPr>
                <w:rFonts w:ascii="Arial" w:cs="Arial" w:eastAsia="Arial" w:hAnsi="Arial"/>
                <w:sz w:val="18"/>
                <w:szCs w:val="18"/>
                <w:b w:val="1"/>
                <w:bCs w:val="1"/>
                <w:color w:val="0000FF"/>
              </w:rPr>
            </w:pPr>
            <w:hyperlink w:anchor="page1">
              <w:r>
                <w:rPr>
                  <w:rFonts w:ascii="Arial" w:cs="Arial" w:eastAsia="Arial" w:hAnsi="Arial"/>
                  <w:sz w:val="18"/>
                  <w:szCs w:val="18"/>
                  <w:b w:val="1"/>
                  <w:bCs w:val="1"/>
                  <w:color w:val="0000FF"/>
                </w:rPr>
                <w:t>Table of Contents</w:t>
              </w:r>
            </w:hyperlink>
          </w:p>
        </w:tc>
        <w:tc>
          <w:tcPr>
            <w:tcW w:w="9380" w:type="dxa"/>
            <w:vAlign w:val="bottom"/>
          </w:tcPr>
          <w:p>
            <w:pPr>
              <w:spacing w:after="0"/>
              <w:rPr>
                <w:sz w:val="17"/>
                <w:szCs w:val="17"/>
                <w:color w:val="auto"/>
              </w:rPr>
            </w:pPr>
          </w:p>
        </w:tc>
      </w:tr>
      <w:tr>
        <w:trPr>
          <w:trHeight w:val="480"/>
        </w:trPr>
        <w:tc>
          <w:tcPr>
            <w:tcW w:w="136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Item 6. Exhibits</w:t>
            </w:r>
          </w:p>
        </w:tc>
        <w:tc>
          <w:tcPr>
            <w:tcW w:w="660" w:type="dxa"/>
            <w:vAlign w:val="bottom"/>
          </w:tcPr>
          <w:p>
            <w:pPr>
              <w:spacing w:after="0"/>
              <w:rPr>
                <w:sz w:val="24"/>
                <w:szCs w:val="24"/>
                <w:color w:val="auto"/>
              </w:rPr>
            </w:pPr>
          </w:p>
        </w:tc>
        <w:tc>
          <w:tcPr>
            <w:tcW w:w="9380" w:type="dxa"/>
            <w:vAlign w:val="bottom"/>
          </w:tcPr>
          <w:p>
            <w:pPr>
              <w:spacing w:after="0"/>
              <w:rPr>
                <w:sz w:val="24"/>
                <w:szCs w:val="24"/>
                <w:color w:val="auto"/>
              </w:rPr>
            </w:pPr>
          </w:p>
        </w:tc>
      </w:tr>
      <w:tr>
        <w:trPr>
          <w:trHeight w:val="324"/>
        </w:trPr>
        <w:tc>
          <w:tcPr>
            <w:tcW w:w="2020" w:type="dxa"/>
            <w:vAlign w:val="bottom"/>
            <w:gridSpan w:val="2"/>
          </w:tcPr>
          <w:p>
            <w:pPr>
              <w:ind w:left="240"/>
              <w:spacing w:after="0"/>
              <w:rPr>
                <w:sz w:val="20"/>
                <w:szCs w:val="20"/>
                <w:color w:val="auto"/>
              </w:rPr>
            </w:pPr>
            <w:r>
              <w:rPr>
                <w:rFonts w:ascii="Arial" w:cs="Arial" w:eastAsia="Arial" w:hAnsi="Arial"/>
                <w:sz w:val="18"/>
                <w:szCs w:val="18"/>
                <w:color w:val="auto"/>
              </w:rPr>
              <w:t>(a) Exhibits:</w:t>
            </w:r>
          </w:p>
        </w:tc>
        <w:tc>
          <w:tcPr>
            <w:tcW w:w="9380" w:type="dxa"/>
            <w:vAlign w:val="bottom"/>
          </w:tcPr>
          <w:p>
            <w:pPr>
              <w:spacing w:after="0"/>
              <w:rPr>
                <w:sz w:val="24"/>
                <w:szCs w:val="24"/>
                <w:color w:val="auto"/>
              </w:rPr>
            </w:pPr>
          </w:p>
        </w:tc>
      </w:tr>
      <w:tr>
        <w:trPr>
          <w:trHeight w:val="364"/>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10.1</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3"/>
              </w:rPr>
              <w:t>Amended and Restated Term B Loan Credit Agreement, dated as of March 5, 2013, among Remy International, Inc.,</w:t>
            </w: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Bank of America, N.A., Merrill Lynch, Pierce, Fenner &amp; Smith, Incorporated, UBS Securities LLC, Wells Fargo</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Securities, LLC, Deutsche Bank Securities Inc., and Wells Fargo Bank, N.A.</w:t>
            </w:r>
          </w:p>
        </w:tc>
      </w:tr>
      <w:tr>
        <w:trPr>
          <w:trHeight w:val="526"/>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10.2</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4"/>
              </w:rPr>
              <w:t>First Amendment to Credit Agreement, dated as of March 5, 2013, among Remy International, Inc., Western Reman</w:t>
            </w: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3"/>
              </w:rPr>
              <w:t>Industrial, Inc., Power Investments, Inc., Remy Electric Motors, L.L.C., Reman Holdings, L.L.C., Remy India Holdings,</w:t>
            </w: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4"/>
              </w:rPr>
              <w:t>Inc., Remy Technologies, L.L.C., Remy Korea Holdings, L.L.C., Remy Inc., Remy International Holdings, Inc., Remy</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Power Products, LLC, World Wide Automotive, L.L.C., Wells Fargo Capital Finance, LLC.</w:t>
            </w:r>
          </w:p>
        </w:tc>
      </w:tr>
      <w:tr>
        <w:trPr>
          <w:trHeight w:val="742"/>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10.3</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0"/>
              </w:rPr>
              <w:t>Form of Notice of Long-Term Investment Success Performance Award Agreement - Tier 1 under Amended and Restated</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Fidelity National Financial, Inc. 2005 Omnibus Incentive Plan</w:t>
            </w:r>
          </w:p>
        </w:tc>
      </w:tr>
      <w:tr>
        <w:trPr>
          <w:trHeight w:val="526"/>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10.4</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0"/>
              </w:rPr>
              <w:t>Form of Notice of Long-Term Investment Success Performance Award Agreement - Tier 2 under Amended and Restated</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Fidelity National Financial, Inc. 2005 Omnibus Incentive Plan</w:t>
            </w:r>
          </w:p>
        </w:tc>
      </w:tr>
      <w:tr>
        <w:trPr>
          <w:trHeight w:val="540"/>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31.1</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31.2</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26"/>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32.1</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4"/>
              </w:rPr>
              <w:t>Certification by Chief Executive Officer of Periodic Financial Reports pursuant to Section 906 of the Sarbanes-Oxley</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Act of 2002, 18 U.S.C. Section 1350.</w:t>
            </w:r>
          </w:p>
        </w:tc>
      </w:tr>
      <w:tr>
        <w:trPr>
          <w:trHeight w:val="526"/>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32.2</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2"/>
              </w:rPr>
              <w:t>Certification by Chief Financial Officer of Periodic Financial Reports pursuant to Section 906 of the Sarbanes-Oxley Act</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of 2002, 18 U.S.C. Section 1350.</w:t>
            </w:r>
          </w:p>
        </w:tc>
      </w:tr>
      <w:tr>
        <w:trPr>
          <w:trHeight w:val="526"/>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3"/>
              </w:rPr>
              <w:t>101</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3"/>
              </w:rPr>
              <w:t>The following materials from Fidelity National Financial's Quarterly Report on Form 10-Q for the quarter ended March</w:t>
            </w: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6"/>
              </w:rPr>
              <w:t>31, 2013, formatted in Extensible Business Reporting Language (XBRL): (i) the Condensed Consolidated Balance</w:t>
            </w: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6"/>
              </w:rPr>
              <w:t>Sheets, (ii) the Condensed Consolidated Statements of Earnings, (iii) the Condensed Consolidated Statements of</w:t>
            </w: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5"/>
              </w:rPr>
              <w:t>Comprehensive Earnings, (iv) the Condensed Consolidated Statements of Stockholders' Equity, (v) the Condensed</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Consolidated Statements of Cash Flows, and (vi) the Notes to the Consolidated Financial Statements.</w:t>
            </w:r>
          </w:p>
        </w:tc>
      </w:tr>
      <w:tr>
        <w:trPr>
          <w:trHeight w:val="702"/>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380" w:type="dxa"/>
            <w:vAlign w:val="bottom"/>
          </w:tcPr>
          <w:p>
            <w:pPr>
              <w:ind w:left="360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400"/>
          </w:cols>
          <w:pgMar w:left="240" w:top="108"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Date: May 1, 2013</w:t>
            </w:r>
          </w:p>
        </w:tc>
        <w:tc>
          <w:tcPr>
            <w:tcW w:w="6520" w:type="dxa"/>
            <w:vAlign w:val="bottom"/>
            <w:gridSpan w:val="2"/>
          </w:tcPr>
          <w:p>
            <w:pPr>
              <w:ind w:left="1820"/>
              <w:spacing w:after="0"/>
              <w:rPr>
                <w:sz w:val="20"/>
                <w:szCs w:val="20"/>
                <w:color w:val="auto"/>
              </w:rPr>
            </w:pPr>
            <w:r>
              <w:rPr>
                <w:rFonts w:ascii="Arial" w:cs="Arial" w:eastAsia="Arial" w:hAnsi="Arial"/>
                <w:sz w:val="18"/>
                <w:szCs w:val="18"/>
                <w:color w:val="auto"/>
              </w:rPr>
              <w:t>FIDELITY NATIONAL FINANCIAL, INC.</w:t>
            </w:r>
          </w:p>
        </w:tc>
      </w:tr>
      <w:tr>
        <w:trPr>
          <w:trHeight w:val="230"/>
        </w:trPr>
        <w:tc>
          <w:tcPr>
            <w:tcW w:w="3180" w:type="dxa"/>
            <w:vAlign w:val="bottom"/>
          </w:tcPr>
          <w:p>
            <w:pPr>
              <w:spacing w:after="0"/>
              <w:rPr>
                <w:sz w:val="20"/>
                <w:szCs w:val="20"/>
                <w:color w:val="auto"/>
              </w:rPr>
            </w:pPr>
          </w:p>
        </w:tc>
        <w:tc>
          <w:tcPr>
            <w:tcW w:w="6520" w:type="dxa"/>
            <w:vAlign w:val="bottom"/>
            <w:gridSpan w:val="2"/>
          </w:tcPr>
          <w:p>
            <w:pPr>
              <w:ind w:left="1820"/>
              <w:spacing w:after="0"/>
              <w:rPr>
                <w:sz w:val="20"/>
                <w:szCs w:val="20"/>
                <w:color w:val="auto"/>
              </w:rPr>
            </w:pPr>
            <w:r>
              <w:rPr>
                <w:rFonts w:ascii="Arial" w:cs="Arial" w:eastAsia="Arial" w:hAnsi="Arial"/>
                <w:sz w:val="18"/>
                <w:szCs w:val="18"/>
                <w:color w:val="auto"/>
              </w:rPr>
              <w:t>(registrant)</w:t>
            </w:r>
          </w:p>
        </w:tc>
      </w:tr>
      <w:tr>
        <w:trPr>
          <w:trHeight w:val="486"/>
        </w:trPr>
        <w:tc>
          <w:tcPr>
            <w:tcW w:w="3180" w:type="dxa"/>
            <w:vAlign w:val="bottom"/>
          </w:tcPr>
          <w:p>
            <w:pPr>
              <w:spacing w:after="0"/>
              <w:rPr>
                <w:sz w:val="24"/>
                <w:szCs w:val="24"/>
                <w:color w:val="auto"/>
              </w:rPr>
            </w:pPr>
          </w:p>
        </w:tc>
        <w:tc>
          <w:tcPr>
            <w:tcW w:w="6520" w:type="dxa"/>
            <w:vAlign w:val="bottom"/>
            <w:gridSpan w:val="2"/>
          </w:tcPr>
          <w:p>
            <w:pPr>
              <w:ind w:left="1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tc>
      </w:tr>
      <w:tr>
        <w:trPr>
          <w:trHeight w:val="27"/>
        </w:trPr>
        <w:tc>
          <w:tcPr>
            <w:tcW w:w="3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Anthony J. Park</w:t>
            </w:r>
          </w:p>
        </w:tc>
      </w:tr>
      <w:tr>
        <w:trPr>
          <w:trHeight w:val="256"/>
        </w:trPr>
        <w:tc>
          <w:tcPr>
            <w:tcW w:w="31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3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486"/>
        </w:trPr>
        <w:tc>
          <w:tcPr>
            <w:tcW w:w="3180" w:type="dxa"/>
            <w:vAlign w:val="bottom"/>
          </w:tcPr>
          <w:p>
            <w:pPr>
              <w:spacing w:after="0"/>
              <w:rPr>
                <w:sz w:val="24"/>
                <w:szCs w:val="24"/>
                <w:color w:val="auto"/>
              </w:rPr>
            </w:pP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430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380"/>
              <w:spacing w:after="0"/>
              <w:rPr>
                <w:sz w:val="20"/>
                <w:szCs w:val="20"/>
                <w:color w:val="auto"/>
              </w:rPr>
            </w:pPr>
            <w:r>
              <w:rPr>
                <w:rFonts w:ascii="Arial" w:cs="Arial" w:eastAsia="Arial" w:hAnsi="Arial"/>
                <w:sz w:val="18"/>
                <w:szCs w:val="18"/>
                <w:b w:val="1"/>
                <w:bCs w:val="1"/>
                <w:color w:val="auto"/>
              </w:rPr>
              <w:t>EXHIBIT INDEX</w:t>
            </w:r>
          </w:p>
        </w:tc>
      </w:tr>
      <w:tr>
        <w:trPr>
          <w:trHeight w:val="326"/>
        </w:trPr>
        <w:tc>
          <w:tcPr>
            <w:tcW w:w="264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8"/>
              </w:rPr>
              <w:t>Exhibit</w:t>
            </w:r>
          </w:p>
        </w:tc>
        <w:tc>
          <w:tcPr>
            <w:tcW w:w="8780" w:type="dxa"/>
            <w:vAlign w:val="bottom"/>
          </w:tcPr>
          <w:p>
            <w:pPr>
              <w:spacing w:after="0"/>
              <w:rPr>
                <w:sz w:val="24"/>
                <w:szCs w:val="24"/>
                <w:color w:val="auto"/>
              </w:rPr>
            </w:pPr>
          </w:p>
        </w:tc>
      </w:tr>
      <w:tr>
        <w:trPr>
          <w:trHeight w:val="209"/>
        </w:trPr>
        <w:tc>
          <w:tcPr>
            <w:tcW w:w="264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88"/>
              </w:rPr>
              <w:t>No.</w:t>
            </w:r>
          </w:p>
        </w:tc>
        <w:tc>
          <w:tcPr>
            <w:tcW w:w="8780" w:type="dxa"/>
            <w:vAlign w:val="bottom"/>
          </w:tcPr>
          <w:p>
            <w:pPr>
              <w:ind w:left="404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10.1</w:t>
            </w:r>
          </w:p>
        </w:tc>
        <w:tc>
          <w:tcPr>
            <w:tcW w:w="1480" w:type="dxa"/>
            <w:vAlign w:val="bottom"/>
          </w:tcPr>
          <w:p>
            <w:pPr>
              <w:spacing w:after="0"/>
              <w:rPr>
                <w:sz w:val="19"/>
                <w:szCs w:val="19"/>
                <w:color w:val="auto"/>
              </w:rPr>
            </w:pPr>
          </w:p>
        </w:tc>
        <w:tc>
          <w:tcPr>
            <w:tcW w:w="8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4"/>
              </w:rPr>
              <w:t>Amended and Restated Term B Loan Credit Agreement, dated as of March 5, 2013, among Remy International, Inc.,</w:t>
            </w:r>
          </w:p>
        </w:tc>
      </w:tr>
      <w:tr>
        <w:trPr>
          <w:trHeight w:val="216"/>
        </w:trPr>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Bank of America, N.A., Merrill Lynch, Pierce, Fenner &amp; Smith, Incorporated, UBS Securities LLC, Wells Fargo</w:t>
            </w:r>
          </w:p>
        </w:tc>
      </w:tr>
      <w:tr>
        <w:trPr>
          <w:trHeight w:val="230"/>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Securities, LLC, Deutsche Bank Securities Inc., and Wells Fargo Bank, N.A.</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4"/>
              </w:rPr>
              <w:t>First Amendment to Credit Agreement, dated as of March 5, 2013, among Remy International, Inc., Western Reman</w:t>
            </w:r>
          </w:p>
        </w:tc>
      </w:tr>
      <w:tr>
        <w:trPr>
          <w:trHeight w:val="216"/>
        </w:trPr>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3"/>
              </w:rPr>
              <w:t>Industrial, Inc., Power Investments, Inc., Remy Electric Motors, L.L.C., Reman Holdings, L.L.C., Remy India Holdings,</w:t>
            </w:r>
          </w:p>
        </w:tc>
      </w:tr>
      <w:tr>
        <w:trPr>
          <w:trHeight w:val="216"/>
        </w:trPr>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4"/>
              </w:rPr>
              <w:t>Inc., Remy Technologies, L.L.C., Remy Korea Holdings, L.L.C., Remy Inc., Remy International Holdings, Inc., Remy</w:t>
            </w:r>
          </w:p>
        </w:tc>
      </w:tr>
      <w:tr>
        <w:trPr>
          <w:trHeight w:val="230"/>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Power Products, LLC, World Wide Automotive, L.L.C., Wells Fargo Capital Finance, LLC.</w:t>
            </w:r>
          </w:p>
        </w:tc>
      </w:tr>
      <w:tr>
        <w:trPr>
          <w:trHeight w:val="74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0"/>
              </w:rPr>
              <w:t>Form of Notice of Long-Term Investment Success Performance Award Agreement - Tier 1 under Amended and Restated</w:t>
            </w:r>
          </w:p>
        </w:tc>
      </w:tr>
      <w:tr>
        <w:trPr>
          <w:trHeight w:val="230"/>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Fidelity National Financial, Inc. 2005 Omnibus Incentive Plan</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0"/>
              </w:rPr>
              <w:t>Form of Notice of Long-Term Investment Success Performance Award Agreement - Tier 2 under Amended and Restated</w:t>
            </w:r>
          </w:p>
        </w:tc>
      </w:tr>
      <w:tr>
        <w:trPr>
          <w:trHeight w:val="230"/>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Fidelity National Financial, Inc. 2005 Omnibus Incentive Plan</w:t>
            </w:r>
          </w:p>
        </w:tc>
      </w:tr>
      <w:tr>
        <w:trPr>
          <w:trHeight w:val="54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4"/>
              </w:rPr>
              <w:t>Certification by Chief Executive Officer of Periodic Financial Reports pursuant to Section 906 of the Sarbanes-Oxley</w:t>
            </w:r>
          </w:p>
        </w:tc>
      </w:tr>
      <w:tr>
        <w:trPr>
          <w:trHeight w:val="230"/>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Act of 2002, 18 U.S.C. Section 1350.</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2"/>
              </w:rPr>
              <w:t>Certification by Chief Financial Officer of Periodic Financial Reports pursuant to Section 906 of the Sarbanes-Oxley Act</w:t>
            </w:r>
          </w:p>
        </w:tc>
      </w:tr>
      <w:tr>
        <w:trPr>
          <w:trHeight w:val="230"/>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of 2002, 18 U.S.C. Section 1350.</w:t>
            </w:r>
          </w:p>
        </w:tc>
      </w:tr>
      <w:tr>
        <w:trPr>
          <w:trHeight w:val="499"/>
        </w:trPr>
        <w:tc>
          <w:tcPr>
            <w:tcW w:w="116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3"/>
              </w:rPr>
              <w:t>The following materials from Fidelity National Financial's Quarterly Report on Form 10-Q for the quarter ended March</w:t>
            </w:r>
          </w:p>
        </w:tc>
      </w:tr>
      <w:tr>
        <w:trPr>
          <w:trHeight w:val="230"/>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6"/>
              </w:rPr>
              <w:t>31, 2013, formatted in Extensible Business Reporting Language (XBRL): (i) the Condensed Consolidated Balance</w:t>
            </w:r>
          </w:p>
        </w:tc>
      </w:tr>
    </w:tbl>
    <w:p>
      <w:pPr>
        <w:jc w:val="both"/>
        <w:ind w:left="2660" w:right="40"/>
        <w:spacing w:after="0" w:line="277" w:lineRule="auto"/>
        <w:rPr>
          <w:sz w:val="20"/>
          <w:szCs w:val="20"/>
          <w:color w:val="auto"/>
        </w:rPr>
      </w:pPr>
      <w:r>
        <w:rPr>
          <w:rFonts w:ascii="Arial" w:cs="Arial" w:eastAsia="Arial" w:hAnsi="Arial"/>
          <w:sz w:val="17"/>
          <w:szCs w:val="17"/>
          <w:color w:val="auto"/>
        </w:rPr>
        <w:t>Sheets, (ii) the Condensed Consolidated Statements of Earnings, (iii) the Condensed Consolidated Statements of Comprehensive Earnings, (iv) the Condensed Consolidated Statements of Stockholders' Equity, (v) the Condensed Consolidated Statements of Cash Flows, and (vi) the Notes to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1" w:name="page42"/>
    <w:bookmarkEnd w:id="41"/>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73025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Deal CUSIP Number: 75966FAL4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Term B Facility CUSIP Number: 75966FAM2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AMENDED AND RESTATED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TERM B LOAN CREDIT AGREEMENT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Dated as of March 5, 2013</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REMY INTERNATIONAL,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BANK OF AMERICA, N.A.,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as Administrative Agent,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Other Lenders Party Hereto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MERRILL LYNCH, PIERCE, FENNER &amp; SMITH, INCORPORATED,</w:t>
      </w:r>
    </w:p>
    <w:p>
      <w:pPr>
        <w:spacing w:after="0" w:line="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WELLS FARGO SECURITIES, LLC, and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as Joint Lead Arrangers</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WELLS FARGO BANK, N.A., and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as Co-Syndication Agents</w:t>
      </w:r>
    </w:p>
    <w:p>
      <w:pPr>
        <w:spacing w:after="0" w:line="211" w:lineRule="exact"/>
        <w:rPr>
          <w:sz w:val="20"/>
          <w:szCs w:val="20"/>
          <w:color w:val="auto"/>
        </w:rPr>
      </w:pPr>
    </w:p>
    <w:p>
      <w:pPr>
        <w:ind w:left="4520" w:right="2680" w:hanging="2217"/>
        <w:spacing w:after="0" w:line="277" w:lineRule="auto"/>
        <w:rPr>
          <w:sz w:val="20"/>
          <w:szCs w:val="20"/>
          <w:color w:val="auto"/>
        </w:rPr>
      </w:pPr>
      <w:r>
        <w:rPr>
          <w:rFonts w:ascii="Arial" w:cs="Arial" w:eastAsia="Arial" w:hAnsi="Arial"/>
          <w:sz w:val="18"/>
          <w:szCs w:val="18"/>
          <w:color w:val="auto"/>
        </w:rPr>
        <w:t>MERRILL LYNCH, PIERCE, FENNER &amp; SMITH, INCORPORATED, as Book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447675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20"/>
          </w:cols>
          <w:pgMar w:left="1440" w:top="1440" w:right="239" w:bottom="1440" w:gutter="0" w:footer="0" w:header="0"/>
          <w:type w:val="continuous"/>
        </w:sectPr>
      </w:pPr>
    </w:p>
    <w:bookmarkStart w:id="42" w:name="page43"/>
    <w:bookmarkEnd w:id="42"/>
    <w:p>
      <w:pPr>
        <w:ind w:left="3000"/>
        <w:spacing w:after="0"/>
        <w:rPr>
          <w:sz w:val="20"/>
          <w:szCs w:val="20"/>
          <w:color w:val="auto"/>
        </w:rPr>
      </w:pPr>
      <w:r>
        <w:rPr>
          <w:rFonts w:ascii="Arial" w:cs="Arial" w:eastAsia="Arial" w:hAnsi="Arial"/>
          <w:sz w:val="29"/>
          <w:szCs w:val="29"/>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Section</w:t>
            </w:r>
          </w:p>
        </w:tc>
        <w:tc>
          <w:tcPr>
            <w:tcW w:w="360" w:type="dxa"/>
            <w:vAlign w:val="bottom"/>
          </w:tcPr>
          <w:p>
            <w:pPr>
              <w:spacing w:after="0"/>
              <w:rPr>
                <w:sz w:val="20"/>
                <w:szCs w:val="20"/>
                <w:color w:val="auto"/>
              </w:rPr>
            </w:pPr>
            <w:r>
              <w:rPr>
                <w:rFonts w:ascii="Arial" w:cs="Arial" w:eastAsia="Arial" w:hAnsi="Arial"/>
                <w:sz w:val="18"/>
                <w:szCs w:val="18"/>
                <w:color w:val="auto"/>
                <w:w w:val="80"/>
              </w:rPr>
              <w:t>Page</w:t>
            </w:r>
          </w:p>
        </w:tc>
      </w:tr>
      <w:tr>
        <w:trPr>
          <w:trHeight w:val="20"/>
        </w:trPr>
        <w:tc>
          <w:tcPr>
            <w:tcW w:w="1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291"/>
        </w:trPr>
        <w:tc>
          <w:tcPr>
            <w:tcW w:w="1440" w:type="dxa"/>
            <w:vAlign w:val="bottom"/>
          </w:tcPr>
          <w:p>
            <w:pPr>
              <w:jc w:val="center"/>
              <w:ind w:right="610"/>
              <w:spacing w:after="0"/>
              <w:rPr>
                <w:sz w:val="20"/>
                <w:szCs w:val="20"/>
                <w:color w:val="auto"/>
              </w:rPr>
            </w:pPr>
            <w:r>
              <w:rPr>
                <w:rFonts w:ascii="Arial" w:cs="Arial" w:eastAsia="Arial" w:hAnsi="Arial"/>
                <w:sz w:val="18"/>
                <w:szCs w:val="18"/>
                <w:color w:val="auto"/>
              </w:rPr>
              <w:t>Article I</w:t>
            </w:r>
          </w:p>
        </w:tc>
        <w:tc>
          <w:tcPr>
            <w:tcW w:w="7660" w:type="dxa"/>
            <w:vAlign w:val="bottom"/>
            <w:gridSpan w:val="2"/>
          </w:tcPr>
          <w:p>
            <w:pPr>
              <w:spacing w:after="0"/>
              <w:rPr>
                <w:sz w:val="20"/>
                <w:szCs w:val="20"/>
                <w:color w:val="auto"/>
              </w:rPr>
            </w:pPr>
            <w:r>
              <w:rPr>
                <w:rFonts w:ascii="Arial" w:cs="Arial" w:eastAsia="Arial" w:hAnsi="Arial"/>
                <w:sz w:val="18"/>
                <w:szCs w:val="18"/>
                <w:color w:val="auto"/>
              </w:rPr>
              <w:t>DEFINITIONS AND ACCOUNTING TERMS</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1.01</w:t>
            </w:r>
          </w:p>
        </w:tc>
        <w:tc>
          <w:tcPr>
            <w:tcW w:w="7660" w:type="dxa"/>
            <w:vAlign w:val="bottom"/>
            <w:gridSpan w:val="2"/>
          </w:tcPr>
          <w:p>
            <w:pPr>
              <w:spacing w:after="0"/>
              <w:rPr>
                <w:sz w:val="20"/>
                <w:szCs w:val="20"/>
                <w:color w:val="auto"/>
              </w:rPr>
            </w:pPr>
            <w:r>
              <w:rPr>
                <w:rFonts w:ascii="Arial" w:cs="Arial" w:eastAsia="Arial" w:hAnsi="Arial"/>
                <w:sz w:val="18"/>
                <w:szCs w:val="18"/>
                <w:color w:val="auto"/>
              </w:rPr>
              <w:t>Defined Terms</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1.02</w:t>
            </w:r>
          </w:p>
        </w:tc>
        <w:tc>
          <w:tcPr>
            <w:tcW w:w="7660" w:type="dxa"/>
            <w:vAlign w:val="bottom"/>
            <w:gridSpan w:val="2"/>
          </w:tcPr>
          <w:p>
            <w:pPr>
              <w:spacing w:after="0"/>
              <w:rPr>
                <w:sz w:val="20"/>
                <w:szCs w:val="20"/>
                <w:color w:val="auto"/>
              </w:rPr>
            </w:pPr>
            <w:r>
              <w:rPr>
                <w:rFonts w:ascii="Arial" w:cs="Arial" w:eastAsia="Arial" w:hAnsi="Arial"/>
                <w:sz w:val="18"/>
                <w:szCs w:val="18"/>
                <w:color w:val="auto"/>
              </w:rPr>
              <w:t>Other Interpretive Provisions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1.03</w:t>
            </w:r>
          </w:p>
        </w:tc>
        <w:tc>
          <w:tcPr>
            <w:tcW w:w="7660" w:type="dxa"/>
            <w:vAlign w:val="bottom"/>
            <w:gridSpan w:val="2"/>
          </w:tcPr>
          <w:p>
            <w:pPr>
              <w:spacing w:after="0"/>
              <w:rPr>
                <w:sz w:val="20"/>
                <w:szCs w:val="20"/>
                <w:color w:val="auto"/>
              </w:rPr>
            </w:pPr>
            <w:r>
              <w:rPr>
                <w:rFonts w:ascii="Arial" w:cs="Arial" w:eastAsia="Arial" w:hAnsi="Arial"/>
                <w:sz w:val="18"/>
                <w:szCs w:val="18"/>
                <w:color w:val="auto"/>
              </w:rPr>
              <w:t>Accounting Terms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1.04</w:t>
            </w:r>
          </w:p>
        </w:tc>
        <w:tc>
          <w:tcPr>
            <w:tcW w:w="7660" w:type="dxa"/>
            <w:vAlign w:val="bottom"/>
            <w:gridSpan w:val="2"/>
          </w:tcPr>
          <w:p>
            <w:pPr>
              <w:spacing w:after="0"/>
              <w:rPr>
                <w:sz w:val="20"/>
                <w:szCs w:val="20"/>
                <w:color w:val="auto"/>
              </w:rPr>
            </w:pPr>
            <w:r>
              <w:rPr>
                <w:rFonts w:ascii="Arial" w:cs="Arial" w:eastAsia="Arial" w:hAnsi="Arial"/>
                <w:sz w:val="18"/>
                <w:szCs w:val="18"/>
                <w:color w:val="auto"/>
              </w:rPr>
              <w:t>Rounding</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1.05</w:t>
            </w:r>
          </w:p>
        </w:tc>
        <w:tc>
          <w:tcPr>
            <w:tcW w:w="7660" w:type="dxa"/>
            <w:vAlign w:val="bottom"/>
            <w:gridSpan w:val="2"/>
          </w:tcPr>
          <w:p>
            <w:pPr>
              <w:spacing w:after="0"/>
              <w:rPr>
                <w:sz w:val="20"/>
                <w:szCs w:val="20"/>
                <w:color w:val="auto"/>
              </w:rPr>
            </w:pPr>
            <w:r>
              <w:rPr>
                <w:rFonts w:ascii="Arial" w:cs="Arial" w:eastAsia="Arial" w:hAnsi="Arial"/>
                <w:sz w:val="18"/>
                <w:szCs w:val="18"/>
                <w:color w:val="auto"/>
              </w:rPr>
              <w:t>Times of Day</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1.06</w:t>
            </w:r>
          </w:p>
        </w:tc>
        <w:tc>
          <w:tcPr>
            <w:tcW w:w="7660" w:type="dxa"/>
            <w:vAlign w:val="bottom"/>
            <w:gridSpan w:val="2"/>
          </w:tcPr>
          <w:p>
            <w:pPr>
              <w:spacing w:after="0"/>
              <w:rPr>
                <w:sz w:val="20"/>
                <w:szCs w:val="20"/>
                <w:color w:val="auto"/>
              </w:rPr>
            </w:pPr>
            <w:r>
              <w:rPr>
                <w:rFonts w:ascii="Arial" w:cs="Arial" w:eastAsia="Arial" w:hAnsi="Arial"/>
                <w:sz w:val="18"/>
                <w:szCs w:val="18"/>
                <w:color w:val="auto"/>
              </w:rPr>
              <w:t>Currency Equivalents Generally</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1.07</w:t>
            </w:r>
          </w:p>
        </w:tc>
        <w:tc>
          <w:tcPr>
            <w:tcW w:w="7660" w:type="dxa"/>
            <w:vAlign w:val="bottom"/>
            <w:gridSpan w:val="2"/>
          </w:tcPr>
          <w:p>
            <w:pPr>
              <w:spacing w:after="0"/>
              <w:rPr>
                <w:sz w:val="20"/>
                <w:szCs w:val="20"/>
                <w:color w:val="auto"/>
              </w:rPr>
            </w:pPr>
            <w:r>
              <w:rPr>
                <w:rFonts w:ascii="Arial" w:cs="Arial" w:eastAsia="Arial" w:hAnsi="Arial"/>
                <w:sz w:val="18"/>
                <w:szCs w:val="18"/>
                <w:color w:val="auto"/>
              </w:rPr>
              <w:t>Amendment and Restatement</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rPr>
              <w:t>Article II</w:t>
            </w:r>
          </w:p>
        </w:tc>
        <w:tc>
          <w:tcPr>
            <w:tcW w:w="7660" w:type="dxa"/>
            <w:vAlign w:val="bottom"/>
            <w:gridSpan w:val="2"/>
          </w:tcPr>
          <w:p>
            <w:pPr>
              <w:spacing w:after="0"/>
              <w:rPr>
                <w:sz w:val="20"/>
                <w:szCs w:val="20"/>
                <w:color w:val="auto"/>
              </w:rPr>
            </w:pPr>
            <w:r>
              <w:rPr>
                <w:rFonts w:ascii="Arial" w:cs="Arial" w:eastAsia="Arial" w:hAnsi="Arial"/>
                <w:sz w:val="18"/>
                <w:szCs w:val="18"/>
                <w:color w:val="auto"/>
              </w:rPr>
              <w:t>THE COMMITMENTS AND CREDIT EXTENSIONS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2.01</w:t>
            </w:r>
          </w:p>
        </w:tc>
        <w:tc>
          <w:tcPr>
            <w:tcW w:w="7660" w:type="dxa"/>
            <w:vAlign w:val="bottom"/>
            <w:gridSpan w:val="2"/>
          </w:tcPr>
          <w:p>
            <w:pPr>
              <w:spacing w:after="0"/>
              <w:rPr>
                <w:sz w:val="20"/>
                <w:szCs w:val="20"/>
                <w:color w:val="auto"/>
              </w:rPr>
            </w:pPr>
            <w:r>
              <w:rPr>
                <w:rFonts w:ascii="Arial" w:cs="Arial" w:eastAsia="Arial" w:hAnsi="Arial"/>
                <w:sz w:val="18"/>
                <w:szCs w:val="18"/>
                <w:color w:val="auto"/>
              </w:rPr>
              <w:t>The Loans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2.02</w:t>
            </w:r>
          </w:p>
        </w:tc>
        <w:tc>
          <w:tcPr>
            <w:tcW w:w="7660" w:type="dxa"/>
            <w:vAlign w:val="bottom"/>
            <w:gridSpan w:val="2"/>
          </w:tcPr>
          <w:p>
            <w:pPr>
              <w:spacing w:after="0"/>
              <w:rPr>
                <w:sz w:val="20"/>
                <w:szCs w:val="20"/>
                <w:color w:val="auto"/>
              </w:rPr>
            </w:pPr>
            <w:r>
              <w:rPr>
                <w:rFonts w:ascii="Arial" w:cs="Arial" w:eastAsia="Arial" w:hAnsi="Arial"/>
                <w:sz w:val="18"/>
                <w:szCs w:val="18"/>
                <w:color w:val="auto"/>
              </w:rPr>
              <w:t>Borrowings, Conversions and Continuations of Loans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2.03</w:t>
            </w:r>
          </w:p>
        </w:tc>
        <w:tc>
          <w:tcPr>
            <w:tcW w:w="7660" w:type="dxa"/>
            <w:vAlign w:val="bottom"/>
            <w:gridSpan w:val="2"/>
          </w:tcPr>
          <w:p>
            <w:pPr>
              <w:spacing w:after="0"/>
              <w:rPr>
                <w:sz w:val="20"/>
                <w:szCs w:val="20"/>
                <w:color w:val="auto"/>
              </w:rPr>
            </w:pPr>
            <w:r>
              <w:rPr>
                <w:rFonts w:ascii="Arial" w:cs="Arial" w:eastAsia="Arial" w:hAnsi="Arial"/>
                <w:sz w:val="18"/>
                <w:szCs w:val="18"/>
                <w:color w:val="auto"/>
              </w:rPr>
              <w:t>Prepayments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2.04</w:t>
            </w:r>
          </w:p>
        </w:tc>
        <w:tc>
          <w:tcPr>
            <w:tcW w:w="7660" w:type="dxa"/>
            <w:vAlign w:val="bottom"/>
            <w:gridSpan w:val="2"/>
          </w:tcPr>
          <w:p>
            <w:pPr>
              <w:spacing w:after="0"/>
              <w:rPr>
                <w:sz w:val="20"/>
                <w:szCs w:val="20"/>
                <w:color w:val="auto"/>
              </w:rPr>
            </w:pPr>
            <w:r>
              <w:rPr>
                <w:rFonts w:ascii="Arial" w:cs="Arial" w:eastAsia="Arial" w:hAnsi="Arial"/>
                <w:sz w:val="18"/>
                <w:szCs w:val="18"/>
                <w:color w:val="auto"/>
              </w:rPr>
              <w:t>Mandatory Termination of Commitments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2.05</w:t>
            </w:r>
          </w:p>
        </w:tc>
        <w:tc>
          <w:tcPr>
            <w:tcW w:w="7660" w:type="dxa"/>
            <w:vAlign w:val="bottom"/>
            <w:gridSpan w:val="2"/>
          </w:tcPr>
          <w:p>
            <w:pPr>
              <w:spacing w:after="0"/>
              <w:rPr>
                <w:sz w:val="20"/>
                <w:szCs w:val="20"/>
                <w:color w:val="auto"/>
              </w:rPr>
            </w:pPr>
            <w:r>
              <w:rPr>
                <w:rFonts w:ascii="Arial" w:cs="Arial" w:eastAsia="Arial" w:hAnsi="Arial"/>
                <w:sz w:val="18"/>
                <w:szCs w:val="18"/>
                <w:color w:val="auto"/>
              </w:rPr>
              <w:t>Repayment of Loans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2.06</w:t>
            </w:r>
          </w:p>
        </w:tc>
        <w:tc>
          <w:tcPr>
            <w:tcW w:w="766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2.07</w:t>
            </w:r>
          </w:p>
        </w:tc>
        <w:tc>
          <w:tcPr>
            <w:tcW w:w="7660" w:type="dxa"/>
            <w:vAlign w:val="bottom"/>
            <w:gridSpan w:val="2"/>
          </w:tcPr>
          <w:p>
            <w:pPr>
              <w:spacing w:after="0"/>
              <w:rPr>
                <w:sz w:val="20"/>
                <w:szCs w:val="20"/>
                <w:color w:val="auto"/>
              </w:rPr>
            </w:pPr>
            <w:r>
              <w:rPr>
                <w:rFonts w:ascii="Arial" w:cs="Arial" w:eastAsia="Arial" w:hAnsi="Arial"/>
                <w:sz w:val="18"/>
                <w:szCs w:val="18"/>
                <w:color w:val="auto"/>
              </w:rPr>
              <w:t>Fees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2.08</w:t>
            </w:r>
          </w:p>
        </w:tc>
        <w:tc>
          <w:tcPr>
            <w:tcW w:w="7660" w:type="dxa"/>
            <w:vAlign w:val="bottom"/>
            <w:gridSpan w:val="2"/>
          </w:tcPr>
          <w:p>
            <w:pPr>
              <w:spacing w:after="0"/>
              <w:rPr>
                <w:sz w:val="20"/>
                <w:szCs w:val="20"/>
                <w:color w:val="auto"/>
              </w:rPr>
            </w:pPr>
            <w:r>
              <w:rPr>
                <w:rFonts w:ascii="Arial" w:cs="Arial" w:eastAsia="Arial" w:hAnsi="Arial"/>
                <w:sz w:val="18"/>
                <w:szCs w:val="18"/>
                <w:color w:val="auto"/>
              </w:rPr>
              <w:t>Computation of Interest and Fees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2.09</w:t>
            </w:r>
          </w:p>
        </w:tc>
        <w:tc>
          <w:tcPr>
            <w:tcW w:w="7660" w:type="dxa"/>
            <w:vAlign w:val="bottom"/>
            <w:gridSpan w:val="2"/>
          </w:tcPr>
          <w:p>
            <w:pPr>
              <w:spacing w:after="0"/>
              <w:rPr>
                <w:sz w:val="20"/>
                <w:szCs w:val="20"/>
                <w:color w:val="auto"/>
              </w:rPr>
            </w:pPr>
            <w:r>
              <w:rPr>
                <w:rFonts w:ascii="Arial" w:cs="Arial" w:eastAsia="Arial" w:hAnsi="Arial"/>
                <w:sz w:val="18"/>
                <w:szCs w:val="18"/>
                <w:color w:val="auto"/>
              </w:rPr>
              <w:t>Evidence of Debt</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2.10</w:t>
            </w:r>
          </w:p>
        </w:tc>
        <w:tc>
          <w:tcPr>
            <w:tcW w:w="7660" w:type="dxa"/>
            <w:vAlign w:val="bottom"/>
            <w:gridSpan w:val="2"/>
          </w:tcPr>
          <w:p>
            <w:pPr>
              <w:spacing w:after="0"/>
              <w:rPr>
                <w:sz w:val="20"/>
                <w:szCs w:val="20"/>
                <w:color w:val="auto"/>
              </w:rPr>
            </w:pPr>
            <w:r>
              <w:rPr>
                <w:rFonts w:ascii="Arial" w:cs="Arial" w:eastAsia="Arial" w:hAnsi="Arial"/>
                <w:sz w:val="18"/>
                <w:szCs w:val="18"/>
                <w:color w:val="auto"/>
              </w:rPr>
              <w:t>Payments Generally; Administrative Agent's Clawback</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2.11</w:t>
            </w:r>
          </w:p>
        </w:tc>
        <w:tc>
          <w:tcPr>
            <w:tcW w:w="7660" w:type="dxa"/>
            <w:vAlign w:val="bottom"/>
            <w:gridSpan w:val="2"/>
          </w:tcPr>
          <w:p>
            <w:pPr>
              <w:spacing w:after="0"/>
              <w:rPr>
                <w:sz w:val="20"/>
                <w:szCs w:val="20"/>
                <w:color w:val="auto"/>
              </w:rPr>
            </w:pPr>
            <w:r>
              <w:rPr>
                <w:rFonts w:ascii="Arial" w:cs="Arial" w:eastAsia="Arial" w:hAnsi="Arial"/>
                <w:sz w:val="18"/>
                <w:szCs w:val="18"/>
                <w:color w:val="auto"/>
              </w:rPr>
              <w:t>Sharing of Payments by Lenders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2.12</w:t>
            </w:r>
          </w:p>
        </w:tc>
        <w:tc>
          <w:tcPr>
            <w:tcW w:w="7660" w:type="dxa"/>
            <w:vAlign w:val="bottom"/>
            <w:gridSpan w:val="2"/>
          </w:tcPr>
          <w:p>
            <w:pPr>
              <w:spacing w:after="0"/>
              <w:rPr>
                <w:sz w:val="20"/>
                <w:szCs w:val="20"/>
                <w:color w:val="auto"/>
              </w:rPr>
            </w:pPr>
            <w:r>
              <w:rPr>
                <w:rFonts w:ascii="Arial" w:cs="Arial" w:eastAsia="Arial" w:hAnsi="Arial"/>
                <w:sz w:val="18"/>
                <w:szCs w:val="18"/>
                <w:color w:val="auto"/>
              </w:rPr>
              <w:t>Increase in Facility</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70"/>
        </w:trPr>
        <w:tc>
          <w:tcPr>
            <w:tcW w:w="1440" w:type="dxa"/>
            <w:vAlign w:val="bottom"/>
          </w:tcPr>
          <w:p>
            <w:pPr>
              <w:jc w:val="center"/>
              <w:ind w:right="630"/>
              <w:spacing w:after="0"/>
              <w:rPr>
                <w:sz w:val="20"/>
                <w:szCs w:val="20"/>
                <w:color w:val="auto"/>
              </w:rPr>
            </w:pPr>
            <w:r>
              <w:rPr>
                <w:rFonts w:ascii="Arial" w:cs="Arial" w:eastAsia="Arial" w:hAnsi="Arial"/>
                <w:sz w:val="18"/>
                <w:szCs w:val="18"/>
                <w:color w:val="auto"/>
              </w:rPr>
              <w:t>Article III</w:t>
            </w:r>
          </w:p>
        </w:tc>
        <w:tc>
          <w:tcPr>
            <w:tcW w:w="7660" w:type="dxa"/>
            <w:vAlign w:val="bottom"/>
            <w:gridSpan w:val="2"/>
          </w:tcPr>
          <w:p>
            <w:pPr>
              <w:spacing w:after="0"/>
              <w:rPr>
                <w:sz w:val="20"/>
                <w:szCs w:val="20"/>
                <w:color w:val="auto"/>
              </w:rPr>
            </w:pPr>
            <w:r>
              <w:rPr>
                <w:rFonts w:ascii="Arial" w:cs="Arial" w:eastAsia="Arial" w:hAnsi="Arial"/>
                <w:sz w:val="18"/>
                <w:szCs w:val="18"/>
                <w:color w:val="auto"/>
              </w:rPr>
              <w:t>TAXES, YIELD PROTECTION AND ILLEGALITY</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3.01</w:t>
            </w:r>
          </w:p>
        </w:tc>
        <w:tc>
          <w:tcPr>
            <w:tcW w:w="7660" w:type="dxa"/>
            <w:vAlign w:val="bottom"/>
            <w:gridSpan w:val="2"/>
          </w:tcPr>
          <w:p>
            <w:pPr>
              <w:spacing w:after="0"/>
              <w:rPr>
                <w:sz w:val="20"/>
                <w:szCs w:val="20"/>
                <w:color w:val="auto"/>
              </w:rPr>
            </w:pPr>
            <w:r>
              <w:rPr>
                <w:rFonts w:ascii="Arial" w:cs="Arial" w:eastAsia="Arial" w:hAnsi="Arial"/>
                <w:sz w:val="18"/>
                <w:szCs w:val="18"/>
                <w:color w:val="auto"/>
              </w:rPr>
              <w:t>Taxes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3.02</w:t>
            </w:r>
          </w:p>
        </w:tc>
        <w:tc>
          <w:tcPr>
            <w:tcW w:w="7660" w:type="dxa"/>
            <w:vAlign w:val="bottom"/>
            <w:gridSpan w:val="2"/>
          </w:tcPr>
          <w:p>
            <w:pPr>
              <w:spacing w:after="0"/>
              <w:rPr>
                <w:sz w:val="20"/>
                <w:szCs w:val="20"/>
                <w:color w:val="auto"/>
              </w:rPr>
            </w:pPr>
            <w:r>
              <w:rPr>
                <w:rFonts w:ascii="Arial" w:cs="Arial" w:eastAsia="Arial" w:hAnsi="Arial"/>
                <w:sz w:val="18"/>
                <w:szCs w:val="18"/>
                <w:color w:val="auto"/>
              </w:rPr>
              <w:t>Illegality</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3.03</w:t>
            </w:r>
          </w:p>
        </w:tc>
        <w:tc>
          <w:tcPr>
            <w:tcW w:w="7660" w:type="dxa"/>
            <w:vAlign w:val="bottom"/>
            <w:gridSpan w:val="2"/>
          </w:tcPr>
          <w:p>
            <w:pPr>
              <w:spacing w:after="0"/>
              <w:rPr>
                <w:sz w:val="20"/>
                <w:szCs w:val="20"/>
                <w:color w:val="auto"/>
              </w:rPr>
            </w:pPr>
            <w:r>
              <w:rPr>
                <w:rFonts w:ascii="Arial" w:cs="Arial" w:eastAsia="Arial" w:hAnsi="Arial"/>
                <w:sz w:val="18"/>
                <w:szCs w:val="18"/>
                <w:color w:val="auto"/>
              </w:rPr>
              <w:t>Inability to Determine Rates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3.04</w:t>
            </w:r>
          </w:p>
        </w:tc>
        <w:tc>
          <w:tcPr>
            <w:tcW w:w="7660" w:type="dxa"/>
            <w:vAlign w:val="bottom"/>
            <w:gridSpan w:val="2"/>
          </w:tcPr>
          <w:p>
            <w:pPr>
              <w:spacing w:after="0"/>
              <w:rPr>
                <w:sz w:val="20"/>
                <w:szCs w:val="20"/>
                <w:color w:val="auto"/>
              </w:rPr>
            </w:pPr>
            <w:r>
              <w:rPr>
                <w:rFonts w:ascii="Arial" w:cs="Arial" w:eastAsia="Arial" w:hAnsi="Arial"/>
                <w:sz w:val="18"/>
                <w:szCs w:val="18"/>
                <w:color w:val="auto"/>
              </w:rPr>
              <w:t>Increased Costs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3.05</w:t>
            </w:r>
          </w:p>
        </w:tc>
        <w:tc>
          <w:tcPr>
            <w:tcW w:w="7660" w:type="dxa"/>
            <w:vAlign w:val="bottom"/>
            <w:gridSpan w:val="2"/>
          </w:tcPr>
          <w:p>
            <w:pPr>
              <w:spacing w:after="0"/>
              <w:rPr>
                <w:sz w:val="20"/>
                <w:szCs w:val="20"/>
                <w:color w:val="auto"/>
              </w:rPr>
            </w:pPr>
            <w:r>
              <w:rPr>
                <w:rFonts w:ascii="Arial" w:cs="Arial" w:eastAsia="Arial" w:hAnsi="Arial"/>
                <w:sz w:val="18"/>
                <w:szCs w:val="18"/>
                <w:color w:val="auto"/>
              </w:rPr>
              <w:t>Compensation for Losses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3.06</w:t>
            </w:r>
          </w:p>
        </w:tc>
        <w:tc>
          <w:tcPr>
            <w:tcW w:w="7660" w:type="dxa"/>
            <w:vAlign w:val="bottom"/>
            <w:gridSpan w:val="2"/>
          </w:tcPr>
          <w:p>
            <w:pPr>
              <w:spacing w:after="0"/>
              <w:rPr>
                <w:sz w:val="20"/>
                <w:szCs w:val="20"/>
                <w:color w:val="auto"/>
              </w:rPr>
            </w:pPr>
            <w:r>
              <w:rPr>
                <w:rFonts w:ascii="Arial" w:cs="Arial" w:eastAsia="Arial" w:hAnsi="Arial"/>
                <w:sz w:val="18"/>
                <w:szCs w:val="18"/>
                <w:color w:val="auto"/>
              </w:rPr>
              <w:t>Mitigation Obligations; Replacement of Lenders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3.07</w:t>
            </w:r>
          </w:p>
        </w:tc>
        <w:tc>
          <w:tcPr>
            <w:tcW w:w="7660" w:type="dxa"/>
            <w:vAlign w:val="bottom"/>
            <w:gridSpan w:val="2"/>
          </w:tcPr>
          <w:p>
            <w:pPr>
              <w:spacing w:after="0"/>
              <w:rPr>
                <w:sz w:val="20"/>
                <w:szCs w:val="20"/>
                <w:color w:val="auto"/>
              </w:rPr>
            </w:pPr>
            <w:r>
              <w:rPr>
                <w:rFonts w:ascii="Arial" w:cs="Arial" w:eastAsia="Arial" w:hAnsi="Arial"/>
                <w:sz w:val="18"/>
                <w:szCs w:val="18"/>
                <w:color w:val="auto"/>
              </w:rPr>
              <w:t>Survival</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rPr>
              <w:t>Article IV</w:t>
            </w:r>
          </w:p>
        </w:tc>
        <w:tc>
          <w:tcPr>
            <w:tcW w:w="7660" w:type="dxa"/>
            <w:vAlign w:val="bottom"/>
            <w:gridSpan w:val="2"/>
          </w:tcPr>
          <w:p>
            <w:pPr>
              <w:spacing w:after="0"/>
              <w:rPr>
                <w:sz w:val="20"/>
                <w:szCs w:val="20"/>
                <w:color w:val="auto"/>
              </w:rPr>
            </w:pPr>
            <w:r>
              <w:rPr>
                <w:rFonts w:ascii="Arial" w:cs="Arial" w:eastAsia="Arial" w:hAnsi="Arial"/>
                <w:sz w:val="18"/>
                <w:szCs w:val="18"/>
                <w:color w:val="auto"/>
              </w:rPr>
              <w:t>CONDITIONS PRECEDENT TO CREDIT EXTENSIONS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4.01</w:t>
            </w:r>
          </w:p>
        </w:tc>
        <w:tc>
          <w:tcPr>
            <w:tcW w:w="7660" w:type="dxa"/>
            <w:vAlign w:val="bottom"/>
            <w:gridSpan w:val="2"/>
          </w:tcPr>
          <w:p>
            <w:pPr>
              <w:spacing w:after="0"/>
              <w:rPr>
                <w:sz w:val="20"/>
                <w:szCs w:val="20"/>
                <w:color w:val="auto"/>
              </w:rPr>
            </w:pPr>
            <w:r>
              <w:rPr>
                <w:rFonts w:ascii="Arial" w:cs="Arial" w:eastAsia="Arial" w:hAnsi="Arial"/>
                <w:sz w:val="18"/>
                <w:szCs w:val="18"/>
                <w:color w:val="auto"/>
              </w:rPr>
              <w:t>Conditions of Initial Credit Extension</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4.02</w:t>
            </w:r>
          </w:p>
        </w:tc>
        <w:tc>
          <w:tcPr>
            <w:tcW w:w="7660" w:type="dxa"/>
            <w:vAlign w:val="bottom"/>
            <w:gridSpan w:val="2"/>
          </w:tcPr>
          <w:p>
            <w:pPr>
              <w:spacing w:after="0"/>
              <w:rPr>
                <w:sz w:val="20"/>
                <w:szCs w:val="20"/>
                <w:color w:val="auto"/>
              </w:rPr>
            </w:pPr>
            <w:r>
              <w:rPr>
                <w:rFonts w:ascii="Arial" w:cs="Arial" w:eastAsia="Arial" w:hAnsi="Arial"/>
                <w:sz w:val="18"/>
                <w:szCs w:val="18"/>
                <w:color w:val="auto"/>
              </w:rPr>
              <w:t>Conditions to all Credit Extensions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98"/>
              </w:rPr>
              <w:t>Article V</w:t>
            </w:r>
          </w:p>
        </w:tc>
        <w:tc>
          <w:tcPr>
            <w:tcW w:w="7660" w:type="dxa"/>
            <w:vAlign w:val="bottom"/>
            <w:gridSpan w:val="2"/>
          </w:tcPr>
          <w:p>
            <w:pPr>
              <w:spacing w:after="0"/>
              <w:rPr>
                <w:sz w:val="20"/>
                <w:szCs w:val="20"/>
                <w:color w:val="auto"/>
              </w:rPr>
            </w:pPr>
            <w:r>
              <w:rPr>
                <w:rFonts w:ascii="Arial" w:cs="Arial" w:eastAsia="Arial" w:hAnsi="Arial"/>
                <w:sz w:val="18"/>
                <w:szCs w:val="18"/>
                <w:color w:val="auto"/>
              </w:rPr>
              <w:t>REPRESENTATIONS AND WARRANTIES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5.01</w:t>
            </w:r>
          </w:p>
        </w:tc>
        <w:tc>
          <w:tcPr>
            <w:tcW w:w="7660" w:type="dxa"/>
            <w:vAlign w:val="bottom"/>
            <w:gridSpan w:val="2"/>
          </w:tcPr>
          <w:p>
            <w:pPr>
              <w:spacing w:after="0"/>
              <w:rPr>
                <w:sz w:val="20"/>
                <w:szCs w:val="20"/>
                <w:color w:val="auto"/>
              </w:rPr>
            </w:pPr>
            <w:r>
              <w:rPr>
                <w:rFonts w:ascii="Arial" w:cs="Arial" w:eastAsia="Arial" w:hAnsi="Arial"/>
                <w:sz w:val="18"/>
                <w:szCs w:val="18"/>
                <w:color w:val="auto"/>
              </w:rPr>
              <w:t>Existence, Qualification and Power</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5.02</w:t>
            </w:r>
          </w:p>
        </w:tc>
        <w:tc>
          <w:tcPr>
            <w:tcW w:w="7660" w:type="dxa"/>
            <w:vAlign w:val="bottom"/>
            <w:gridSpan w:val="2"/>
          </w:tcPr>
          <w:p>
            <w:pPr>
              <w:spacing w:after="0"/>
              <w:rPr>
                <w:sz w:val="20"/>
                <w:szCs w:val="20"/>
                <w:color w:val="auto"/>
              </w:rPr>
            </w:pPr>
            <w:r>
              <w:rPr>
                <w:rFonts w:ascii="Arial" w:cs="Arial" w:eastAsia="Arial" w:hAnsi="Arial"/>
                <w:sz w:val="18"/>
                <w:szCs w:val="18"/>
                <w:color w:val="auto"/>
              </w:rPr>
              <w:t>Authorization; No Contravention</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5.03</w:t>
            </w:r>
          </w:p>
        </w:tc>
        <w:tc>
          <w:tcPr>
            <w:tcW w:w="7660" w:type="dxa"/>
            <w:vAlign w:val="bottom"/>
            <w:gridSpan w:val="2"/>
          </w:tcPr>
          <w:p>
            <w:pPr>
              <w:spacing w:after="0"/>
              <w:rPr>
                <w:sz w:val="20"/>
                <w:szCs w:val="20"/>
                <w:color w:val="auto"/>
              </w:rPr>
            </w:pPr>
            <w:r>
              <w:rPr>
                <w:rFonts w:ascii="Arial" w:cs="Arial" w:eastAsia="Arial" w:hAnsi="Arial"/>
                <w:sz w:val="18"/>
                <w:szCs w:val="18"/>
                <w:color w:val="auto"/>
              </w:rPr>
              <w:t>Governmental Authorization; Other Consents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5.04</w:t>
            </w:r>
          </w:p>
        </w:tc>
        <w:tc>
          <w:tcPr>
            <w:tcW w:w="7660" w:type="dxa"/>
            <w:vAlign w:val="bottom"/>
            <w:gridSpan w:val="2"/>
          </w:tcPr>
          <w:p>
            <w:pPr>
              <w:spacing w:after="0"/>
              <w:rPr>
                <w:sz w:val="20"/>
                <w:szCs w:val="20"/>
                <w:color w:val="auto"/>
              </w:rPr>
            </w:pPr>
            <w:r>
              <w:rPr>
                <w:rFonts w:ascii="Arial" w:cs="Arial" w:eastAsia="Arial" w:hAnsi="Arial"/>
                <w:sz w:val="18"/>
                <w:szCs w:val="18"/>
                <w:color w:val="auto"/>
              </w:rPr>
              <w:t>Binding Effect</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5.05</w:t>
            </w:r>
          </w:p>
        </w:tc>
        <w:tc>
          <w:tcPr>
            <w:tcW w:w="7660" w:type="dxa"/>
            <w:vAlign w:val="bottom"/>
            <w:gridSpan w:val="2"/>
          </w:tcPr>
          <w:p>
            <w:pPr>
              <w:spacing w:after="0"/>
              <w:rPr>
                <w:sz w:val="20"/>
                <w:szCs w:val="20"/>
                <w:color w:val="auto"/>
              </w:rPr>
            </w:pPr>
            <w:r>
              <w:rPr>
                <w:rFonts w:ascii="Arial" w:cs="Arial" w:eastAsia="Arial" w:hAnsi="Arial"/>
                <w:sz w:val="18"/>
                <w:szCs w:val="18"/>
                <w:color w:val="auto"/>
              </w:rPr>
              <w:t>Financial Statements; No Material Adverse Effect</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5.06</w:t>
            </w:r>
          </w:p>
        </w:tc>
        <w:tc>
          <w:tcPr>
            <w:tcW w:w="7660" w:type="dxa"/>
            <w:vAlign w:val="bottom"/>
            <w:gridSpan w:val="2"/>
          </w:tcPr>
          <w:p>
            <w:pPr>
              <w:spacing w:after="0"/>
              <w:rPr>
                <w:sz w:val="20"/>
                <w:szCs w:val="20"/>
                <w:color w:val="auto"/>
              </w:rPr>
            </w:pPr>
            <w:r>
              <w:rPr>
                <w:rFonts w:ascii="Arial" w:cs="Arial" w:eastAsia="Arial" w:hAnsi="Arial"/>
                <w:sz w:val="18"/>
                <w:szCs w:val="18"/>
                <w:color w:val="auto"/>
              </w:rPr>
              <w:t>Litigation</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57</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5.07</w:t>
            </w:r>
          </w:p>
        </w:tc>
        <w:tc>
          <w:tcPr>
            <w:tcW w:w="7660" w:type="dxa"/>
            <w:vAlign w:val="bottom"/>
            <w:gridSpan w:val="2"/>
          </w:tcPr>
          <w:p>
            <w:pPr>
              <w:spacing w:after="0"/>
              <w:rPr>
                <w:sz w:val="20"/>
                <w:szCs w:val="20"/>
                <w:color w:val="auto"/>
              </w:rPr>
            </w:pPr>
            <w:r>
              <w:rPr>
                <w:rFonts w:ascii="Arial" w:cs="Arial" w:eastAsia="Arial" w:hAnsi="Arial"/>
                <w:sz w:val="18"/>
                <w:szCs w:val="18"/>
                <w:color w:val="auto"/>
              </w:rPr>
              <w:t>No Default</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5.08</w:t>
            </w:r>
          </w:p>
        </w:tc>
        <w:tc>
          <w:tcPr>
            <w:tcW w:w="7660" w:type="dxa"/>
            <w:vAlign w:val="bottom"/>
            <w:gridSpan w:val="2"/>
          </w:tcPr>
          <w:p>
            <w:pPr>
              <w:spacing w:after="0"/>
              <w:rPr>
                <w:sz w:val="20"/>
                <w:szCs w:val="20"/>
                <w:color w:val="auto"/>
              </w:rPr>
            </w:pPr>
            <w:r>
              <w:rPr>
                <w:rFonts w:ascii="Arial" w:cs="Arial" w:eastAsia="Arial" w:hAnsi="Arial"/>
                <w:sz w:val="18"/>
                <w:szCs w:val="18"/>
                <w:color w:val="auto"/>
              </w:rPr>
              <w:t>Ownership of Property; Liens; Investments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5.09</w:t>
            </w:r>
          </w:p>
        </w:tc>
        <w:tc>
          <w:tcPr>
            <w:tcW w:w="7660" w:type="dxa"/>
            <w:vAlign w:val="bottom"/>
            <w:gridSpan w:val="2"/>
          </w:tcPr>
          <w:p>
            <w:pPr>
              <w:spacing w:after="0"/>
              <w:rPr>
                <w:sz w:val="20"/>
                <w:szCs w:val="20"/>
                <w:color w:val="auto"/>
              </w:rPr>
            </w:pPr>
            <w:r>
              <w:rPr>
                <w:rFonts w:ascii="Arial" w:cs="Arial" w:eastAsia="Arial" w:hAnsi="Arial"/>
                <w:sz w:val="18"/>
                <w:szCs w:val="18"/>
                <w:color w:val="auto"/>
              </w:rPr>
              <w:t>Environmental Compliance</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5.10</w:t>
            </w:r>
          </w:p>
        </w:tc>
        <w:tc>
          <w:tcPr>
            <w:tcW w:w="766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5.11</w:t>
            </w:r>
          </w:p>
        </w:tc>
        <w:tc>
          <w:tcPr>
            <w:tcW w:w="7660" w:type="dxa"/>
            <w:vAlign w:val="bottom"/>
            <w:gridSpan w:val="2"/>
          </w:tcPr>
          <w:p>
            <w:pPr>
              <w:spacing w:after="0"/>
              <w:rPr>
                <w:sz w:val="20"/>
                <w:szCs w:val="20"/>
                <w:color w:val="auto"/>
              </w:rPr>
            </w:pPr>
            <w:r>
              <w:rPr>
                <w:rFonts w:ascii="Arial" w:cs="Arial" w:eastAsia="Arial" w:hAnsi="Arial"/>
                <w:sz w:val="18"/>
                <w:szCs w:val="18"/>
                <w:color w:val="auto"/>
              </w:rPr>
              <w:t>Taxes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27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85"/>
              </w:rPr>
              <w:t>5.12</w:t>
            </w:r>
          </w:p>
        </w:tc>
        <w:tc>
          <w:tcPr>
            <w:tcW w:w="7660" w:type="dxa"/>
            <w:vAlign w:val="bottom"/>
            <w:gridSpan w:val="2"/>
          </w:tcPr>
          <w:p>
            <w:pPr>
              <w:spacing w:after="0"/>
              <w:rPr>
                <w:sz w:val="20"/>
                <w:szCs w:val="20"/>
                <w:color w:val="auto"/>
              </w:rPr>
            </w:pPr>
            <w:r>
              <w:rPr>
                <w:rFonts w:ascii="Arial" w:cs="Arial" w:eastAsia="Arial" w:hAnsi="Arial"/>
                <w:sz w:val="18"/>
                <w:szCs w:val="18"/>
                <w:color w:val="auto"/>
              </w:rPr>
              <w:t>ERISA Compliance</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59</w:t>
            </w:r>
          </w:p>
        </w:tc>
      </w:tr>
    </w:tbl>
    <w:p>
      <w:pPr>
        <w:spacing w:after="0" w:line="25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9460"/>
          </w:cols>
          <w:pgMar w:left="1420" w:top="567" w:right="10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5.13</w:t>
            </w:r>
          </w:p>
        </w:tc>
        <w:tc>
          <w:tcPr>
            <w:tcW w:w="6320" w:type="dxa"/>
            <w:vAlign w:val="bottom"/>
          </w:tcPr>
          <w:p>
            <w:pPr>
              <w:ind w:left="340"/>
              <w:spacing w:after="0"/>
              <w:rPr>
                <w:sz w:val="20"/>
                <w:szCs w:val="20"/>
                <w:color w:val="auto"/>
              </w:rPr>
            </w:pPr>
            <w:r>
              <w:rPr>
                <w:rFonts w:ascii="Arial" w:cs="Arial" w:eastAsia="Arial" w:hAnsi="Arial"/>
                <w:sz w:val="18"/>
                <w:szCs w:val="18"/>
                <w:color w:val="auto"/>
              </w:rPr>
              <w:t>Subsidiaries; Equity Interests; Loan Parties</w:t>
            </w:r>
          </w:p>
        </w:tc>
        <w:tc>
          <w:tcPr>
            <w:tcW w:w="19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5.14</w:t>
            </w:r>
          </w:p>
        </w:tc>
        <w:tc>
          <w:tcPr>
            <w:tcW w:w="6320" w:type="dxa"/>
            <w:vAlign w:val="bottom"/>
          </w:tcPr>
          <w:p>
            <w:pPr>
              <w:ind w:left="340"/>
              <w:spacing w:after="0"/>
              <w:rPr>
                <w:sz w:val="20"/>
                <w:szCs w:val="20"/>
                <w:color w:val="auto"/>
              </w:rPr>
            </w:pPr>
            <w:r>
              <w:rPr>
                <w:rFonts w:ascii="Arial" w:cs="Arial" w:eastAsia="Arial" w:hAnsi="Arial"/>
                <w:sz w:val="18"/>
                <w:szCs w:val="18"/>
                <w:color w:val="auto"/>
              </w:rPr>
              <w:t>Margin Regulations; Investment Company Act</w:t>
            </w:r>
          </w:p>
        </w:tc>
        <w:tc>
          <w:tcPr>
            <w:tcW w:w="19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5.15</w:t>
            </w:r>
          </w:p>
        </w:tc>
        <w:tc>
          <w:tcPr>
            <w:tcW w:w="6320" w:type="dxa"/>
            <w:vAlign w:val="bottom"/>
          </w:tcPr>
          <w:p>
            <w:pPr>
              <w:ind w:left="340"/>
              <w:spacing w:after="0"/>
              <w:rPr>
                <w:sz w:val="20"/>
                <w:szCs w:val="20"/>
                <w:color w:val="auto"/>
              </w:rPr>
            </w:pPr>
            <w:r>
              <w:rPr>
                <w:rFonts w:ascii="Arial" w:cs="Arial" w:eastAsia="Arial" w:hAnsi="Arial"/>
                <w:sz w:val="18"/>
                <w:szCs w:val="18"/>
                <w:color w:val="auto"/>
              </w:rPr>
              <w:t>Disclosure</w:t>
            </w:r>
          </w:p>
        </w:tc>
        <w:tc>
          <w:tcPr>
            <w:tcW w:w="19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5.16</w:t>
            </w:r>
          </w:p>
        </w:tc>
        <w:tc>
          <w:tcPr>
            <w:tcW w:w="6320" w:type="dxa"/>
            <w:vAlign w:val="bottom"/>
          </w:tcPr>
          <w:p>
            <w:pPr>
              <w:ind w:left="340"/>
              <w:spacing w:after="0"/>
              <w:rPr>
                <w:sz w:val="20"/>
                <w:szCs w:val="20"/>
                <w:color w:val="auto"/>
              </w:rPr>
            </w:pPr>
            <w:r>
              <w:rPr>
                <w:rFonts w:ascii="Arial" w:cs="Arial" w:eastAsia="Arial" w:hAnsi="Arial"/>
                <w:sz w:val="18"/>
                <w:szCs w:val="18"/>
                <w:color w:val="auto"/>
              </w:rPr>
              <w:t>Compliance with Laws</w:t>
            </w:r>
          </w:p>
        </w:tc>
        <w:tc>
          <w:tcPr>
            <w:tcW w:w="19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5.17</w:t>
            </w:r>
          </w:p>
        </w:tc>
        <w:tc>
          <w:tcPr>
            <w:tcW w:w="6320" w:type="dxa"/>
            <w:vAlign w:val="bottom"/>
          </w:tcPr>
          <w:p>
            <w:pPr>
              <w:ind w:left="340"/>
              <w:spacing w:after="0"/>
              <w:rPr>
                <w:sz w:val="20"/>
                <w:szCs w:val="20"/>
                <w:color w:val="auto"/>
              </w:rPr>
            </w:pPr>
            <w:r>
              <w:rPr>
                <w:rFonts w:ascii="Arial" w:cs="Arial" w:eastAsia="Arial" w:hAnsi="Arial"/>
                <w:sz w:val="18"/>
                <w:szCs w:val="18"/>
                <w:color w:val="auto"/>
              </w:rPr>
              <w:t>Intellectual Property; Licenses, Etc</w:t>
            </w:r>
          </w:p>
        </w:tc>
        <w:tc>
          <w:tcPr>
            <w:tcW w:w="1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5.18</w:t>
            </w:r>
          </w:p>
        </w:tc>
        <w:tc>
          <w:tcPr>
            <w:tcW w:w="6320" w:type="dxa"/>
            <w:vAlign w:val="bottom"/>
          </w:tcPr>
          <w:p>
            <w:pPr>
              <w:ind w:left="340"/>
              <w:spacing w:after="0"/>
              <w:rPr>
                <w:sz w:val="20"/>
                <w:szCs w:val="20"/>
                <w:color w:val="auto"/>
              </w:rPr>
            </w:pPr>
            <w:r>
              <w:rPr>
                <w:rFonts w:ascii="Arial" w:cs="Arial" w:eastAsia="Arial" w:hAnsi="Arial"/>
                <w:sz w:val="18"/>
                <w:szCs w:val="18"/>
                <w:color w:val="auto"/>
              </w:rPr>
              <w:t>Solvency</w:t>
            </w:r>
          </w:p>
        </w:tc>
        <w:tc>
          <w:tcPr>
            <w:tcW w:w="1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5.19</w:t>
            </w:r>
          </w:p>
        </w:tc>
        <w:tc>
          <w:tcPr>
            <w:tcW w:w="6320" w:type="dxa"/>
            <w:vAlign w:val="bottom"/>
          </w:tcPr>
          <w:p>
            <w:pPr>
              <w:ind w:left="340"/>
              <w:spacing w:after="0"/>
              <w:rPr>
                <w:sz w:val="20"/>
                <w:szCs w:val="20"/>
                <w:color w:val="auto"/>
              </w:rPr>
            </w:pPr>
            <w:r>
              <w:rPr>
                <w:rFonts w:ascii="Arial" w:cs="Arial" w:eastAsia="Arial" w:hAnsi="Arial"/>
                <w:sz w:val="18"/>
                <w:szCs w:val="18"/>
                <w:color w:val="auto"/>
              </w:rPr>
              <w:t>Casualty, Etc</w:t>
            </w:r>
          </w:p>
        </w:tc>
        <w:tc>
          <w:tcPr>
            <w:tcW w:w="1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5.20</w:t>
            </w:r>
          </w:p>
        </w:tc>
        <w:tc>
          <w:tcPr>
            <w:tcW w:w="6320" w:type="dxa"/>
            <w:vAlign w:val="bottom"/>
          </w:tcPr>
          <w:p>
            <w:pPr>
              <w:ind w:left="340"/>
              <w:spacing w:after="0"/>
              <w:rPr>
                <w:sz w:val="20"/>
                <w:szCs w:val="20"/>
                <w:color w:val="auto"/>
              </w:rPr>
            </w:pPr>
            <w:r>
              <w:rPr>
                <w:rFonts w:ascii="Arial" w:cs="Arial" w:eastAsia="Arial" w:hAnsi="Arial"/>
                <w:sz w:val="18"/>
                <w:szCs w:val="18"/>
                <w:color w:val="auto"/>
              </w:rPr>
              <w:t>Labor Matters</w:t>
            </w:r>
          </w:p>
        </w:tc>
        <w:tc>
          <w:tcPr>
            <w:tcW w:w="1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5.21</w:t>
            </w:r>
          </w:p>
        </w:tc>
        <w:tc>
          <w:tcPr>
            <w:tcW w:w="6320" w:type="dxa"/>
            <w:vAlign w:val="bottom"/>
          </w:tcPr>
          <w:p>
            <w:pPr>
              <w:ind w:left="340"/>
              <w:spacing w:after="0"/>
              <w:rPr>
                <w:sz w:val="20"/>
                <w:szCs w:val="20"/>
                <w:color w:val="auto"/>
              </w:rPr>
            </w:pPr>
            <w:r>
              <w:rPr>
                <w:rFonts w:ascii="Arial" w:cs="Arial" w:eastAsia="Arial" w:hAnsi="Arial"/>
                <w:sz w:val="18"/>
                <w:szCs w:val="18"/>
                <w:color w:val="auto"/>
              </w:rPr>
              <w:t>[Intentionally Omitted]</w:t>
            </w:r>
          </w:p>
        </w:tc>
        <w:tc>
          <w:tcPr>
            <w:tcW w:w="19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5.22</w:t>
            </w:r>
          </w:p>
        </w:tc>
        <w:tc>
          <w:tcPr>
            <w:tcW w:w="6320" w:type="dxa"/>
            <w:vAlign w:val="bottom"/>
          </w:tcPr>
          <w:p>
            <w:pPr>
              <w:ind w:left="340"/>
              <w:spacing w:after="0"/>
              <w:rPr>
                <w:sz w:val="20"/>
                <w:szCs w:val="20"/>
                <w:color w:val="auto"/>
              </w:rPr>
            </w:pPr>
            <w:r>
              <w:rPr>
                <w:rFonts w:ascii="Arial" w:cs="Arial" w:eastAsia="Arial" w:hAnsi="Arial"/>
                <w:sz w:val="18"/>
                <w:szCs w:val="18"/>
                <w:color w:val="auto"/>
              </w:rPr>
              <w:t>Deposit and Disbursement Accounts</w:t>
            </w:r>
          </w:p>
        </w:tc>
        <w:tc>
          <w:tcPr>
            <w:tcW w:w="19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5.23</w:t>
            </w:r>
          </w:p>
        </w:tc>
        <w:tc>
          <w:tcPr>
            <w:tcW w:w="6320" w:type="dxa"/>
            <w:vAlign w:val="bottom"/>
          </w:tcPr>
          <w:p>
            <w:pPr>
              <w:ind w:left="340"/>
              <w:spacing w:after="0"/>
              <w:rPr>
                <w:sz w:val="20"/>
                <w:szCs w:val="20"/>
                <w:color w:val="auto"/>
              </w:rPr>
            </w:pPr>
            <w:r>
              <w:rPr>
                <w:rFonts w:ascii="Arial" w:cs="Arial" w:eastAsia="Arial" w:hAnsi="Arial"/>
                <w:sz w:val="18"/>
                <w:szCs w:val="18"/>
                <w:color w:val="auto"/>
              </w:rPr>
              <w:t>Government Contracts</w:t>
            </w:r>
          </w:p>
        </w:tc>
        <w:tc>
          <w:tcPr>
            <w:tcW w:w="19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5.24</w:t>
            </w:r>
          </w:p>
        </w:tc>
        <w:tc>
          <w:tcPr>
            <w:tcW w:w="6320" w:type="dxa"/>
            <w:vAlign w:val="bottom"/>
          </w:tcPr>
          <w:p>
            <w:pPr>
              <w:ind w:left="340"/>
              <w:spacing w:after="0"/>
              <w:rPr>
                <w:sz w:val="20"/>
                <w:szCs w:val="20"/>
                <w:color w:val="auto"/>
              </w:rPr>
            </w:pPr>
            <w:r>
              <w:rPr>
                <w:rFonts w:ascii="Arial" w:cs="Arial" w:eastAsia="Arial" w:hAnsi="Arial"/>
                <w:sz w:val="18"/>
                <w:szCs w:val="18"/>
                <w:color w:val="auto"/>
              </w:rPr>
              <w:t>Customer and Trade Relations</w:t>
            </w:r>
          </w:p>
        </w:tc>
        <w:tc>
          <w:tcPr>
            <w:tcW w:w="19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5.25</w:t>
            </w:r>
          </w:p>
        </w:tc>
        <w:tc>
          <w:tcPr>
            <w:tcW w:w="6320" w:type="dxa"/>
            <w:vAlign w:val="bottom"/>
          </w:tcPr>
          <w:p>
            <w:pPr>
              <w:ind w:left="340"/>
              <w:spacing w:after="0"/>
              <w:rPr>
                <w:sz w:val="20"/>
                <w:szCs w:val="20"/>
                <w:color w:val="auto"/>
              </w:rPr>
            </w:pPr>
            <w:r>
              <w:rPr>
                <w:rFonts w:ascii="Arial" w:cs="Arial" w:eastAsia="Arial" w:hAnsi="Arial"/>
                <w:sz w:val="18"/>
                <w:szCs w:val="18"/>
                <w:color w:val="auto"/>
              </w:rPr>
              <w:t>Bonding; Licenses</w:t>
            </w:r>
          </w:p>
        </w:tc>
        <w:tc>
          <w:tcPr>
            <w:tcW w:w="19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5.26</w:t>
            </w:r>
          </w:p>
        </w:tc>
        <w:tc>
          <w:tcPr>
            <w:tcW w:w="6320" w:type="dxa"/>
            <w:vAlign w:val="bottom"/>
          </w:tcPr>
          <w:p>
            <w:pPr>
              <w:ind w:left="340"/>
              <w:spacing w:after="0"/>
              <w:rPr>
                <w:sz w:val="20"/>
                <w:szCs w:val="20"/>
                <w:color w:val="auto"/>
              </w:rPr>
            </w:pPr>
            <w:r>
              <w:rPr>
                <w:rFonts w:ascii="Arial" w:cs="Arial" w:eastAsia="Arial" w:hAnsi="Arial"/>
                <w:sz w:val="18"/>
                <w:szCs w:val="18"/>
                <w:color w:val="auto"/>
              </w:rPr>
              <w:t>Material Contracts</w:t>
            </w:r>
          </w:p>
        </w:tc>
        <w:tc>
          <w:tcPr>
            <w:tcW w:w="19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5.27</w:t>
            </w:r>
          </w:p>
        </w:tc>
        <w:tc>
          <w:tcPr>
            <w:tcW w:w="6320" w:type="dxa"/>
            <w:vAlign w:val="bottom"/>
          </w:tcPr>
          <w:p>
            <w:pPr>
              <w:ind w:left="340"/>
              <w:spacing w:after="0"/>
              <w:rPr>
                <w:sz w:val="20"/>
                <w:szCs w:val="20"/>
                <w:color w:val="auto"/>
              </w:rPr>
            </w:pPr>
            <w:r>
              <w:rPr>
                <w:rFonts w:ascii="Arial" w:cs="Arial" w:eastAsia="Arial" w:hAnsi="Arial"/>
                <w:sz w:val="18"/>
                <w:szCs w:val="18"/>
                <w:color w:val="auto"/>
              </w:rPr>
              <w:t>Regulation H</w:t>
            </w:r>
          </w:p>
        </w:tc>
        <w:tc>
          <w:tcPr>
            <w:tcW w:w="19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5.28</w:t>
            </w:r>
          </w:p>
        </w:tc>
        <w:tc>
          <w:tcPr>
            <w:tcW w:w="6320" w:type="dxa"/>
            <w:vAlign w:val="bottom"/>
          </w:tcPr>
          <w:p>
            <w:pPr>
              <w:ind w:left="340"/>
              <w:spacing w:after="0"/>
              <w:rPr>
                <w:sz w:val="20"/>
                <w:szCs w:val="20"/>
                <w:color w:val="auto"/>
              </w:rPr>
            </w:pPr>
            <w:r>
              <w:rPr>
                <w:rFonts w:ascii="Arial" w:cs="Arial" w:eastAsia="Arial" w:hAnsi="Arial"/>
                <w:sz w:val="18"/>
                <w:szCs w:val="18"/>
                <w:color w:val="auto"/>
              </w:rPr>
              <w:t>Foreign Assets Control Regulations</w:t>
            </w:r>
          </w:p>
        </w:tc>
        <w:tc>
          <w:tcPr>
            <w:tcW w:w="19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5.29</w:t>
            </w:r>
          </w:p>
        </w:tc>
        <w:tc>
          <w:tcPr>
            <w:tcW w:w="6320" w:type="dxa"/>
            <w:vAlign w:val="bottom"/>
          </w:tcPr>
          <w:p>
            <w:pPr>
              <w:ind w:left="340"/>
              <w:spacing w:after="0"/>
              <w:rPr>
                <w:sz w:val="20"/>
                <w:szCs w:val="20"/>
                <w:color w:val="auto"/>
              </w:rPr>
            </w:pPr>
            <w:r>
              <w:rPr>
                <w:rFonts w:ascii="Arial" w:cs="Arial" w:eastAsia="Arial" w:hAnsi="Arial"/>
                <w:sz w:val="18"/>
                <w:szCs w:val="18"/>
                <w:color w:val="auto"/>
              </w:rPr>
              <w:t>Anti-Terrorism Laws</w:t>
            </w:r>
          </w:p>
        </w:tc>
        <w:tc>
          <w:tcPr>
            <w:tcW w:w="19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5.30</w:t>
            </w:r>
          </w:p>
        </w:tc>
        <w:tc>
          <w:tcPr>
            <w:tcW w:w="6320" w:type="dxa"/>
            <w:vAlign w:val="bottom"/>
          </w:tcPr>
          <w:p>
            <w:pPr>
              <w:ind w:left="340"/>
              <w:spacing w:after="0"/>
              <w:rPr>
                <w:sz w:val="20"/>
                <w:szCs w:val="20"/>
                <w:color w:val="auto"/>
              </w:rPr>
            </w:pPr>
            <w:r>
              <w:rPr>
                <w:rFonts w:ascii="Arial" w:cs="Arial" w:eastAsia="Arial" w:hAnsi="Arial"/>
                <w:sz w:val="18"/>
                <w:szCs w:val="18"/>
                <w:color w:val="auto"/>
              </w:rPr>
              <w:t>Post-Closing Obligations</w:t>
            </w:r>
          </w:p>
        </w:tc>
        <w:tc>
          <w:tcPr>
            <w:tcW w:w="19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rPr>
              <w:t>Article VI</w:t>
            </w:r>
          </w:p>
        </w:tc>
        <w:tc>
          <w:tcPr>
            <w:tcW w:w="6320" w:type="dxa"/>
            <w:vAlign w:val="bottom"/>
          </w:tcPr>
          <w:p>
            <w:pPr>
              <w:ind w:left="340"/>
              <w:spacing w:after="0"/>
              <w:rPr>
                <w:sz w:val="20"/>
                <w:szCs w:val="20"/>
                <w:color w:val="auto"/>
              </w:rPr>
            </w:pPr>
            <w:r>
              <w:rPr>
                <w:rFonts w:ascii="Arial" w:cs="Arial" w:eastAsia="Arial" w:hAnsi="Arial"/>
                <w:sz w:val="18"/>
                <w:szCs w:val="18"/>
                <w:color w:val="auto"/>
              </w:rPr>
              <w:t>AFFIRMATIVE COVENANTS</w:t>
            </w:r>
          </w:p>
        </w:tc>
        <w:tc>
          <w:tcPr>
            <w:tcW w:w="1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6.01</w:t>
            </w:r>
          </w:p>
        </w:tc>
        <w:tc>
          <w:tcPr>
            <w:tcW w:w="6320" w:type="dxa"/>
            <w:vAlign w:val="bottom"/>
          </w:tcPr>
          <w:p>
            <w:pPr>
              <w:ind w:left="340"/>
              <w:spacing w:after="0"/>
              <w:rPr>
                <w:sz w:val="20"/>
                <w:szCs w:val="20"/>
                <w:color w:val="auto"/>
              </w:rPr>
            </w:pPr>
            <w:r>
              <w:rPr>
                <w:rFonts w:ascii="Arial" w:cs="Arial" w:eastAsia="Arial" w:hAnsi="Arial"/>
                <w:sz w:val="18"/>
                <w:szCs w:val="18"/>
                <w:color w:val="auto"/>
              </w:rPr>
              <w:t>Financial Statements</w:t>
            </w:r>
          </w:p>
        </w:tc>
        <w:tc>
          <w:tcPr>
            <w:tcW w:w="1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6.02</w:t>
            </w:r>
          </w:p>
        </w:tc>
        <w:tc>
          <w:tcPr>
            <w:tcW w:w="6320" w:type="dxa"/>
            <w:vAlign w:val="bottom"/>
          </w:tcPr>
          <w:p>
            <w:pPr>
              <w:ind w:left="340"/>
              <w:spacing w:after="0"/>
              <w:rPr>
                <w:sz w:val="20"/>
                <w:szCs w:val="20"/>
                <w:color w:val="auto"/>
              </w:rPr>
            </w:pPr>
            <w:r>
              <w:rPr>
                <w:rFonts w:ascii="Arial" w:cs="Arial" w:eastAsia="Arial" w:hAnsi="Arial"/>
                <w:sz w:val="18"/>
                <w:szCs w:val="18"/>
                <w:color w:val="auto"/>
              </w:rPr>
              <w:t>Certificates; Other Information</w:t>
            </w:r>
          </w:p>
        </w:tc>
        <w:tc>
          <w:tcPr>
            <w:tcW w:w="19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6.03</w:t>
            </w:r>
          </w:p>
        </w:tc>
        <w:tc>
          <w:tcPr>
            <w:tcW w:w="6320" w:type="dxa"/>
            <w:vAlign w:val="bottom"/>
          </w:tcPr>
          <w:p>
            <w:pPr>
              <w:ind w:left="340"/>
              <w:spacing w:after="0"/>
              <w:rPr>
                <w:sz w:val="20"/>
                <w:szCs w:val="20"/>
                <w:color w:val="auto"/>
              </w:rPr>
            </w:pPr>
            <w:r>
              <w:rPr>
                <w:rFonts w:ascii="Arial" w:cs="Arial" w:eastAsia="Arial" w:hAnsi="Arial"/>
                <w:sz w:val="18"/>
                <w:szCs w:val="18"/>
                <w:color w:val="auto"/>
              </w:rPr>
              <w:t>Notices</w:t>
            </w:r>
          </w:p>
        </w:tc>
        <w:tc>
          <w:tcPr>
            <w:tcW w:w="19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6.04</w:t>
            </w:r>
          </w:p>
        </w:tc>
        <w:tc>
          <w:tcPr>
            <w:tcW w:w="6320" w:type="dxa"/>
            <w:vAlign w:val="bottom"/>
          </w:tcPr>
          <w:p>
            <w:pPr>
              <w:ind w:left="340"/>
              <w:spacing w:after="0"/>
              <w:rPr>
                <w:sz w:val="20"/>
                <w:szCs w:val="20"/>
                <w:color w:val="auto"/>
              </w:rPr>
            </w:pPr>
            <w:r>
              <w:rPr>
                <w:rFonts w:ascii="Arial" w:cs="Arial" w:eastAsia="Arial" w:hAnsi="Arial"/>
                <w:sz w:val="18"/>
                <w:szCs w:val="18"/>
                <w:color w:val="auto"/>
              </w:rPr>
              <w:t>Payment of Obligations</w:t>
            </w:r>
          </w:p>
        </w:tc>
        <w:tc>
          <w:tcPr>
            <w:tcW w:w="19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6.05</w:t>
            </w:r>
          </w:p>
        </w:tc>
        <w:tc>
          <w:tcPr>
            <w:tcW w:w="6320" w:type="dxa"/>
            <w:vAlign w:val="bottom"/>
          </w:tcPr>
          <w:p>
            <w:pPr>
              <w:ind w:left="340"/>
              <w:spacing w:after="0"/>
              <w:rPr>
                <w:sz w:val="20"/>
                <w:szCs w:val="20"/>
                <w:color w:val="auto"/>
              </w:rPr>
            </w:pPr>
            <w:r>
              <w:rPr>
                <w:rFonts w:ascii="Arial" w:cs="Arial" w:eastAsia="Arial" w:hAnsi="Arial"/>
                <w:sz w:val="18"/>
                <w:szCs w:val="18"/>
                <w:color w:val="auto"/>
              </w:rPr>
              <w:t>Preservation of Existence, Etc; Ownership of Loan Parties</w:t>
            </w:r>
          </w:p>
        </w:tc>
        <w:tc>
          <w:tcPr>
            <w:tcW w:w="19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6.06</w:t>
            </w:r>
          </w:p>
        </w:tc>
        <w:tc>
          <w:tcPr>
            <w:tcW w:w="6320" w:type="dxa"/>
            <w:vAlign w:val="bottom"/>
          </w:tcPr>
          <w:p>
            <w:pPr>
              <w:ind w:left="340"/>
              <w:spacing w:after="0"/>
              <w:rPr>
                <w:sz w:val="20"/>
                <w:szCs w:val="20"/>
                <w:color w:val="auto"/>
              </w:rPr>
            </w:pPr>
            <w:r>
              <w:rPr>
                <w:rFonts w:ascii="Arial" w:cs="Arial" w:eastAsia="Arial" w:hAnsi="Arial"/>
                <w:sz w:val="18"/>
                <w:szCs w:val="18"/>
                <w:color w:val="auto"/>
              </w:rPr>
              <w:t>Maintenance of Properties</w:t>
            </w:r>
          </w:p>
        </w:tc>
        <w:tc>
          <w:tcPr>
            <w:tcW w:w="1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6.07</w:t>
            </w:r>
          </w:p>
        </w:tc>
        <w:tc>
          <w:tcPr>
            <w:tcW w:w="6320" w:type="dxa"/>
            <w:vAlign w:val="bottom"/>
          </w:tcPr>
          <w:p>
            <w:pPr>
              <w:ind w:left="340"/>
              <w:spacing w:after="0"/>
              <w:rPr>
                <w:sz w:val="20"/>
                <w:szCs w:val="20"/>
                <w:color w:val="auto"/>
              </w:rPr>
            </w:pPr>
            <w:r>
              <w:rPr>
                <w:rFonts w:ascii="Arial" w:cs="Arial" w:eastAsia="Arial" w:hAnsi="Arial"/>
                <w:sz w:val="18"/>
                <w:szCs w:val="18"/>
                <w:color w:val="auto"/>
              </w:rPr>
              <w:t>Maintenance of Insurance</w:t>
            </w:r>
          </w:p>
        </w:tc>
        <w:tc>
          <w:tcPr>
            <w:tcW w:w="1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6.08</w:t>
            </w:r>
          </w:p>
        </w:tc>
        <w:tc>
          <w:tcPr>
            <w:tcW w:w="6320" w:type="dxa"/>
            <w:vAlign w:val="bottom"/>
          </w:tcPr>
          <w:p>
            <w:pPr>
              <w:ind w:left="340"/>
              <w:spacing w:after="0"/>
              <w:rPr>
                <w:sz w:val="20"/>
                <w:szCs w:val="20"/>
                <w:color w:val="auto"/>
              </w:rPr>
            </w:pPr>
            <w:r>
              <w:rPr>
                <w:rFonts w:ascii="Arial" w:cs="Arial" w:eastAsia="Arial" w:hAnsi="Arial"/>
                <w:sz w:val="18"/>
                <w:szCs w:val="18"/>
                <w:color w:val="auto"/>
              </w:rPr>
              <w:t>Compliance with Laws</w:t>
            </w:r>
          </w:p>
        </w:tc>
        <w:tc>
          <w:tcPr>
            <w:tcW w:w="1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6.09</w:t>
            </w:r>
          </w:p>
        </w:tc>
        <w:tc>
          <w:tcPr>
            <w:tcW w:w="6320" w:type="dxa"/>
            <w:vAlign w:val="bottom"/>
          </w:tcPr>
          <w:p>
            <w:pPr>
              <w:ind w:left="340"/>
              <w:spacing w:after="0"/>
              <w:rPr>
                <w:sz w:val="20"/>
                <w:szCs w:val="20"/>
                <w:color w:val="auto"/>
              </w:rPr>
            </w:pPr>
            <w:r>
              <w:rPr>
                <w:rFonts w:ascii="Arial" w:cs="Arial" w:eastAsia="Arial" w:hAnsi="Arial"/>
                <w:sz w:val="18"/>
                <w:szCs w:val="18"/>
                <w:color w:val="auto"/>
              </w:rPr>
              <w:t>Books and Records</w:t>
            </w:r>
          </w:p>
        </w:tc>
        <w:tc>
          <w:tcPr>
            <w:tcW w:w="19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6.10</w:t>
            </w:r>
          </w:p>
        </w:tc>
        <w:tc>
          <w:tcPr>
            <w:tcW w:w="6320" w:type="dxa"/>
            <w:vAlign w:val="bottom"/>
          </w:tcPr>
          <w:p>
            <w:pPr>
              <w:ind w:left="340"/>
              <w:spacing w:after="0"/>
              <w:rPr>
                <w:sz w:val="20"/>
                <w:szCs w:val="20"/>
                <w:color w:val="auto"/>
              </w:rPr>
            </w:pPr>
            <w:r>
              <w:rPr>
                <w:rFonts w:ascii="Arial" w:cs="Arial" w:eastAsia="Arial" w:hAnsi="Arial"/>
                <w:sz w:val="18"/>
                <w:szCs w:val="18"/>
                <w:color w:val="auto"/>
              </w:rPr>
              <w:t>Inspection Rights</w:t>
            </w:r>
          </w:p>
        </w:tc>
        <w:tc>
          <w:tcPr>
            <w:tcW w:w="19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6.11</w:t>
            </w:r>
          </w:p>
        </w:tc>
        <w:tc>
          <w:tcPr>
            <w:tcW w:w="6320" w:type="dxa"/>
            <w:vAlign w:val="bottom"/>
          </w:tcPr>
          <w:p>
            <w:pPr>
              <w:ind w:left="340"/>
              <w:spacing w:after="0"/>
              <w:rPr>
                <w:sz w:val="20"/>
                <w:szCs w:val="20"/>
                <w:color w:val="auto"/>
              </w:rPr>
            </w:pPr>
            <w:r>
              <w:rPr>
                <w:rFonts w:ascii="Arial" w:cs="Arial" w:eastAsia="Arial" w:hAnsi="Arial"/>
                <w:sz w:val="18"/>
                <w:szCs w:val="18"/>
                <w:color w:val="auto"/>
              </w:rPr>
              <w:t>Use of Proceeds</w:t>
            </w:r>
          </w:p>
        </w:tc>
        <w:tc>
          <w:tcPr>
            <w:tcW w:w="19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6.12</w:t>
            </w:r>
          </w:p>
        </w:tc>
        <w:tc>
          <w:tcPr>
            <w:tcW w:w="6320" w:type="dxa"/>
            <w:vAlign w:val="bottom"/>
          </w:tcPr>
          <w:p>
            <w:pPr>
              <w:ind w:left="340"/>
              <w:spacing w:after="0"/>
              <w:rPr>
                <w:sz w:val="20"/>
                <w:szCs w:val="20"/>
                <w:color w:val="auto"/>
              </w:rPr>
            </w:pPr>
            <w:r>
              <w:rPr>
                <w:rFonts w:ascii="Arial" w:cs="Arial" w:eastAsia="Arial" w:hAnsi="Arial"/>
                <w:sz w:val="18"/>
                <w:szCs w:val="18"/>
                <w:color w:val="auto"/>
              </w:rPr>
              <w:t>Covenant to Guarantee Obligations and Give Security</w:t>
            </w:r>
          </w:p>
        </w:tc>
        <w:tc>
          <w:tcPr>
            <w:tcW w:w="19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6.13</w:t>
            </w:r>
          </w:p>
        </w:tc>
        <w:tc>
          <w:tcPr>
            <w:tcW w:w="6320" w:type="dxa"/>
            <w:vAlign w:val="bottom"/>
          </w:tcPr>
          <w:p>
            <w:pPr>
              <w:ind w:left="340"/>
              <w:spacing w:after="0"/>
              <w:rPr>
                <w:sz w:val="20"/>
                <w:szCs w:val="20"/>
                <w:color w:val="auto"/>
              </w:rPr>
            </w:pPr>
            <w:r>
              <w:rPr>
                <w:rFonts w:ascii="Arial" w:cs="Arial" w:eastAsia="Arial" w:hAnsi="Arial"/>
                <w:sz w:val="18"/>
                <w:szCs w:val="18"/>
                <w:color w:val="auto"/>
              </w:rPr>
              <w:t>Compliance with Environmental Laws</w:t>
            </w:r>
          </w:p>
        </w:tc>
        <w:tc>
          <w:tcPr>
            <w:tcW w:w="19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6.14</w:t>
            </w:r>
          </w:p>
        </w:tc>
        <w:tc>
          <w:tcPr>
            <w:tcW w:w="6320" w:type="dxa"/>
            <w:vAlign w:val="bottom"/>
          </w:tcPr>
          <w:p>
            <w:pPr>
              <w:ind w:left="340"/>
              <w:spacing w:after="0"/>
              <w:rPr>
                <w:sz w:val="20"/>
                <w:szCs w:val="20"/>
                <w:color w:val="auto"/>
              </w:rPr>
            </w:pPr>
            <w:r>
              <w:rPr>
                <w:rFonts w:ascii="Arial" w:cs="Arial" w:eastAsia="Arial" w:hAnsi="Arial"/>
                <w:sz w:val="18"/>
                <w:szCs w:val="18"/>
                <w:color w:val="auto"/>
              </w:rPr>
              <w:t>Preparation of Environmental Reports</w:t>
            </w:r>
          </w:p>
        </w:tc>
        <w:tc>
          <w:tcPr>
            <w:tcW w:w="19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6.15</w:t>
            </w:r>
          </w:p>
        </w:tc>
        <w:tc>
          <w:tcPr>
            <w:tcW w:w="6320" w:type="dxa"/>
            <w:vAlign w:val="bottom"/>
          </w:tcPr>
          <w:p>
            <w:pPr>
              <w:ind w:left="340"/>
              <w:spacing w:after="0"/>
              <w:rPr>
                <w:sz w:val="20"/>
                <w:szCs w:val="20"/>
                <w:color w:val="auto"/>
              </w:rPr>
            </w:pPr>
            <w:r>
              <w:rPr>
                <w:rFonts w:ascii="Arial" w:cs="Arial" w:eastAsia="Arial" w:hAnsi="Arial"/>
                <w:sz w:val="18"/>
                <w:szCs w:val="18"/>
                <w:color w:val="auto"/>
              </w:rPr>
              <w:t>Further Assurances</w:t>
            </w:r>
          </w:p>
        </w:tc>
        <w:tc>
          <w:tcPr>
            <w:tcW w:w="19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6.16</w:t>
            </w:r>
          </w:p>
        </w:tc>
        <w:tc>
          <w:tcPr>
            <w:tcW w:w="6320" w:type="dxa"/>
            <w:vAlign w:val="bottom"/>
          </w:tcPr>
          <w:p>
            <w:pPr>
              <w:ind w:left="340"/>
              <w:spacing w:after="0"/>
              <w:rPr>
                <w:sz w:val="20"/>
                <w:szCs w:val="20"/>
                <w:color w:val="auto"/>
              </w:rPr>
            </w:pPr>
            <w:r>
              <w:rPr>
                <w:rFonts w:ascii="Arial" w:cs="Arial" w:eastAsia="Arial" w:hAnsi="Arial"/>
                <w:sz w:val="18"/>
                <w:szCs w:val="18"/>
                <w:color w:val="auto"/>
              </w:rPr>
              <w:t>Compliance with Terms of Leaseholds</w:t>
            </w:r>
          </w:p>
        </w:tc>
        <w:tc>
          <w:tcPr>
            <w:tcW w:w="19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6.17</w:t>
            </w:r>
          </w:p>
        </w:tc>
        <w:tc>
          <w:tcPr>
            <w:tcW w:w="6320" w:type="dxa"/>
            <w:vAlign w:val="bottom"/>
          </w:tcPr>
          <w:p>
            <w:pPr>
              <w:ind w:left="340"/>
              <w:spacing w:after="0"/>
              <w:rPr>
                <w:sz w:val="20"/>
                <w:szCs w:val="20"/>
                <w:color w:val="auto"/>
              </w:rPr>
            </w:pPr>
            <w:r>
              <w:rPr>
                <w:rFonts w:ascii="Arial" w:cs="Arial" w:eastAsia="Arial" w:hAnsi="Arial"/>
                <w:sz w:val="18"/>
                <w:szCs w:val="18"/>
                <w:color w:val="auto"/>
              </w:rPr>
              <w:t>Interest Rate Hedging</w:t>
            </w:r>
          </w:p>
        </w:tc>
        <w:tc>
          <w:tcPr>
            <w:tcW w:w="19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6.18</w:t>
            </w:r>
          </w:p>
        </w:tc>
        <w:tc>
          <w:tcPr>
            <w:tcW w:w="6320" w:type="dxa"/>
            <w:vAlign w:val="bottom"/>
          </w:tcPr>
          <w:p>
            <w:pPr>
              <w:ind w:left="340"/>
              <w:spacing w:after="0"/>
              <w:rPr>
                <w:sz w:val="20"/>
                <w:szCs w:val="20"/>
                <w:color w:val="auto"/>
              </w:rPr>
            </w:pPr>
            <w:r>
              <w:rPr>
                <w:rFonts w:ascii="Arial" w:cs="Arial" w:eastAsia="Arial" w:hAnsi="Arial"/>
                <w:sz w:val="18"/>
                <w:szCs w:val="18"/>
                <w:color w:val="auto"/>
              </w:rPr>
              <w:t>Material Contracts</w:t>
            </w:r>
          </w:p>
        </w:tc>
        <w:tc>
          <w:tcPr>
            <w:tcW w:w="1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6.19</w:t>
            </w:r>
          </w:p>
        </w:tc>
        <w:tc>
          <w:tcPr>
            <w:tcW w:w="6320" w:type="dxa"/>
            <w:vAlign w:val="bottom"/>
          </w:tcPr>
          <w:p>
            <w:pPr>
              <w:ind w:left="340"/>
              <w:spacing w:after="0"/>
              <w:rPr>
                <w:sz w:val="20"/>
                <w:szCs w:val="20"/>
                <w:color w:val="auto"/>
              </w:rPr>
            </w:pPr>
            <w:r>
              <w:rPr>
                <w:rFonts w:ascii="Arial" w:cs="Arial" w:eastAsia="Arial" w:hAnsi="Arial"/>
                <w:sz w:val="18"/>
                <w:szCs w:val="18"/>
                <w:color w:val="auto"/>
              </w:rPr>
              <w:t>Disclosure Updates</w:t>
            </w:r>
          </w:p>
        </w:tc>
        <w:tc>
          <w:tcPr>
            <w:tcW w:w="1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6.20</w:t>
            </w:r>
          </w:p>
        </w:tc>
        <w:tc>
          <w:tcPr>
            <w:tcW w:w="6320" w:type="dxa"/>
            <w:vAlign w:val="bottom"/>
          </w:tcPr>
          <w:p>
            <w:pPr>
              <w:ind w:left="340"/>
              <w:spacing w:after="0"/>
              <w:rPr>
                <w:sz w:val="20"/>
                <w:szCs w:val="20"/>
                <w:color w:val="auto"/>
              </w:rPr>
            </w:pPr>
            <w:r>
              <w:rPr>
                <w:rFonts w:ascii="Arial" w:cs="Arial" w:eastAsia="Arial" w:hAnsi="Arial"/>
                <w:sz w:val="18"/>
                <w:szCs w:val="18"/>
                <w:color w:val="auto"/>
              </w:rPr>
              <w:t>Location of Inventory and Equipment</w:t>
            </w:r>
          </w:p>
        </w:tc>
        <w:tc>
          <w:tcPr>
            <w:tcW w:w="1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rPr>
              <w:t>Article VII</w:t>
            </w:r>
          </w:p>
        </w:tc>
        <w:tc>
          <w:tcPr>
            <w:tcW w:w="6320" w:type="dxa"/>
            <w:vAlign w:val="bottom"/>
          </w:tcPr>
          <w:p>
            <w:pPr>
              <w:ind w:left="340"/>
              <w:spacing w:after="0"/>
              <w:rPr>
                <w:sz w:val="20"/>
                <w:szCs w:val="20"/>
                <w:color w:val="auto"/>
              </w:rPr>
            </w:pPr>
            <w:r>
              <w:rPr>
                <w:rFonts w:ascii="Arial" w:cs="Arial" w:eastAsia="Arial" w:hAnsi="Arial"/>
                <w:sz w:val="18"/>
                <w:szCs w:val="18"/>
                <w:color w:val="auto"/>
              </w:rPr>
              <w:t>NEGATIVE COVENANTS</w:t>
            </w:r>
          </w:p>
        </w:tc>
        <w:tc>
          <w:tcPr>
            <w:tcW w:w="1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7.01</w:t>
            </w:r>
          </w:p>
        </w:tc>
        <w:tc>
          <w:tcPr>
            <w:tcW w:w="6320" w:type="dxa"/>
            <w:vAlign w:val="bottom"/>
          </w:tcPr>
          <w:p>
            <w:pPr>
              <w:ind w:left="340"/>
              <w:spacing w:after="0"/>
              <w:rPr>
                <w:sz w:val="20"/>
                <w:szCs w:val="20"/>
                <w:color w:val="auto"/>
              </w:rPr>
            </w:pPr>
            <w:r>
              <w:rPr>
                <w:rFonts w:ascii="Arial" w:cs="Arial" w:eastAsia="Arial" w:hAnsi="Arial"/>
                <w:sz w:val="18"/>
                <w:szCs w:val="18"/>
                <w:color w:val="auto"/>
              </w:rPr>
              <w:t>Liens</w:t>
            </w:r>
          </w:p>
        </w:tc>
        <w:tc>
          <w:tcPr>
            <w:tcW w:w="1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7.02</w:t>
            </w:r>
          </w:p>
        </w:tc>
        <w:tc>
          <w:tcPr>
            <w:tcW w:w="6320" w:type="dxa"/>
            <w:vAlign w:val="bottom"/>
          </w:tcPr>
          <w:p>
            <w:pPr>
              <w:ind w:left="340"/>
              <w:spacing w:after="0"/>
              <w:rPr>
                <w:sz w:val="20"/>
                <w:szCs w:val="20"/>
                <w:color w:val="auto"/>
              </w:rPr>
            </w:pPr>
            <w:r>
              <w:rPr>
                <w:rFonts w:ascii="Arial" w:cs="Arial" w:eastAsia="Arial" w:hAnsi="Arial"/>
                <w:sz w:val="18"/>
                <w:szCs w:val="18"/>
                <w:color w:val="auto"/>
              </w:rPr>
              <w:t>Indebtedness</w:t>
            </w:r>
          </w:p>
        </w:tc>
        <w:tc>
          <w:tcPr>
            <w:tcW w:w="19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7.03</w:t>
            </w:r>
          </w:p>
        </w:tc>
        <w:tc>
          <w:tcPr>
            <w:tcW w:w="632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19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7.04</w:t>
            </w:r>
          </w:p>
        </w:tc>
        <w:tc>
          <w:tcPr>
            <w:tcW w:w="6320" w:type="dxa"/>
            <w:vAlign w:val="bottom"/>
          </w:tcPr>
          <w:p>
            <w:pPr>
              <w:ind w:left="340"/>
              <w:spacing w:after="0"/>
              <w:rPr>
                <w:sz w:val="20"/>
                <w:szCs w:val="20"/>
                <w:color w:val="auto"/>
              </w:rPr>
            </w:pPr>
            <w:r>
              <w:rPr>
                <w:rFonts w:ascii="Arial" w:cs="Arial" w:eastAsia="Arial" w:hAnsi="Arial"/>
                <w:sz w:val="18"/>
                <w:szCs w:val="18"/>
                <w:color w:val="auto"/>
              </w:rPr>
              <w:t>Fundamental Changes</w:t>
            </w:r>
          </w:p>
        </w:tc>
        <w:tc>
          <w:tcPr>
            <w:tcW w:w="19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7.05</w:t>
            </w:r>
          </w:p>
        </w:tc>
        <w:tc>
          <w:tcPr>
            <w:tcW w:w="6320" w:type="dxa"/>
            <w:vAlign w:val="bottom"/>
          </w:tcPr>
          <w:p>
            <w:pPr>
              <w:ind w:left="340"/>
              <w:spacing w:after="0"/>
              <w:rPr>
                <w:sz w:val="20"/>
                <w:szCs w:val="20"/>
                <w:color w:val="auto"/>
              </w:rPr>
            </w:pPr>
            <w:r>
              <w:rPr>
                <w:rFonts w:ascii="Arial" w:cs="Arial" w:eastAsia="Arial" w:hAnsi="Arial"/>
                <w:sz w:val="18"/>
                <w:szCs w:val="18"/>
                <w:color w:val="auto"/>
              </w:rPr>
              <w:t>Dispositions</w:t>
            </w:r>
          </w:p>
        </w:tc>
        <w:tc>
          <w:tcPr>
            <w:tcW w:w="19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7.06</w:t>
            </w:r>
          </w:p>
        </w:tc>
        <w:tc>
          <w:tcPr>
            <w:tcW w:w="6320" w:type="dxa"/>
            <w:vAlign w:val="bottom"/>
          </w:tcPr>
          <w:p>
            <w:pPr>
              <w:ind w:left="340"/>
              <w:spacing w:after="0"/>
              <w:rPr>
                <w:sz w:val="20"/>
                <w:szCs w:val="20"/>
                <w:color w:val="auto"/>
              </w:rPr>
            </w:pPr>
            <w:r>
              <w:rPr>
                <w:rFonts w:ascii="Arial" w:cs="Arial" w:eastAsia="Arial" w:hAnsi="Arial"/>
                <w:sz w:val="18"/>
                <w:szCs w:val="18"/>
                <w:color w:val="auto"/>
              </w:rPr>
              <w:t>Restricted Payments</w:t>
            </w:r>
          </w:p>
        </w:tc>
        <w:tc>
          <w:tcPr>
            <w:tcW w:w="19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7.07</w:t>
            </w:r>
          </w:p>
        </w:tc>
        <w:tc>
          <w:tcPr>
            <w:tcW w:w="6320" w:type="dxa"/>
            <w:vAlign w:val="bottom"/>
          </w:tcPr>
          <w:p>
            <w:pPr>
              <w:ind w:left="340"/>
              <w:spacing w:after="0"/>
              <w:rPr>
                <w:sz w:val="20"/>
                <w:szCs w:val="20"/>
                <w:color w:val="auto"/>
              </w:rPr>
            </w:pPr>
            <w:r>
              <w:rPr>
                <w:rFonts w:ascii="Arial" w:cs="Arial" w:eastAsia="Arial" w:hAnsi="Arial"/>
                <w:sz w:val="18"/>
                <w:szCs w:val="18"/>
                <w:color w:val="auto"/>
              </w:rPr>
              <w:t>Change in Nature of Business</w:t>
            </w:r>
          </w:p>
        </w:tc>
        <w:tc>
          <w:tcPr>
            <w:tcW w:w="19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7.08</w:t>
            </w:r>
          </w:p>
        </w:tc>
        <w:tc>
          <w:tcPr>
            <w:tcW w:w="6320" w:type="dxa"/>
            <w:vAlign w:val="bottom"/>
          </w:tcPr>
          <w:p>
            <w:pPr>
              <w:ind w:left="340"/>
              <w:spacing w:after="0"/>
              <w:rPr>
                <w:sz w:val="20"/>
                <w:szCs w:val="20"/>
                <w:color w:val="auto"/>
              </w:rPr>
            </w:pPr>
            <w:r>
              <w:rPr>
                <w:rFonts w:ascii="Arial" w:cs="Arial" w:eastAsia="Arial" w:hAnsi="Arial"/>
                <w:sz w:val="18"/>
                <w:szCs w:val="18"/>
                <w:color w:val="auto"/>
              </w:rPr>
              <w:t>Transactions with Affiliates</w:t>
            </w:r>
          </w:p>
        </w:tc>
        <w:tc>
          <w:tcPr>
            <w:tcW w:w="19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7.09</w:t>
            </w:r>
          </w:p>
        </w:tc>
        <w:tc>
          <w:tcPr>
            <w:tcW w:w="6320" w:type="dxa"/>
            <w:vAlign w:val="bottom"/>
          </w:tcPr>
          <w:p>
            <w:pPr>
              <w:ind w:left="340"/>
              <w:spacing w:after="0"/>
              <w:rPr>
                <w:sz w:val="20"/>
                <w:szCs w:val="20"/>
                <w:color w:val="auto"/>
              </w:rPr>
            </w:pPr>
            <w:r>
              <w:rPr>
                <w:rFonts w:ascii="Arial" w:cs="Arial" w:eastAsia="Arial" w:hAnsi="Arial"/>
                <w:sz w:val="18"/>
                <w:szCs w:val="18"/>
                <w:color w:val="auto"/>
              </w:rPr>
              <w:t>Burdensome Agreements; Material Contract</w:t>
            </w:r>
          </w:p>
        </w:tc>
        <w:tc>
          <w:tcPr>
            <w:tcW w:w="19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85"/>
              </w:rPr>
              <w:t>7.10</w:t>
            </w:r>
          </w:p>
        </w:tc>
        <w:tc>
          <w:tcPr>
            <w:tcW w:w="6320" w:type="dxa"/>
            <w:vAlign w:val="bottom"/>
          </w:tcPr>
          <w:p>
            <w:pPr>
              <w:ind w:left="340"/>
              <w:spacing w:after="0"/>
              <w:rPr>
                <w:sz w:val="20"/>
                <w:szCs w:val="20"/>
                <w:color w:val="auto"/>
              </w:rPr>
            </w:pPr>
            <w:r>
              <w:rPr>
                <w:rFonts w:ascii="Arial" w:cs="Arial" w:eastAsia="Arial" w:hAnsi="Arial"/>
                <w:sz w:val="18"/>
                <w:szCs w:val="18"/>
                <w:color w:val="auto"/>
              </w:rPr>
              <w:t>Use of Proceeds</w:t>
            </w:r>
          </w:p>
        </w:tc>
        <w:tc>
          <w:tcPr>
            <w:tcW w:w="1960" w:type="dxa"/>
            <w:vAlign w:val="bottom"/>
          </w:tcPr>
          <w:p>
            <w:pPr>
              <w:jc w:val="right"/>
              <w:spacing w:after="0"/>
              <w:rPr>
                <w:sz w:val="20"/>
                <w:szCs w:val="20"/>
                <w:color w:val="auto"/>
              </w:rPr>
            </w:pPr>
            <w:r>
              <w:rPr>
                <w:rFonts w:ascii="Arial" w:cs="Arial" w:eastAsia="Arial" w:hAnsi="Arial"/>
                <w:sz w:val="18"/>
                <w:szCs w:val="18"/>
                <w:color w:val="auto"/>
              </w:rPr>
              <w:t>86</w:t>
            </w:r>
          </w:p>
        </w:tc>
      </w:tr>
    </w:tbl>
    <w:p>
      <w:pPr>
        <w:spacing w:after="0" w:line="25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9400"/>
          </w:cols>
          <w:pgMar w:left="1400" w:top="746" w:right="10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7.11</w:t>
            </w:r>
          </w:p>
        </w:tc>
        <w:tc>
          <w:tcPr>
            <w:tcW w:w="6620" w:type="dxa"/>
            <w:vAlign w:val="bottom"/>
          </w:tcPr>
          <w:p>
            <w:pPr>
              <w:ind w:left="320"/>
              <w:spacing w:after="0"/>
              <w:rPr>
                <w:sz w:val="20"/>
                <w:szCs w:val="20"/>
                <w:color w:val="auto"/>
              </w:rPr>
            </w:pPr>
            <w:r>
              <w:rPr>
                <w:rFonts w:ascii="Arial" w:cs="Arial" w:eastAsia="Arial" w:hAnsi="Arial"/>
                <w:sz w:val="18"/>
                <w:szCs w:val="18"/>
                <w:color w:val="auto"/>
              </w:rPr>
              <w:t>Financial Covenants</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86</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7.12</w:t>
            </w:r>
          </w:p>
        </w:tc>
        <w:tc>
          <w:tcPr>
            <w:tcW w:w="6620" w:type="dxa"/>
            <w:vAlign w:val="bottom"/>
          </w:tcPr>
          <w:p>
            <w:pPr>
              <w:ind w:left="320"/>
              <w:spacing w:after="0"/>
              <w:rPr>
                <w:sz w:val="20"/>
                <w:szCs w:val="20"/>
                <w:color w:val="auto"/>
              </w:rPr>
            </w:pPr>
            <w:r>
              <w:rPr>
                <w:rFonts w:ascii="Arial" w:cs="Arial" w:eastAsia="Arial" w:hAnsi="Arial"/>
                <w:sz w:val="18"/>
                <w:szCs w:val="18"/>
                <w:color w:val="auto"/>
              </w:rPr>
              <w:t>[Intentionally Omitted]</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86</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7.13</w:t>
            </w:r>
          </w:p>
        </w:tc>
        <w:tc>
          <w:tcPr>
            <w:tcW w:w="6620" w:type="dxa"/>
            <w:vAlign w:val="bottom"/>
          </w:tcPr>
          <w:p>
            <w:pPr>
              <w:ind w:left="320"/>
              <w:spacing w:after="0"/>
              <w:rPr>
                <w:sz w:val="20"/>
                <w:szCs w:val="20"/>
                <w:color w:val="auto"/>
              </w:rPr>
            </w:pPr>
            <w:r>
              <w:rPr>
                <w:rFonts w:ascii="Arial" w:cs="Arial" w:eastAsia="Arial" w:hAnsi="Arial"/>
                <w:sz w:val="18"/>
                <w:szCs w:val="18"/>
                <w:color w:val="auto"/>
              </w:rPr>
              <w:t>Amendments of Organization Documents</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86</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7.14</w:t>
            </w:r>
          </w:p>
        </w:tc>
        <w:tc>
          <w:tcPr>
            <w:tcW w:w="6620" w:type="dxa"/>
            <w:vAlign w:val="bottom"/>
          </w:tcPr>
          <w:p>
            <w:pPr>
              <w:ind w:left="320"/>
              <w:spacing w:after="0"/>
              <w:rPr>
                <w:sz w:val="20"/>
                <w:szCs w:val="20"/>
                <w:color w:val="auto"/>
              </w:rPr>
            </w:pPr>
            <w:r>
              <w:rPr>
                <w:rFonts w:ascii="Arial" w:cs="Arial" w:eastAsia="Arial" w:hAnsi="Arial"/>
                <w:sz w:val="18"/>
                <w:szCs w:val="18"/>
                <w:color w:val="auto"/>
              </w:rPr>
              <w:t>Accounting Changes</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86</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7.15</w:t>
            </w:r>
          </w:p>
        </w:tc>
        <w:tc>
          <w:tcPr>
            <w:tcW w:w="6620" w:type="dxa"/>
            <w:vAlign w:val="bottom"/>
          </w:tcPr>
          <w:p>
            <w:pPr>
              <w:ind w:left="320"/>
              <w:spacing w:after="0"/>
              <w:rPr>
                <w:sz w:val="20"/>
                <w:szCs w:val="20"/>
                <w:color w:val="auto"/>
              </w:rPr>
            </w:pPr>
            <w:r>
              <w:rPr>
                <w:rFonts w:ascii="Arial" w:cs="Arial" w:eastAsia="Arial" w:hAnsi="Arial"/>
                <w:sz w:val="18"/>
                <w:szCs w:val="18"/>
                <w:color w:val="auto"/>
              </w:rPr>
              <w:t>Prepayments, Etc. of Junior Indebtedness</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86</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7.16</w:t>
            </w:r>
          </w:p>
        </w:tc>
        <w:tc>
          <w:tcPr>
            <w:tcW w:w="6620" w:type="dxa"/>
            <w:vAlign w:val="bottom"/>
          </w:tcPr>
          <w:p>
            <w:pPr>
              <w:ind w:left="320"/>
              <w:spacing w:after="0"/>
              <w:rPr>
                <w:sz w:val="20"/>
                <w:szCs w:val="20"/>
                <w:color w:val="auto"/>
              </w:rPr>
            </w:pPr>
            <w:r>
              <w:rPr>
                <w:rFonts w:ascii="Arial" w:cs="Arial" w:eastAsia="Arial" w:hAnsi="Arial"/>
                <w:sz w:val="18"/>
                <w:szCs w:val="18"/>
                <w:color w:val="auto"/>
              </w:rPr>
              <w:t>Amendment, Etc. of Indebtedness</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86</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7.17</w:t>
            </w:r>
          </w:p>
        </w:tc>
        <w:tc>
          <w:tcPr>
            <w:tcW w:w="6620" w:type="dxa"/>
            <w:vAlign w:val="bottom"/>
          </w:tcPr>
          <w:p>
            <w:pPr>
              <w:ind w:left="320"/>
              <w:spacing w:after="0"/>
              <w:rPr>
                <w:sz w:val="20"/>
                <w:szCs w:val="20"/>
                <w:color w:val="auto"/>
              </w:rPr>
            </w:pPr>
            <w:r>
              <w:rPr>
                <w:rFonts w:ascii="Arial" w:cs="Arial" w:eastAsia="Arial" w:hAnsi="Arial"/>
                <w:sz w:val="18"/>
                <w:szCs w:val="18"/>
                <w:color w:val="auto"/>
              </w:rPr>
              <w:t>Hazardous Materials</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86</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7.18</w:t>
            </w:r>
          </w:p>
        </w:tc>
        <w:tc>
          <w:tcPr>
            <w:tcW w:w="6620" w:type="dxa"/>
            <w:vAlign w:val="bottom"/>
          </w:tcPr>
          <w:p>
            <w:pPr>
              <w:ind w:left="320"/>
              <w:spacing w:after="0"/>
              <w:rPr>
                <w:sz w:val="20"/>
                <w:szCs w:val="20"/>
                <w:color w:val="auto"/>
              </w:rPr>
            </w:pPr>
            <w:r>
              <w:rPr>
                <w:rFonts w:ascii="Arial" w:cs="Arial" w:eastAsia="Arial" w:hAnsi="Arial"/>
                <w:sz w:val="18"/>
                <w:szCs w:val="18"/>
                <w:color w:val="auto"/>
              </w:rPr>
              <w:t>Cancellation of Indebtedness</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87</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7.19</w:t>
            </w:r>
          </w:p>
        </w:tc>
        <w:tc>
          <w:tcPr>
            <w:tcW w:w="6620" w:type="dxa"/>
            <w:vAlign w:val="bottom"/>
          </w:tcPr>
          <w:p>
            <w:pPr>
              <w:ind w:left="320"/>
              <w:spacing w:after="0"/>
              <w:rPr>
                <w:sz w:val="20"/>
                <w:szCs w:val="20"/>
                <w:color w:val="auto"/>
              </w:rPr>
            </w:pPr>
            <w:r>
              <w:rPr>
                <w:rFonts w:ascii="Arial" w:cs="Arial" w:eastAsia="Arial" w:hAnsi="Arial"/>
                <w:sz w:val="18"/>
                <w:szCs w:val="18"/>
                <w:color w:val="auto"/>
              </w:rPr>
              <w:t>No Speculative Transactions</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87</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7.20</w:t>
            </w:r>
          </w:p>
        </w:tc>
        <w:tc>
          <w:tcPr>
            <w:tcW w:w="6620" w:type="dxa"/>
            <w:vAlign w:val="bottom"/>
          </w:tcPr>
          <w:p>
            <w:pPr>
              <w:ind w:left="320"/>
              <w:spacing w:after="0"/>
              <w:rPr>
                <w:sz w:val="20"/>
                <w:szCs w:val="20"/>
                <w:color w:val="auto"/>
              </w:rPr>
            </w:pPr>
            <w:r>
              <w:rPr>
                <w:rFonts w:ascii="Arial" w:cs="Arial" w:eastAsia="Arial" w:hAnsi="Arial"/>
                <w:sz w:val="18"/>
                <w:szCs w:val="18"/>
                <w:color w:val="auto"/>
              </w:rPr>
              <w:t>ERISA</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87</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7.21</w:t>
            </w:r>
          </w:p>
        </w:tc>
        <w:tc>
          <w:tcPr>
            <w:tcW w:w="6620" w:type="dxa"/>
            <w:vAlign w:val="bottom"/>
          </w:tcPr>
          <w:p>
            <w:pPr>
              <w:ind w:left="320"/>
              <w:spacing w:after="0"/>
              <w:rPr>
                <w:sz w:val="20"/>
                <w:szCs w:val="20"/>
                <w:color w:val="auto"/>
              </w:rPr>
            </w:pPr>
            <w:r>
              <w:rPr>
                <w:rFonts w:ascii="Arial" w:cs="Arial" w:eastAsia="Arial" w:hAnsi="Arial"/>
                <w:sz w:val="18"/>
                <w:szCs w:val="18"/>
                <w:color w:val="auto"/>
              </w:rPr>
              <w:t>Sanctions</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87</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7.22</w:t>
            </w:r>
          </w:p>
        </w:tc>
        <w:tc>
          <w:tcPr>
            <w:tcW w:w="6620" w:type="dxa"/>
            <w:vAlign w:val="bottom"/>
          </w:tcPr>
          <w:p>
            <w:pPr>
              <w:ind w:left="320"/>
              <w:spacing w:after="0"/>
              <w:rPr>
                <w:sz w:val="20"/>
                <w:szCs w:val="20"/>
                <w:color w:val="auto"/>
              </w:rPr>
            </w:pPr>
            <w:r>
              <w:rPr>
                <w:rFonts w:ascii="Arial" w:cs="Arial" w:eastAsia="Arial" w:hAnsi="Arial"/>
                <w:sz w:val="18"/>
                <w:szCs w:val="18"/>
                <w:color w:val="auto"/>
              </w:rPr>
              <w:t>Permitted Receivables Financing Subsidiaries</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87</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rPr>
              <w:t>Article VIII</w:t>
            </w:r>
          </w:p>
        </w:tc>
        <w:tc>
          <w:tcPr>
            <w:tcW w:w="6620" w:type="dxa"/>
            <w:vAlign w:val="bottom"/>
          </w:tcPr>
          <w:p>
            <w:pPr>
              <w:ind w:left="320"/>
              <w:spacing w:after="0"/>
              <w:rPr>
                <w:sz w:val="20"/>
                <w:szCs w:val="20"/>
                <w:color w:val="auto"/>
              </w:rPr>
            </w:pPr>
            <w:r>
              <w:rPr>
                <w:rFonts w:ascii="Arial" w:cs="Arial" w:eastAsia="Arial" w:hAnsi="Arial"/>
                <w:sz w:val="18"/>
                <w:szCs w:val="18"/>
                <w:color w:val="auto"/>
              </w:rPr>
              <w:t>EVENTS OF DEFAULT AND REMEDIES</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87</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8.01</w:t>
            </w:r>
          </w:p>
        </w:tc>
        <w:tc>
          <w:tcPr>
            <w:tcW w:w="6620" w:type="dxa"/>
            <w:vAlign w:val="bottom"/>
          </w:tcPr>
          <w:p>
            <w:pPr>
              <w:ind w:left="320"/>
              <w:spacing w:after="0"/>
              <w:rPr>
                <w:sz w:val="20"/>
                <w:szCs w:val="20"/>
                <w:color w:val="auto"/>
              </w:rPr>
            </w:pPr>
            <w:r>
              <w:rPr>
                <w:rFonts w:ascii="Arial" w:cs="Arial" w:eastAsia="Arial" w:hAnsi="Arial"/>
                <w:sz w:val="18"/>
                <w:szCs w:val="18"/>
                <w:color w:val="auto"/>
              </w:rPr>
              <w:t>Events of Default</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87</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8.02</w:t>
            </w:r>
          </w:p>
        </w:tc>
        <w:tc>
          <w:tcPr>
            <w:tcW w:w="6620" w:type="dxa"/>
            <w:vAlign w:val="bottom"/>
          </w:tcPr>
          <w:p>
            <w:pPr>
              <w:ind w:left="320"/>
              <w:spacing w:after="0"/>
              <w:rPr>
                <w:sz w:val="20"/>
                <w:szCs w:val="20"/>
                <w:color w:val="auto"/>
              </w:rPr>
            </w:pPr>
            <w:r>
              <w:rPr>
                <w:rFonts w:ascii="Arial" w:cs="Arial" w:eastAsia="Arial" w:hAnsi="Arial"/>
                <w:sz w:val="18"/>
                <w:szCs w:val="18"/>
                <w:color w:val="auto"/>
              </w:rPr>
              <w:t>Remedies upon Event of Default</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89</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8.03</w:t>
            </w:r>
          </w:p>
        </w:tc>
        <w:tc>
          <w:tcPr>
            <w:tcW w:w="6620" w:type="dxa"/>
            <w:vAlign w:val="bottom"/>
          </w:tcPr>
          <w:p>
            <w:pPr>
              <w:ind w:left="320"/>
              <w:spacing w:after="0"/>
              <w:rPr>
                <w:sz w:val="20"/>
                <w:szCs w:val="20"/>
                <w:color w:val="auto"/>
              </w:rPr>
            </w:pPr>
            <w:r>
              <w:rPr>
                <w:rFonts w:ascii="Arial" w:cs="Arial" w:eastAsia="Arial" w:hAnsi="Arial"/>
                <w:sz w:val="18"/>
                <w:szCs w:val="18"/>
                <w:color w:val="auto"/>
              </w:rPr>
              <w:t>Application of Funds</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90</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rPr>
              <w:t>Article IX</w:t>
            </w:r>
          </w:p>
        </w:tc>
        <w:tc>
          <w:tcPr>
            <w:tcW w:w="6620" w:type="dxa"/>
            <w:vAlign w:val="bottom"/>
          </w:tcPr>
          <w:p>
            <w:pPr>
              <w:ind w:left="320"/>
              <w:spacing w:after="0"/>
              <w:rPr>
                <w:sz w:val="20"/>
                <w:szCs w:val="20"/>
                <w:color w:val="auto"/>
              </w:rPr>
            </w:pPr>
            <w:r>
              <w:rPr>
                <w:rFonts w:ascii="Arial" w:cs="Arial" w:eastAsia="Arial" w:hAnsi="Arial"/>
                <w:sz w:val="18"/>
                <w:szCs w:val="18"/>
                <w:color w:val="auto"/>
              </w:rPr>
              <w:t>ADMINISTRATIVE AGENT</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91</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9.01</w:t>
            </w:r>
          </w:p>
        </w:tc>
        <w:tc>
          <w:tcPr>
            <w:tcW w:w="6620" w:type="dxa"/>
            <w:vAlign w:val="bottom"/>
          </w:tcPr>
          <w:p>
            <w:pPr>
              <w:ind w:left="320"/>
              <w:spacing w:after="0"/>
              <w:rPr>
                <w:sz w:val="20"/>
                <w:szCs w:val="20"/>
                <w:color w:val="auto"/>
              </w:rPr>
            </w:pPr>
            <w:r>
              <w:rPr>
                <w:rFonts w:ascii="Arial" w:cs="Arial" w:eastAsia="Arial" w:hAnsi="Arial"/>
                <w:sz w:val="18"/>
                <w:szCs w:val="18"/>
                <w:color w:val="auto"/>
              </w:rPr>
              <w:t>Appointment and Authority</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91</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9.02</w:t>
            </w:r>
          </w:p>
        </w:tc>
        <w:tc>
          <w:tcPr>
            <w:tcW w:w="6620" w:type="dxa"/>
            <w:vAlign w:val="bottom"/>
          </w:tcPr>
          <w:p>
            <w:pPr>
              <w:ind w:left="320"/>
              <w:spacing w:after="0"/>
              <w:rPr>
                <w:sz w:val="20"/>
                <w:szCs w:val="20"/>
                <w:color w:val="auto"/>
              </w:rPr>
            </w:pPr>
            <w:r>
              <w:rPr>
                <w:rFonts w:ascii="Arial" w:cs="Arial" w:eastAsia="Arial" w:hAnsi="Arial"/>
                <w:sz w:val="18"/>
                <w:szCs w:val="18"/>
                <w:color w:val="auto"/>
              </w:rPr>
              <w:t>Rights as a Lender</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91</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9.03</w:t>
            </w:r>
          </w:p>
        </w:tc>
        <w:tc>
          <w:tcPr>
            <w:tcW w:w="6620" w:type="dxa"/>
            <w:vAlign w:val="bottom"/>
          </w:tcPr>
          <w:p>
            <w:pPr>
              <w:ind w:left="320"/>
              <w:spacing w:after="0"/>
              <w:rPr>
                <w:sz w:val="20"/>
                <w:szCs w:val="20"/>
                <w:color w:val="auto"/>
              </w:rPr>
            </w:pPr>
            <w:r>
              <w:rPr>
                <w:rFonts w:ascii="Arial" w:cs="Arial" w:eastAsia="Arial" w:hAnsi="Arial"/>
                <w:sz w:val="18"/>
                <w:szCs w:val="18"/>
                <w:color w:val="auto"/>
              </w:rPr>
              <w:t>Exculpatory Provisions</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91</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9.04</w:t>
            </w:r>
          </w:p>
        </w:tc>
        <w:tc>
          <w:tcPr>
            <w:tcW w:w="6620" w:type="dxa"/>
            <w:vAlign w:val="bottom"/>
          </w:tcPr>
          <w:p>
            <w:pPr>
              <w:ind w:left="320"/>
              <w:spacing w:after="0"/>
              <w:rPr>
                <w:sz w:val="20"/>
                <w:szCs w:val="20"/>
                <w:color w:val="auto"/>
              </w:rPr>
            </w:pPr>
            <w:r>
              <w:rPr>
                <w:rFonts w:ascii="Arial" w:cs="Arial" w:eastAsia="Arial" w:hAnsi="Arial"/>
                <w:sz w:val="18"/>
                <w:szCs w:val="18"/>
                <w:color w:val="auto"/>
              </w:rPr>
              <w:t>Reliance by Administrative Agent</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92</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9.05</w:t>
            </w:r>
          </w:p>
        </w:tc>
        <w:tc>
          <w:tcPr>
            <w:tcW w:w="6620" w:type="dxa"/>
            <w:vAlign w:val="bottom"/>
          </w:tcPr>
          <w:p>
            <w:pPr>
              <w:ind w:left="320"/>
              <w:spacing w:after="0"/>
              <w:rPr>
                <w:sz w:val="20"/>
                <w:szCs w:val="20"/>
                <w:color w:val="auto"/>
              </w:rPr>
            </w:pPr>
            <w:r>
              <w:rPr>
                <w:rFonts w:ascii="Arial" w:cs="Arial" w:eastAsia="Arial" w:hAnsi="Arial"/>
                <w:sz w:val="18"/>
                <w:szCs w:val="18"/>
                <w:color w:val="auto"/>
              </w:rPr>
              <w:t>Delegation of Duties</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93</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9.06</w:t>
            </w:r>
          </w:p>
        </w:tc>
        <w:tc>
          <w:tcPr>
            <w:tcW w:w="6620" w:type="dxa"/>
            <w:vAlign w:val="bottom"/>
          </w:tcPr>
          <w:p>
            <w:pPr>
              <w:ind w:left="320"/>
              <w:spacing w:after="0"/>
              <w:rPr>
                <w:sz w:val="20"/>
                <w:szCs w:val="20"/>
                <w:color w:val="auto"/>
              </w:rPr>
            </w:pPr>
            <w:r>
              <w:rPr>
                <w:rFonts w:ascii="Arial" w:cs="Arial" w:eastAsia="Arial" w:hAnsi="Arial"/>
                <w:sz w:val="18"/>
                <w:szCs w:val="18"/>
                <w:color w:val="auto"/>
              </w:rPr>
              <w:t>Resignation of Administrative Agent</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93</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9.07</w:t>
            </w:r>
          </w:p>
        </w:tc>
        <w:tc>
          <w:tcPr>
            <w:tcW w:w="6620" w:type="dxa"/>
            <w:vAlign w:val="bottom"/>
          </w:tcPr>
          <w:p>
            <w:pPr>
              <w:ind w:left="320"/>
              <w:spacing w:after="0"/>
              <w:rPr>
                <w:sz w:val="20"/>
                <w:szCs w:val="20"/>
                <w:color w:val="auto"/>
              </w:rPr>
            </w:pPr>
            <w:r>
              <w:rPr>
                <w:rFonts w:ascii="Arial" w:cs="Arial" w:eastAsia="Arial" w:hAnsi="Arial"/>
                <w:sz w:val="18"/>
                <w:szCs w:val="18"/>
                <w:color w:val="auto"/>
              </w:rPr>
              <w:t>Non-Reliance on Administrative Agent and Other Lenders</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93</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9.08</w:t>
            </w:r>
          </w:p>
        </w:tc>
        <w:tc>
          <w:tcPr>
            <w:tcW w:w="6620" w:type="dxa"/>
            <w:vAlign w:val="bottom"/>
          </w:tcPr>
          <w:p>
            <w:pPr>
              <w:ind w:left="320"/>
              <w:spacing w:after="0"/>
              <w:rPr>
                <w:sz w:val="20"/>
                <w:szCs w:val="20"/>
                <w:color w:val="auto"/>
              </w:rPr>
            </w:pPr>
            <w:r>
              <w:rPr>
                <w:rFonts w:ascii="Arial" w:cs="Arial" w:eastAsia="Arial" w:hAnsi="Arial"/>
                <w:sz w:val="18"/>
                <w:szCs w:val="18"/>
                <w:color w:val="auto"/>
              </w:rPr>
              <w:t>No Other Duties, Etc</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94</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9.09</w:t>
            </w:r>
          </w:p>
        </w:tc>
        <w:tc>
          <w:tcPr>
            <w:tcW w:w="6620" w:type="dxa"/>
            <w:vAlign w:val="bottom"/>
          </w:tcPr>
          <w:p>
            <w:pPr>
              <w:ind w:left="320"/>
              <w:spacing w:after="0"/>
              <w:rPr>
                <w:sz w:val="20"/>
                <w:szCs w:val="20"/>
                <w:color w:val="auto"/>
              </w:rPr>
            </w:pPr>
            <w:r>
              <w:rPr>
                <w:rFonts w:ascii="Arial" w:cs="Arial" w:eastAsia="Arial" w:hAnsi="Arial"/>
                <w:sz w:val="18"/>
                <w:szCs w:val="18"/>
                <w:color w:val="auto"/>
              </w:rPr>
              <w:t>Administrative Agent May File Proofs of Claim</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94</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9.10</w:t>
            </w:r>
          </w:p>
        </w:tc>
        <w:tc>
          <w:tcPr>
            <w:tcW w:w="6620" w:type="dxa"/>
            <w:vAlign w:val="bottom"/>
          </w:tcPr>
          <w:p>
            <w:pPr>
              <w:ind w:left="320"/>
              <w:spacing w:after="0"/>
              <w:rPr>
                <w:sz w:val="20"/>
                <w:szCs w:val="20"/>
                <w:color w:val="auto"/>
              </w:rPr>
            </w:pPr>
            <w:r>
              <w:rPr>
                <w:rFonts w:ascii="Arial" w:cs="Arial" w:eastAsia="Arial" w:hAnsi="Arial"/>
                <w:sz w:val="18"/>
                <w:szCs w:val="18"/>
                <w:color w:val="auto"/>
              </w:rPr>
              <w:t>Collateral and Guaranty Matters</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94</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9.11</w:t>
            </w:r>
          </w:p>
        </w:tc>
        <w:tc>
          <w:tcPr>
            <w:tcW w:w="6620" w:type="dxa"/>
            <w:vAlign w:val="bottom"/>
          </w:tcPr>
          <w:p>
            <w:pPr>
              <w:ind w:left="320"/>
              <w:spacing w:after="0"/>
              <w:rPr>
                <w:sz w:val="20"/>
                <w:szCs w:val="20"/>
                <w:color w:val="auto"/>
              </w:rPr>
            </w:pPr>
            <w:r>
              <w:rPr>
                <w:rFonts w:ascii="Arial" w:cs="Arial" w:eastAsia="Arial" w:hAnsi="Arial"/>
                <w:sz w:val="18"/>
                <w:szCs w:val="18"/>
                <w:color w:val="auto"/>
              </w:rPr>
              <w:t>Secured Hedge Agreements</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95</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98"/>
              </w:rPr>
              <w:t>Article X</w:t>
            </w:r>
          </w:p>
        </w:tc>
        <w:tc>
          <w:tcPr>
            <w:tcW w:w="6620" w:type="dxa"/>
            <w:vAlign w:val="bottom"/>
          </w:tcPr>
          <w:p>
            <w:pPr>
              <w:ind w:left="320"/>
              <w:spacing w:after="0"/>
              <w:rPr>
                <w:sz w:val="20"/>
                <w:szCs w:val="20"/>
                <w:color w:val="auto"/>
              </w:rPr>
            </w:pPr>
            <w:r>
              <w:rPr>
                <w:rFonts w:ascii="Arial" w:cs="Arial" w:eastAsia="Arial" w:hAnsi="Arial"/>
                <w:sz w:val="18"/>
                <w:szCs w:val="18"/>
                <w:color w:val="auto"/>
              </w:rPr>
              <w:t>MISCELLANEOUS</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95</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93"/>
              </w:rPr>
              <w:t>10.01</w:t>
            </w:r>
          </w:p>
        </w:tc>
        <w:tc>
          <w:tcPr>
            <w:tcW w:w="6620" w:type="dxa"/>
            <w:vAlign w:val="bottom"/>
          </w:tcPr>
          <w:p>
            <w:pPr>
              <w:ind w:left="320"/>
              <w:spacing w:after="0"/>
              <w:rPr>
                <w:sz w:val="20"/>
                <w:szCs w:val="20"/>
                <w:color w:val="auto"/>
              </w:rPr>
            </w:pPr>
            <w:r>
              <w:rPr>
                <w:rFonts w:ascii="Arial" w:cs="Arial" w:eastAsia="Arial" w:hAnsi="Arial"/>
                <w:sz w:val="18"/>
                <w:szCs w:val="18"/>
                <w:color w:val="auto"/>
              </w:rPr>
              <w:t>Amendments, Etc</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95</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93"/>
              </w:rPr>
              <w:t>10.02</w:t>
            </w:r>
          </w:p>
        </w:tc>
        <w:tc>
          <w:tcPr>
            <w:tcW w:w="6620" w:type="dxa"/>
            <w:vAlign w:val="bottom"/>
          </w:tcPr>
          <w:p>
            <w:pPr>
              <w:ind w:left="320"/>
              <w:spacing w:after="0"/>
              <w:rPr>
                <w:sz w:val="20"/>
                <w:szCs w:val="20"/>
                <w:color w:val="auto"/>
              </w:rPr>
            </w:pPr>
            <w:r>
              <w:rPr>
                <w:rFonts w:ascii="Arial" w:cs="Arial" w:eastAsia="Arial" w:hAnsi="Arial"/>
                <w:sz w:val="18"/>
                <w:szCs w:val="18"/>
                <w:color w:val="auto"/>
              </w:rPr>
              <w:t>Notices; Effectiveness; Electronic Communications</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97</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93"/>
              </w:rPr>
              <w:t>10.03</w:t>
            </w:r>
          </w:p>
        </w:tc>
        <w:tc>
          <w:tcPr>
            <w:tcW w:w="6620" w:type="dxa"/>
            <w:vAlign w:val="bottom"/>
          </w:tcPr>
          <w:p>
            <w:pPr>
              <w:ind w:left="320"/>
              <w:spacing w:after="0"/>
              <w:rPr>
                <w:sz w:val="20"/>
                <w:szCs w:val="20"/>
                <w:color w:val="auto"/>
              </w:rPr>
            </w:pPr>
            <w:r>
              <w:rPr>
                <w:rFonts w:ascii="Arial" w:cs="Arial" w:eastAsia="Arial" w:hAnsi="Arial"/>
                <w:sz w:val="18"/>
                <w:szCs w:val="18"/>
                <w:color w:val="auto"/>
              </w:rPr>
              <w:t>No Waiver; Cumulative Remedies; Enforcement</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99</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93"/>
              </w:rPr>
              <w:t>10.04</w:t>
            </w:r>
          </w:p>
        </w:tc>
        <w:tc>
          <w:tcPr>
            <w:tcW w:w="6620" w:type="dxa"/>
            <w:vAlign w:val="bottom"/>
          </w:tcPr>
          <w:p>
            <w:pPr>
              <w:ind w:left="320"/>
              <w:spacing w:after="0"/>
              <w:rPr>
                <w:sz w:val="20"/>
                <w:szCs w:val="20"/>
                <w:color w:val="auto"/>
              </w:rPr>
            </w:pPr>
            <w:r>
              <w:rPr>
                <w:rFonts w:ascii="Arial" w:cs="Arial" w:eastAsia="Arial" w:hAnsi="Arial"/>
                <w:sz w:val="18"/>
                <w:szCs w:val="18"/>
                <w:color w:val="auto"/>
              </w:rPr>
              <w:t>Expenses; Indemnity; Damage Waiver</w:t>
            </w:r>
          </w:p>
        </w:tc>
        <w:tc>
          <w:tcPr>
            <w:tcW w:w="1680" w:type="dxa"/>
            <w:vAlign w:val="bottom"/>
          </w:tcPr>
          <w:p>
            <w:pPr>
              <w:jc w:val="center"/>
              <w:ind w:left="1330"/>
              <w:spacing w:after="0"/>
              <w:rPr>
                <w:sz w:val="20"/>
                <w:szCs w:val="20"/>
                <w:color w:val="auto"/>
              </w:rPr>
            </w:pPr>
            <w:r>
              <w:rPr>
                <w:rFonts w:ascii="Arial" w:cs="Arial" w:eastAsia="Arial" w:hAnsi="Arial"/>
                <w:sz w:val="18"/>
                <w:szCs w:val="18"/>
                <w:color w:val="auto"/>
                <w:w w:val="89"/>
              </w:rPr>
              <w:t>99</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93"/>
              </w:rPr>
              <w:t>10.05</w:t>
            </w:r>
          </w:p>
        </w:tc>
        <w:tc>
          <w:tcPr>
            <w:tcW w:w="6620" w:type="dxa"/>
            <w:vAlign w:val="bottom"/>
          </w:tcPr>
          <w:p>
            <w:pPr>
              <w:ind w:left="320"/>
              <w:spacing w:after="0"/>
              <w:rPr>
                <w:sz w:val="20"/>
                <w:szCs w:val="20"/>
                <w:color w:val="auto"/>
              </w:rPr>
            </w:pPr>
            <w:r>
              <w:rPr>
                <w:rFonts w:ascii="Arial" w:cs="Arial" w:eastAsia="Arial" w:hAnsi="Arial"/>
                <w:sz w:val="18"/>
                <w:szCs w:val="18"/>
                <w:color w:val="auto"/>
              </w:rPr>
              <w:t>Payments Set Aside</w:t>
            </w:r>
          </w:p>
        </w:tc>
        <w:tc>
          <w:tcPr>
            <w:tcW w:w="1680" w:type="dxa"/>
            <w:vAlign w:val="bottom"/>
          </w:tcPr>
          <w:p>
            <w:pPr>
              <w:jc w:val="center"/>
              <w:ind w:left="1310"/>
              <w:spacing w:after="0"/>
              <w:rPr>
                <w:sz w:val="20"/>
                <w:szCs w:val="20"/>
                <w:color w:val="auto"/>
              </w:rPr>
            </w:pPr>
            <w:r>
              <w:rPr>
                <w:rFonts w:ascii="Arial" w:cs="Arial" w:eastAsia="Arial" w:hAnsi="Arial"/>
                <w:sz w:val="18"/>
                <w:szCs w:val="18"/>
                <w:color w:val="auto"/>
                <w:w w:val="93"/>
              </w:rPr>
              <w:t>101</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93"/>
              </w:rPr>
              <w:t>10.06</w:t>
            </w:r>
          </w:p>
        </w:tc>
        <w:tc>
          <w:tcPr>
            <w:tcW w:w="6620" w:type="dxa"/>
            <w:vAlign w:val="bottom"/>
          </w:tcPr>
          <w:p>
            <w:pPr>
              <w:ind w:left="320"/>
              <w:spacing w:after="0"/>
              <w:rPr>
                <w:sz w:val="20"/>
                <w:szCs w:val="20"/>
                <w:color w:val="auto"/>
              </w:rPr>
            </w:pPr>
            <w:r>
              <w:rPr>
                <w:rFonts w:ascii="Arial" w:cs="Arial" w:eastAsia="Arial" w:hAnsi="Arial"/>
                <w:sz w:val="18"/>
                <w:szCs w:val="18"/>
                <w:color w:val="auto"/>
              </w:rPr>
              <w:t>Successors and Assigns</w:t>
            </w:r>
          </w:p>
        </w:tc>
        <w:tc>
          <w:tcPr>
            <w:tcW w:w="1680" w:type="dxa"/>
            <w:vAlign w:val="bottom"/>
          </w:tcPr>
          <w:p>
            <w:pPr>
              <w:jc w:val="center"/>
              <w:ind w:left="1310"/>
              <w:spacing w:after="0"/>
              <w:rPr>
                <w:sz w:val="20"/>
                <w:szCs w:val="20"/>
                <w:color w:val="auto"/>
              </w:rPr>
            </w:pPr>
            <w:r>
              <w:rPr>
                <w:rFonts w:ascii="Arial" w:cs="Arial" w:eastAsia="Arial" w:hAnsi="Arial"/>
                <w:sz w:val="18"/>
                <w:szCs w:val="18"/>
                <w:color w:val="auto"/>
                <w:w w:val="93"/>
              </w:rPr>
              <w:t>102</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93"/>
              </w:rPr>
              <w:t>10.07</w:t>
            </w:r>
          </w:p>
        </w:tc>
        <w:tc>
          <w:tcPr>
            <w:tcW w:w="6620" w:type="dxa"/>
            <w:vAlign w:val="bottom"/>
          </w:tcPr>
          <w:p>
            <w:pPr>
              <w:ind w:left="320"/>
              <w:spacing w:after="0"/>
              <w:rPr>
                <w:sz w:val="20"/>
                <w:szCs w:val="20"/>
                <w:color w:val="auto"/>
              </w:rPr>
            </w:pPr>
            <w:r>
              <w:rPr>
                <w:rFonts w:ascii="Arial" w:cs="Arial" w:eastAsia="Arial" w:hAnsi="Arial"/>
                <w:sz w:val="18"/>
                <w:szCs w:val="18"/>
                <w:color w:val="auto"/>
              </w:rPr>
              <w:t>Treatment of Certain Information; Confidentiality</w:t>
            </w:r>
          </w:p>
        </w:tc>
        <w:tc>
          <w:tcPr>
            <w:tcW w:w="1680" w:type="dxa"/>
            <w:vAlign w:val="bottom"/>
          </w:tcPr>
          <w:p>
            <w:pPr>
              <w:jc w:val="center"/>
              <w:ind w:left="1310"/>
              <w:spacing w:after="0"/>
              <w:rPr>
                <w:sz w:val="20"/>
                <w:szCs w:val="20"/>
                <w:color w:val="auto"/>
              </w:rPr>
            </w:pPr>
            <w:r>
              <w:rPr>
                <w:rFonts w:ascii="Arial" w:cs="Arial" w:eastAsia="Arial" w:hAnsi="Arial"/>
                <w:sz w:val="18"/>
                <w:szCs w:val="18"/>
                <w:color w:val="auto"/>
                <w:w w:val="93"/>
              </w:rPr>
              <w:t>105</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93"/>
              </w:rPr>
              <w:t>10.08</w:t>
            </w:r>
          </w:p>
        </w:tc>
        <w:tc>
          <w:tcPr>
            <w:tcW w:w="6620" w:type="dxa"/>
            <w:vAlign w:val="bottom"/>
          </w:tcPr>
          <w:p>
            <w:pPr>
              <w:ind w:left="320"/>
              <w:spacing w:after="0"/>
              <w:rPr>
                <w:sz w:val="20"/>
                <w:szCs w:val="20"/>
                <w:color w:val="auto"/>
              </w:rPr>
            </w:pPr>
            <w:r>
              <w:rPr>
                <w:rFonts w:ascii="Arial" w:cs="Arial" w:eastAsia="Arial" w:hAnsi="Arial"/>
                <w:sz w:val="18"/>
                <w:szCs w:val="18"/>
                <w:color w:val="auto"/>
              </w:rPr>
              <w:t>Right of Setoff</w:t>
            </w:r>
          </w:p>
        </w:tc>
        <w:tc>
          <w:tcPr>
            <w:tcW w:w="1680" w:type="dxa"/>
            <w:vAlign w:val="bottom"/>
          </w:tcPr>
          <w:p>
            <w:pPr>
              <w:jc w:val="center"/>
              <w:ind w:left="1310"/>
              <w:spacing w:after="0"/>
              <w:rPr>
                <w:sz w:val="20"/>
                <w:szCs w:val="20"/>
                <w:color w:val="auto"/>
              </w:rPr>
            </w:pPr>
            <w:r>
              <w:rPr>
                <w:rFonts w:ascii="Arial" w:cs="Arial" w:eastAsia="Arial" w:hAnsi="Arial"/>
                <w:sz w:val="18"/>
                <w:szCs w:val="18"/>
                <w:color w:val="auto"/>
                <w:w w:val="93"/>
              </w:rPr>
              <w:t>106</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93"/>
              </w:rPr>
              <w:t>10.09</w:t>
            </w:r>
          </w:p>
        </w:tc>
        <w:tc>
          <w:tcPr>
            <w:tcW w:w="6620" w:type="dxa"/>
            <w:vAlign w:val="bottom"/>
          </w:tcPr>
          <w:p>
            <w:pPr>
              <w:ind w:left="320"/>
              <w:spacing w:after="0"/>
              <w:rPr>
                <w:sz w:val="20"/>
                <w:szCs w:val="20"/>
                <w:color w:val="auto"/>
              </w:rPr>
            </w:pPr>
            <w:r>
              <w:rPr>
                <w:rFonts w:ascii="Arial" w:cs="Arial" w:eastAsia="Arial" w:hAnsi="Arial"/>
                <w:sz w:val="18"/>
                <w:szCs w:val="18"/>
                <w:color w:val="auto"/>
              </w:rPr>
              <w:t>Interest Rate Limitation</w:t>
            </w:r>
          </w:p>
        </w:tc>
        <w:tc>
          <w:tcPr>
            <w:tcW w:w="1680" w:type="dxa"/>
            <w:vAlign w:val="bottom"/>
          </w:tcPr>
          <w:p>
            <w:pPr>
              <w:jc w:val="center"/>
              <w:ind w:left="1310"/>
              <w:spacing w:after="0"/>
              <w:rPr>
                <w:sz w:val="20"/>
                <w:szCs w:val="20"/>
                <w:color w:val="auto"/>
              </w:rPr>
            </w:pPr>
            <w:r>
              <w:rPr>
                <w:rFonts w:ascii="Arial" w:cs="Arial" w:eastAsia="Arial" w:hAnsi="Arial"/>
                <w:sz w:val="18"/>
                <w:szCs w:val="18"/>
                <w:color w:val="auto"/>
                <w:w w:val="93"/>
              </w:rPr>
              <w:t>106</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93"/>
              </w:rPr>
              <w:t>10.10</w:t>
            </w:r>
          </w:p>
        </w:tc>
        <w:tc>
          <w:tcPr>
            <w:tcW w:w="6620" w:type="dxa"/>
            <w:vAlign w:val="bottom"/>
          </w:tcPr>
          <w:p>
            <w:pPr>
              <w:ind w:left="320"/>
              <w:spacing w:after="0"/>
              <w:rPr>
                <w:sz w:val="20"/>
                <w:szCs w:val="20"/>
                <w:color w:val="auto"/>
              </w:rPr>
            </w:pPr>
            <w:r>
              <w:rPr>
                <w:rFonts w:ascii="Arial" w:cs="Arial" w:eastAsia="Arial" w:hAnsi="Arial"/>
                <w:sz w:val="18"/>
                <w:szCs w:val="18"/>
                <w:color w:val="auto"/>
              </w:rPr>
              <w:t>Counterparts; Integration; Effectiveness</w:t>
            </w:r>
          </w:p>
        </w:tc>
        <w:tc>
          <w:tcPr>
            <w:tcW w:w="1680" w:type="dxa"/>
            <w:vAlign w:val="bottom"/>
          </w:tcPr>
          <w:p>
            <w:pPr>
              <w:jc w:val="center"/>
              <w:ind w:left="1310"/>
              <w:spacing w:after="0"/>
              <w:rPr>
                <w:sz w:val="20"/>
                <w:szCs w:val="20"/>
                <w:color w:val="auto"/>
              </w:rPr>
            </w:pPr>
            <w:r>
              <w:rPr>
                <w:rFonts w:ascii="Arial" w:cs="Arial" w:eastAsia="Arial" w:hAnsi="Arial"/>
                <w:sz w:val="18"/>
                <w:szCs w:val="18"/>
                <w:color w:val="auto"/>
                <w:w w:val="93"/>
              </w:rPr>
              <w:t>106</w:t>
            </w:r>
          </w:p>
        </w:tc>
      </w:tr>
      <w:tr>
        <w:trPr>
          <w:trHeight w:val="270"/>
        </w:trPr>
        <w:tc>
          <w:tcPr>
            <w:tcW w:w="1180" w:type="dxa"/>
            <w:vAlign w:val="bottom"/>
          </w:tcPr>
          <w:p>
            <w:pPr>
              <w:jc w:val="center"/>
              <w:ind w:right="250"/>
              <w:spacing w:after="0"/>
              <w:rPr>
                <w:sz w:val="20"/>
                <w:szCs w:val="20"/>
                <w:color w:val="auto"/>
              </w:rPr>
            </w:pPr>
            <w:r>
              <w:rPr>
                <w:rFonts w:ascii="Arial" w:cs="Arial" w:eastAsia="Arial" w:hAnsi="Arial"/>
                <w:sz w:val="18"/>
                <w:szCs w:val="18"/>
                <w:color w:val="auto"/>
                <w:w w:val="88"/>
              </w:rPr>
              <w:t>10.11</w:t>
            </w:r>
          </w:p>
        </w:tc>
        <w:tc>
          <w:tcPr>
            <w:tcW w:w="6620" w:type="dxa"/>
            <w:vAlign w:val="bottom"/>
          </w:tcPr>
          <w:p>
            <w:pPr>
              <w:ind w:left="320"/>
              <w:spacing w:after="0"/>
              <w:rPr>
                <w:sz w:val="20"/>
                <w:szCs w:val="20"/>
                <w:color w:val="auto"/>
              </w:rPr>
            </w:pPr>
            <w:r>
              <w:rPr>
                <w:rFonts w:ascii="Arial" w:cs="Arial" w:eastAsia="Arial" w:hAnsi="Arial"/>
                <w:sz w:val="18"/>
                <w:szCs w:val="18"/>
                <w:color w:val="auto"/>
              </w:rPr>
              <w:t>Survival of Representations and Warranties</w:t>
            </w:r>
          </w:p>
        </w:tc>
        <w:tc>
          <w:tcPr>
            <w:tcW w:w="1680" w:type="dxa"/>
            <w:vAlign w:val="bottom"/>
          </w:tcPr>
          <w:p>
            <w:pPr>
              <w:jc w:val="center"/>
              <w:ind w:left="1310"/>
              <w:spacing w:after="0"/>
              <w:rPr>
                <w:sz w:val="20"/>
                <w:szCs w:val="20"/>
                <w:color w:val="auto"/>
              </w:rPr>
            </w:pPr>
            <w:r>
              <w:rPr>
                <w:rFonts w:ascii="Arial" w:cs="Arial" w:eastAsia="Arial" w:hAnsi="Arial"/>
                <w:sz w:val="18"/>
                <w:szCs w:val="18"/>
                <w:color w:val="auto"/>
                <w:w w:val="93"/>
              </w:rPr>
              <w:t>107</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93"/>
              </w:rPr>
              <w:t>10.12</w:t>
            </w:r>
          </w:p>
        </w:tc>
        <w:tc>
          <w:tcPr>
            <w:tcW w:w="662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1680" w:type="dxa"/>
            <w:vAlign w:val="bottom"/>
          </w:tcPr>
          <w:p>
            <w:pPr>
              <w:jc w:val="center"/>
              <w:ind w:left="1310"/>
              <w:spacing w:after="0"/>
              <w:rPr>
                <w:sz w:val="20"/>
                <w:szCs w:val="20"/>
                <w:color w:val="auto"/>
              </w:rPr>
            </w:pPr>
            <w:r>
              <w:rPr>
                <w:rFonts w:ascii="Arial" w:cs="Arial" w:eastAsia="Arial" w:hAnsi="Arial"/>
                <w:sz w:val="18"/>
                <w:szCs w:val="18"/>
                <w:color w:val="auto"/>
                <w:w w:val="93"/>
              </w:rPr>
              <w:t>107</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93"/>
              </w:rPr>
              <w:t>10.13</w:t>
            </w:r>
          </w:p>
        </w:tc>
        <w:tc>
          <w:tcPr>
            <w:tcW w:w="6620" w:type="dxa"/>
            <w:vAlign w:val="bottom"/>
          </w:tcPr>
          <w:p>
            <w:pPr>
              <w:ind w:left="320"/>
              <w:spacing w:after="0"/>
              <w:rPr>
                <w:sz w:val="20"/>
                <w:szCs w:val="20"/>
                <w:color w:val="auto"/>
              </w:rPr>
            </w:pPr>
            <w:r>
              <w:rPr>
                <w:rFonts w:ascii="Arial" w:cs="Arial" w:eastAsia="Arial" w:hAnsi="Arial"/>
                <w:sz w:val="18"/>
                <w:szCs w:val="18"/>
                <w:color w:val="auto"/>
              </w:rPr>
              <w:t>Replacement of Lenders</w:t>
            </w:r>
          </w:p>
        </w:tc>
        <w:tc>
          <w:tcPr>
            <w:tcW w:w="1680" w:type="dxa"/>
            <w:vAlign w:val="bottom"/>
          </w:tcPr>
          <w:p>
            <w:pPr>
              <w:jc w:val="center"/>
              <w:ind w:left="1310"/>
              <w:spacing w:after="0"/>
              <w:rPr>
                <w:sz w:val="20"/>
                <w:szCs w:val="20"/>
                <w:color w:val="auto"/>
              </w:rPr>
            </w:pPr>
            <w:r>
              <w:rPr>
                <w:rFonts w:ascii="Arial" w:cs="Arial" w:eastAsia="Arial" w:hAnsi="Arial"/>
                <w:sz w:val="18"/>
                <w:szCs w:val="18"/>
                <w:color w:val="auto"/>
                <w:w w:val="93"/>
              </w:rPr>
              <w:t>107</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93"/>
              </w:rPr>
              <w:t>10.14</w:t>
            </w:r>
          </w:p>
        </w:tc>
        <w:tc>
          <w:tcPr>
            <w:tcW w:w="6620" w:type="dxa"/>
            <w:vAlign w:val="bottom"/>
          </w:tcPr>
          <w:p>
            <w:pPr>
              <w:ind w:left="320"/>
              <w:spacing w:after="0"/>
              <w:rPr>
                <w:sz w:val="20"/>
                <w:szCs w:val="20"/>
                <w:color w:val="auto"/>
              </w:rPr>
            </w:pPr>
            <w:r>
              <w:rPr>
                <w:rFonts w:ascii="Arial" w:cs="Arial" w:eastAsia="Arial" w:hAnsi="Arial"/>
                <w:sz w:val="18"/>
                <w:szCs w:val="18"/>
                <w:color w:val="auto"/>
              </w:rPr>
              <w:t>Governing Law; Jurisdiction; Etc</w:t>
            </w:r>
          </w:p>
        </w:tc>
        <w:tc>
          <w:tcPr>
            <w:tcW w:w="1680" w:type="dxa"/>
            <w:vAlign w:val="bottom"/>
          </w:tcPr>
          <w:p>
            <w:pPr>
              <w:jc w:val="center"/>
              <w:ind w:left="1310"/>
              <w:spacing w:after="0"/>
              <w:rPr>
                <w:sz w:val="20"/>
                <w:szCs w:val="20"/>
                <w:color w:val="auto"/>
              </w:rPr>
            </w:pPr>
            <w:r>
              <w:rPr>
                <w:rFonts w:ascii="Arial" w:cs="Arial" w:eastAsia="Arial" w:hAnsi="Arial"/>
                <w:sz w:val="18"/>
                <w:szCs w:val="18"/>
                <w:color w:val="auto"/>
                <w:w w:val="93"/>
              </w:rPr>
              <w:t>108</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93"/>
              </w:rPr>
              <w:t>10.15</w:t>
            </w:r>
          </w:p>
        </w:tc>
        <w:tc>
          <w:tcPr>
            <w:tcW w:w="6620" w:type="dxa"/>
            <w:vAlign w:val="bottom"/>
          </w:tcPr>
          <w:p>
            <w:pPr>
              <w:ind w:left="320"/>
              <w:spacing w:after="0"/>
              <w:rPr>
                <w:sz w:val="20"/>
                <w:szCs w:val="20"/>
                <w:color w:val="auto"/>
              </w:rPr>
            </w:pPr>
            <w:r>
              <w:rPr>
                <w:rFonts w:ascii="Arial" w:cs="Arial" w:eastAsia="Arial" w:hAnsi="Arial"/>
                <w:sz w:val="18"/>
                <w:szCs w:val="18"/>
                <w:color w:val="auto"/>
              </w:rPr>
              <w:t>Waiver of Jury Trial</w:t>
            </w:r>
          </w:p>
        </w:tc>
        <w:tc>
          <w:tcPr>
            <w:tcW w:w="1680" w:type="dxa"/>
            <w:vAlign w:val="bottom"/>
          </w:tcPr>
          <w:p>
            <w:pPr>
              <w:jc w:val="center"/>
              <w:ind w:left="1310"/>
              <w:spacing w:after="0"/>
              <w:rPr>
                <w:sz w:val="20"/>
                <w:szCs w:val="20"/>
                <w:color w:val="auto"/>
              </w:rPr>
            </w:pPr>
            <w:r>
              <w:rPr>
                <w:rFonts w:ascii="Arial" w:cs="Arial" w:eastAsia="Arial" w:hAnsi="Arial"/>
                <w:sz w:val="18"/>
                <w:szCs w:val="18"/>
                <w:color w:val="auto"/>
                <w:w w:val="93"/>
              </w:rPr>
              <w:t>109</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93"/>
              </w:rPr>
              <w:t>10.16</w:t>
            </w:r>
          </w:p>
        </w:tc>
        <w:tc>
          <w:tcPr>
            <w:tcW w:w="6620" w:type="dxa"/>
            <w:vAlign w:val="bottom"/>
          </w:tcPr>
          <w:p>
            <w:pPr>
              <w:ind w:left="320"/>
              <w:spacing w:after="0"/>
              <w:rPr>
                <w:sz w:val="20"/>
                <w:szCs w:val="20"/>
                <w:color w:val="auto"/>
              </w:rPr>
            </w:pPr>
            <w:r>
              <w:rPr>
                <w:rFonts w:ascii="Arial" w:cs="Arial" w:eastAsia="Arial" w:hAnsi="Arial"/>
                <w:sz w:val="18"/>
                <w:szCs w:val="18"/>
                <w:color w:val="auto"/>
              </w:rPr>
              <w:t>No Advisory or Fiduciary Responsibility</w:t>
            </w:r>
          </w:p>
        </w:tc>
        <w:tc>
          <w:tcPr>
            <w:tcW w:w="1680" w:type="dxa"/>
            <w:vAlign w:val="bottom"/>
          </w:tcPr>
          <w:p>
            <w:pPr>
              <w:jc w:val="center"/>
              <w:ind w:left="1310"/>
              <w:spacing w:after="0"/>
              <w:rPr>
                <w:sz w:val="20"/>
                <w:szCs w:val="20"/>
                <w:color w:val="auto"/>
              </w:rPr>
            </w:pPr>
            <w:r>
              <w:rPr>
                <w:rFonts w:ascii="Arial" w:cs="Arial" w:eastAsia="Arial" w:hAnsi="Arial"/>
                <w:sz w:val="18"/>
                <w:szCs w:val="18"/>
                <w:color w:val="auto"/>
                <w:w w:val="93"/>
              </w:rPr>
              <w:t>109</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93"/>
              </w:rPr>
              <w:t>10.17</w:t>
            </w:r>
          </w:p>
        </w:tc>
        <w:tc>
          <w:tcPr>
            <w:tcW w:w="6620" w:type="dxa"/>
            <w:vAlign w:val="bottom"/>
          </w:tcPr>
          <w:p>
            <w:pPr>
              <w:ind w:left="320"/>
              <w:spacing w:after="0"/>
              <w:rPr>
                <w:sz w:val="20"/>
                <w:szCs w:val="20"/>
                <w:color w:val="auto"/>
              </w:rPr>
            </w:pPr>
            <w:r>
              <w:rPr>
                <w:rFonts w:ascii="Arial" w:cs="Arial" w:eastAsia="Arial" w:hAnsi="Arial"/>
                <w:sz w:val="18"/>
                <w:szCs w:val="18"/>
                <w:color w:val="auto"/>
              </w:rPr>
              <w:t>Electronic Execution of Assignments and Certain Other Documents</w:t>
            </w:r>
          </w:p>
        </w:tc>
        <w:tc>
          <w:tcPr>
            <w:tcW w:w="1680" w:type="dxa"/>
            <w:vAlign w:val="bottom"/>
          </w:tcPr>
          <w:p>
            <w:pPr>
              <w:jc w:val="center"/>
              <w:ind w:left="1310"/>
              <w:spacing w:after="0"/>
              <w:rPr>
                <w:sz w:val="20"/>
                <w:szCs w:val="20"/>
                <w:color w:val="auto"/>
              </w:rPr>
            </w:pPr>
            <w:r>
              <w:rPr>
                <w:rFonts w:ascii="Arial" w:cs="Arial" w:eastAsia="Arial" w:hAnsi="Arial"/>
                <w:sz w:val="18"/>
                <w:szCs w:val="18"/>
                <w:color w:val="auto"/>
                <w:w w:val="93"/>
              </w:rPr>
              <w:t>110</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93"/>
              </w:rPr>
              <w:t>10.18</w:t>
            </w:r>
          </w:p>
        </w:tc>
        <w:tc>
          <w:tcPr>
            <w:tcW w:w="6620" w:type="dxa"/>
            <w:vAlign w:val="bottom"/>
          </w:tcPr>
          <w:p>
            <w:pPr>
              <w:ind w:left="320"/>
              <w:spacing w:after="0"/>
              <w:rPr>
                <w:sz w:val="20"/>
                <w:szCs w:val="20"/>
                <w:color w:val="auto"/>
              </w:rPr>
            </w:pPr>
            <w:r>
              <w:rPr>
                <w:rFonts w:ascii="Arial" w:cs="Arial" w:eastAsia="Arial" w:hAnsi="Arial"/>
                <w:sz w:val="18"/>
                <w:szCs w:val="18"/>
                <w:color w:val="auto"/>
              </w:rPr>
              <w:t>Patriot Act</w:t>
            </w:r>
          </w:p>
        </w:tc>
        <w:tc>
          <w:tcPr>
            <w:tcW w:w="1680" w:type="dxa"/>
            <w:vAlign w:val="bottom"/>
          </w:tcPr>
          <w:p>
            <w:pPr>
              <w:jc w:val="center"/>
              <w:ind w:left="1310"/>
              <w:spacing w:after="0"/>
              <w:rPr>
                <w:sz w:val="20"/>
                <w:szCs w:val="20"/>
                <w:color w:val="auto"/>
              </w:rPr>
            </w:pPr>
            <w:r>
              <w:rPr>
                <w:rFonts w:ascii="Arial" w:cs="Arial" w:eastAsia="Arial" w:hAnsi="Arial"/>
                <w:sz w:val="18"/>
                <w:szCs w:val="18"/>
                <w:color w:val="auto"/>
                <w:w w:val="93"/>
              </w:rPr>
              <w:t>110</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93"/>
              </w:rPr>
              <w:t>10.19</w:t>
            </w:r>
          </w:p>
        </w:tc>
        <w:tc>
          <w:tcPr>
            <w:tcW w:w="6620" w:type="dxa"/>
            <w:vAlign w:val="bottom"/>
          </w:tcPr>
          <w:p>
            <w:pPr>
              <w:ind w:left="320"/>
              <w:spacing w:after="0"/>
              <w:rPr>
                <w:sz w:val="20"/>
                <w:szCs w:val="20"/>
                <w:color w:val="auto"/>
              </w:rPr>
            </w:pPr>
            <w:r>
              <w:rPr>
                <w:rFonts w:ascii="Arial" w:cs="Arial" w:eastAsia="Arial" w:hAnsi="Arial"/>
                <w:sz w:val="18"/>
                <w:szCs w:val="18"/>
                <w:color w:val="auto"/>
              </w:rPr>
              <w:t>Time of the Essence</w:t>
            </w:r>
          </w:p>
        </w:tc>
        <w:tc>
          <w:tcPr>
            <w:tcW w:w="1680" w:type="dxa"/>
            <w:vAlign w:val="bottom"/>
          </w:tcPr>
          <w:p>
            <w:pPr>
              <w:jc w:val="center"/>
              <w:ind w:left="1310"/>
              <w:spacing w:after="0"/>
              <w:rPr>
                <w:sz w:val="20"/>
                <w:szCs w:val="20"/>
                <w:color w:val="auto"/>
              </w:rPr>
            </w:pPr>
            <w:r>
              <w:rPr>
                <w:rFonts w:ascii="Arial" w:cs="Arial" w:eastAsia="Arial" w:hAnsi="Arial"/>
                <w:sz w:val="18"/>
                <w:szCs w:val="18"/>
                <w:color w:val="auto"/>
                <w:w w:val="93"/>
              </w:rPr>
              <w:t>110</w:t>
            </w:r>
          </w:p>
        </w:tc>
      </w:tr>
      <w:tr>
        <w:trPr>
          <w:trHeight w:val="270"/>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93"/>
              </w:rPr>
              <w:t>10.20</w:t>
            </w:r>
          </w:p>
        </w:tc>
        <w:tc>
          <w:tcPr>
            <w:tcW w:w="6620" w:type="dxa"/>
            <w:vAlign w:val="bottom"/>
          </w:tcPr>
          <w:p>
            <w:pPr>
              <w:ind w:left="320"/>
              <w:spacing w:after="0"/>
              <w:rPr>
                <w:sz w:val="20"/>
                <w:szCs w:val="20"/>
                <w:color w:val="auto"/>
              </w:rPr>
            </w:pPr>
            <w:r>
              <w:rPr>
                <w:rFonts w:ascii="Arial" w:cs="Arial" w:eastAsia="Arial" w:hAnsi="Arial"/>
                <w:sz w:val="18"/>
                <w:szCs w:val="18"/>
                <w:color w:val="auto"/>
              </w:rPr>
              <w:t>Intercreditor Agreement</w:t>
            </w:r>
          </w:p>
        </w:tc>
        <w:tc>
          <w:tcPr>
            <w:tcW w:w="1680" w:type="dxa"/>
            <w:vAlign w:val="bottom"/>
          </w:tcPr>
          <w:p>
            <w:pPr>
              <w:jc w:val="center"/>
              <w:ind w:left="1310"/>
              <w:spacing w:after="0"/>
              <w:rPr>
                <w:sz w:val="20"/>
                <w:szCs w:val="20"/>
                <w:color w:val="auto"/>
              </w:rPr>
            </w:pPr>
            <w:r>
              <w:rPr>
                <w:rFonts w:ascii="Arial" w:cs="Arial" w:eastAsia="Arial" w:hAnsi="Arial"/>
                <w:sz w:val="18"/>
                <w:szCs w:val="18"/>
                <w:color w:val="auto"/>
                <w:w w:val="93"/>
              </w:rPr>
              <w:t>110</w:t>
            </w:r>
          </w:p>
        </w:tc>
      </w:tr>
    </w:tbl>
    <w:p>
      <w:pPr>
        <w:spacing w:after="0" w:line="200" w:lineRule="exact"/>
        <w:rPr>
          <w:sz w:val="20"/>
          <w:szCs w:val="20"/>
          <w:color w:val="auto"/>
        </w:rPr>
      </w:pPr>
    </w:p>
    <w:p>
      <w:pPr>
        <w:sectPr>
          <w:pgSz w:w="11900" w:h="16838" w:orient="portrait"/>
          <w:cols w:equalWidth="0" w:num="1">
            <w:col w:w="9480"/>
          </w:cols>
          <w:pgMar w:left="1360" w:top="746" w:right="10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9480"/>
          </w:cols>
          <w:pgMar w:left="1360" w:top="746" w:right="1059" w:bottom="1440" w:gutter="0" w:footer="0" w:header="0"/>
          <w:type w:val="continuous"/>
        </w:sectPr>
      </w:pPr>
    </w:p>
    <w:bookmarkStart w:id="45" w:name="page46"/>
    <w:bookmarkEnd w:id="45"/>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400" w:type="dxa"/>
            <w:vAlign w:val="bottom"/>
            <w:gridSpan w:val="2"/>
          </w:tcPr>
          <w:p>
            <w:pPr>
              <w:spacing w:after="0"/>
              <w:rPr>
                <w:sz w:val="20"/>
                <w:szCs w:val="20"/>
                <w:color w:val="auto"/>
              </w:rPr>
            </w:pPr>
            <w:r>
              <w:rPr>
                <w:rFonts w:ascii="Arial" w:cs="Arial" w:eastAsia="Arial" w:hAnsi="Arial"/>
                <w:sz w:val="18"/>
                <w:szCs w:val="18"/>
                <w:color w:val="auto"/>
              </w:rPr>
              <w:t>SCHEDULES</w:t>
            </w:r>
          </w:p>
        </w:tc>
        <w:tc>
          <w:tcPr>
            <w:tcW w:w="4780" w:type="dxa"/>
            <w:vAlign w:val="bottom"/>
          </w:tcPr>
          <w:p>
            <w:pPr>
              <w:spacing w:after="0"/>
              <w:rPr>
                <w:sz w:val="17"/>
                <w:szCs w:val="17"/>
                <w:color w:val="auto"/>
              </w:rPr>
            </w:pPr>
          </w:p>
        </w:tc>
      </w:tr>
      <w:tr>
        <w:trPr>
          <w:trHeight w:val="291"/>
        </w:trPr>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1.01(a)</w:t>
            </w:r>
          </w:p>
        </w:tc>
        <w:tc>
          <w:tcPr>
            <w:tcW w:w="360" w:type="dxa"/>
            <w:vAlign w:val="bottom"/>
          </w:tcPr>
          <w:p>
            <w:pPr>
              <w:spacing w:after="0"/>
              <w:rPr>
                <w:sz w:val="24"/>
                <w:szCs w:val="24"/>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rPr>
              <w:t>Mortgaged Property</w:t>
            </w:r>
          </w:p>
        </w:tc>
      </w:tr>
      <w:tr>
        <w:trPr>
          <w:trHeight w:val="270"/>
        </w:trPr>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1.01(b)</w:t>
            </w:r>
          </w:p>
        </w:tc>
        <w:tc>
          <w:tcPr>
            <w:tcW w:w="4780" w:type="dxa"/>
            <w:vAlign w:val="bottom"/>
          </w:tcPr>
          <w:p>
            <w:pPr>
              <w:ind w:left="360"/>
              <w:spacing w:after="0"/>
              <w:rPr>
                <w:sz w:val="20"/>
                <w:szCs w:val="20"/>
                <w:color w:val="auto"/>
              </w:rPr>
            </w:pPr>
            <w:r>
              <w:rPr>
                <w:rFonts w:ascii="Arial" w:cs="Arial" w:eastAsia="Arial" w:hAnsi="Arial"/>
                <w:sz w:val="18"/>
                <w:szCs w:val="18"/>
                <w:color w:val="auto"/>
              </w:rPr>
              <w:t>Immaterial Subsidiaries</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1"/>
              </w:rPr>
              <w:t>2.01</w:t>
            </w:r>
          </w:p>
        </w:tc>
        <w:tc>
          <w:tcPr>
            <w:tcW w:w="360" w:type="dxa"/>
            <w:vAlign w:val="bottom"/>
          </w:tcPr>
          <w:p>
            <w:pPr>
              <w:spacing w:after="0"/>
              <w:rPr>
                <w:sz w:val="23"/>
                <w:szCs w:val="23"/>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rPr>
              <w:t>Commitments and Applicable Percentages</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1"/>
              </w:rPr>
              <w:t>5.03</w:t>
            </w:r>
          </w:p>
        </w:tc>
        <w:tc>
          <w:tcPr>
            <w:tcW w:w="360" w:type="dxa"/>
            <w:vAlign w:val="bottom"/>
          </w:tcPr>
          <w:p>
            <w:pPr>
              <w:spacing w:after="0"/>
              <w:rPr>
                <w:sz w:val="23"/>
                <w:szCs w:val="23"/>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rPr>
              <w:t>Certain Authorizations</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1"/>
              </w:rPr>
              <w:t>5.06</w:t>
            </w:r>
          </w:p>
        </w:tc>
        <w:tc>
          <w:tcPr>
            <w:tcW w:w="360" w:type="dxa"/>
            <w:vAlign w:val="bottom"/>
          </w:tcPr>
          <w:p>
            <w:pPr>
              <w:spacing w:after="0"/>
              <w:rPr>
                <w:sz w:val="23"/>
                <w:szCs w:val="23"/>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rPr>
              <w:t>Litigation</w:t>
            </w:r>
          </w:p>
        </w:tc>
      </w:tr>
      <w:tr>
        <w:trPr>
          <w:trHeight w:val="270"/>
        </w:trPr>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5.08(b)</w:t>
            </w:r>
          </w:p>
        </w:tc>
        <w:tc>
          <w:tcPr>
            <w:tcW w:w="4780" w:type="dxa"/>
            <w:vAlign w:val="bottom"/>
          </w:tcPr>
          <w:p>
            <w:pPr>
              <w:ind w:left="360"/>
              <w:spacing w:after="0"/>
              <w:rPr>
                <w:sz w:val="20"/>
                <w:szCs w:val="20"/>
                <w:color w:val="auto"/>
              </w:rPr>
            </w:pPr>
            <w:r>
              <w:rPr>
                <w:rFonts w:ascii="Arial" w:cs="Arial" w:eastAsia="Arial" w:hAnsi="Arial"/>
                <w:sz w:val="18"/>
                <w:szCs w:val="18"/>
                <w:color w:val="auto"/>
              </w:rPr>
              <w:t>Existing Liens</w:t>
            </w:r>
          </w:p>
        </w:tc>
      </w:tr>
      <w:tr>
        <w:trPr>
          <w:trHeight w:val="270"/>
        </w:trPr>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5.08(c)</w:t>
            </w:r>
          </w:p>
        </w:tc>
        <w:tc>
          <w:tcPr>
            <w:tcW w:w="4780" w:type="dxa"/>
            <w:vAlign w:val="bottom"/>
          </w:tcPr>
          <w:p>
            <w:pPr>
              <w:ind w:left="360"/>
              <w:spacing w:after="0"/>
              <w:rPr>
                <w:sz w:val="20"/>
                <w:szCs w:val="20"/>
                <w:color w:val="auto"/>
              </w:rPr>
            </w:pPr>
            <w:r>
              <w:rPr>
                <w:rFonts w:ascii="Arial" w:cs="Arial" w:eastAsia="Arial" w:hAnsi="Arial"/>
                <w:sz w:val="18"/>
                <w:szCs w:val="18"/>
                <w:color w:val="auto"/>
              </w:rPr>
              <w:t>Owned Real Property</w:t>
            </w:r>
          </w:p>
        </w:tc>
      </w:tr>
      <w:tr>
        <w:trPr>
          <w:trHeight w:val="270"/>
        </w:trPr>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5.08(d)</w:t>
            </w:r>
          </w:p>
        </w:tc>
        <w:tc>
          <w:tcPr>
            <w:tcW w:w="4780" w:type="dxa"/>
            <w:vAlign w:val="bottom"/>
          </w:tcPr>
          <w:p>
            <w:pPr>
              <w:ind w:left="360"/>
              <w:spacing w:after="0"/>
              <w:rPr>
                <w:sz w:val="20"/>
                <w:szCs w:val="20"/>
                <w:color w:val="auto"/>
              </w:rPr>
            </w:pPr>
            <w:r>
              <w:rPr>
                <w:rFonts w:ascii="Arial" w:cs="Arial" w:eastAsia="Arial" w:hAnsi="Arial"/>
                <w:sz w:val="18"/>
                <w:szCs w:val="18"/>
                <w:color w:val="auto"/>
              </w:rPr>
              <w:t>Leased Real Property (Lessee)</w:t>
            </w:r>
          </w:p>
        </w:tc>
      </w:tr>
      <w:tr>
        <w:trPr>
          <w:trHeight w:val="270"/>
        </w:trPr>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5.08(e)</w:t>
            </w:r>
          </w:p>
        </w:tc>
        <w:tc>
          <w:tcPr>
            <w:tcW w:w="4780" w:type="dxa"/>
            <w:vAlign w:val="bottom"/>
          </w:tcPr>
          <w:p>
            <w:pPr>
              <w:ind w:left="360"/>
              <w:spacing w:after="0"/>
              <w:rPr>
                <w:sz w:val="20"/>
                <w:szCs w:val="20"/>
                <w:color w:val="auto"/>
              </w:rPr>
            </w:pPr>
            <w:r>
              <w:rPr>
                <w:rFonts w:ascii="Arial" w:cs="Arial" w:eastAsia="Arial" w:hAnsi="Arial"/>
                <w:sz w:val="18"/>
                <w:szCs w:val="18"/>
                <w:color w:val="auto"/>
              </w:rPr>
              <w:t>Existing Investments</w:t>
            </w:r>
          </w:p>
        </w:tc>
      </w:tr>
      <w:tr>
        <w:trPr>
          <w:trHeight w:val="270"/>
        </w:trPr>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5.08(f)</w:t>
            </w:r>
          </w:p>
        </w:tc>
        <w:tc>
          <w:tcPr>
            <w:tcW w:w="4780" w:type="dxa"/>
            <w:vAlign w:val="bottom"/>
          </w:tcPr>
          <w:p>
            <w:pPr>
              <w:ind w:left="360"/>
              <w:spacing w:after="0"/>
              <w:rPr>
                <w:sz w:val="20"/>
                <w:szCs w:val="20"/>
                <w:color w:val="auto"/>
              </w:rPr>
            </w:pPr>
            <w:r>
              <w:rPr>
                <w:rFonts w:ascii="Arial" w:cs="Arial" w:eastAsia="Arial" w:hAnsi="Arial"/>
                <w:sz w:val="18"/>
                <w:szCs w:val="18"/>
                <w:color w:val="auto"/>
              </w:rPr>
              <w:t>Commercial Tort Claims</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1"/>
              </w:rPr>
              <w:t>5.09</w:t>
            </w:r>
          </w:p>
        </w:tc>
        <w:tc>
          <w:tcPr>
            <w:tcW w:w="360" w:type="dxa"/>
            <w:vAlign w:val="bottom"/>
          </w:tcPr>
          <w:p>
            <w:pPr>
              <w:spacing w:after="0"/>
              <w:rPr>
                <w:sz w:val="23"/>
                <w:szCs w:val="23"/>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rPr>
              <w:t>Environmental Claims</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1"/>
              </w:rPr>
              <w:t>5.13</w:t>
            </w:r>
          </w:p>
        </w:tc>
        <w:tc>
          <w:tcPr>
            <w:tcW w:w="360" w:type="dxa"/>
            <w:vAlign w:val="bottom"/>
          </w:tcPr>
          <w:p>
            <w:pPr>
              <w:spacing w:after="0"/>
              <w:rPr>
                <w:sz w:val="23"/>
                <w:szCs w:val="23"/>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w w:val="97"/>
              </w:rPr>
              <w:t>Subsidiaries and Other Equity Investments; Loan Parties</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1"/>
              </w:rPr>
              <w:t>5.20</w:t>
            </w:r>
          </w:p>
        </w:tc>
        <w:tc>
          <w:tcPr>
            <w:tcW w:w="360" w:type="dxa"/>
            <w:vAlign w:val="bottom"/>
          </w:tcPr>
          <w:p>
            <w:pPr>
              <w:spacing w:after="0"/>
              <w:rPr>
                <w:sz w:val="23"/>
                <w:szCs w:val="23"/>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rPr>
              <w:t>Labor Matters</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1"/>
              </w:rPr>
              <w:t>5.23</w:t>
            </w:r>
          </w:p>
        </w:tc>
        <w:tc>
          <w:tcPr>
            <w:tcW w:w="360" w:type="dxa"/>
            <w:vAlign w:val="bottom"/>
          </w:tcPr>
          <w:p>
            <w:pPr>
              <w:spacing w:after="0"/>
              <w:rPr>
                <w:sz w:val="23"/>
                <w:szCs w:val="23"/>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rPr>
              <w:t>Government Contracts</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1"/>
              </w:rPr>
              <w:t>5.30</w:t>
            </w:r>
          </w:p>
        </w:tc>
        <w:tc>
          <w:tcPr>
            <w:tcW w:w="360" w:type="dxa"/>
            <w:vAlign w:val="bottom"/>
          </w:tcPr>
          <w:p>
            <w:pPr>
              <w:spacing w:after="0"/>
              <w:rPr>
                <w:sz w:val="23"/>
                <w:szCs w:val="23"/>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rPr>
              <w:t>Post-Closing Obligations</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1"/>
              </w:rPr>
              <w:t>6.12</w:t>
            </w:r>
          </w:p>
        </w:tc>
        <w:tc>
          <w:tcPr>
            <w:tcW w:w="360" w:type="dxa"/>
            <w:vAlign w:val="bottom"/>
          </w:tcPr>
          <w:p>
            <w:pPr>
              <w:spacing w:after="0"/>
              <w:rPr>
                <w:sz w:val="23"/>
                <w:szCs w:val="23"/>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rPr>
              <w:t>Guarantors</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1"/>
              </w:rPr>
              <w:t>7.01</w:t>
            </w:r>
          </w:p>
        </w:tc>
        <w:tc>
          <w:tcPr>
            <w:tcW w:w="360" w:type="dxa"/>
            <w:vAlign w:val="bottom"/>
          </w:tcPr>
          <w:p>
            <w:pPr>
              <w:spacing w:after="0"/>
              <w:rPr>
                <w:sz w:val="23"/>
                <w:szCs w:val="23"/>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rPr>
              <w:t>Certain Customs Matters</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1"/>
              </w:rPr>
              <w:t>7.02</w:t>
            </w:r>
          </w:p>
        </w:tc>
        <w:tc>
          <w:tcPr>
            <w:tcW w:w="360" w:type="dxa"/>
            <w:vAlign w:val="bottom"/>
          </w:tcPr>
          <w:p>
            <w:pPr>
              <w:spacing w:after="0"/>
              <w:rPr>
                <w:sz w:val="23"/>
                <w:szCs w:val="23"/>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rPr>
              <w:t>Existing Indebtedness</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1"/>
              </w:rPr>
              <w:t>7.09</w:t>
            </w:r>
          </w:p>
        </w:tc>
        <w:tc>
          <w:tcPr>
            <w:tcW w:w="360" w:type="dxa"/>
            <w:vAlign w:val="bottom"/>
          </w:tcPr>
          <w:p>
            <w:pPr>
              <w:spacing w:after="0"/>
              <w:rPr>
                <w:sz w:val="23"/>
                <w:szCs w:val="23"/>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rPr>
              <w:t>Burdensome Agreements</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8"/>
              </w:rPr>
              <w:t>10.02</w:t>
            </w:r>
          </w:p>
        </w:tc>
        <w:tc>
          <w:tcPr>
            <w:tcW w:w="360" w:type="dxa"/>
            <w:vAlign w:val="bottom"/>
          </w:tcPr>
          <w:p>
            <w:pPr>
              <w:spacing w:after="0"/>
              <w:rPr>
                <w:sz w:val="23"/>
                <w:szCs w:val="23"/>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w w:val="91"/>
              </w:rPr>
              <w:t>Administrative Agent's Office, Certain Addresses for Notices</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8259"/>
        <w:spacing w:after="0"/>
        <w:rPr>
          <w:sz w:val="20"/>
          <w:szCs w:val="20"/>
          <w:color w:val="auto"/>
        </w:rPr>
      </w:pPr>
      <w:r>
        <w:rPr>
          <w:rFonts w:ascii="Arial" w:cs="Arial" w:eastAsia="Arial" w:hAnsi="Arial"/>
          <w:sz w:val="17"/>
          <w:szCs w:val="17"/>
          <w:u w:val="single" w:color="auto"/>
          <w:color w:val="auto"/>
        </w:rPr>
        <w:t>EXHIBITS</w:t>
      </w:r>
    </w:p>
    <w:p>
      <w:pPr>
        <w:spacing w:after="0" w:line="75" w:lineRule="exact"/>
        <w:rPr>
          <w:sz w:val="20"/>
          <w:szCs w:val="20"/>
          <w:color w:val="auto"/>
        </w:rPr>
      </w:pPr>
    </w:p>
    <w:p>
      <w:pPr>
        <w:jc w:val="center"/>
        <w:ind w:right="8259"/>
        <w:spacing w:after="0"/>
        <w:rPr>
          <w:sz w:val="20"/>
          <w:szCs w:val="20"/>
          <w:color w:val="auto"/>
        </w:rPr>
      </w:pPr>
      <w:r>
        <w:rPr>
          <w:rFonts w:ascii="Arial" w:cs="Arial" w:eastAsia="Arial" w:hAnsi="Arial"/>
          <w:sz w:val="18"/>
          <w:szCs w:val="18"/>
          <w:color w:val="auto"/>
        </w:rPr>
        <w:t>Form of</w:t>
      </w:r>
    </w:p>
    <w:p>
      <w:pPr>
        <w:spacing w:after="0" w:line="63" w:lineRule="exact"/>
        <w:rPr>
          <w:sz w:val="20"/>
          <w:szCs w:val="20"/>
          <w:color w:val="auto"/>
        </w:rPr>
      </w:pPr>
    </w:p>
    <w:p>
      <w:pPr>
        <w:ind w:left="1480" w:hanging="1137"/>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63" w:lineRule="exact"/>
        <w:rPr>
          <w:sz w:val="20"/>
          <w:szCs w:val="20"/>
          <w:color w:val="auto"/>
        </w:rPr>
      </w:pPr>
    </w:p>
    <w:p>
      <w:pPr>
        <w:ind w:left="1480" w:hanging="1132"/>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Note</w:t>
      </w:r>
    </w:p>
    <w:p>
      <w:pPr>
        <w:spacing w:after="0" w:line="63" w:lineRule="exact"/>
        <w:rPr>
          <w:sz w:val="20"/>
          <w:szCs w:val="20"/>
          <w:color w:val="auto"/>
        </w:rPr>
      </w:pPr>
    </w:p>
    <w:p>
      <w:pPr>
        <w:ind w:left="1480" w:hanging="1132"/>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Certificate</w:t>
      </w:r>
    </w:p>
    <w:p>
      <w:pPr>
        <w:spacing w:after="0" w:line="63"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D-1</w:t>
            </w:r>
          </w:p>
        </w:tc>
        <w:tc>
          <w:tcPr>
            <w:tcW w:w="2600" w:type="dxa"/>
            <w:vAlign w:val="bottom"/>
          </w:tcPr>
          <w:p>
            <w:pPr>
              <w:ind w:left="460"/>
              <w:spacing w:after="0"/>
              <w:rPr>
                <w:sz w:val="20"/>
                <w:szCs w:val="20"/>
                <w:color w:val="auto"/>
              </w:rPr>
            </w:pPr>
            <w:r>
              <w:rPr>
                <w:rFonts w:ascii="Arial" w:cs="Arial" w:eastAsia="Arial" w:hAnsi="Arial"/>
                <w:sz w:val="18"/>
                <w:szCs w:val="18"/>
                <w:color w:val="auto"/>
                <w:w w:val="92"/>
              </w:rPr>
              <w:t>Assignment and Assumption</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D-2</w:t>
            </w:r>
          </w:p>
        </w:tc>
        <w:tc>
          <w:tcPr>
            <w:tcW w:w="2600" w:type="dxa"/>
            <w:vAlign w:val="bottom"/>
          </w:tcPr>
          <w:p>
            <w:pPr>
              <w:ind w:left="460"/>
              <w:spacing w:after="0"/>
              <w:rPr>
                <w:sz w:val="20"/>
                <w:szCs w:val="20"/>
                <w:color w:val="auto"/>
              </w:rPr>
            </w:pPr>
            <w:r>
              <w:rPr>
                <w:rFonts w:ascii="Arial" w:cs="Arial" w:eastAsia="Arial" w:hAnsi="Arial"/>
                <w:sz w:val="18"/>
                <w:szCs w:val="18"/>
                <w:color w:val="auto"/>
                <w:w w:val="92"/>
              </w:rPr>
              <w:t>Administrative Questionnaire</w:t>
            </w:r>
          </w:p>
        </w:tc>
      </w:tr>
    </w:tbl>
    <w:p>
      <w:pPr>
        <w:spacing w:after="0" w:line="40" w:lineRule="exact"/>
        <w:rPr>
          <w:sz w:val="20"/>
          <w:szCs w:val="20"/>
          <w:color w:val="auto"/>
        </w:rPr>
      </w:pPr>
    </w:p>
    <w:p>
      <w:pPr>
        <w:ind w:left="1480" w:hanging="112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Guaranty (attached to the Existing Credit Agreement)</w:t>
      </w:r>
    </w:p>
    <w:p>
      <w:pPr>
        <w:spacing w:after="0" w:line="63" w:lineRule="exact"/>
        <w:rPr>
          <w:sz w:val="20"/>
          <w:szCs w:val="20"/>
          <w:color w:val="auto"/>
        </w:rPr>
      </w:pPr>
    </w:p>
    <w:p>
      <w:pPr>
        <w:ind w:left="1480" w:hanging="1122"/>
        <w:spacing w:after="0"/>
        <w:tabs>
          <w:tab w:leader="none" w:pos="1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Security Agreement (attached to the Existing Credit Agreement)</w:t>
      </w:r>
    </w:p>
    <w:p>
      <w:pPr>
        <w:spacing w:after="0" w:line="75" w:lineRule="exact"/>
        <w:rPr>
          <w:sz w:val="20"/>
          <w:szCs w:val="20"/>
          <w:color w:val="auto"/>
        </w:rPr>
      </w:pPr>
    </w:p>
    <w:p>
      <w:pPr>
        <w:ind w:left="1480" w:hanging="1137"/>
        <w:spacing w:after="0"/>
        <w:tabs>
          <w:tab w:leader="none" w:pos="1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Intercreditor Agreement (attached to the Existing Credit Agreement)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4" w:lineRule="exact"/>
        <w:rPr>
          <w:rFonts w:ascii="Arial" w:cs="Arial" w:eastAsia="Arial" w:hAnsi="Arial"/>
          <w:sz w:val="16"/>
          <w:szCs w:val="16"/>
          <w:color w:val="auto"/>
        </w:rPr>
      </w:pPr>
    </w:p>
    <w:p>
      <w:pPr>
        <w:ind w:left="4520"/>
        <w:spacing w:after="0"/>
        <w:rPr>
          <w:rFonts w:ascii="Arial" w:cs="Arial" w:eastAsia="Arial" w:hAnsi="Arial"/>
          <w:sz w:val="16"/>
          <w:szCs w:val="16"/>
          <w:color w:val="auto"/>
        </w:rPr>
      </w:pPr>
      <w:r>
        <w:rPr>
          <w:rFonts w:ascii="Arial" w:cs="Arial" w:eastAsia="Arial" w:hAnsi="Arial"/>
          <w:sz w:val="18"/>
          <w:szCs w:val="18"/>
          <w:color w:val="auto"/>
        </w:rPr>
        <w:t>v</w:t>
      </w:r>
    </w:p>
    <w:p>
      <w:pPr>
        <w:sectPr>
          <w:pgSz w:w="11900" w:h="16838" w:orient="portrait"/>
          <w:cols w:equalWidth="0" w:num="1">
            <w:col w:w="9079"/>
          </w:cols>
          <w:pgMar w:left="1380" w:top="1440" w:right="1440" w:bottom="1440" w:gutter="0" w:footer="0" w:header="0"/>
        </w:sectPr>
      </w:pPr>
    </w:p>
    <w:bookmarkStart w:id="46" w:name="page47"/>
    <w:bookmarkEnd w:id="46"/>
    <w:p>
      <w:pPr>
        <w:ind w:left="4200"/>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AMENDED AND RESTATED TERM B LOAN CREDIT AGREEMENT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March 5, 2013, among Remy International,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each lender from time to time party 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BANK OF AMERICA, N.A., as Administrative Agent, MERRILL LYNCH, PIERCE, FENNER &amp; SMITH INCORPORATED (“</w:t>
      </w:r>
      <w:r>
        <w:rPr>
          <w:rFonts w:ascii="Arial" w:cs="Arial" w:eastAsia="Arial" w:hAnsi="Arial"/>
          <w:sz w:val="18"/>
          <w:szCs w:val="18"/>
          <w:u w:val="single" w:color="auto"/>
          <w:color w:val="auto"/>
        </w:rPr>
        <w:t>MLPFS</w:t>
      </w:r>
      <w:r>
        <w:rPr>
          <w:rFonts w:ascii="Arial" w:cs="Arial" w:eastAsia="Arial" w:hAnsi="Arial"/>
          <w:sz w:val="18"/>
          <w:szCs w:val="18"/>
          <w:color w:val="auto"/>
        </w:rPr>
        <w:t>”), UBS SECURITIES LLC (“</w:t>
      </w:r>
      <w:r>
        <w:rPr>
          <w:rFonts w:ascii="Arial" w:cs="Arial" w:eastAsia="Arial" w:hAnsi="Arial"/>
          <w:sz w:val="18"/>
          <w:szCs w:val="18"/>
          <w:u w:val="single" w:color="auto"/>
          <w:color w:val="auto"/>
        </w:rPr>
        <w:t>UBS</w:t>
      </w:r>
      <w:r>
        <w:rPr>
          <w:rFonts w:ascii="Arial" w:cs="Arial" w:eastAsia="Arial" w:hAnsi="Arial"/>
          <w:sz w:val="18"/>
          <w:szCs w:val="18"/>
          <w:color w:val="auto"/>
        </w:rPr>
        <w:t>”), WELLS FARGO SECURITIES, LLC and DEUTSCHE BANK SECURITIES INC. (“</w:t>
      </w:r>
      <w:r>
        <w:rPr>
          <w:rFonts w:ascii="Arial" w:cs="Arial" w:eastAsia="Arial" w:hAnsi="Arial"/>
          <w:sz w:val="18"/>
          <w:szCs w:val="18"/>
          <w:u w:val="single" w:color="auto"/>
          <w:color w:val="auto"/>
        </w:rPr>
        <w:t>DB</w:t>
      </w:r>
      <w:r>
        <w:rPr>
          <w:rFonts w:ascii="Arial" w:cs="Arial" w:eastAsia="Arial" w:hAnsi="Arial"/>
          <w:sz w:val="18"/>
          <w:szCs w:val="18"/>
          <w:color w:val="auto"/>
        </w:rPr>
        <w:t>”), as joint lead arrangers (in such capacities, the “</w:t>
      </w:r>
      <w:r>
        <w:rPr>
          <w:rFonts w:ascii="Arial" w:cs="Arial" w:eastAsia="Arial" w:hAnsi="Arial"/>
          <w:sz w:val="18"/>
          <w:szCs w:val="18"/>
          <w:u w:val="single" w:color="auto"/>
          <w:color w:val="auto"/>
        </w:rPr>
        <w:t>Arrangers</w:t>
      </w:r>
      <w:r>
        <w:rPr>
          <w:rFonts w:ascii="Arial" w:cs="Arial" w:eastAsia="Arial" w:hAnsi="Arial"/>
          <w:sz w:val="18"/>
          <w:szCs w:val="18"/>
          <w:color w:val="auto"/>
        </w:rPr>
        <w:t>”), UBS, Wells Fargo Bank, N.A. and DB, as co-syndication agents (in such capacities, the “</w:t>
      </w:r>
      <w:r>
        <w:rPr>
          <w:rFonts w:ascii="Arial" w:cs="Arial" w:eastAsia="Arial" w:hAnsi="Arial"/>
          <w:sz w:val="18"/>
          <w:szCs w:val="18"/>
          <w:u w:val="single" w:color="auto"/>
          <w:color w:val="auto"/>
        </w:rPr>
        <w:t>Syndication Agents</w:t>
      </w:r>
      <w:r>
        <w:rPr>
          <w:rFonts w:ascii="Arial" w:cs="Arial" w:eastAsia="Arial" w:hAnsi="Arial"/>
          <w:sz w:val="18"/>
          <w:szCs w:val="18"/>
          <w:color w:val="auto"/>
        </w:rPr>
        <w:t>”), and MLPFS, as book manager (in such capacities, the “</w:t>
      </w:r>
      <w:r>
        <w:rPr>
          <w:rFonts w:ascii="Arial" w:cs="Arial" w:eastAsia="Arial" w:hAnsi="Arial"/>
          <w:sz w:val="18"/>
          <w:szCs w:val="18"/>
          <w:u w:val="single" w:color="auto"/>
          <w:color w:val="auto"/>
        </w:rPr>
        <w:t>Book Manager</w:t>
      </w:r>
      <w:r>
        <w:rPr>
          <w:rFonts w:ascii="Arial" w:cs="Arial" w:eastAsia="Arial" w:hAnsi="Arial"/>
          <w:sz w:val="18"/>
          <w:szCs w:val="18"/>
          <w:color w:val="auto"/>
        </w:rPr>
        <w:t>”).</w:t>
      </w:r>
    </w:p>
    <w:p>
      <w:pPr>
        <w:spacing w:after="0" w:line="192" w:lineRule="exact"/>
        <w:rPr>
          <w:sz w:val="20"/>
          <w:szCs w:val="20"/>
          <w:color w:val="auto"/>
        </w:rPr>
      </w:pPr>
    </w:p>
    <w:p>
      <w:pPr>
        <w:ind w:left="5140"/>
        <w:spacing w:after="0"/>
        <w:rPr>
          <w:sz w:val="20"/>
          <w:szCs w:val="20"/>
          <w:color w:val="auto"/>
        </w:rPr>
      </w:pPr>
      <w:r>
        <w:rPr>
          <w:rFonts w:ascii="Arial" w:cs="Arial" w:eastAsia="Arial" w:hAnsi="Arial"/>
          <w:sz w:val="18"/>
          <w:szCs w:val="18"/>
          <w:u w:val="single" w:color="auto"/>
          <w:color w:val="auto"/>
        </w:rPr>
        <w:t>PRELIMINARY STATEMENTS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Pursuant to that certain Term B Loan Credit Agreement, dated as of December 17, 2010 (as amended, supplemented or otherwise modified prior to the date hereof, the “</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by and among the Borrower, the lenders party thereto (the “</w:t>
      </w:r>
      <w:r>
        <w:rPr>
          <w:rFonts w:ascii="Arial" w:cs="Arial" w:eastAsia="Arial" w:hAnsi="Arial"/>
          <w:sz w:val="16"/>
          <w:szCs w:val="16"/>
          <w:u w:val="single" w:color="auto"/>
          <w:color w:val="auto"/>
        </w:rPr>
        <w:t>Existing Lenders</w:t>
      </w:r>
      <w:r>
        <w:rPr>
          <w:rFonts w:ascii="Arial" w:cs="Arial" w:eastAsia="Arial" w:hAnsi="Arial"/>
          <w:sz w:val="16"/>
          <w:szCs w:val="16"/>
          <w:color w:val="auto"/>
        </w:rPr>
        <w:t>”), and the Administrative Agent, the Existing Lenders extended certain term loans in the aggregate original principal amount of $300,000,000 (the “</w:t>
      </w:r>
      <w:r>
        <w:rPr>
          <w:rFonts w:ascii="Arial" w:cs="Arial" w:eastAsia="Arial" w:hAnsi="Arial"/>
          <w:sz w:val="16"/>
          <w:szCs w:val="16"/>
          <w:u w:val="single" w:color="auto"/>
          <w:color w:val="auto"/>
        </w:rPr>
        <w:t>Existing Loans</w:t>
      </w:r>
      <w:r>
        <w:rPr>
          <w:rFonts w:ascii="Arial" w:cs="Arial" w:eastAsia="Arial" w:hAnsi="Arial"/>
          <w:sz w:val="16"/>
          <w:szCs w:val="16"/>
          <w:color w:val="auto"/>
        </w:rPr>
        <w: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Borrower, the Lenders and the Administrative Agent desire to amend and restate the Existing Credit Agreement in its entirety on the terms and conditions set forth herein, and the Lenders have agreed to extend term B loans to the Borrower in the aggregate principal amount of $300,000,000, the proceeds of which will be used to refinance the Existing Loans (subject to the conversion of certain Existing Loans to the Loans as provided in </w:t>
      </w:r>
      <w:r>
        <w:rPr>
          <w:rFonts w:ascii="Arial" w:cs="Arial" w:eastAsia="Arial" w:hAnsi="Arial"/>
          <w:sz w:val="18"/>
          <w:szCs w:val="18"/>
          <w:u w:val="single" w:color="auto"/>
          <w:color w:val="auto"/>
        </w:rPr>
        <w:t>Section 2.01</w:t>
      </w:r>
      <w:r>
        <w:rPr>
          <w:rFonts w:ascii="Arial" w:cs="Arial" w:eastAsia="Arial" w:hAnsi="Arial"/>
          <w:sz w:val="18"/>
          <w:szCs w:val="18"/>
          <w:color w:val="auto"/>
        </w:rPr>
        <w:t>) and for general corporate and working capital purposes.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consideration of the mutual covenants and agreements herein contained, the Existing Credit Agreement is hereby amended and restated to read in its entirety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ACCOUNTING TERMS</w:t>
      </w:r>
    </w:p>
    <w:p>
      <w:pPr>
        <w:spacing w:after="0" w:line="21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b w:val="1"/>
          <w:bCs w:val="1"/>
          <w:i w:val="1"/>
          <w:iCs w:val="1"/>
          <w:color w:val="auto"/>
        </w:rPr>
        <w:t>Defined Terms</w:t>
      </w:r>
      <w:r>
        <w:rPr>
          <w:rFonts w:ascii="Arial" w:cs="Arial" w:eastAsia="Arial" w:hAnsi="Arial"/>
          <w:sz w:val="16"/>
          <w:szCs w:val="16"/>
          <w:color w:val="auto"/>
        </w:rPr>
        <w:t>. As used in this Agreement, the following terms shall have the meanings set forth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ABL Agent</w:t>
      </w:r>
      <w:r>
        <w:rPr>
          <w:rFonts w:ascii="Arial" w:cs="Arial" w:eastAsia="Arial" w:hAnsi="Arial"/>
          <w:sz w:val="16"/>
          <w:szCs w:val="16"/>
          <w:color w:val="auto"/>
        </w:rPr>
        <w:t>” means Wells Fargo Capital Finance, LLC, as administrative agent, under the ABL Credit Agreement, together with its successors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Credit Agreement</w:t>
      </w:r>
      <w:r>
        <w:rPr>
          <w:rFonts w:ascii="Arial" w:cs="Arial" w:eastAsia="Arial" w:hAnsi="Arial"/>
          <w:sz w:val="18"/>
          <w:szCs w:val="18"/>
          <w:color w:val="auto"/>
        </w:rPr>
        <w:t>” means the Credit Agreement, dated as of the Closing Date, among the Borrower, the other borrowers party thereto, the ABL Agent, and the lenders party thereto from time to time, as amended, restated, supplemented or otherwise modified from time to time, including any refinancing credit agreement thereof.</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Indebtedness</w:t>
      </w:r>
      <w:r>
        <w:rPr>
          <w:rFonts w:ascii="Arial" w:cs="Arial" w:eastAsia="Arial" w:hAnsi="Arial"/>
          <w:sz w:val="18"/>
          <w:szCs w:val="18"/>
          <w:color w:val="auto"/>
        </w:rPr>
        <w:t>” means the Indebtedness of the Borrower and the other borrowers party to the ABL Credit Agreement under the ABL Loan Documents and subject to the Intercreditor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Lenders</w:t>
      </w:r>
      <w:r>
        <w:rPr>
          <w:rFonts w:ascii="Arial" w:cs="Arial" w:eastAsia="Arial" w:hAnsi="Arial"/>
          <w:sz w:val="18"/>
          <w:szCs w:val="18"/>
          <w:color w:val="auto"/>
        </w:rPr>
        <w:t>” means the “Lenders” as defined in the ABL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Loan Documents</w:t>
      </w:r>
      <w:r>
        <w:rPr>
          <w:rFonts w:ascii="Arial" w:cs="Arial" w:eastAsia="Arial" w:hAnsi="Arial"/>
          <w:sz w:val="18"/>
          <w:szCs w:val="18"/>
          <w:color w:val="auto"/>
        </w:rPr>
        <w:t>” means the “Loan Documents” as defined in the ABL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Priority Collateral</w:t>
      </w:r>
      <w:r>
        <w:rPr>
          <w:rFonts w:ascii="Arial" w:cs="Arial" w:eastAsia="Arial" w:hAnsi="Arial"/>
          <w:sz w:val="18"/>
          <w:szCs w:val="18"/>
          <w:color w:val="auto"/>
        </w:rPr>
        <w:t>” means the “ABL Priority Collateral” as defined in the Intercreditor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means any Person who is obligated on an Account, chattel paper or a general intangible.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Accounts</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Commitments 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2.12(e)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Documents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6.15</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7" w:name="page48"/>
    <w:bookmarkEnd w:id="47"/>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Facility</w:t>
      </w:r>
      <w:r>
        <w:rPr>
          <w:rFonts w:ascii="Arial" w:cs="Arial" w:eastAsia="Arial" w:hAnsi="Arial"/>
          <w:sz w:val="17"/>
          <w:szCs w:val="17"/>
          <w:color w:val="auto"/>
        </w:rPr>
        <w:t>” means at any time, (i) on or prior to any Additional Facility Closing Date, the aggregate amount of the Additional Commitments at such time and (ii) thereafter, the aggregate principal amount of the Additional Loans of all Additional Lenders outstanding at such time.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Facility Amendment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2.12(d)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Facility Closing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2.12(f)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2.12(c)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Loan OID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2.12(b)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Loans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Loan Tranche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in its capacity as administrative agent under any of the Loan Documents, or any successor administrative agent.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or such other address or account as the Administrative Agent may from time to time notify to the Borrower and the Lenders.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D-2</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Amended and Restated Term B Loan Credit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at any time, the percentage (carried out to the ninth decimal place) of the Facility represented by (i) on or prior to the Restatement Date, such Lender's Commitment at such time and (ii) thereafter, the principal amount of such Lender's Loans at such time. The initial Applicable Percentage of each Lender is set forth opposite the name of such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becomes a party hereto, as applicable.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in respect of the Facility, 3.00% per annum, in the case of Eurodollar Loans, and 2.00% per annum, in the case of Base Rate Loans.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advised or managed by (a) a Lender, (b) an Affiliate of a Lender or (c) an entity or an Affiliate of an entity that administers, advises or manages a Lender.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has the meaning specified in the Preliminary Statements.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managed or advised by the same investment advisor/manager or by affiliated investment advisors/managers.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D-1</w:t>
      </w:r>
      <w:r>
        <w:rPr>
          <w:rFonts w:ascii="Arial" w:cs="Arial" w:eastAsia="Arial" w:hAnsi="Arial"/>
          <w:sz w:val="18"/>
          <w:szCs w:val="18"/>
          <w:color w:val="auto"/>
        </w:rPr>
        <w:t xml:space="preserve"> or any other form approved by the Administrative Agent.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in accordance with GAAP if such lease or other agreement or instrument were accounted for as a Capitalized Lease and (c) all Synthetic Debt of such Person.</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the Borrower and its Subsidiaries for the fiscal year ended December 31, 2012, and the related consolidated statements of income or operations, shareholders' equity and cash flows for such fiscal year of the Borrower and its Subsidiaries, including the notes thereto.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means, as at any date, the sum of, without duplication:</w:t>
      </w:r>
    </w:p>
    <w:p>
      <w:pPr>
        <w:spacing w:after="0" w:line="225" w:lineRule="exact"/>
        <w:rPr>
          <w:sz w:val="20"/>
          <w:szCs w:val="20"/>
          <w:color w:val="auto"/>
        </w:rPr>
      </w:pPr>
    </w:p>
    <w:p>
      <w:pPr>
        <w:ind w:firstLine="656"/>
        <w:spacing w:after="0" w:line="277" w:lineRule="auto"/>
        <w:tabs>
          <w:tab w:leader="none" w:pos="10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cumulative amount, not less than zero, equal to 50% of (x) 100% minus the then applicable ECF Percentage times (y) Excess Cash Flow for each fiscal year beginning with the fiscal year ending December 31, 2013;</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Net Cash Proceeds received after the Restatement Date and on or prior to such date from any equity issuance by the Borrower (which is not Disqualified Capital Stock), excluding any Net Cash Proceeds of an IPO used by the Borrower or any of its Subsidiaries to retire, redeem, repurchase or acquire any Equity Interests of the Borrower or any of its Subsidiaries;</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0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amount equal to any returns (including dividends, interest, distributions, returns of principal, profits on sale, repayments, income and similar amounts) actually received in cash and Cash Equivalents by any Loan Party in respect of any Investments made with the proceeds of the Available Amount; and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051"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aggregate amount actually received in cash or Cash Equivalents by any Loan Party in connection with the sale, transfer or other disposition of its ownership interest in any in any Foreign Subsidiary, in each case, to the extent of the Investment in such Foreign Subsidiary; in each case, that has not been previously applied pursuant to </w:t>
      </w:r>
      <w:r>
        <w:rPr>
          <w:rFonts w:ascii="Arial" w:cs="Arial" w:eastAsia="Arial" w:hAnsi="Arial"/>
          <w:sz w:val="18"/>
          <w:szCs w:val="18"/>
          <w:u w:val="single" w:color="auto"/>
          <w:color w:val="auto"/>
        </w:rPr>
        <w:t>Section 7.03(l)</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7.06(d)</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as in effect from time to time.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for any day a fluctuating rate per annum equal to the highest of (a) the Federal Funds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1/2 of 1%, (b) the rate of interest in effect for such day as publicly announced from time to time by Bank of America as its “prime rate”, and (c) the Eurodollar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Base Rate be less than 2.25%.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rate announced by Bank of America shall take effect at the opening of business on the day specified in the public announcement of such change.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(or comparable managers) of the Borrower or any committee thereof duly authorized to act on behalf of the board of directors (or comparable managers).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 Manager</w:t>
      </w:r>
      <w:r>
        <w:rPr>
          <w:rFonts w:ascii="Arial" w:cs="Arial" w:eastAsia="Arial" w:hAnsi="Arial"/>
          <w:sz w:val="18"/>
          <w:szCs w:val="18"/>
          <w:color w:val="auto"/>
        </w:rPr>
        <w:t>” has the meaning specified in the Preliminary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borrowing consisting of simultaneous Loans of the same Type and, in the case of Eurodollar Rate Loans, having the same Interest Period made by each of the Lenders pursuant to Section 2.01(b).</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with respect to any Person for any period, any expenditure in respect of the purchase or other acquisition of any fixed or capital asset (excluding normal replacements and maintenance which are properly charged to current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49" w:name="page50"/>
    <w:bookmarkEnd w:id="49"/>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Capitalized Lease Obligations</w:t>
      </w:r>
      <w:r>
        <w:rPr>
          <w:rFonts w:ascii="Arial" w:cs="Arial" w:eastAsia="Arial" w:hAnsi="Arial"/>
          <w:sz w:val="16"/>
          <w:szCs w:val="16"/>
          <w:color w:val="auto"/>
        </w:rPr>
        <w:t>” means that portion of the obligations under a Capitalized Lease that is required to be capitalized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Leases</w:t>
      </w:r>
      <w:r>
        <w:rPr>
          <w:rFonts w:ascii="Arial" w:cs="Arial" w:eastAsia="Arial" w:hAnsi="Arial"/>
          <w:sz w:val="18"/>
          <w:szCs w:val="18"/>
          <w:color w:val="auto"/>
        </w:rPr>
        <w:t>” means all leases that have been or should be, in accordance with GAAP, recorded as capitalized leases.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any of the following types of Investments, to the extent owned by the Borrower or any of its Subsidiaries free and clear of all Liens (other than Liens created under the Collateral Documents and other Liens permitted hereunder):</w:t>
      </w:r>
    </w:p>
    <w:p>
      <w:pPr>
        <w:spacing w:after="0" w:line="170" w:lineRule="exact"/>
        <w:rPr>
          <w:sz w:val="20"/>
          <w:szCs w:val="20"/>
          <w:color w:val="auto"/>
        </w:rPr>
      </w:pPr>
    </w:p>
    <w:p>
      <w:pPr>
        <w:jc w:val="both"/>
        <w:ind w:left="660" w:firstLine="645"/>
        <w:spacing w:after="0" w:line="264" w:lineRule="auto"/>
        <w:tabs>
          <w:tab w:leader="none" w:pos="17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full faith and credit of the United States of America is pledged in support thereof;</w:t>
      </w:r>
    </w:p>
    <w:p>
      <w:pPr>
        <w:spacing w:after="0" w:line="181" w:lineRule="exact"/>
        <w:rPr>
          <w:rFonts w:ascii="Arial" w:cs="Arial" w:eastAsia="Arial" w:hAnsi="Arial"/>
          <w:sz w:val="18"/>
          <w:szCs w:val="18"/>
          <w:color w:val="auto"/>
        </w:rPr>
      </w:pPr>
    </w:p>
    <w:p>
      <w:pPr>
        <w:jc w:val="both"/>
        <w:ind w:left="660" w:firstLine="645"/>
        <w:spacing w:after="0" w:line="255" w:lineRule="auto"/>
        <w:tabs>
          <w:tab w:leader="none" w:pos="17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 deposits with, or insured certificates of deposit or bankers' acceptances of, any commercial bank that (i) (A) is a Lender or an ABL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clause (c) of this definition and (iii) has combined capital and surplus of at least $1,000,000,000, in each case with maturities of not more than 90 days from the date of acquisition thereof;</w:t>
      </w:r>
    </w:p>
    <w:p>
      <w:pPr>
        <w:spacing w:after="0" w:line="193" w:lineRule="exact"/>
        <w:rPr>
          <w:rFonts w:ascii="Arial" w:cs="Arial" w:eastAsia="Arial" w:hAnsi="Arial"/>
          <w:sz w:val="18"/>
          <w:szCs w:val="18"/>
          <w:color w:val="auto"/>
        </w:rPr>
      </w:pPr>
    </w:p>
    <w:p>
      <w:pPr>
        <w:jc w:val="both"/>
        <w:ind w:left="660" w:firstLine="645"/>
        <w:spacing w:after="0" w:line="264" w:lineRule="auto"/>
        <w:tabs>
          <w:tab w:leader="none" w:pos="17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commercial paper issued by any Person organized under the laws of any state of the United States of America and rated at least “Prime-1” (or the then equivalent grade) by Moody's or at least “A-1” (or the then equivalent grade) by S&amp;P, in each case with maturities of not more than 180 days from the date of acquisition thereof; and</w:t>
      </w:r>
    </w:p>
    <w:p>
      <w:pPr>
        <w:spacing w:after="0" w:line="181" w:lineRule="exact"/>
        <w:rPr>
          <w:rFonts w:ascii="Arial" w:cs="Arial" w:eastAsia="Arial" w:hAnsi="Arial"/>
          <w:sz w:val="18"/>
          <w:szCs w:val="18"/>
          <w:color w:val="auto"/>
        </w:rPr>
      </w:pPr>
    </w:p>
    <w:p>
      <w:pPr>
        <w:jc w:val="both"/>
        <w:ind w:left="660" w:firstLine="645"/>
        <w:spacing w:after="0" w:line="259" w:lineRule="auto"/>
        <w:tabs>
          <w:tab w:leader="none" w:pos="1799"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Investments, classified in accordance with GAAP as current assets of the Borrower or any of its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clauses (a), (b) and (c) of this definition.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CERCLA</w:t>
      </w:r>
      <w:r>
        <w:rPr>
          <w:rFonts w:ascii="Arial" w:cs="Arial" w:eastAsia="Arial" w:hAnsi="Arial"/>
          <w:sz w:val="18"/>
          <w:szCs w:val="18"/>
          <w:color w:val="auto"/>
        </w:rPr>
        <w:t>” means the Comprehensive Environmental Response, Compensation and Liability Act of 1980.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CERCLIS</w:t>
      </w:r>
      <w:r>
        <w:rPr>
          <w:rFonts w:ascii="Arial" w:cs="Arial" w:eastAsia="Arial" w:hAnsi="Arial"/>
          <w:sz w:val="17"/>
          <w:szCs w:val="17"/>
          <w:color w:val="auto"/>
        </w:rPr>
        <w:t>” means the Comprehensive Environmental Response, Compensation and Liability Information System maintained by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Environmental Protection Agency.</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w:t>
      </w:r>
    </w:p>
    <w:p>
      <w:pPr>
        <w:spacing w:after="0" w:line="225" w:lineRule="exact"/>
        <w:rPr>
          <w:sz w:val="20"/>
          <w:szCs w:val="20"/>
          <w:color w:val="auto"/>
        </w:rPr>
      </w:pPr>
    </w:p>
    <w:p>
      <w:pPr>
        <w:jc w:val="both"/>
        <w:ind w:firstLine="656"/>
        <w:spacing w:after="0" w:line="255" w:lineRule="auto"/>
        <w:tabs>
          <w:tab w:leader="none" w:pos="10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to an IPO, any “person” or “group” (as such terms are used in Sections 13(d) and 14(d) of the Exchange Act, but excluding any employee benefit plan of such person or its subsidiaries, and any person or entity acting in its capacity as trustee, agent or other fiduciary or administrator of any such plan) other than Fidelity becomes the “beneficial owner” (as defined in Rules 13d-3 and 13d-5 under the Exchange Act, except that a person or group shall be deemed to have “beneficial ownership” of all securities that such person or group has the right to acquire, whether such right is exercisable immediately or only after the passage of time (such right, an “option right”)), directly or indirectly, of more than 40% of the equity securities of the Borrower entitled to vote for members of the Board of Directors on a fully-diluted basis (and taking into account all such securities that such “person” or “group” has the right to acquire pursuant to any option right); 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50" w:name="page51"/>
    <w:bookmarkEnd w:id="50"/>
    <w:p>
      <w:pPr>
        <w:jc w:val="both"/>
        <w:ind w:firstLine="656"/>
        <w:spacing w:after="0" w:line="255" w:lineRule="auto"/>
        <w:tabs>
          <w:tab w:leader="none" w:pos="10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upon and following an IPO, any “person” or “group” (as such terms are used in Sections 13(d) and 14(d) of the Exchange Act, but excluding any employee benefit plan of such person or its subsidiaries, and any person or entity acting in its capacity as trustee, agent or other fiduciary or administrator of any such plan) other than Fidelity becomes the “beneficial owner” (as defined in Rules 13d-3 and 13d-5 under the Exchange Act, except that a person or group shall be deemed to have “beneficial ownership” of all securities that such person or group has the right to acquire, whether such right is exercisable immediately or only after the passage of time (such right, an “option right”)), directly or indirectly, of 40% or more of the equity securities of the Borrower entitled to vote for members of the Board of Directors on a fully-diluted basis (and taking into account all such securities that such “person” or “group” has the right to acquire pursuant to any option right); or</w:t>
      </w:r>
    </w:p>
    <w:p>
      <w:pPr>
        <w:spacing w:after="0" w:line="189" w:lineRule="exact"/>
        <w:rPr>
          <w:rFonts w:ascii="Arial" w:cs="Arial" w:eastAsia="Arial" w:hAnsi="Arial"/>
          <w:sz w:val="18"/>
          <w:szCs w:val="18"/>
          <w:color w:val="auto"/>
        </w:rPr>
      </w:pPr>
    </w:p>
    <w:p>
      <w:pPr>
        <w:jc w:val="both"/>
        <w:ind w:firstLine="656"/>
        <w:spacing w:after="0" w:line="288" w:lineRule="auto"/>
        <w:tabs>
          <w:tab w:leader="none" w:pos="10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during any period of 12 consecutive months, a majority of the members of the Board of Directors of the Borrower cease to be composed of individuals (i) who were members of the Board of Directors on the first day of such period, (ii) whose election or nomination the Board of Directors was approved by individuals referred to in clause (i) above constituting at the time of such election or nomination at least a majority of the Board of Directors or</w:t>
      </w:r>
    </w:p>
    <w:p>
      <w:pPr>
        <w:jc w:val="both"/>
        <w:ind w:firstLine="8"/>
        <w:spacing w:after="0" w:line="253" w:lineRule="auto"/>
        <w:tabs>
          <w:tab w:leader="none" w:pos="3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whose election or nomination to the Board of Directors was approved by individuals referred to in clauses (i) and (ii) above constituting at the time of such election or nomination at least a majority of the Board of Directors (excluding, in the case of both clause (ii) and clause (iii), any individual whose initial nomination for, or assumption of office as, a member of the Board of Directors occurs as a result of an actual or threatened solicitation of proxies or consents for the election or removal of one or more directors by any person or group other than a solicitation for the election of one or more directors by or on behalf of the Board of Directors); or</w:t>
      </w:r>
    </w:p>
    <w:p>
      <w:pPr>
        <w:spacing w:after="0" w:line="191" w:lineRule="exact"/>
        <w:rPr>
          <w:rFonts w:ascii="Arial" w:cs="Arial" w:eastAsia="Arial" w:hAnsi="Arial"/>
          <w:sz w:val="18"/>
          <w:szCs w:val="18"/>
          <w:color w:val="auto"/>
        </w:rPr>
      </w:pPr>
    </w:p>
    <w:p>
      <w:pPr>
        <w:ind w:left="1040" w:hanging="384"/>
        <w:spacing w:after="0"/>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“change of control” or any comparable term under, and as defined in, the ABL Credit Agreement shall have occurred.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December 17, 2010.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means all of the “</w:t>
      </w:r>
      <w:r>
        <w:rPr>
          <w:rFonts w:ascii="Arial" w:cs="Arial" w:eastAsia="Arial" w:hAnsi="Arial"/>
          <w:sz w:val="17"/>
          <w:szCs w:val="17"/>
          <w:u w:val="single" w:color="auto"/>
          <w:color w:val="auto"/>
        </w:rPr>
        <w:t>Collateral</w:t>
      </w:r>
      <w:r>
        <w:rPr>
          <w:rFonts w:ascii="Arial" w:cs="Arial" w:eastAsia="Arial" w:hAnsi="Arial"/>
          <w:sz w:val="17"/>
          <w:szCs w:val="17"/>
          <w:color w:val="auto"/>
        </w:rPr>
        <w:t>” and “</w:t>
      </w:r>
      <w:r>
        <w:rPr>
          <w:rFonts w:ascii="Arial" w:cs="Arial" w:eastAsia="Arial" w:hAnsi="Arial"/>
          <w:sz w:val="17"/>
          <w:szCs w:val="17"/>
          <w:u w:val="single" w:color="auto"/>
          <w:color w:val="auto"/>
        </w:rPr>
        <w:t>Mortgaged Property</w:t>
      </w:r>
      <w:r>
        <w:rPr>
          <w:rFonts w:ascii="Arial" w:cs="Arial" w:eastAsia="Arial" w:hAnsi="Arial"/>
          <w:sz w:val="17"/>
          <w:szCs w:val="17"/>
          <w:color w:val="auto"/>
        </w:rPr>
        <w:t>” referred to in the Collateral Documents and all of the other property that is or is intended under the terms of the Collateral Documents to be subject to Liens in favor of the Administrative Agent for the benefit of the Secured Parties.</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means, collectively, the Security Agreement, the Intellectual Property Security Agreement, the Mortgages, each of the mortgages, collateral assignments, Security Agreement Supplements, the Reaffirmation Agreement, IP Security Agreement Supplements, security agreements, pledge agreements or other similar agreements delivered to the Administrative Agent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and each of the other agreements, instruments or documents that creates or purports to create a Lien in favor of the Administrative Agent for the benefit of the Secured Parties, each as amended, restated, supplemented or otherwise modified from time to time.</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as to each Lender, its obligation to make Loans on the Restatement Date to the Borrower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in an aggregate principal amount not to exceed the amount set forth opposite such Lender's name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under the caption “Commitment”.</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 Notice</w:t>
      </w:r>
      <w:r>
        <w:rPr>
          <w:rFonts w:ascii="Arial" w:cs="Arial" w:eastAsia="Arial" w:hAnsi="Arial"/>
          <w:sz w:val="18"/>
          <w:szCs w:val="18"/>
          <w:color w:val="auto"/>
        </w:rPr>
        <w:t xml:space="preserve">” means a notice of (a) a Borrowing, (b) a conversion of Loans from one Type to the other, or (c) a continuation of Eurodollar Rate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at any date of determination, an amount equal to Consolidated Net Income of the Borrower and its Subsidiaries on a consolidated basis for the most recently completed Measurement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 the following to the extent deducted in calculating such Consolidated Net Income: (i) Consolidated Interest Charges, (ii) the provision for federal, state, local and foreign income tax expense, (iii) depreciation and amortization expense, (iv) other non-recurring expenses reducing such Consolidated Net Income which do not represent a cash item in such period or any future period (in each case of or by the Borrower and its Subsidiaries for such Measurement Period), (v) net loss (or gain) on early extinguishment of debt, net of any tax benefit (or taxes payable) as result thereof, (vi) any non-cash impairments of non-working capital assets, (vii) net loss (or gain) on the disposition of assets permitted hereunder (viii) non-cash expenses resulting from any employee benefit or management compensation plan or the grant of stock and stock options pursuant to a written agreement or the treatment of such options under variable plan accounting and (ix) cash fees, premiums and expenses incurred in connection with the Transaction and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to the extent included in calculating such Consolidated Net Income, all non-cash items increasing Consolidated Net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Income which do not represent a cash item in such period or any future period (in each case of or by the Borrower and its Subsidiaries for such Measurement Period).</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Funded Indebtedness</w:t>
      </w:r>
      <w:r>
        <w:rPr>
          <w:rFonts w:ascii="Arial" w:cs="Arial" w:eastAsia="Arial" w:hAnsi="Arial"/>
          <w:sz w:val="17"/>
          <w:szCs w:val="17"/>
          <w:color w:val="auto"/>
        </w:rPr>
        <w:t>” means, as of any date of determination, for the Borrower and its Subsidiaries on a consolidated basis, all Indebtedness of the type described in clauses (a) and (f) of the definition of Indebtedness in an amount that would be reflected on a balance sheet prepared as of such date in accordance with GAAP (but (x) excluding the effects of any discounting of Indebtedness resulting from the application of purchase accounting in connection with any Permitted Acquisition and (y) any Indebtedness that is issued at a discount to its initial principal amount shall be calculated based on the entire principal amount thereof), excluding (i) obligations in respect of letters of credit, except to the extent of unreimbursed amounts thereunder and (ii) Attributable Indebtedness of the type described in clause (b) of the definition of Attributable Indebtedness.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Charges</w:t>
      </w:r>
      <w:r>
        <w:rPr>
          <w:rFonts w:ascii="Arial" w:cs="Arial" w:eastAsia="Arial" w:hAnsi="Arial"/>
          <w:sz w:val="17"/>
          <w:szCs w:val="17"/>
          <w:color w:val="auto"/>
        </w:rPr>
        <w:t>” means, for any Measurement Period, the sum of (a) all interest, premium payments, debt discount, fees, charges and related expenses in connection with borrowed money (including capitalized interest, but excluding amortization of original issue discount and deferred financing cost) or in connection with the deferred purchase price of assets, in each case to the extent treated as interest in accordance with GAAP including all interest charges and expenses associated with factoring transactions, (b) all interest paid or payable with respect to discontinued operations and (c) the portion of rent expense under Capitalized Leases that is treated as interest in accordance with GAAP, in each case, of or by the Borrower and its Subsidiaries on a consolidated basis for the most recently completed Measurement Period.</w:t>
      </w:r>
    </w:p>
    <w:p>
      <w:pPr>
        <w:spacing w:after="0" w:line="17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Coverage Ratio</w:t>
      </w:r>
      <w:r>
        <w:rPr>
          <w:rFonts w:ascii="Arial" w:cs="Arial" w:eastAsia="Arial" w:hAnsi="Arial"/>
          <w:sz w:val="16"/>
          <w:szCs w:val="16"/>
          <w:color w:val="auto"/>
        </w:rPr>
        <w:t>” means, as of any date of determination, the ratio of (a) Consolidated EBITDA to (b) Consolidated Interest Charges, in each case, of or by the Borrower and its Subsidiaries on a consolidated basis for the most recently completed Measurement Period.</w:t>
      </w:r>
    </w:p>
    <w:p>
      <w:pPr>
        <w:spacing w:after="0" w:line="1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Leverage Ratio</w:t>
      </w:r>
      <w:r>
        <w:rPr>
          <w:rFonts w:ascii="Arial" w:cs="Arial" w:eastAsia="Arial" w:hAnsi="Arial"/>
          <w:sz w:val="17"/>
          <w:szCs w:val="17"/>
          <w:color w:val="auto"/>
        </w:rPr>
        <w:t>” means, as of any date of determination, the ratio of (a) Consolidated Funded Indebtedness as of such date to (b) Consolidated EBITDA of the Borrower and its Subsidiaries on a consolidated basis for the most recently completed Measurement Period.</w:t>
      </w:r>
    </w:p>
    <w:p>
      <w:pPr>
        <w:spacing w:after="0" w:line="1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xml:space="preserve">” means, at any date of determination, the net income (or loss) of the Borrower and its Subsidiaries on a consolidated basis for the most recently completed Measurement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Consolidated Net Income shall exclude (a) extraordinary gains and extraordinary losses for such Measurement Period, (b) the net income of any Subsidiary during such Measurement Period to the extent that the declaration or payment of dividends or similar distributions by such Subsidiary of such income is not permitted by operation of the terms of its Organization Documents or any agreement, instrument or Law applicable to such Subsidiary during such Measurement Period, except that the Borrower's equity in any net loss of any such Subsidiary for such Measurement Period shall be included in determining Consolidated Net Income and (c) any income (or loss) for such Measurement Period of any Person if such Person is not a Subsidiary, except that the Borrower's ratable interest in the net income of any such Person (based on the equity ownership of such Person) for such Measurement Period shall be included in Consolidated Net Income up to the aggregate amount of cash actually distributed by such Person during such Measurement Period to the Borrower or a Subsidiary as a dividend or other distribution in respect of such equity ownership (and in the case of a dividend or other distribution to a Subsidiary, such Subsidiary is not precluded from further distributing such amount to the Borrower as described in clause (b) of this proviso).</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the total assets of the Borrower and its Subsidiaries, determined on a consolidated basis in accordance with GAAP, as shown on the consolidated balance sheet of the Borrower.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Equity Interests issued by such Person or of any agreement, instrument or other undertaking to which such Person is a party or by which it or any of its property is bound.</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correlative thereto.</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Restructuring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7.05(d)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a Borrowing.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Assets</w:t>
      </w:r>
      <w:r>
        <w:rPr>
          <w:rFonts w:ascii="Arial" w:cs="Arial" w:eastAsia="Arial" w:hAnsi="Arial"/>
          <w:sz w:val="18"/>
          <w:szCs w:val="18"/>
          <w:color w:val="auto"/>
        </w:rPr>
        <w:t>” means, with respect to any Person, all current assets of such Person as of any date of determination calculated in accordance with GAAP, but excluding cash, Cash Equivalents and Indebtedness due from Affiliates.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52" w:name="page53"/>
    <w:bookmarkEnd w:id="52"/>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Liabilities</w:t>
      </w:r>
      <w:r>
        <w:rPr>
          <w:rFonts w:ascii="Arial" w:cs="Arial" w:eastAsia="Arial" w:hAnsi="Arial"/>
          <w:sz w:val="18"/>
          <w:szCs w:val="18"/>
          <w:color w:val="auto"/>
        </w:rPr>
        <w:t>” means, with respect to any Person, all liabilities that should, in accordance with GAAP, be classified as current liabilities, and in any event shall include all Indebtedness payable on demand or within one year from any date of determination without any option on the part of the obligor to extend or renew beyond such year, all accruals for federal or other taxes based on or measured by income and payable within such year, but excluding the current portion of long-term debt required to be paid within one year.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Customer Obligations</w:t>
      </w:r>
      <w:r>
        <w:rPr>
          <w:rFonts w:ascii="Arial" w:cs="Arial" w:eastAsia="Arial" w:hAnsi="Arial"/>
          <w:sz w:val="18"/>
          <w:szCs w:val="18"/>
          <w:color w:val="auto"/>
        </w:rPr>
        <w:t>” means liabilities classified as customer obligations on the Borrower's balance sheet.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w:t>
      </w:r>
      <w:r>
        <w:rPr>
          <w:rFonts w:ascii="Arial" w:cs="Arial" w:eastAsia="Arial" w:hAnsi="Arial"/>
          <w:sz w:val="18"/>
          <w:szCs w:val="18"/>
          <w:color w:val="auto"/>
        </w:rPr>
        <w:t>” means the rating as determined by either S&amp;P or Moody's (collectively, the “</w:t>
      </w:r>
      <w:r>
        <w:rPr>
          <w:rFonts w:ascii="Arial" w:cs="Arial" w:eastAsia="Arial" w:hAnsi="Arial"/>
          <w:sz w:val="18"/>
          <w:szCs w:val="18"/>
          <w:u w:val="single" w:color="auto"/>
          <w:color w:val="auto"/>
        </w:rPr>
        <w:t>Debt Ratings</w:t>
      </w:r>
      <w:r>
        <w:rPr>
          <w:rFonts w:ascii="Arial" w:cs="Arial" w:eastAsia="Arial" w:hAnsi="Arial"/>
          <w:sz w:val="18"/>
          <w:szCs w:val="18"/>
          <w:color w:val="auto"/>
        </w:rPr>
        <w:t>”) of the Borrower's non-credit-enhanced, senior unsecured long-term debt.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w:t>
      </w:r>
      <w:r>
        <w:rPr>
          <w:rFonts w:ascii="Arial" w:cs="Arial" w:eastAsia="Arial" w:hAnsi="Arial"/>
          <w:sz w:val="17"/>
          <w:szCs w:val="17"/>
          <w:color w:val="auto"/>
        </w:rPr>
        <w:t xml:space="preserve">” means when used with respect to Obligations, an interest rate equal to (i)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Applicable Rate, if any, applicable to Base Rate Loans under the Facility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2% per annum;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 respect to a Eurodollar Rate Loan, the Default Rate shall be an interest rate equal to the interest rate (including any Applicable Rate) otherwise applicable to such Loan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per annum.</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any Lender that (a) has failed to pay over to the Administrative Agent or any other Lender any other amount required to be paid by it hereunder within one Business Day of the date when due, unless the subject of a good faith dispute, or (b) has been deemed insolvent or become the subject of a bankruptcy or insolvency proceeding.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w:t>
      </w:r>
      <w:r>
        <w:rPr>
          <w:rFonts w:ascii="Arial" w:cs="Arial" w:eastAsia="Arial" w:hAnsi="Arial"/>
          <w:sz w:val="18"/>
          <w:szCs w:val="18"/>
          <w:color w:val="auto"/>
        </w:rPr>
        <w:t>” means a deposit account (as that term is defined in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or territory to the extent that such country or territory itself is the subject of any Sanction.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Diligence Certificate</w:t>
      </w:r>
      <w:r>
        <w:rPr>
          <w:rFonts w:ascii="Arial" w:cs="Arial" w:eastAsia="Arial" w:hAnsi="Arial"/>
          <w:sz w:val="18"/>
          <w:szCs w:val="18"/>
          <w:color w:val="auto"/>
        </w:rPr>
        <w:t>” means the Diligence Certificate of the Loan Parties, dated as of the Restatement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Litigation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5.06</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or any rights and claims associated therewith.</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Capital Stock</w:t>
      </w:r>
      <w:r>
        <w:rPr>
          <w:rFonts w:ascii="Arial" w:cs="Arial" w:eastAsia="Arial" w:hAnsi="Arial"/>
          <w:sz w:val="17"/>
          <w:szCs w:val="17"/>
          <w:color w:val="auto"/>
        </w:rPr>
        <w:t xml:space="preserve">” means any Equity Interest that by its terms (a) provides for the scheduled cash payment of any dividends (other than dividends payable solely in shares of Qualified Capital Stock), (b) matures or is mandatorily redeemable or subject to mandatory repurchase or redemption or repurchase at the option of the holders thereof (other than solely for Qualified Capital Stock), in each case in whole or in part and whether upon the occurrence of any event, pursuant to a sinking fund obligation on a fixed date or otherwise (including as the result of a failure to maintain or achieve any financial performance standards but except as a result of a change of control or asset sale so long as any rights of the holders thereof in such circumstances shall be subject to the prior payment in full of the Loans and all other Obligations that are due and payable) or (c) are convertible or exchangeable, automatically or at the option of any holder thereof, into any Indebtedness, Equity Interests or other assets other than Qualified Capital Stock, in the case of clauses (a), (b) and (c), prior to the date that is 91 days after the final scheduled Maturity Date (other than (i) upon payment in full of the Obligations (other than contingent indemnification obligations and other contingent obligations not yet due and owing) or (ii) upon a “change in control” or sale of assets;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payment required pursuant to this clause (ii) is subject to the prior repayment in full of the Obligations (other than contingent indemnification obligations and other contingent obligations not yet due and owing)); </w:t>
      </w:r>
      <w:r>
        <w:rPr>
          <w:rFonts w:ascii="Arial" w:cs="Arial" w:eastAsia="Arial" w:hAnsi="Arial"/>
          <w:sz w:val="17"/>
          <w:szCs w:val="17"/>
          <w:u w:val="single" w:color="auto"/>
          <w:color w:val="auto"/>
        </w:rPr>
        <w:t>provided further</w:t>
      </w:r>
      <w:r>
        <w:rPr>
          <w:rFonts w:ascii="Arial" w:cs="Arial" w:eastAsia="Arial" w:hAnsi="Arial"/>
          <w:sz w:val="17"/>
          <w:szCs w:val="17"/>
          <w:color w:val="auto"/>
        </w:rPr>
        <w:t>, however, that if such Equity Interest is issued to any employee or to any plan for the benefit of employees of the Borrower or any Subsidiary or by any such plan to such employees, such Equity Interest shall not constitute Disqualified Capital Stock solely because it may be required to be repurchased by the Borrower or such Subsidiary in order to satisfy applicable statutory or regulatory obligations or as a result of such employee's termination, death or disability.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Subsidiary</w:t>
      </w:r>
      <w:r>
        <w:rPr>
          <w:rFonts w:ascii="Arial" w:cs="Arial" w:eastAsia="Arial" w:hAnsi="Arial"/>
          <w:sz w:val="16"/>
          <w:szCs w:val="16"/>
          <w:color w:val="auto"/>
        </w:rPr>
        <w:t>” means any Subsidiary that is organized under the laws of the United States, any State thereof or the District of Columbia.</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Percentage</w:t>
      </w:r>
      <w:r>
        <w:rPr>
          <w:rFonts w:ascii="Arial" w:cs="Arial" w:eastAsia="Arial" w:hAnsi="Arial"/>
          <w:sz w:val="18"/>
          <w:szCs w:val="18"/>
          <w:color w:val="auto"/>
        </w:rPr>
        <w:t>” means, with respect to any fiscal year of the Borrower, (i) 50%, if the Consolidated Leverage Ratio as of the last day of such fiscal year was equal to or greater than 3.00 to 1.00 and (ii) 0%, if the Consolidated Leverage Ratio as of the last day of such fiscal year was less than 3.00 to 1.00.</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Engagement Letter</w:t>
      </w:r>
      <w:r>
        <w:rPr>
          <w:rFonts w:ascii="Arial" w:cs="Arial" w:eastAsia="Arial" w:hAnsi="Arial"/>
          <w:sz w:val="17"/>
          <w:szCs w:val="17"/>
          <w:color w:val="auto"/>
        </w:rPr>
        <w:t>” means the letter agreement, dated February 15, 2013, among the Borrower, the Administrative Agent, the Arrangers, the Syndication Agents and the Book Manager, as the same may be amended, restated, supplemented or otherwise modified from time to time.</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w:t>
      </w:r>
      <w:r>
        <w:rPr>
          <w:rFonts w:ascii="Arial" w:cs="Arial" w:eastAsia="Arial" w:hAnsi="Arial"/>
          <w:sz w:val="16"/>
          <w:szCs w:val="16"/>
          <w:color w:val="auto"/>
        </w:rPr>
        <w:t>” means any permit, approval, identification number, license or other authorization required under any Environmental Law.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w:t>
      </w:r>
      <w:r>
        <w:rPr>
          <w:rFonts w:ascii="Arial" w:cs="Arial" w:eastAsia="Arial" w:hAnsi="Arial"/>
          <w:sz w:val="18"/>
          <w:szCs w:val="18"/>
          <w:color w:val="auto"/>
        </w:rPr>
        <w:t>” means equipment (as that term is defined in the UCC).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and any successor statute thereto.</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 Reportable Event with respect to a Pension Plan;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the treatment of a Plan amendment as a termination under Section 4041 or 4041A of ERISA, or the commencement of proceedings by the PBGC to terminate a Pension Plan or Multiemployer Plan; (e) an event or condition which constitutes grounds under Section 4042 of ERISA for the termination of, or the appointment of a trustee to administer, any Pension Plan or Multiemployer Plan; or (f) the imposition of any liability under Title IV of ERISA, other than for PBGC premiums due but not delinquent under Section 4007 of ERISA, upon the Borrower or any ERISA Affiliate.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means:</w:t>
      </w:r>
    </w:p>
    <w:p>
      <w:pPr>
        <w:spacing w:after="0" w:line="225" w:lineRule="exact"/>
        <w:rPr>
          <w:sz w:val="20"/>
          <w:szCs w:val="20"/>
          <w:color w:val="auto"/>
        </w:rPr>
      </w:pPr>
    </w:p>
    <w:p>
      <w:pPr>
        <w:jc w:val="both"/>
        <w:ind w:firstLine="656"/>
        <w:spacing w:after="0" w:line="289" w:lineRule="auto"/>
        <w:tabs>
          <w:tab w:leader="none" w:pos="1053"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any Interest Period with respect to a Eurodollar Rate Loan, the rate per annum equal to (i) the British Bankers Association LIBOR Rate or the successor thereto if the British Bankers Association is no longer making a LIBOR rate available (“</w:t>
      </w:r>
      <w:r>
        <w:rPr>
          <w:rFonts w:ascii="Arial" w:cs="Arial" w:eastAsia="Arial" w:hAnsi="Arial"/>
          <w:sz w:val="16"/>
          <w:szCs w:val="16"/>
          <w:u w:val="single" w:color="auto"/>
          <w:color w:val="auto"/>
        </w:rPr>
        <w:t>LIBOR</w:t>
      </w:r>
      <w:r>
        <w:rPr>
          <w:rFonts w:ascii="Arial" w:cs="Arial" w:eastAsia="Arial" w:hAnsi="Arial"/>
          <w:sz w:val="16"/>
          <w:szCs w:val="16"/>
          <w:color w:val="auto"/>
        </w:rPr>
        <w:t xml:space="preserve">”), as published by Reuters (or such other commercially available source providing quotations of LIBOR as may be designated by the Administrative Agent from time to time) at approximately 11:00 a.m., London time, two London Banking Days prior to the commencement of such Interest Period, for Dollar deposits (for delivery on the first day of such Interest Period) with a term equivalent to such Interest Period or, (ii) if such rate is not available at such time for any reason, the rate per annum determined by the Administrative Agent to be the rate at which deposits in Dollars for delivery on the first day of such Interest Period in same day funds in the approximate amount of the Eurodollar Rate Loan being made, continued or converted and with a term equivalent to such Interest Period would be offered by Bank of America's London Branch to major banks in the London interbank eurodollar market at their request at approximately 11:00 a.m. (London time) two London Banking Days prior to the commencement of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the Eurodollar Rate be less than 1.25%; and</w:t>
      </w:r>
    </w:p>
    <w:p>
      <w:pPr>
        <w:spacing w:after="0" w:line="166" w:lineRule="exact"/>
        <w:rPr>
          <w:rFonts w:ascii="Arial" w:cs="Arial" w:eastAsia="Arial" w:hAnsi="Arial"/>
          <w:sz w:val="16"/>
          <w:szCs w:val="16"/>
          <w:color w:val="auto"/>
        </w:rPr>
      </w:pPr>
    </w:p>
    <w:p>
      <w:pPr>
        <w:jc w:val="both"/>
        <w:ind w:firstLine="656"/>
        <w:spacing w:after="0" w:line="273" w:lineRule="auto"/>
        <w:tabs>
          <w:tab w:leader="none" w:pos="1059" w:val="left"/>
        </w:tabs>
        <w:numPr>
          <w:ilvl w:val="0"/>
          <w:numId w:val="20"/>
        </w:numPr>
        <w:rPr>
          <w:rFonts w:ascii="Arial" w:cs="Arial" w:eastAsia="Arial" w:hAnsi="Arial"/>
          <w:sz w:val="17"/>
          <w:szCs w:val="17"/>
          <w:color w:val="auto"/>
        </w:rPr>
      </w:pPr>
      <w:r>
        <w:rPr>
          <w:rFonts w:ascii="Arial" w:cs="Arial" w:eastAsia="Arial" w:hAnsi="Arial"/>
          <w:sz w:val="17"/>
          <w:szCs w:val="17"/>
          <w:color w:val="auto"/>
        </w:rPr>
        <w:t>for any interest calculation with respect to a Base Rate Loan on any date, the rate per annum equal to (i) LIBOR, at approximately 11:00 a.m., London time determined two London Banking Days prior to such date for Dollar deposits being delivered in the London interbank market for a term of one month commencing that day or (ii) if such published rate is not available at such time for any reason, the rate per annum determined by the Administrative Agent to be the rate at which deposits in Dollars for delivery on the date of determination in same day funds in the approximate amount of the Base Rate Loan being made or maintained and with a term equal to one month would be offered by Bank of America's London Branch to major banks in the London interbank Eurodollar market at their request at the date and time of determination.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means a Loan that bears interest at a rate based on the Eurodollar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w:t>
      </w:r>
      <w:r>
        <w:rPr>
          <w:rFonts w:ascii="Arial" w:cs="Arial" w:eastAsia="Arial" w:hAnsi="Arial"/>
          <w:sz w:val="18"/>
          <w:szCs w:val="18"/>
          <w:color w:val="auto"/>
        </w:rPr>
        <w:t xml:space="preserve">” means, for any fiscal year of the Borrower, the excess (if any) of (a) Consolidated EBITDA for such fiscal year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sum (for such fiscal year) of (i) Consolidated Interest Charges actually paid in cash by the Borrower and its Subsidiaries, (ii) scheduled principal repayments of Loans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scheduled principal payments of other Consolidated Funded Indebtedness, (iii) all taxes actually paid in cash by the Borrower and its Subsidiaries, (iv) Capital Expenditures actually made by the Borrower and its Subsidiaries in such fiscal year (excluding any reimbursement or other third party payments from private or governmental entities, including the Department of Energy), (v) any extraordinary non-recurring gains or any non-cash gains solely to the extent they will not result in cash receipts in any future period, (vi) cash from operations used to consummate a Permitted Acquisition or Investments permitted under </w:t>
      </w:r>
      <w:r>
        <w:rPr>
          <w:rFonts w:ascii="Arial" w:cs="Arial" w:eastAsia="Arial" w:hAnsi="Arial"/>
          <w:sz w:val="18"/>
          <w:szCs w:val="18"/>
          <w:u w:val="single" w:color="auto"/>
          <w:color w:val="auto"/>
        </w:rPr>
        <w:t>Section 7.03(c)(iii)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7.03(k)</w:t>
      </w:r>
      <w:r>
        <w:rPr>
          <w:rFonts w:ascii="Arial" w:cs="Arial" w:eastAsia="Arial" w:hAnsi="Arial"/>
          <w:sz w:val="18"/>
          <w:szCs w:val="18"/>
          <w:color w:val="auto"/>
        </w:rPr>
        <w:t xml:space="preserve">, and (vii) cash payments made with respect to Customer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(as the case may be), (c) Working Capital Changes.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the Administrative Agent, any Lender or any other recipient of any payment to be made by or on account of any obligation of the Borrower hereunder, (a) taxes imposed on or measured by its overall net income (however denominated), and franchise taxes imposed on it (in lieu of net income taxes), by the United States (or any political subdivision or taxing authority thereof or therein) or by any other jurisdiction as a result of a present or former connection between the Administrative Agent, such Lender or such other recipient and the jurisdiction of the Governmental Authority imposing such Tax (or any political subdivision or taxing authority thereof or therein), other than any such connection arising solely from the Administrative Agent, such Lender or such other recipient having executed, delivered or performed its obligations or received a payment under, or enforced, this Agreement or any Loan Document), (b) any branch profits taxes imposed by the United States or any similar tax imposed by any other jurisdiction in which the Borrower is located, (c) any United States withholding tax that is required to be imposed on amounts payable to a Lender pursuant to the Laws in force at the time such Lender becomes a party hereto (or designates a new Lending Office), (d) any withholding tax that is attributable to such Lender's failure or inability (other than as a result of a Change in Law) to comply with clause (B) of </w:t>
      </w:r>
      <w:r>
        <w:rPr>
          <w:rFonts w:ascii="Arial" w:cs="Arial" w:eastAsia="Arial" w:hAnsi="Arial"/>
          <w:sz w:val="16"/>
          <w:szCs w:val="16"/>
          <w:u w:val="single" w:color="auto"/>
          <w:color w:val="auto"/>
        </w:rPr>
        <w:t>Section 3.01(e)(ii)</w:t>
      </w:r>
      <w:r>
        <w:rPr>
          <w:rFonts w:ascii="Arial" w:cs="Arial" w:eastAsia="Arial" w:hAnsi="Arial"/>
          <w:sz w:val="16"/>
          <w:szCs w:val="16"/>
          <w:color w:val="auto"/>
        </w:rPr>
        <w:t xml:space="preserve">, except, in each case, to the extent that such Lender (or its assignor, if any) was entitled, at the time of designation of a new Lending Office (or assignment), to receive additional amounts from the Borrower with respect to such withholding tax pursuant to </w:t>
      </w:r>
      <w:r>
        <w:rPr>
          <w:rFonts w:ascii="Arial" w:cs="Arial" w:eastAsia="Arial" w:hAnsi="Arial"/>
          <w:sz w:val="16"/>
          <w:szCs w:val="16"/>
          <w:u w:val="single" w:color="auto"/>
          <w:color w:val="auto"/>
        </w:rPr>
        <w:t>Section 3.01(a)(ii) or (iii)</w:t>
      </w:r>
      <w:r>
        <w:rPr>
          <w:rFonts w:ascii="Arial" w:cs="Arial" w:eastAsia="Arial" w:hAnsi="Arial"/>
          <w:sz w:val="16"/>
          <w:szCs w:val="16"/>
          <w:color w:val="auto"/>
        </w:rPr>
        <w:t>, (e) any withholding tax that is imposed under Sections 1471 through 1474 of the Code and any Treasury regulations or other administrative guidance promulgated thereunder (“</w:t>
      </w:r>
      <w:r>
        <w:rPr>
          <w:rFonts w:ascii="Arial" w:cs="Arial" w:eastAsia="Arial" w:hAnsi="Arial"/>
          <w:sz w:val="16"/>
          <w:szCs w:val="16"/>
          <w:u w:val="single" w:color="auto"/>
          <w:color w:val="auto"/>
        </w:rPr>
        <w:t>FATCA</w:t>
      </w:r>
      <w:r>
        <w:rPr>
          <w:rFonts w:ascii="Arial" w:cs="Arial" w:eastAsia="Arial" w:hAnsi="Arial"/>
          <w:sz w:val="16"/>
          <w:szCs w:val="16"/>
          <w:color w:val="auto"/>
        </w:rPr>
        <w:t xml:space="preserve">”), (f) any tax resulting from a Lender's failure to comply with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(other than as a result of a Change in Law) and (g) any interest, penalties or additions to tax in respect of the foregoing.</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specified in the Preliminary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Lenders</w:t>
      </w:r>
      <w:r>
        <w:rPr>
          <w:rFonts w:ascii="Arial" w:cs="Arial" w:eastAsia="Arial" w:hAnsi="Arial"/>
          <w:sz w:val="18"/>
          <w:szCs w:val="18"/>
          <w:color w:val="auto"/>
        </w:rPr>
        <w:t>” has the meaning specified in the Preliminary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55" w:name="page56"/>
    <w:bookmarkEnd w:id="5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Loans</w:t>
      </w:r>
      <w:r>
        <w:rPr>
          <w:rFonts w:ascii="Arial" w:cs="Arial" w:eastAsia="Arial" w:hAnsi="Arial"/>
          <w:sz w:val="18"/>
          <w:szCs w:val="18"/>
          <w:color w:val="auto"/>
        </w:rPr>
        <w:t>” has the meaning specified in the Preliminary Statements.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Extraordinary Receipt</w:t>
      </w:r>
      <w:r>
        <w:rPr>
          <w:rFonts w:ascii="Arial" w:cs="Arial" w:eastAsia="Arial" w:hAnsi="Arial"/>
          <w:sz w:val="16"/>
          <w:szCs w:val="16"/>
          <w:color w:val="auto"/>
        </w:rPr>
        <w:t>” means any cash received by or paid to or for the account of any Person not in the ordinary course of business, including tax refunds, pension plan reversions, proceeds of insurance (other than proceeds of business interruption insurance to the extent such proceeds constitute compensation for lost earnings), condemnation awards (and payments in lieu thereof), indemnity payments and any purchase price adjustments.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Facilities</w:t>
      </w:r>
      <w:r>
        <w:rPr>
          <w:rFonts w:ascii="Arial" w:cs="Arial" w:eastAsia="Arial" w:hAnsi="Arial"/>
          <w:sz w:val="18"/>
          <w:szCs w:val="18"/>
          <w:color w:val="auto"/>
        </w:rPr>
        <w:t>” means, at any time, the Term B Facility and any Additional Facility.</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Fee Letter</w:t>
      </w:r>
      <w:r>
        <w:rPr>
          <w:rFonts w:ascii="Arial" w:cs="Arial" w:eastAsia="Arial" w:hAnsi="Arial"/>
          <w:sz w:val="17"/>
          <w:szCs w:val="17"/>
          <w:color w:val="auto"/>
        </w:rPr>
        <w:t>” means the letter agreement, dated as of the Restatement Date, by and between the Borrower and the Administrative Agent.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Fidelity</w:t>
      </w:r>
      <w:r>
        <w:rPr>
          <w:rFonts w:ascii="Arial" w:cs="Arial" w:eastAsia="Arial" w:hAnsi="Arial"/>
          <w:sz w:val="18"/>
          <w:szCs w:val="18"/>
          <w:color w:val="auto"/>
        </w:rPr>
        <w:t>” means Fidelity National Special Opportunities, Inc.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organized under the Laws of a jurisdiction other than the United States, any State thereof or the District of Columbia.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5.12(d)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of the Borrower that is not organized under the laws of the United States, any State thereof or the District of Columbia.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Motors Agreement</w:t>
      </w:r>
      <w:r>
        <w:rPr>
          <w:rFonts w:ascii="Arial" w:cs="Arial" w:eastAsia="Arial" w:hAnsi="Arial"/>
          <w:sz w:val="18"/>
          <w:szCs w:val="18"/>
          <w:color w:val="auto"/>
        </w:rPr>
        <w:t xml:space="preserve">” means that certain Accommodation Agreement dated as of July 30, 2007 between Remy Inc. and General Motors Corporation, as amended, restated, supplemented or otherwise modified from time to time in accordance with </w:t>
      </w:r>
      <w:r>
        <w:rPr>
          <w:rFonts w:ascii="Arial" w:cs="Arial" w:eastAsia="Arial" w:hAnsi="Arial"/>
          <w:sz w:val="18"/>
          <w:szCs w:val="18"/>
          <w:u w:val="single" w:color="auto"/>
          <w:color w:val="auto"/>
        </w:rPr>
        <w:t>Section 7.09(b)</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means, as to any Person, without duplication, (a) any obligation, contingent or otherwise, of such Person guaranteeing or having the economic effect of guaranteeing any Indebtedness or other obligation payable or performable by another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56" w:name="page57"/>
    <w:bookmarkEnd w:id="56"/>
    <w:p>
      <w:pPr>
        <w:jc w:val="both"/>
        <w:spacing w:after="0" w:line="272" w:lineRule="auto"/>
        <w:rPr>
          <w:sz w:val="20"/>
          <w:szCs w:val="20"/>
          <w:color w:val="auto"/>
        </w:rPr>
      </w:pPr>
      <w:r>
        <w:rPr>
          <w:rFonts w:ascii="Arial" w:cs="Arial" w:eastAsia="Arial" w:hAnsi="Arial"/>
          <w:sz w:val="17"/>
          <w:szCs w:val="17"/>
          <w:color w:val="auto"/>
        </w:rPr>
        <w:t xml:space="preserve">or other obligation of any other Person, whether or not such Indebtedness or other obligation is assumed by such Person (or any right, contingent or otherwise, of any holder of such Indebtedness to obtain any such Lien);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“Guarantee” shall not include endorsements for collection or deposit, in either case in the ordinary course of business, or customary and reasonable indemnity obligations in effect on the Restatement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7"/>
          <w:szCs w:val="17"/>
          <w:u w:val="single" w:color="auto"/>
          <w:color w:val="auto"/>
        </w:rPr>
        <w:t>Guarantee</w:t>
      </w:r>
      <w:r>
        <w:rPr>
          <w:rFonts w:ascii="Arial" w:cs="Arial" w:eastAsia="Arial" w:hAnsi="Arial"/>
          <w:sz w:val="17"/>
          <w:szCs w:val="17"/>
          <w:color w:val="auto"/>
        </w:rPr>
        <w:t>” as a verb has a corresponding meaning.</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collectively, the Domestic Subsidiaries of the Borrower listed on </w:t>
      </w:r>
      <w:r>
        <w:rPr>
          <w:rFonts w:ascii="Arial" w:cs="Arial" w:eastAsia="Arial" w:hAnsi="Arial"/>
          <w:sz w:val="18"/>
          <w:szCs w:val="18"/>
          <w:u w:val="single" w:color="auto"/>
          <w:color w:val="auto"/>
        </w:rPr>
        <w:t>Schedule 6.12</w:t>
      </w:r>
      <w:r>
        <w:rPr>
          <w:rFonts w:ascii="Arial" w:cs="Arial" w:eastAsia="Arial" w:hAnsi="Arial"/>
          <w:sz w:val="18"/>
          <w:szCs w:val="18"/>
          <w:color w:val="auto"/>
        </w:rPr>
        <w:t xml:space="preserve"> and each other Domestic Subsidiary of the Borrower that shall be required to execute and deliver a guaranty or guaranty supplement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but excluding Permitted Receivables Financing Subsidiaries and Immaterial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Subsidiary becomes a borrower or guarantor under the ABL Credit Agreement, such Subsidiary shall also become a Guarantor).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collectively, the Guaranty, dated as of the Closing Date, made by the Guarantors in favor of the Secured Parties,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attached to the Existing Credit Agreement, together with each other guaranty and guaranty supplement delivered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each as amended, restated, supplemented or otherwise modified from time to time.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Hedge Bank</w:t>
      </w:r>
      <w:r>
        <w:rPr>
          <w:rFonts w:ascii="Arial" w:cs="Arial" w:eastAsia="Arial" w:hAnsi="Arial"/>
          <w:sz w:val="17"/>
          <w:szCs w:val="17"/>
          <w:color w:val="auto"/>
        </w:rPr>
        <w:t xml:space="preserve">” means (a) any Person that, at the time it enters into an interest rate Swap Contract required under </w:t>
      </w:r>
      <w:r>
        <w:rPr>
          <w:rFonts w:ascii="Arial" w:cs="Arial" w:eastAsia="Arial" w:hAnsi="Arial"/>
          <w:sz w:val="17"/>
          <w:szCs w:val="17"/>
          <w:u w:val="single" w:color="auto"/>
          <w:color w:val="auto"/>
        </w:rPr>
        <w:t>Section 6.17</w:t>
      </w:r>
      <w:r>
        <w:rPr>
          <w:rFonts w:ascii="Arial" w:cs="Arial" w:eastAsia="Arial" w:hAnsi="Arial"/>
          <w:sz w:val="17"/>
          <w:szCs w:val="17"/>
          <w:color w:val="auto"/>
        </w:rPr>
        <w:t>, is a Lender or an Affiliate of a Lender, in its capacity as a party to such Swap Contract or (b) with respect to any such Swap Contract existing on the Restatement Date, any Person that is a Lender or an Affiliate of a Lender on the Restatement Date, in its capacity as a party to such Swap Contract.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Subsidiaries</w:t>
      </w:r>
      <w:r>
        <w:rPr>
          <w:rFonts w:ascii="Arial" w:cs="Arial" w:eastAsia="Arial" w:hAnsi="Arial"/>
          <w:sz w:val="18"/>
          <w:szCs w:val="18"/>
          <w:color w:val="auto"/>
        </w:rPr>
        <w:t xml:space="preserve">” means any Subsidiary of the Borrower that, (a) as of the date of the most recent financial statements required to be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either (i) does not have assets (together with the assets of all other Immaterial Subsidiaries) in excess of 1.5% of the Consolidated Total Assets or (ii) does not have EBITDA (together with the EBITDA of all other Immaterial Subsidiaries) in excess of 1.5% of the Consolidated EBITDA and (b) is otherwise not necessary for the ongoing business operations of the Borrower and its Subsidiaries taken as a whole. As of the Restatement Date, the Immaterial Subsidiaries are the entities set forth on </w:t>
      </w:r>
      <w:r>
        <w:rPr>
          <w:rFonts w:ascii="Arial" w:cs="Arial" w:eastAsia="Arial" w:hAnsi="Arial"/>
          <w:sz w:val="18"/>
          <w:szCs w:val="18"/>
          <w:u w:val="single" w:color="auto"/>
          <w:color w:val="auto"/>
        </w:rPr>
        <w:t>Schedule 1.01(b)</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170" w:lineRule="exact"/>
        <w:rPr>
          <w:sz w:val="20"/>
          <w:szCs w:val="20"/>
          <w:color w:val="auto"/>
        </w:rPr>
      </w:pPr>
    </w:p>
    <w:p>
      <w:pPr>
        <w:ind w:left="660" w:firstLine="645"/>
        <w:spacing w:after="0" w:line="277" w:lineRule="auto"/>
        <w:tabs>
          <w:tab w:leader="none" w:pos="17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170" w:lineRule="exact"/>
        <w:rPr>
          <w:rFonts w:ascii="Arial" w:cs="Arial" w:eastAsia="Arial" w:hAnsi="Arial"/>
          <w:sz w:val="18"/>
          <w:szCs w:val="18"/>
          <w:color w:val="auto"/>
        </w:rPr>
      </w:pPr>
    </w:p>
    <w:p>
      <w:pPr>
        <w:ind w:left="660" w:firstLine="645"/>
        <w:spacing w:after="0" w:line="277" w:lineRule="auto"/>
        <w:tabs>
          <w:tab w:leader="none" w:pos="17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maximum amount of all direct or contingent obligations of such Person arising under letters of credit (including standby and commercial), bankers' acceptances, bank guaranties, surety bonds and similar instruments;</w:t>
      </w:r>
    </w:p>
    <w:p>
      <w:pPr>
        <w:spacing w:after="0" w:line="170" w:lineRule="exact"/>
        <w:rPr>
          <w:rFonts w:ascii="Arial" w:cs="Arial" w:eastAsia="Arial" w:hAnsi="Arial"/>
          <w:sz w:val="18"/>
          <w:szCs w:val="18"/>
          <w:color w:val="auto"/>
        </w:rPr>
      </w:pPr>
    </w:p>
    <w:p>
      <w:pPr>
        <w:ind w:left="1680" w:hanging="375"/>
        <w:spacing w:after="0"/>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7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or services (other than (x) trade accounts payable in the ordinary course of business, (y) any earn-out obligation until such obligations becomes a liability on the balance sheet of such Person in accordance with GAAP and (z) expenses accrued in the ordinary course of business);</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7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81" w:lineRule="exact"/>
        <w:rPr>
          <w:rFonts w:ascii="Arial" w:cs="Arial" w:eastAsia="Arial" w:hAnsi="Arial"/>
          <w:sz w:val="18"/>
          <w:szCs w:val="18"/>
          <w:color w:val="auto"/>
        </w:rPr>
      </w:pPr>
    </w:p>
    <w:p>
      <w:pPr>
        <w:ind w:left="1660" w:hanging="355"/>
        <w:spacing w:after="0"/>
        <w:tabs>
          <w:tab w:leader="none" w:pos="1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Attributable Indebtedness in respect of Capitalized Leases and Synthetic Lease Obligations of such Person and all Synthetic Debt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Person;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57" w:name="page58"/>
    <w:bookmarkEnd w:id="57"/>
    <w:p>
      <w:pPr>
        <w:jc w:val="both"/>
        <w:ind w:left="660" w:firstLine="645"/>
        <w:spacing w:after="0" w:line="286" w:lineRule="auto"/>
        <w:tabs>
          <w:tab w:leader="none" w:pos="1718"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accrued and unpaid dividends; and</w:t>
      </w:r>
    </w:p>
    <w:p>
      <w:pPr>
        <w:spacing w:after="0" w:line="165" w:lineRule="exact"/>
        <w:rPr>
          <w:rFonts w:ascii="Arial" w:cs="Arial" w:eastAsia="Arial" w:hAnsi="Arial"/>
          <w:sz w:val="17"/>
          <w:szCs w:val="17"/>
          <w:color w:val="auto"/>
        </w:rPr>
      </w:pPr>
    </w:p>
    <w:p>
      <w:pPr>
        <w:ind w:left="1700" w:hanging="395"/>
        <w:spacing w:after="0"/>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Indebtedness of any Person for purposes of clause (e) that is expressly made non-recourse or limited recourse (limited solely to the assets securing such Indebtedness) to such Person shall be deemed to be equal to the lesser of (i) the aggregate unpaid amount of such Indebtedness and (ii) the fair market value of the property encumbered thereby as reasonably determined by such Person in good faith.</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 and Other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10.07</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Memorandum</w:t>
      </w:r>
      <w:r>
        <w:rPr>
          <w:rFonts w:ascii="Arial" w:cs="Arial" w:eastAsia="Arial" w:hAnsi="Arial"/>
          <w:sz w:val="18"/>
          <w:szCs w:val="18"/>
          <w:color w:val="auto"/>
        </w:rPr>
        <w:t>” means the information memorandum dated February 2013 used by the Arrangers in connection with the syndication of the Loans.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Note</w:t>
      </w:r>
      <w:r>
        <w:rPr>
          <w:rFonts w:ascii="Arial" w:cs="Arial" w:eastAsia="Arial" w:hAnsi="Arial"/>
          <w:sz w:val="18"/>
          <w:szCs w:val="18"/>
          <w:color w:val="auto"/>
        </w:rPr>
        <w:t>” means the Intercompany Demand Promissory Note, dated as of the Closing Date, by and among Borrower and its Subsidiaries party thereto, as amended, restated, supplemented or otherwise modified from time to time.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xml:space="preserve">” means the Intercreditor Agreement, dated as of the Closing Date, by and among the Borrower, the other Loan Parties party thereto, the Administrative Agent and the ABL Agent,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attached to the Existing Credit Agreement, as amended, restated, supplemented or otherwise modified from time to time, provided that any such amendment, restatement, supplement or modification is provided to the Borrower.</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xml:space="preserve">” means, (a) as to any Eurodollar Rate Loan, the last day of each Interest Period applicable to such Loan and the Maturity Date of the Facility under which such Loan was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Interest Period for a Eurodollar Rate Loan exceeds three months, the respective dates that fall every three months after the beginning of such Interest Period shall also be Interest Payment Dates; and (b) as to any Base Rate Loan, the last Business Day of each March, June, September and December and the Maturity Date.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Eurodollar Rate Loan, the period commencing on the date such Eurodollar Rate Loan is disbursed or converted to or continued as a Eurodollar Rate Loan and ending on the date one, two, three or six months thereafter, as selected by the Borrower in its Committed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1" w:lineRule="exact"/>
        <w:rPr>
          <w:sz w:val="20"/>
          <w:szCs w:val="20"/>
          <w:color w:val="auto"/>
        </w:rPr>
      </w:pPr>
    </w:p>
    <w:p>
      <w:pPr>
        <w:ind w:left="660" w:right="20" w:firstLine="645"/>
        <w:spacing w:after="0" w:line="342" w:lineRule="auto"/>
        <w:tabs>
          <w:tab w:leader="none" w:pos="1734"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23" w:lineRule="exact"/>
        <w:rPr>
          <w:rFonts w:ascii="Arial" w:cs="Arial" w:eastAsia="Arial" w:hAnsi="Arial"/>
          <w:sz w:val="16"/>
          <w:szCs w:val="16"/>
          <w:color w:val="auto"/>
        </w:rPr>
      </w:pPr>
    </w:p>
    <w:p>
      <w:pPr>
        <w:jc w:val="both"/>
        <w:ind w:left="660" w:firstLine="645"/>
        <w:spacing w:after="0" w:line="264" w:lineRule="auto"/>
        <w:tabs>
          <w:tab w:leader="none" w:pos="183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1" w:lineRule="exact"/>
        <w:rPr>
          <w:rFonts w:ascii="Arial" w:cs="Arial" w:eastAsia="Arial" w:hAnsi="Arial"/>
          <w:sz w:val="18"/>
          <w:szCs w:val="18"/>
          <w:color w:val="auto"/>
        </w:rPr>
      </w:pPr>
    </w:p>
    <w:p>
      <w:pPr>
        <w:ind w:left="1680" w:hanging="375"/>
        <w:spacing w:after="0"/>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 of the Facility under which such Loan was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means inventory (as that term is defined in the UCC).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58" w:name="page59"/>
    <w:bookmarkEnd w:id="58"/>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or (c) the purchase or other acquisition (in one transaction or a series of transactions) of assets of another Person that constitute a business unit or all or a substantial part of the business of, such Person. For purposes of covenant compliance, the amount of any Investment shall be the amount actually invested, without adjustment for subsequent increases or decreases in the value of such Investment but giving effect to any returns or distributions of capital or repayment of principal actually received in cash by such Person with respect thereto.</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first underwritten public offering by the Borrower of its Equity Interests pursuant to a registration statement filed with the SEC in accordance with the Securities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Security Agreement Supplement</w:t>
      </w:r>
      <w:r>
        <w:rPr>
          <w:rFonts w:ascii="Arial" w:cs="Arial" w:eastAsia="Arial" w:hAnsi="Arial"/>
          <w:sz w:val="18"/>
          <w:szCs w:val="18"/>
          <w:color w:val="auto"/>
        </w:rPr>
        <w:t>” has the meaning specified in of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any entity in which the Borrower or one or more Subsidiaries hold equity interests representing at least 20%, but not more than 50%, of the total outstanding Equity Interests of such entity.</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Indebtedness</w:t>
      </w:r>
      <w:r>
        <w:rPr>
          <w:rFonts w:ascii="Arial" w:cs="Arial" w:eastAsia="Arial" w:hAnsi="Arial"/>
          <w:sz w:val="17"/>
          <w:szCs w:val="17"/>
          <w:color w:val="auto"/>
        </w:rPr>
        <w:t>” means Indebtedness of any Loan Party which is subordinated in right of payment to the payment obligations of such Loan Party under the respective Loan Documents, in each case on subordination terms reasonably acceptable to the Administrative Agent.</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excluding licenses of or options to license intellectual property and covenants not to assert claims of infringement, misappropriation or other violations with respect to intellectual property.</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the term B loans made by any Lender under Section 2.01 and any Additional Loans made by any Lender to the Borrower pursuant to Section 2.12.</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(a) this Agreement, (b) the Notes, (c) the Guaranty, (d) the Collateral Documents, (e) the Intercreditor Agreement, (f) the Engagement Letter, (g) the Fee Letter, (h) the Intercompany Note, (i) the Reaffirmation Agreement and (j) any Additional Facility Amendment.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 and each Guarantor.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Locomotive Business</w:t>
      </w:r>
      <w:r>
        <w:rPr>
          <w:rFonts w:ascii="Arial" w:cs="Arial" w:eastAsia="Arial" w:hAnsi="Arial"/>
          <w:sz w:val="18"/>
          <w:szCs w:val="18"/>
          <w:color w:val="auto"/>
        </w:rPr>
        <w:t>” means the remanufacturing of engine components for the locomotive, marine and other industries, conducted by Western Reman Industrial, Inc.</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59" w:name="page60"/>
    <w:bookmarkEnd w:id="59"/>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operations, business, properties, liabilities (actual or contingent) or condition (financial or otherwise) of the Borrower or the Borrower and its Subsidiaries taken as a whole; (b) a material impairment of the rights and remedies of the Administrative Agent or any Lender under any Loan Document, of the enforceability or priority of the Administrative Agent's Liens with respect to the Collateral as a result of an action or failure to act on the part of the Borrower or its Subsidiaries, of the ability of any Loan Party to perform its obligations under any Loan Document to which it is a party, or of the Lender Group's ability to enforce the Obligations or realize upon the Collateral; or (c) a material adverse effect upon the legality, validity, binding effect or enforceability against any Loan Party of any Loan Document to which it is a party.</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xml:space="preserve">” means (i) the General Motors Agreement, (ii) each of the agreements listed on </w:t>
      </w:r>
      <w:r>
        <w:rPr>
          <w:rFonts w:ascii="Arial" w:cs="Arial" w:eastAsia="Arial" w:hAnsi="Arial"/>
          <w:sz w:val="18"/>
          <w:szCs w:val="18"/>
          <w:u w:val="single" w:color="auto"/>
          <w:color w:val="auto"/>
        </w:rPr>
        <w:t>Schedule 5.24</w:t>
      </w:r>
      <w:r>
        <w:rPr>
          <w:rFonts w:ascii="Arial" w:cs="Arial" w:eastAsia="Arial" w:hAnsi="Arial"/>
          <w:sz w:val="18"/>
          <w:szCs w:val="18"/>
          <w:color w:val="auto"/>
        </w:rPr>
        <w:t xml:space="preserve"> and (iii) any other agreement the early expiration or early termination of which would reasonably be expected to result in a Material Adverse Effect.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Subsidiaries</w:t>
      </w:r>
      <w:r>
        <w:rPr>
          <w:rFonts w:ascii="Arial" w:cs="Arial" w:eastAsia="Arial" w:hAnsi="Arial"/>
          <w:sz w:val="18"/>
          <w:szCs w:val="18"/>
          <w:color w:val="auto"/>
        </w:rPr>
        <w:t>” means the Subsidiaries of the Borrower other than the Immaterial Subsidiaries and the Permitted Receivables Financing Subsidiaries.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March 5, 2020;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date is not a Business Day, the Maturity Date shall be the next preceding Business Day.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Property</w:t>
      </w:r>
      <w:r>
        <w:rPr>
          <w:rFonts w:ascii="Arial" w:cs="Arial" w:eastAsia="Arial" w:hAnsi="Arial"/>
          <w:sz w:val="18"/>
          <w:szCs w:val="18"/>
          <w:color w:val="auto"/>
        </w:rPr>
        <w:t xml:space="preserve">” means any parcel of real property owned in fee by a Loan Party with a fair market value in excess of $10,000,000;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aggregate fair market value of all real properties owned in fee by the Loan Parties that are not Material Real Properties shall not exceed $25,000,000;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no event shall any real property owned in fee by any Loan Party with a fair market value less than $1,000,000 be required to be subject to a Mortgage in favor of the Administrative Agent.</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Measurement Period</w:t>
      </w:r>
      <w:r>
        <w:rPr>
          <w:rFonts w:ascii="Arial" w:cs="Arial" w:eastAsia="Arial" w:hAnsi="Arial"/>
          <w:sz w:val="17"/>
          <w:szCs w:val="17"/>
          <w:color w:val="auto"/>
        </w:rPr>
        <w:t>” means, at any date of determination, the most recently completed four fiscal quarters of the Borrower. Notwithstanding the foregoing, for the purposes of determining the Consolidated Interest Coverage Ratio and the Consolidated Leverage Ratio for the fiscal quarters ending on or before September 31, 2011, Consolidated Interest Charges and the Consolidated Funded Indebtedness for such periods shall be determined on a pro forma basis after giving effect to the Loans as if the Loans were made at the beginning of the applicable Measurement Period.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w:t>
      </w:r>
      <w:r>
        <w:rPr>
          <w:rFonts w:ascii="Arial" w:cs="Arial" w:eastAsia="Arial" w:hAnsi="Arial"/>
          <w:sz w:val="18"/>
          <w:szCs w:val="18"/>
          <w:color w:val="auto"/>
        </w:rPr>
        <w:t xml:space="preserve">” means each deeds of trust, trust deeds, deeds to secure debt and mortgages covering the properties listed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(together with the Assignments of Leases and Rents referred to therein and each other mortgage delivered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in each case as amended, restated, supplemented or otherwise modified from time to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Policy</w:t>
      </w:r>
      <w:r>
        <w:rPr>
          <w:rFonts w:ascii="Arial" w:cs="Arial" w:eastAsia="Arial" w:hAnsi="Arial"/>
          <w:sz w:val="18"/>
          <w:szCs w:val="18"/>
          <w:color w:val="auto"/>
        </w:rPr>
        <w:t>” means American Land Title Association Lender's Extended Coverage title insurance policies.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w:t>
      </w:r>
    </w:p>
    <w:p>
      <w:pPr>
        <w:spacing w:after="0" w:line="225" w:lineRule="exact"/>
        <w:rPr>
          <w:sz w:val="20"/>
          <w:szCs w:val="20"/>
          <w:color w:val="auto"/>
        </w:rPr>
      </w:pPr>
    </w:p>
    <w:p>
      <w:pPr>
        <w:jc w:val="both"/>
        <w:ind w:firstLine="656"/>
        <w:spacing w:after="0" w:line="253" w:lineRule="auto"/>
        <w:tabs>
          <w:tab w:leader="none" w:pos="10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with respect to any Disposition by any Loan Party, or any Extraordinary Receipt received or paid to the account of any Loan Party,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any Lien permitted under the Agreement by the applicable asset and that is required to be repaid in connection with such transaction (other than Indebtedness under the Loan Documents), (B) the reasonable and customary out-of-pocket expenses incurred by such Loan Party in connection with such transaction and (C) income taxes reasonably estimated to be actually payable within two years of the date of the relevant transaction as a result of any gain recognized in connection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amount of any estimated taxes pursuant to subclause (C) exceeds the amount of taxes actually required to be paid in cash in respect of such Disposition, the aggregate amount of such excess shall constitute Net Cash Proceeds; and</w:t>
      </w:r>
    </w:p>
    <w:p>
      <w:pPr>
        <w:spacing w:after="0" w:line="197" w:lineRule="exact"/>
        <w:rPr>
          <w:rFonts w:ascii="Arial" w:cs="Arial" w:eastAsia="Arial" w:hAnsi="Arial"/>
          <w:sz w:val="18"/>
          <w:szCs w:val="18"/>
          <w:color w:val="auto"/>
        </w:rPr>
      </w:pPr>
    </w:p>
    <w:p>
      <w:pPr>
        <w:ind w:firstLine="656"/>
        <w:spacing w:after="0" w:line="277" w:lineRule="auto"/>
        <w:tabs>
          <w:tab w:leader="none" w:pos="1081"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respect to the sale or issuance of any Equity Interest by any Loan Party, or the incurrence or issuance of any Indebtedness by any Loan Party the excess of (i) the sum of the cash and Cash Equivalents received in connection with such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60" w:name="page61"/>
    <w:bookmarkEnd w:id="60"/>
    <w:p>
      <w:pPr>
        <w:jc w:val="both"/>
        <w:ind w:right="20"/>
        <w:spacing w:after="0" w:line="277" w:lineRule="auto"/>
        <w:rPr>
          <w:sz w:val="20"/>
          <w:szCs w:val="20"/>
          <w:color w:val="auto"/>
        </w:rPr>
      </w:pPr>
      <w:r>
        <w:rPr>
          <w:rFonts w:ascii="Arial" w:cs="Arial" w:eastAsia="Arial" w:hAnsi="Arial"/>
          <w:sz w:val="18"/>
          <w:szCs w:val="18"/>
          <w:color w:val="auto"/>
        </w:rPr>
        <w:t>transaction over (ii) the underwriting discounts and commissions, and other reasonable and customary out-of-pocket expenses, incurred by such Loan Party in connection therewith.</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who does not agree to a consent, waiver, amendment or release in the circumstances where (a) the Borrower or the Administrative Agent has requested the Lenders to consent to a departure or waiver of any provisions of the Loan Documents or to agree to any amendment thereto or a release of Collateral or a Guarantor, (b) the consent, waiver, amendment or release in question requires the agreement of all affected Lenders in accordance with the terms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or all Lenders and (c) the Required Lenders have agreed to such consent, waiver, amendment or release.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promissory note made by the Borrower in favor of a Lender, evidencing Loans made by such Lender, substantially in the form of Exhibit B.</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NPL</w:t>
      </w:r>
      <w:r>
        <w:rPr>
          <w:rFonts w:ascii="Arial" w:cs="Arial" w:eastAsia="Arial" w:hAnsi="Arial"/>
          <w:sz w:val="18"/>
          <w:szCs w:val="18"/>
          <w:color w:val="auto"/>
        </w:rPr>
        <w:t>” means the National Priorities List under CERCLA.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any Loan Party arising under any Loan Document or otherwise with respect to any Loan or Secured Hedge Agreement,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or documentary Taxes or any other excise or property Taxes, charges or similar levies in the nature of a Tax arising from any payment made hereunder or under any other Loan Document or from the execution, delivery or enforcement of, or otherwise with respect to, this Agreement or any other Loan Document, excluding, in each case, such amounts that result from a Lender's Assignment and Assumption pursuant to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grant of a participation to a Participant pursuant to </w:t>
      </w:r>
      <w:r>
        <w:rPr>
          <w:rFonts w:ascii="Arial" w:cs="Arial" w:eastAsia="Arial" w:hAnsi="Arial"/>
          <w:sz w:val="18"/>
          <w:szCs w:val="18"/>
          <w:u w:val="single" w:color="auto"/>
          <w:color w:val="auto"/>
        </w:rPr>
        <w:t>Section 10.06(d)</w:t>
      </w:r>
      <w:r>
        <w:rPr>
          <w:rFonts w:ascii="Arial" w:cs="Arial" w:eastAsia="Arial" w:hAnsi="Arial"/>
          <w:sz w:val="18"/>
          <w:szCs w:val="18"/>
          <w:color w:val="auto"/>
        </w:rPr>
        <w:t>, transfer or assignment to or designation of a new applicable lending office or other office for receiving payments under any Loan Document (collectively, “</w:t>
      </w:r>
      <w:r>
        <w:rPr>
          <w:rFonts w:ascii="Arial" w:cs="Arial" w:eastAsia="Arial" w:hAnsi="Arial"/>
          <w:sz w:val="18"/>
          <w:szCs w:val="18"/>
          <w:u w:val="single" w:color="auto"/>
          <w:color w:val="auto"/>
        </w:rPr>
        <w:t>Assignment Taxes</w:t>
      </w:r>
      <w:r>
        <w:rPr>
          <w:rFonts w:ascii="Arial" w:cs="Arial" w:eastAsia="Arial" w:hAnsi="Arial"/>
          <w:sz w:val="18"/>
          <w:szCs w:val="18"/>
          <w:color w:val="auto"/>
        </w:rPr>
        <w:t>”), except for Assignment Taxes resulting from an assignment requested or required in writing by the Borrower or amounts that would have otherwise been payable had no assignment or participation occurred.</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the aggregate outstanding principal amount thereof after giving effect to any borrowings and prepayments or repayments of the Loans occurring on such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 thereto.</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(as such term is defined in Section 3(2) of ERISA), other than a Multiemployer Plan, that is subject to Title IV of ERISA and is sponsored or maintained by the Borrower or any ERISA Affiliate or to which the Borrower or any ERISA Affiliate contributes or has an obligation to contribute, or in the case of a multiple employer or other plan described in Section 4064(a) of ERISA, has made contributions at any time during the immediately preceding five plan years.</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Acquisition</w:t>
      </w:r>
      <w:r>
        <w:rPr>
          <w:rFonts w:ascii="Arial" w:cs="Arial" w:eastAsia="Arial" w:hAnsi="Arial"/>
          <w:sz w:val="17"/>
          <w:szCs w:val="17"/>
          <w:color w:val="auto"/>
        </w:rPr>
        <w:t>” means any acquisition by the Borrower or any Material Subsidiary of all of the Equity Interests of, or all or substantially all of the assets constituting a business unit of, any other Person so long as, with respect to any such acquisition, the following conditions are satisfied:</w:t>
      </w:r>
    </w:p>
    <w:p>
      <w:pPr>
        <w:spacing w:after="0" w:line="147" w:lineRule="exact"/>
        <w:rPr>
          <w:sz w:val="20"/>
          <w:szCs w:val="20"/>
          <w:color w:val="auto"/>
        </w:rPr>
      </w:pPr>
    </w:p>
    <w:p>
      <w:pPr>
        <w:ind w:left="5620" w:right="100" w:hanging="4964"/>
        <w:spacing w:after="0" w:line="810" w:lineRule="auto"/>
        <w:tabs>
          <w:tab w:leader="none" w:pos="10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result from such acquisition and such acquisition is consensual; 15</w:t>
      </w:r>
    </w:p>
    <w:p>
      <w:pPr>
        <w:sectPr>
          <w:pgSz w:w="11900" w:h="16838" w:orient="portrait"/>
          <w:cols w:equalWidth="0" w:num="1">
            <w:col w:w="11420"/>
          </w:cols>
          <w:pgMar w:left="240" w:top="584" w:right="239" w:bottom="1440" w:gutter="0" w:footer="0" w:header="0"/>
        </w:sectPr>
      </w:pPr>
    </w:p>
    <w:bookmarkStart w:id="61" w:name="page62"/>
    <w:bookmarkEnd w:id="61"/>
    <w:p>
      <w:pPr>
        <w:jc w:val="both"/>
        <w:ind w:firstLine="656"/>
        <w:spacing w:after="0" w:line="264" w:lineRule="auto"/>
        <w:tabs>
          <w:tab w:leader="none" w:pos="1038"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Consolidated Leverage Ratio shall not exceed, on a pro forma basis after giving effect to such acquisition, 3.50 to 1.00 (determined as of the last day of the most recently ended fiscal quarter for which financial statements were required to have been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 applicable);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041"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after giving effect to such acquisition, the Borrower shall be in pro forma compliance (determined on a pro forma basis as of the last day of the most recently ended quarter for which financial statements were required to have been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with the other financial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firstLine="656"/>
        <w:spacing w:after="0" w:line="342" w:lineRule="auto"/>
        <w:tabs>
          <w:tab w:leader="none" w:pos="1098"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target of such acquisition shall be primarily in the same line of business as the Borrower and its Subsidiaries or one reasonably related, complementary, synergistic or ancillary thereto (including related, complementary, synergistic or ancillary technologies) or a reasonable extension thereof;</w:t>
      </w:r>
    </w:p>
    <w:p>
      <w:pPr>
        <w:spacing w:after="0" w:line="123" w:lineRule="exact"/>
        <w:rPr>
          <w:rFonts w:ascii="Arial" w:cs="Arial" w:eastAsia="Arial" w:hAnsi="Arial"/>
          <w:sz w:val="16"/>
          <w:szCs w:val="16"/>
          <w:color w:val="auto"/>
        </w:rPr>
      </w:pPr>
    </w:p>
    <w:p>
      <w:pPr>
        <w:ind w:firstLine="656"/>
        <w:spacing w:after="0" w:line="277" w:lineRule="auto"/>
        <w:tabs>
          <w:tab w:leader="none" w:pos="11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the acquisition of the Common Stock of another Person, such acquisition shall not be consummated by the Borrower or its Subsidiaries unless the board of directors of the target of such acquisition shall have consented thereto;</w:t>
      </w:r>
    </w:p>
    <w:p>
      <w:pPr>
        <w:spacing w:after="0" w:line="170" w:lineRule="exact"/>
        <w:rPr>
          <w:rFonts w:ascii="Arial" w:cs="Arial" w:eastAsia="Arial" w:hAnsi="Arial"/>
          <w:sz w:val="18"/>
          <w:szCs w:val="18"/>
          <w:color w:val="auto"/>
        </w:rPr>
      </w:pPr>
    </w:p>
    <w:p>
      <w:pPr>
        <w:ind w:firstLine="656"/>
        <w:spacing w:after="0" w:line="308" w:lineRule="auto"/>
        <w:tabs>
          <w:tab w:leader="none" w:pos="1069"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such Person will constitute a Material Subsidiary which is a Domestic Subsidiary, such acquired Person shall become a Guarantor (to the extent such Person survives such acquisition) and such acquired assets shall become the Collateral under the Loan Documents, as applicable;</w:t>
      </w:r>
    </w:p>
    <w:p>
      <w:pPr>
        <w:spacing w:after="0" w:line="146" w:lineRule="exact"/>
        <w:rPr>
          <w:rFonts w:ascii="Arial" w:cs="Arial" w:eastAsia="Arial" w:hAnsi="Arial"/>
          <w:sz w:val="17"/>
          <w:szCs w:val="17"/>
          <w:color w:val="auto"/>
        </w:rPr>
      </w:pPr>
    </w:p>
    <w:p>
      <w:pPr>
        <w:jc w:val="both"/>
        <w:ind w:firstLine="656"/>
        <w:spacing w:after="0" w:line="312" w:lineRule="auto"/>
        <w:tabs>
          <w:tab w:leader="none" w:pos="1106"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the total consideration (other than any equity consideration) in respect of such acquisition exceeds $10,000,000, the Borrower shall have delivered to the Administrative Agent a certificate of the Borrower signed by a Responsible Officer to such effect, together with all relevant financial information for such Subsidiary or asset to be acquired reasonably requested by the Administrative Agent prior to such acquisition to the extent available; and</w:t>
      </w:r>
    </w:p>
    <w:p>
      <w:pPr>
        <w:spacing w:after="0" w:line="146" w:lineRule="exact"/>
        <w:rPr>
          <w:rFonts w:ascii="Arial" w:cs="Arial" w:eastAsia="Arial" w:hAnsi="Arial"/>
          <w:sz w:val="16"/>
          <w:szCs w:val="16"/>
          <w:color w:val="auto"/>
        </w:rPr>
      </w:pPr>
    </w:p>
    <w:p>
      <w:pPr>
        <w:ind w:firstLine="656"/>
        <w:spacing w:after="0" w:line="342" w:lineRule="auto"/>
        <w:tabs>
          <w:tab w:leader="none" w:pos="1065"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concurrently with the consummation of such acquisition the Borrower shall have complied with the requirements of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with respect thereto (or made arrangements with the Administrative Agent acceptable to the Administrative Agent with respect to the provisions of such </w:t>
      </w:r>
      <w:r>
        <w:rPr>
          <w:rFonts w:ascii="Arial" w:cs="Arial" w:eastAsia="Arial" w:hAnsi="Arial"/>
          <w:sz w:val="16"/>
          <w:szCs w:val="16"/>
          <w:u w:val="single" w:color="auto"/>
          <w:color w:val="auto"/>
        </w:rPr>
        <w:t>Section 6.12</w:t>
      </w:r>
      <w:r>
        <w:rPr>
          <w:rFonts w:ascii="Arial" w:cs="Arial" w:eastAsia="Arial" w:hAnsi="Arial"/>
          <w:sz w:val="16"/>
          <w:szCs w:val="16"/>
          <w:color w:val="auto"/>
        </w:rPr>
        <w: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has the meaning specified in the Mortgages.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Ratio Debt</w:t>
      </w:r>
      <w:r>
        <w:rPr>
          <w:rFonts w:ascii="Arial" w:cs="Arial" w:eastAsia="Arial" w:hAnsi="Arial"/>
          <w:sz w:val="16"/>
          <w:szCs w:val="16"/>
          <w:color w:val="auto"/>
        </w:rPr>
        <w:t>” means unsecured Indebtedness incurred or issued by any Loan Party, so long as (a) the terms of such Indebtedness do not provide for any scheduled repayment, mandatory redemption or sinking fund obligations prior to the date that is not less than 91 days after the Maturity Date (other than customary offers to repurchase upon a change of control, asset sale or event of loss and customary acceleration rights after an event of default), (b) the terms of such Indebtedness do not include any financial maintenance covenants, (c) any negative covenants included in the terms of such Indebtedness are incurrence based and in any event such negative covenants, when taken as a whole, are not more restrictive to the Loan Parties and their Subsidiaries than those set forth in this Agreement (provided that a certificate of the Chief Financial Officer of the Borrower delivered to the Administrative Agent in good faith at least five 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requirement set out in the foregoing clause (c), shall be conclusive evidence that such terms and conditions satisfy such requirement unless the Administrative Agent provides notice to the Borrower of its objection during such five Business Day period) and (d) if such Indebtedness is subordinated, the Obligations have been, and while the Facilities remain outstanding no other Indebtedness (other than the Indebtedness under the ABL Loan Documents) is or is permitted to be, designated as “Designated Senior Indebtedness” or its equivalent in respect of such Indebtedness.</w:t>
      </w:r>
    </w:p>
    <w:p>
      <w:pPr>
        <w:spacing w:after="0" w:line="16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Receivables Financing</w:t>
      </w:r>
      <w:r>
        <w:rPr>
          <w:rFonts w:ascii="Arial" w:cs="Arial" w:eastAsia="Arial" w:hAnsi="Arial"/>
          <w:sz w:val="16"/>
          <w:szCs w:val="16"/>
          <w:color w:val="auto"/>
        </w:rPr>
        <w:t xml:space="preserve">” means any Receivables Financing of a Permitted Receivables Financing Subsidiary that meets the following conditions: (a) such Permitted Receivables Financing (including financing terms, covenants, termination events and other provisions) shall be in the aggregate economically fair and reasonable to the Borrower and such Permitted Receivables Financing Subsidiary, (b) all sales and/or contributions of Permitted Receivables Financing Assets to such Permitted Receivables Financing Subsidiary shall be made at fair market value and (c) the financing terms, covenants, termination events and other provisions thereof shall be market terms for similar transactions and may include Standard Securitization Undertakings;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Responsible Officer of the Borrower shall have provided a certificate to such effect to the Administrative Agent at least 10 Business Days prior to the incurrence of such Permitted Receivables Financing, together with a reasonably detailed description of the material terms and conditions of such Permitted Receivables Financing or drafts of the documentation relating thereto, stating that the Borrower has determined in good faith that such terms and conditions satisfy the requirements set out in the foregoing clauses (a) and (c), which certificate shall be conclusive evidence that such terms and conditions satisfy such requirement unless the Administrative Agent provides notice to the Borrower of its objection during such 10 Business Day period.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62" w:name="page63"/>
    <w:bookmarkEnd w:id="62"/>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Financing Assets</w:t>
      </w:r>
      <w:r>
        <w:rPr>
          <w:rFonts w:ascii="Arial" w:cs="Arial" w:eastAsia="Arial" w:hAnsi="Arial"/>
          <w:sz w:val="18"/>
          <w:szCs w:val="18"/>
          <w:color w:val="auto"/>
        </w:rPr>
        <w:t>” means the Accounts subject to a Permitted Receivables Financing, and related assets (including contract rights) which are of the type customarily transferred or in respect of which security interests are customarily granted in connection with securitizations of Accounts, and the proceeds thereof.</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Financing Fees</w:t>
      </w:r>
      <w:r>
        <w:rPr>
          <w:rFonts w:ascii="Arial" w:cs="Arial" w:eastAsia="Arial" w:hAnsi="Arial"/>
          <w:sz w:val="18"/>
          <w:szCs w:val="18"/>
          <w:color w:val="auto"/>
        </w:rPr>
        <w:t>” means reasonable and customary distributions or payments made directly or by means of discounts with respect to any participation interest issued or sold in connection with, and other fees paid to a Person that is not a Permitted Receivables Financing Subsidiary in connection with, any Permitted Receivables Financing.</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Receivables Financing Subsidiary</w:t>
      </w:r>
      <w:r>
        <w:rPr>
          <w:rFonts w:ascii="Arial" w:cs="Arial" w:eastAsia="Arial" w:hAnsi="Arial"/>
          <w:sz w:val="16"/>
          <w:szCs w:val="16"/>
          <w:color w:val="auto"/>
        </w:rPr>
        <w:t>” means a wholly owned Subsidiary of the Borrower (or another Person formed for the purposes of engaging in a Permitted Receivables Financing in which the Borrower or any Loan Party makes an Investment and to which the Borrower or any Loan Party transfers Permitted Receivables Financing Assets) that engages in no activities other than in connection with the financing of Permitted Receivables Financing Assets of the Borrower or a Loan Party, all proceeds thereof and all rights (contingent and other), collateral and other assets relating thereto, and any business or activities incidental or related to such business, and which is designated by the board of directors of the Borrower or such other Person (as provided below) as a Permitted Receivables Financing Subsidiary and (a) no portion of the Indebtedness or any other obligations (contingent or otherwise) of which (i) is guaranteed, is recourse to or obligates the Borrower or any other Loan Party, in any way other than pursuant to Standard Securitization Undertakings or (ii) is secured by any property or asset of the Borrower or any other Loan Party, (b) with which none of the Borrower or any other Loan Party has any material contract, agreement, arrangement or understanding other than on terms no less favorable to the Borrower or such Loan Party than those that might be obtained at the time from Persons that are not Affiliates of the Borrower and (c) to which none of the Borrower or any other Loan Party has any obligation to maintain or preserve such entity's financial condition or cause such entity to achieve certain levels of operating results. Any such designation by the board of directors of the Borrower or such other Person shall be evidenced to the Administrative Agent by delivery to the Administrative Agent of a certified copy of the resolution of the board of directors of the Borrower or such other Person giving effect to such designation and a certificate executed by a Responsible Officer certifying that such designation complied with the foregoing conditions.</w:t>
      </w:r>
    </w:p>
    <w:p>
      <w:pPr>
        <w:spacing w:after="0" w:line="17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natural persons, corporations, limited liability companies, limited partnerships, general partnerships, limited liability partnerships, joint ventures, trusts, land trusts, business trusts, or other organizations, irrespective of whether they are legal entities, and governments and agencies and political subdivisions thereof.</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(as such term is defined in Section 3(3) of ERISA) established by the Borrower or, with respect to any such plan that is subject to Section 412 of the Code or Title IV of ERISA, any ERISA Affiliate.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Debt</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Equity</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Capital Stock</w:t>
      </w:r>
      <w:r>
        <w:rPr>
          <w:rFonts w:ascii="Arial" w:cs="Arial" w:eastAsia="Arial" w:hAnsi="Arial"/>
          <w:sz w:val="18"/>
          <w:szCs w:val="18"/>
          <w:color w:val="auto"/>
        </w:rPr>
        <w:t>” means any capital stock that is not Disqualified Capital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Reaffirmation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Financing</w:t>
      </w:r>
      <w:r>
        <w:rPr>
          <w:rFonts w:ascii="Arial" w:cs="Arial" w:eastAsia="Arial" w:hAnsi="Arial"/>
          <w:sz w:val="18"/>
          <w:szCs w:val="18"/>
          <w:color w:val="auto"/>
        </w:rPr>
        <w:t>” means any transaction or series of transactions that may be entered into by the Borrower or any other Loan Party pursuant to which the Borrower or any other Loan Party may sell, convey or otherwise transfer to a Permitted Receivables Financing Subsidiary, a Permitted Receivables Financing Subsidiary may sell, convey or otherwise transfer, or a Permitted Receivables Financing Subsidiary may grant a security interest in, any Permitted Receivables Financing Assets.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threatened release, spill, emission, leaking, pumping, pouring, emitting, emptying, escape, injection, deposit, disposal, discharge, dispersal, dumping, leaching or migration of Hazardous Material in the indoor or outdoor environment, including the movement of Hazardous Material through or in the air, soil, surface water, ground water or property.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30 day notice period has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waived.</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Repricing Event</w:t>
      </w:r>
      <w:r>
        <w:rPr>
          <w:rFonts w:ascii="Arial" w:cs="Arial" w:eastAsia="Arial" w:hAnsi="Arial"/>
          <w:sz w:val="16"/>
          <w:szCs w:val="16"/>
          <w:color w:val="auto"/>
        </w:rPr>
        <w:t>” means (a) any optional prepayment or repayment of the Loans with the proceeds of, or any conversion of the Loans into, any new or replacement tranche of term loans bearing interest at an “effective yield” (taking into account, for example, upfront fees, interest rate spreads, interest rate benchmark floors and original issue discount in a manner consistent with generally accepted financial practice based on an assumed four-year life to maturity) less than the “effective yield” applicable to the Loans, to the extent the primary purpose of such transaction is to obtain a lower yield than such “effective yield” and (b) any amendment to the Term B Facility which reduces the “effective yield” applicable to the Loans then in effect, in each case, other than in connection with a Change in Control or an acquisition or investment or other transaction not otherwise permitted under this Agreement.</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xml:space="preserve">” means, as of any date of determination, Lenders holding more than 50% of the Total Outstandings on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consent of the Lenders of a Facility is required, the “Required Lenders” with respect to such Facility means Lenders holding more than 50% of the aggregate Outstanding Amount of such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portion of the Total Outstandings or aggregate Outstanding Amount, as applicable, held or deemed held by any Defaulting Lender shall be excluded for purposes of making a determination of Required Lenders.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vice president, chief financial officer, treasurer, assistant treasurer or controller of a Loan Party and any other officer of the applicable Loan Party so designated by any of the foregoing officers in a notice to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Restatement Date</w:t>
      </w:r>
      <w:r>
        <w:rPr>
          <w:rFonts w:ascii="Arial" w:cs="Arial" w:eastAsia="Arial" w:hAnsi="Arial"/>
          <w:sz w:val="17"/>
          <w:szCs w:val="17"/>
          <w:color w:val="auto"/>
        </w:rPr>
        <w:t xml:space="preserve">” means the first date all the conditions precedent in </w:t>
      </w:r>
      <w:r>
        <w:rPr>
          <w:rFonts w:ascii="Arial" w:cs="Arial" w:eastAsia="Arial" w:hAnsi="Arial"/>
          <w:sz w:val="17"/>
          <w:szCs w:val="17"/>
          <w:u w:val="single" w:color="auto"/>
          <w:color w:val="auto"/>
        </w:rPr>
        <w:t>Section 4.03</w:t>
      </w:r>
      <w:r>
        <w:rPr>
          <w:rFonts w:ascii="Arial" w:cs="Arial" w:eastAsia="Arial" w:hAnsi="Arial"/>
          <w:sz w:val="17"/>
          <w:szCs w:val="17"/>
          <w:color w:val="auto"/>
        </w:rPr>
        <w:t xml:space="preserve"> are satisfied or waived in accordance with </w:t>
      </w:r>
      <w:r>
        <w:rPr>
          <w:rFonts w:ascii="Arial" w:cs="Arial" w:eastAsia="Arial" w:hAnsi="Arial"/>
          <w:sz w:val="17"/>
          <w:szCs w:val="17"/>
          <w:u w:val="single" w:color="auto"/>
          <w:color w:val="auto"/>
        </w:rPr>
        <w:t>Section 10.01</w:t>
      </w:r>
      <w:r>
        <w:rPr>
          <w:rFonts w:ascii="Arial" w:cs="Arial" w:eastAsia="Arial" w:hAnsi="Arial"/>
          <w:sz w:val="17"/>
          <w:szCs w:val="17"/>
          <w:color w:val="auto"/>
        </w:rPr>
        <w:t>.</w:t>
      </w:r>
    </w:p>
    <w:p>
      <w:pPr>
        <w:spacing w:after="0" w:line="23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any dividend or other distribution (whether in cash, securities or other property) with respect to any capital stock or other Equity Interest of any Person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 (including in connection with any merger or consolidation), or on account of any return of capital to any Person's stockholders, partners or members (or the equivalent of any thereof), or any option, warrant or other right to acquire any such dividend or other distribution or payment.</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international economic sanction administered or enforced by the United States Government (including without limitation, OFAC), the United Nations Security Council, the European Union, Her Majesty's Treasury or other relevant sanctions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division of The McGraw-Hill Companies, Inc., and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and any successor thereto.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xml:space="preserve">” means any interest rate Swap Contract required under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that is entered into by and between the Borrower and any Hedge Bank.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means, collectively, the Administrative Agent, the Lenders, the Hedge Banks, each co-agent or sub-agent appointed by the Administrative Agent from time to time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and the other Persons the Obligations owing to which are or are purported to be secured by the Collateral under the terms of the Collateral Documents.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Account</w:t>
      </w:r>
      <w:r>
        <w:rPr>
          <w:rFonts w:ascii="Arial" w:cs="Arial" w:eastAsia="Arial" w:hAnsi="Arial"/>
          <w:sz w:val="18"/>
          <w:szCs w:val="18"/>
          <w:color w:val="auto"/>
        </w:rPr>
        <w:t>” means a securities account (as that term is defined in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the Pledge and Security Agreement, dated as of the Closing Date, in substantially the form of Exhibit F attached to the Existing Credit Agreement, by and among the Borrower, the other Loan Parties party thereto and the Administrative Agent, together with each other pledge agreement, security agreement and pledge or security agreement supplement delivered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in each case as amended, restated, supplemented or otherwise modified from time to time.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 Supplement</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and “</w:t>
      </w:r>
      <w:r>
        <w:rPr>
          <w:rFonts w:ascii="Arial" w:cs="Arial" w:eastAsia="Arial" w:hAnsi="Arial"/>
          <w:sz w:val="16"/>
          <w:szCs w:val="16"/>
          <w:u w:val="single" w:color="auto"/>
          <w:color w:val="auto"/>
        </w:rPr>
        <w:t>Solvency</w:t>
      </w:r>
      <w:r>
        <w:rPr>
          <w:rFonts w:ascii="Arial" w:cs="Arial" w:eastAsia="Arial" w:hAnsi="Arial"/>
          <w:sz w:val="16"/>
          <w:szCs w:val="16"/>
          <w:color w:val="auto"/>
        </w:rPr>
        <w:t>” means,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Securitization Undertakings</w:t>
      </w:r>
      <w:r>
        <w:rPr>
          <w:rFonts w:ascii="Arial" w:cs="Arial" w:eastAsia="Arial" w:hAnsi="Arial"/>
          <w:sz w:val="18"/>
          <w:szCs w:val="18"/>
          <w:color w:val="auto"/>
        </w:rPr>
        <w:t>” means reasonable and customary representations, warranties, covenants and indemnities (excluding the guarantee of the principal of, or interest on, any Indebtedness) entered into by the Borrower or any other Loan Party in connection with a Permitted Receivables Financing.</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Arial" w:cs="Arial" w:eastAsia="Arial" w:hAnsi="Arial"/>
          <w:sz w:val="18"/>
          <w:szCs w:val="18"/>
          <w:u w:val="single" w:color="auto"/>
          <w:color w:val="auto"/>
        </w:rPr>
        <w:t>Subsidiary</w:t>
      </w:r>
      <w:r>
        <w:rPr>
          <w:rFonts w:ascii="Arial" w:cs="Arial" w:eastAsia="Arial" w:hAnsi="Arial"/>
          <w:sz w:val="18"/>
          <w:szCs w:val="18"/>
          <w:color w:val="auto"/>
        </w:rPr>
        <w:t>” or to “</w:t>
      </w:r>
      <w:r>
        <w:rPr>
          <w:rFonts w:ascii="Arial" w:cs="Arial" w:eastAsia="Arial" w:hAnsi="Arial"/>
          <w:sz w:val="18"/>
          <w:szCs w:val="18"/>
          <w:u w:val="single" w:color="auto"/>
          <w:color w:val="auto"/>
        </w:rPr>
        <w:t>Subsidiaries</w:t>
      </w:r>
      <w:r>
        <w:rPr>
          <w:rFonts w:ascii="Arial" w:cs="Arial" w:eastAsia="Arial" w:hAnsi="Arial"/>
          <w:sz w:val="18"/>
          <w:szCs w:val="18"/>
          <w:color w:val="auto"/>
        </w:rPr>
        <w:t>” shall refer to a Subsidiary or Subsidiaries of the Borrower.</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Contract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u w:val="single" w:color="auto"/>
          <w:color w:val="auto"/>
        </w:rPr>
        <w:t>Master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including any such obligations or liabilities under any Master Agreement.</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Termination Value</w:t>
      </w:r>
      <w:r>
        <w:rPr>
          <w:rFonts w:ascii="Arial" w:cs="Arial" w:eastAsia="Arial" w:hAnsi="Arial"/>
          <w:sz w:val="17"/>
          <w:szCs w:val="17"/>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Agents</w:t>
      </w:r>
      <w:r>
        <w:rPr>
          <w:rFonts w:ascii="Arial" w:cs="Arial" w:eastAsia="Arial" w:hAnsi="Arial"/>
          <w:sz w:val="18"/>
          <w:szCs w:val="18"/>
          <w:color w:val="auto"/>
        </w:rPr>
        <w:t>” has the meaning specified in the Preliminary Statements.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Synthetic Debt</w:t>
      </w:r>
      <w:r>
        <w:rPr>
          <w:rFonts w:ascii="Arial" w:cs="Arial" w:eastAsia="Arial" w:hAnsi="Arial"/>
          <w:sz w:val="18"/>
          <w:szCs w:val="18"/>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w:t>
      </w:r>
      <w:r>
        <w:rPr>
          <w:rFonts w:ascii="Arial" w:cs="Arial" w:eastAsia="Arial" w:hAnsi="Arial"/>
          <w:sz w:val="18"/>
          <w:szCs w:val="18"/>
          <w:u w:val="single" w:color="auto"/>
          <w:color w:val="auto"/>
        </w:rPr>
        <w:t>Indebtedness</w:t>
      </w:r>
      <w:r>
        <w:rPr>
          <w:rFonts w:ascii="Arial" w:cs="Arial" w:eastAsia="Arial" w:hAnsi="Arial"/>
          <w:sz w:val="18"/>
          <w:szCs w:val="18"/>
          <w:color w:val="auto"/>
        </w:rPr>
        <w:t>” or as a liability on the consolidated balance sheet of such Person and its Subsidiaries in accordance with GAAP.</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46" w:lineRule="exact"/>
        <w:rPr>
          <w:sz w:val="20"/>
          <w:szCs w:val="20"/>
          <w:color w:val="auto"/>
        </w:rPr>
      </w:pPr>
    </w:p>
    <w:p>
      <w:pPr>
        <w:jc w:val="both"/>
        <w:ind w:firstLine="8"/>
        <w:spacing w:after="0" w:line="255" w:lineRule="auto"/>
        <w:tabs>
          <w:tab w:leader="none" w:pos="2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9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shall mean all tax returns, statements, forms and reports (including elections, declarations, disclosures, schedules, estimates and information returns) required to be filed with a Governmental Authority for Taxes.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65" w:name="page66"/>
    <w:bookmarkEnd w:id="65"/>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or future taxes, levies, imposts, duties and similar deductions, withholdings, assessments or other similar charges in the nature of a tax imposed by any Governmental Authority, including any interest, additions to tax or penalties applicable thereto.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Facility</w:t>
      </w:r>
      <w:r>
        <w:rPr>
          <w:rFonts w:ascii="Arial" w:cs="Arial" w:eastAsia="Arial" w:hAnsi="Arial"/>
          <w:sz w:val="18"/>
          <w:szCs w:val="18"/>
          <w:color w:val="auto"/>
        </w:rPr>
        <w:t>” means, at any time, (a) on or prior to the Restatement Date, the aggregate amount of the Commitments at such time and (b) thereafter, the aggregate principal amount of the Loans (other than the Additional Loans) of all Lenders outstanding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xml:space="preserve">” means, collectively, (a) the entering into by the Loan Parties and their applicable Subsidiaries of this Agreement, the other Loan Documents and the ABL Loan Documents and related documents to which they are or are intended to be a party, (b) the borrowing of the Loans, (c) the refinancing in full of the outstanding Existing Loans on the Restatement Date (including the conversion of certain of the Existing Loans into the Loans as provided in Section </w:t>
      </w:r>
      <w:r>
        <w:rPr>
          <w:rFonts w:ascii="Arial" w:cs="Arial" w:eastAsia="Arial" w:hAnsi="Arial"/>
          <w:sz w:val="17"/>
          <w:szCs w:val="17"/>
          <w:u w:val="single" w:color="auto"/>
          <w:color w:val="auto"/>
        </w:rPr>
        <w:t>2.01</w:t>
      </w:r>
      <w:r>
        <w:rPr>
          <w:rFonts w:ascii="Arial" w:cs="Arial" w:eastAsia="Arial" w:hAnsi="Arial"/>
          <w:sz w:val="17"/>
          <w:szCs w:val="17"/>
          <w:color w:val="auto"/>
        </w:rPr>
        <w:t>) and (d) the payment of the fees and expenses incurred in connection with the consummation of the foregoing.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Loan, its character as a Base Rate Loan or a Eurodollar Rate Loan.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such other jurisdiction for purposes of the provisions hereof relating to such perfection, effect of perfection or non-perfection or priority.</w:t>
      </w:r>
    </w:p>
    <w:p>
      <w:pPr>
        <w:spacing w:after="0" w:line="18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Pension Liability</w:t>
      </w:r>
      <w:r>
        <w:rPr>
          <w:rFonts w:ascii="Arial" w:cs="Arial" w:eastAsia="Arial" w:hAnsi="Arial"/>
          <w:sz w:val="18"/>
          <w:szCs w:val="18"/>
          <w:color w:val="auto"/>
        </w:rPr>
        <w:t>”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Changes</w:t>
      </w:r>
      <w:r>
        <w:rPr>
          <w:rFonts w:ascii="Arial" w:cs="Arial" w:eastAsia="Arial" w:hAnsi="Arial"/>
          <w:sz w:val="18"/>
          <w:szCs w:val="18"/>
          <w:color w:val="auto"/>
        </w:rPr>
        <w:t>” means Current Assets less Current Liabilities at the end of the applicable fiscal year compared to Current Assets less Current Liabilities at the end of the previous fiscal year.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i w:val="1"/>
          <w:iCs w:val="1"/>
          <w:color w:val="auto"/>
        </w:rPr>
        <w:t>Other Interpretive Provisions</w:t>
      </w:r>
      <w:r>
        <w:rPr>
          <w:rFonts w:ascii="Arial" w:cs="Arial" w:eastAsia="Arial" w:hAnsi="Arial"/>
          <w:sz w:val="18"/>
          <w:szCs w:val="18"/>
          <w:color w:val="auto"/>
        </w:rPr>
        <w:t>. With reference to this Agreement and each other Loan Document, unless otherwise specified herein or in such other Loan Document:</w:t>
      </w:r>
    </w:p>
    <w:p>
      <w:pPr>
        <w:spacing w:after="0" w:line="170" w:lineRule="exact"/>
        <w:rPr>
          <w:sz w:val="20"/>
          <w:szCs w:val="20"/>
          <w:color w:val="auto"/>
        </w:rPr>
      </w:pPr>
    </w:p>
    <w:p>
      <w:pPr>
        <w:jc w:val="both"/>
        <w:ind w:firstLine="656"/>
        <w:spacing w:after="0" w:line="286" w:lineRule="auto"/>
        <w:tabs>
          <w:tab w:leader="none" w:pos="102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6"/>
          <w:szCs w:val="16"/>
          <w:u w:val="single" w:color="auto"/>
          <w:color w:val="auto"/>
        </w:rPr>
        <w:t>asset</w:t>
      </w:r>
      <w:r>
        <w:rPr>
          <w:rFonts w:ascii="Arial" w:cs="Arial" w:eastAsia="Arial" w:hAnsi="Arial"/>
          <w:sz w:val="16"/>
          <w:szCs w:val="16"/>
          <w:color w:val="auto"/>
        </w:rPr>
        <w:t>” and “</w:t>
      </w:r>
      <w:r>
        <w:rPr>
          <w:rFonts w:ascii="Arial" w:cs="Arial" w:eastAsia="Arial" w:hAnsi="Arial"/>
          <w:sz w:val="16"/>
          <w:szCs w:val="16"/>
          <w:u w:val="single" w:color="auto"/>
          <w:color w:val="auto"/>
        </w:rPr>
        <w:t>property</w:t>
      </w:r>
      <w:r>
        <w:rPr>
          <w:rFonts w:ascii="Arial" w:cs="Arial" w:eastAsia="Arial" w:hAnsi="Arial"/>
          <w:sz w:val="16"/>
          <w:szCs w:val="16"/>
          <w:color w:val="auto"/>
        </w:rPr>
        <w:t>” shall be construed to have the same meaning and effect and to refer to any and all tangible and intangible assets and properties, including cash, securities, accounts and contract rights.</w:t>
      </w:r>
    </w:p>
    <w:p>
      <w:pPr>
        <w:spacing w:after="0" w:line="174" w:lineRule="exact"/>
        <w:rPr>
          <w:rFonts w:ascii="Arial" w:cs="Arial" w:eastAsia="Arial" w:hAnsi="Arial"/>
          <w:sz w:val="16"/>
          <w:szCs w:val="16"/>
          <w:color w:val="auto"/>
        </w:rPr>
      </w:pPr>
    </w:p>
    <w:p>
      <w:pPr>
        <w:ind w:right="20" w:firstLine="656"/>
        <w:spacing w:after="0" w:line="277" w:lineRule="auto"/>
        <w:tabs>
          <w:tab w:leader="none" w:pos="1073"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66" w:name="page67"/>
    <w:bookmarkEnd w:id="66"/>
    <w:p>
      <w:pPr>
        <w:ind w:right="120" w:firstLine="656"/>
        <w:spacing w:after="0" w:line="277" w:lineRule="auto"/>
        <w:tabs>
          <w:tab w:leader="none" w:pos="10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i w:val="1"/>
          <w:iCs w:val="1"/>
          <w:color w:val="auto"/>
        </w:rPr>
        <w:t>Accounting Terms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Generally</w:t>
      </w:r>
      <w:r>
        <w:rPr>
          <w:rFonts w:ascii="Arial" w:cs="Arial" w:eastAsia="Arial" w:hAnsi="Arial"/>
          <w:sz w:val="18"/>
          <w:szCs w:val="18"/>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w:t>
      </w:r>
    </w:p>
    <w:p>
      <w:pPr>
        <w:spacing w:after="0" w:line="187" w:lineRule="exact"/>
        <w:rPr>
          <w:sz w:val="20"/>
          <w:szCs w:val="20"/>
          <w:color w:val="auto"/>
        </w:rPr>
      </w:pPr>
    </w:p>
    <w:p>
      <w:pPr>
        <w:jc w:val="both"/>
        <w:ind w:firstLine="656"/>
        <w:spacing w:after="0" w:line="268" w:lineRule="auto"/>
        <w:tabs>
          <w:tab w:leader="none" w:pos="1038"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Changes in GAAP</w:t>
      </w:r>
      <w:r>
        <w:rPr>
          <w:rFonts w:ascii="Arial" w:cs="Arial" w:eastAsia="Arial" w:hAnsi="Arial"/>
          <w:sz w:val="17"/>
          <w:szCs w:val="17"/>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anything to the contrary herein, (i) any obligations of a Person under a lease (whether existing now or entered into in the future) that is not (or would not be) required to be classified and accounted for as a capital lease on a balance sheet of such Person under GAAP as in effect on the Restatement Date shall not be treated as a capital lease solely as a result of the adoption of changes in GAAP outlined by the Financial Accounting Standards Board in its press release dated March 19, 2009, and (ii) all terms of an accounting or financial nature used herein shall be construed, and all computations of amounts and ratios referred to herein shall me made, without giving effect to any election sunder Statement of Financial Accounting Standards 159 (or any other Financial Accounting Standard having a similar result or effect) to value any Indebtedness or other liabilities of Parent or any of its Subsidiaries at “fair value”, as defined therein.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i w:val="1"/>
          <w:iCs w:val="1"/>
          <w:color w:val="auto"/>
        </w:rPr>
        <w:t>Rounding</w:t>
      </w:r>
      <w:r>
        <w:rPr>
          <w:rFonts w:ascii="Arial" w:cs="Arial" w:eastAsia="Arial" w:hAnsi="Arial"/>
          <w:sz w:val="18"/>
          <w:szCs w:val="18"/>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i w:val="1"/>
          <w:iCs w:val="1"/>
          <w:color w:val="auto"/>
        </w:rPr>
        <w:t>Times of Day</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b w:val="1"/>
          <w:bCs w:val="1"/>
          <w:i w:val="1"/>
          <w:iCs w:val="1"/>
          <w:color w:val="auto"/>
        </w:rPr>
        <w:t>Currency Equivalents Generally</w:t>
      </w:r>
      <w:r>
        <w:rPr>
          <w:rFonts w:ascii="Arial" w:cs="Arial" w:eastAsia="Arial" w:hAnsi="Arial"/>
          <w:sz w:val="17"/>
          <w:szCs w:val="17"/>
          <w:color w:val="auto"/>
        </w:rPr>
        <w:t xml:space="preserve">. Any amount specified in this Agreement (other than in Articles II, IX and X) or any of the other 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w:t>
      </w:r>
      <w:r>
        <w:rPr>
          <w:rFonts w:ascii="Arial" w:cs="Arial" w:eastAsia="Arial" w:hAnsi="Arial"/>
          <w:sz w:val="17"/>
          <w:szCs w:val="17"/>
          <w:u w:val="single" w:color="auto"/>
          <w:color w:val="auto"/>
        </w:rPr>
        <w:t>Section 1.06</w:t>
      </w:r>
      <w:r>
        <w:rPr>
          <w:rFonts w:ascii="Arial" w:cs="Arial" w:eastAsia="Arial" w:hAnsi="Arial"/>
          <w:sz w:val="17"/>
          <w:szCs w:val="17"/>
          <w:color w:val="auto"/>
        </w:rPr>
        <w:t>, the “Spot Rate”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provided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b w:val="1"/>
          <w:bCs w:val="1"/>
          <w:i w:val="1"/>
          <w:iCs w:val="1"/>
          <w:color w:val="auto"/>
        </w:rPr>
        <w:t>Amendment and Restatement</w:t>
      </w:r>
      <w:r>
        <w:rPr>
          <w:rFonts w:ascii="Arial" w:cs="Arial" w:eastAsia="Arial" w:hAnsi="Arial"/>
          <w:sz w:val="16"/>
          <w:szCs w:val="16"/>
          <w:color w:val="auto"/>
        </w:rPr>
        <w:t xml:space="preserve">. On the Restatement Date, the Existing Loans shall be refinanced in full with proceeds of the Loans made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Lender holding the Existing Loans may convert its Existing Loans into the Loans as provided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w:t>
      </w:r>
      <w:r>
        <w:rPr>
          <w:rFonts w:ascii="Arial" w:cs="Arial" w:eastAsia="Arial" w:hAnsi="Arial"/>
          <w:sz w:val="16"/>
          <w:szCs w:val="16"/>
          <w:color w:val="auto"/>
        </w:rPr>
        <w:t>. The parties acknowledge and agree that this Agreement and the other Loan Documents do not constitute a novation or termination of the obligations under the Existing Credit Agreement and that all such obligations are in all respects refinanced hereby and constitute Obligations under this Agreement, which are secured by the Collateral Documents, except to the extent such Obligations are modified from and after the Restatement Date as provided in this Agreement and the other Loan Documents. Each Lender that was a Lender (as defined in the Existing Credit Agreement) party to the Existing Credit Agreement hereby agrees that this Agreement amends and restates the Existing Credit Agreement in its entirety effective as of the Restatement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color w:val="auto"/>
        </w:rPr>
        <w:t>ARTICLE II</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COMMITMENTS AND CREDIT EXTENSIONS</w:t>
      </w:r>
    </w:p>
    <w:p>
      <w:pPr>
        <w:spacing w:after="0" w:line="21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2.01 </w:t>
      </w:r>
      <w:r>
        <w:rPr>
          <w:rFonts w:ascii="Arial" w:cs="Arial" w:eastAsia="Arial" w:hAnsi="Arial"/>
          <w:sz w:val="16"/>
          <w:szCs w:val="16"/>
          <w:b w:val="1"/>
          <w:bCs w:val="1"/>
          <w:i w:val="1"/>
          <w:iCs w:val="1"/>
          <w:color w:val="auto"/>
        </w:rPr>
        <w:t>The Loans</w:t>
      </w:r>
      <w:r>
        <w:rPr>
          <w:rFonts w:ascii="Arial" w:cs="Arial" w:eastAsia="Arial" w:hAnsi="Arial"/>
          <w:sz w:val="16"/>
          <w:szCs w:val="16"/>
          <w:color w:val="auto"/>
        </w:rPr>
        <w:t xml:space="preserve">. Subject to the terms and conditions set forth herein, each Lender severally agrees to make a single loan to the Borrower on the Restatement Date in an amount not to exceed such Lender's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on the Restatement Date, any Lender holding the Existing Loans may, in its sole discretion, convert all of its Existing Loans into the Loans in a principal amount equal to the principal amount of such Existing Loans converted into the Loans. The Borrowing shall consist of Loans made simultaneously by the Lenders in accordance with their respective Commitments. Amounts borrowed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and repaid or prepaid may not be reborrowed. Loans may be Base Rate Loans or Eurodollar Rate Loans as further provided herein. Concurrently with the initial Credit Extension under this Agreement on the Restatement Date, the Existing Loans shall be refinanced in full with proceeds of the Loans made under this Agreement (subject to the conversion of the Existing Loans into the Loans as described above).</w:t>
      </w:r>
    </w:p>
    <w:p>
      <w:pPr>
        <w:spacing w:after="0" w:line="16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2.02 </w:t>
      </w:r>
      <w:r>
        <w:rPr>
          <w:rFonts w:ascii="Arial" w:cs="Arial" w:eastAsia="Arial" w:hAnsi="Arial"/>
          <w:sz w:val="16"/>
          <w:szCs w:val="16"/>
          <w:b w:val="1"/>
          <w:bCs w:val="1"/>
          <w:i w:val="1"/>
          <w:iCs w:val="1"/>
          <w:color w:val="auto"/>
        </w:rPr>
        <w:t>Borrowings, Conversions and Continuations of Loans</w:t>
      </w:r>
      <w:r>
        <w:rPr>
          <w:rFonts w:ascii="Arial" w:cs="Arial" w:eastAsia="Arial" w:hAnsi="Arial"/>
          <w:sz w:val="16"/>
          <w:szCs w:val="16"/>
          <w:color w:val="auto"/>
        </w:rPr>
        <w:t xml:space="preserve">. (b) Each Borrowing, each conversion of Loans from one Type to the other, and each continuation of Eurodollar Rate Loans shall be made upon the Borrower's irrevocable notice to the Administrative Agent, which may be given by telephone. Each such notice must be received by the Administrative Agent not later than 11:00 a.m. (i) three Business Days prior to the requested date of any Borrowing of, conversion to or continuation of Eurodollar Rate Loans or of any conversion of Eurodollar Rate Loans to Base Rate Loans, and (ii) on the requested date of any Borrowing of Base Rate Loans. Each telephonic notice by the Borrower pursuant to this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must be confirmed promptly by delivery to the Administrative Agent of a written Committed Loan Notice, appropriately completed and signed by a Responsible Officer of the Borrower. Each Borrowing of, conversion to or continuation of Eurodollar Rate Loans shall be in a principal amount of $5,000,000 or a whole multiple of $1,000,000 in excess thereof. Each Borrowing of or conversion to Base Rate Loans shall be in a principal amount of $500,000 or a whole multiple of $100,000 in excess thereof. Each Committed Loan Notice (whether telephonic or written) shall specify (i) whether the Borrower is requesting a Borrowing, a conversion of Loans from one Type to the other, or a continuation of Eurodollar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Committed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Committed Loan Notice, but fails to specify an Interest Period, it will be deemed to have specified an Interest Period of one month.</w:t>
      </w:r>
    </w:p>
    <w:p>
      <w:pPr>
        <w:spacing w:after="0" w:line="178" w:lineRule="exact"/>
        <w:rPr>
          <w:sz w:val="20"/>
          <w:szCs w:val="20"/>
          <w:color w:val="auto"/>
        </w:rPr>
      </w:pPr>
    </w:p>
    <w:p>
      <w:pPr>
        <w:jc w:val="both"/>
        <w:ind w:firstLine="656"/>
        <w:spacing w:after="0" w:line="270" w:lineRule="auto"/>
        <w:tabs>
          <w:tab w:leader="none" w:pos="1083"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Following receipt of a Committed Loan Notice, the Administrative Agent shall promptly notify each Lender of the amount of its Applicable Percentage, and if no timely notice of a conversion or continuation is provided by the Borrower, the Administrative Agent shall notify each Lender of the details of any automatic conversion to Base Rate Loans described in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Each applicable Lender shall make the amount of its Loan available to the Administrative Agent in immediately available funds at the Administrative Agent's Office not later than 1:00 p.m. on the Business Day specified in the applicable Committed Loan Notice. Upon satisfaction of the applicable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(and, if such Borrowing is the initial Credit Extension,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or, if such Borrowing is with respect to an Additional Loans, Section </w:t>
      </w:r>
      <w:r>
        <w:rPr>
          <w:rFonts w:ascii="Arial" w:cs="Arial" w:eastAsia="Arial" w:hAnsi="Arial"/>
          <w:sz w:val="17"/>
          <w:szCs w:val="17"/>
          <w:u w:val="single" w:color="auto"/>
          <w:color w:val="auto"/>
        </w:rPr>
        <w:t>2.12(f)</w:t>
      </w:r>
      <w:r>
        <w:rPr>
          <w:rFonts w:ascii="Arial" w:cs="Arial" w:eastAsia="Arial" w:hAnsi="Arial"/>
          <w:sz w:val="17"/>
          <w:szCs w:val="17"/>
          <w:color w:val="auto"/>
        </w:rPr>
        <w:t>),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w:t>
      </w:r>
    </w:p>
    <w:p>
      <w:pPr>
        <w:spacing w:after="0" w:line="181" w:lineRule="exact"/>
        <w:rPr>
          <w:rFonts w:ascii="Arial" w:cs="Arial" w:eastAsia="Arial" w:hAnsi="Arial"/>
          <w:sz w:val="17"/>
          <w:szCs w:val="17"/>
          <w:color w:val="auto"/>
        </w:rPr>
      </w:pPr>
    </w:p>
    <w:p>
      <w:pPr>
        <w:jc w:val="both"/>
        <w:ind w:firstLine="656"/>
        <w:spacing w:after="0" w:line="264" w:lineRule="auto"/>
        <w:tabs>
          <w:tab w:leader="none" w:pos="10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Lenders.</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15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Bank of America's prime rate used in determining the Base Rate promptly following the public announcement of such change.</w:t>
      </w:r>
    </w:p>
    <w:p>
      <w:pPr>
        <w:spacing w:after="0" w:line="186" w:lineRule="exact"/>
        <w:rPr>
          <w:rFonts w:ascii="Arial" w:cs="Arial" w:eastAsia="Arial" w:hAnsi="Arial"/>
          <w:sz w:val="18"/>
          <w:szCs w:val="18"/>
          <w:color w:val="auto"/>
        </w:rPr>
      </w:pPr>
    </w:p>
    <w:p>
      <w:pPr>
        <w:ind w:firstLine="656"/>
        <w:spacing w:after="0" w:line="277" w:lineRule="auto"/>
        <w:tabs>
          <w:tab w:leader="none" w:pos="1066" w:val="left"/>
        </w:tabs>
        <w:numPr>
          <w:ilvl w:val="0"/>
          <w:numId w:val="31"/>
        </w:numPr>
        <w:rPr>
          <w:rFonts w:ascii="Arial" w:cs="Arial" w:eastAsia="Arial" w:hAnsi="Arial"/>
          <w:sz w:val="18"/>
          <w:szCs w:val="18"/>
          <w:color w:val="auto"/>
        </w:rPr>
      </w:pPr>
      <w:r>
        <w:rPr>
          <w:rFonts w:ascii="Arial" w:cs="Arial" w:eastAsia="Arial" w:hAnsi="Arial"/>
          <w:sz w:val="18"/>
          <w:szCs w:val="18"/>
          <w:color w:val="auto"/>
        </w:rPr>
        <w:t>After giving effect to all Borrowings, all conversions of Loans from one Type to the other, and all continuations of Loans as the same Type, there shall not be more than 6 Interest Periods in effect in respect of the Facilities.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68" w:name="page69"/>
    <w:bookmarkEnd w:id="68"/>
    <w:p>
      <w:pPr>
        <w:jc w:val="both"/>
        <w:ind w:firstLine="648"/>
        <w:spacing w:after="0" w:line="285" w:lineRule="auto"/>
        <w:rPr>
          <w:sz w:val="20"/>
          <w:szCs w:val="20"/>
          <w:color w:val="auto"/>
        </w:rPr>
      </w:pPr>
      <w:r>
        <w:rPr>
          <w:rFonts w:ascii="Arial" w:cs="Arial" w:eastAsia="Arial" w:hAnsi="Arial"/>
          <w:sz w:val="16"/>
          <w:szCs w:val="16"/>
          <w:color w:val="auto"/>
        </w:rPr>
        <w:t xml:space="preserve">2.03 </w:t>
      </w:r>
      <w:r>
        <w:rPr>
          <w:rFonts w:ascii="Arial" w:cs="Arial" w:eastAsia="Arial" w:hAnsi="Arial"/>
          <w:sz w:val="16"/>
          <w:szCs w:val="16"/>
          <w:b w:val="1"/>
          <w:bCs w:val="1"/>
          <w:i w:val="1"/>
          <w:iCs w:val="1"/>
          <w:color w:val="auto"/>
        </w:rPr>
        <w:t>Prepayments</w:t>
      </w:r>
      <w:r>
        <w:rPr>
          <w:rFonts w:ascii="Arial" w:cs="Arial" w:eastAsia="Arial" w:hAnsi="Arial"/>
          <w:sz w:val="16"/>
          <w:szCs w:val="16"/>
          <w:color w:val="auto"/>
        </w:rPr>
        <w:t xml:space="preserve">. (a) Optional. Subject to the Intercreditor Agreement and the last sentence of this Section 2.03(a), the Borrower may, upon notice to the Administrative Agent, at any time or from time to time voluntarily prepay Loans in whole or in part;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for any such prepayments made in connection with a Repricing Event prior to the six month anniversary of the Restatement Date, the Borrower shall pay to the Administrative Agent, for the benefit of the applicable Lenders, the fee described in </w:t>
      </w:r>
      <w:r>
        <w:rPr>
          <w:rFonts w:ascii="Arial" w:cs="Arial" w:eastAsia="Arial" w:hAnsi="Arial"/>
          <w:sz w:val="16"/>
          <w:szCs w:val="16"/>
          <w:u w:val="single" w:color="auto"/>
          <w:color w:val="auto"/>
        </w:rPr>
        <w:t>Section 2.07(c)</w:t>
      </w:r>
      <w:r>
        <w:rPr>
          <w:rFonts w:ascii="Arial" w:cs="Arial" w:eastAsia="Arial" w:hAnsi="Arial"/>
          <w:sz w:val="16"/>
          <w:szCs w:val="16"/>
          <w:color w:val="auto"/>
        </w:rPr>
        <w:t>; (B) such notice must be received by the Administrative Agent not later than 11:00 a.m. (1) three Business Days prior to any date of prepayment of Eurodollar Rate Loans and (2) on the date of prepayment of Base Rate Loans; (C) any prepayment of Eurodollar Rate Loans shall be in a principal amount of $5,000,000 or a whole multiple of $1,000,000 in excess thereof; and (D)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Eurodollar Rate Loans are to be prepaid, the Interest Period(s) of such Loans. The Administrative Agent will promptly notify each Lender of its receipt of each such notice, and of the amount of such Lender's ratable portion of such prepayment (based on such Lender's Applicable Percentage). If such notice is given by the Borrower, the Borrower shall make such prepayment and the payment amount specified in such notice shall be due and payable on the date specified therein. Any prepayment of a Eurodollar Rate Loan shall be accompanied by all accrued interest on the amount prepaid, together with any additional amounts required pursuant to Section 3.05. Each prepayment of the outstanding Loans pursuant to this Section 2.03(a) shall be applied to the principal installments thereof as directed by the Borrower. Each such prepayment shall be paid to the Lenders in accordance with their respective Applicable Percentages. Notwithstanding anything to the contrary contained herein, the Borrower shall not be permitted to prepay the Facility pursuant to this Section 2.03(a) during the period from the Restatement Date through the date ten Business Days thereafter.</w:t>
      </w:r>
    </w:p>
    <w:p>
      <w:pPr>
        <w:spacing w:after="0" w:line="178" w:lineRule="exact"/>
        <w:rPr>
          <w:sz w:val="20"/>
          <w:szCs w:val="20"/>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 Subject to the Intercreditor Agreement:</w:t>
      </w:r>
    </w:p>
    <w:p>
      <w:pPr>
        <w:spacing w:after="0" w:line="225" w:lineRule="exact"/>
        <w:rPr>
          <w:rFonts w:ascii="Arial" w:cs="Arial" w:eastAsia="Arial" w:hAnsi="Arial"/>
          <w:sz w:val="18"/>
          <w:szCs w:val="18"/>
          <w:color w:val="auto"/>
        </w:rPr>
      </w:pPr>
    </w:p>
    <w:p>
      <w:pPr>
        <w:jc w:val="both"/>
        <w:ind w:left="660" w:firstLine="645"/>
        <w:spacing w:after="0" w:line="279" w:lineRule="auto"/>
        <w:tabs>
          <w:tab w:leader="none" w:pos="1671" w:val="left"/>
        </w:tabs>
        <w:numPr>
          <w:ilvl w:val="1"/>
          <w:numId w:val="32"/>
        </w:numPr>
        <w:rPr>
          <w:rFonts w:ascii="Arial" w:cs="Arial" w:eastAsia="Arial" w:hAnsi="Arial"/>
          <w:sz w:val="17"/>
          <w:szCs w:val="17"/>
          <w:color w:val="auto"/>
        </w:rPr>
      </w:pPr>
      <w:r>
        <w:rPr>
          <w:rFonts w:ascii="Arial" w:cs="Arial" w:eastAsia="Arial" w:hAnsi="Arial"/>
          <w:sz w:val="17"/>
          <w:szCs w:val="17"/>
          <w:color w:val="auto"/>
        </w:rPr>
        <w:t xml:space="preserve">Commencing with the fiscal year ending December 31, 2013, within five Business Days after financial statements have been delivered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and the related Compliance Certificate has been delivered pursuant to </w:t>
      </w:r>
      <w:r>
        <w:rPr>
          <w:rFonts w:ascii="Arial" w:cs="Arial" w:eastAsia="Arial" w:hAnsi="Arial"/>
          <w:sz w:val="17"/>
          <w:szCs w:val="17"/>
          <w:u w:val="single" w:color="auto"/>
          <w:color w:val="auto"/>
        </w:rPr>
        <w:t>Section 6.02(b),</w:t>
      </w:r>
      <w:r>
        <w:rPr>
          <w:rFonts w:ascii="Arial" w:cs="Arial" w:eastAsia="Arial" w:hAnsi="Arial"/>
          <w:sz w:val="17"/>
          <w:szCs w:val="17"/>
          <w:color w:val="auto"/>
        </w:rPr>
        <w:t xml:space="preserve"> the Borrower shall prepay an aggregate principal amount of Loans an amount equal to the ECF Percentage of Excess Cash Flow for the fiscal year covered by such financial statements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amount of any voluntary prepayments during such fiscal year of the Loans pursuant to </w:t>
      </w:r>
      <w:r>
        <w:rPr>
          <w:rFonts w:ascii="Arial" w:cs="Arial" w:eastAsia="Arial" w:hAnsi="Arial"/>
          <w:sz w:val="17"/>
          <w:szCs w:val="17"/>
          <w:u w:val="single" w:color="auto"/>
          <w:color w:val="auto"/>
        </w:rPr>
        <w:t>Section 2.03(a)</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left="660" w:firstLine="645"/>
        <w:spacing w:after="0" w:line="269" w:lineRule="auto"/>
        <w:tabs>
          <w:tab w:leader="none" w:pos="1839" w:val="left"/>
        </w:tabs>
        <w:numPr>
          <w:ilvl w:val="1"/>
          <w:numId w:val="32"/>
        </w:numPr>
        <w:rPr>
          <w:rFonts w:ascii="Arial" w:cs="Arial" w:eastAsia="Arial" w:hAnsi="Arial"/>
          <w:sz w:val="17"/>
          <w:szCs w:val="17"/>
          <w:color w:val="auto"/>
        </w:rPr>
      </w:pPr>
      <w:r>
        <w:rPr>
          <w:rFonts w:ascii="Arial" w:cs="Arial" w:eastAsia="Arial" w:hAnsi="Arial"/>
          <w:sz w:val="17"/>
          <w:szCs w:val="17"/>
          <w:color w:val="auto"/>
        </w:rPr>
        <w:t xml:space="preserve">If the Borrower or any of its Subsidiaries Disposes of any property (other than any Disposition of any property permitted by </w:t>
      </w:r>
      <w:r>
        <w:rPr>
          <w:rFonts w:ascii="Arial" w:cs="Arial" w:eastAsia="Arial" w:hAnsi="Arial"/>
          <w:sz w:val="17"/>
          <w:szCs w:val="17"/>
          <w:u w:val="single" w:color="auto"/>
          <w:color w:val="auto"/>
        </w:rPr>
        <w:t>Section 7.05(a)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w:t>
      </w:r>
      <w:r>
        <w:rPr>
          <w:rFonts w:ascii="Arial" w:cs="Arial" w:eastAsia="Arial" w:hAnsi="Arial"/>
          <w:sz w:val="17"/>
          <w:szCs w:val="17"/>
          <w:u w:val="single" w:color="auto"/>
          <w:color w:val="auto"/>
        </w:rPr>
        <w:t>(g)</w:t>
      </w:r>
      <w:r>
        <w:rPr>
          <w:rFonts w:ascii="Arial" w:cs="Arial" w:eastAsia="Arial" w:hAnsi="Arial"/>
          <w:sz w:val="17"/>
          <w:szCs w:val="17"/>
          <w:color w:val="auto"/>
        </w:rPr>
        <w:t xml:space="preserve">, </w:t>
      </w:r>
      <w:r>
        <w:rPr>
          <w:rFonts w:ascii="Arial" w:cs="Arial" w:eastAsia="Arial" w:hAnsi="Arial"/>
          <w:sz w:val="17"/>
          <w:szCs w:val="17"/>
          <w:u w:val="single" w:color="auto"/>
          <w:color w:val="auto"/>
        </w:rPr>
        <w:t>(h)</w:t>
      </w:r>
      <w:r>
        <w:rPr>
          <w:rFonts w:ascii="Arial" w:cs="Arial" w:eastAsia="Arial" w:hAnsi="Arial"/>
          <w:sz w:val="17"/>
          <w:szCs w:val="17"/>
          <w:color w:val="auto"/>
        </w:rPr>
        <w:t xml:space="preserve">, </w:t>
      </w:r>
      <w:r>
        <w:rPr>
          <w:rFonts w:ascii="Arial" w:cs="Arial" w:eastAsia="Arial" w:hAnsi="Arial"/>
          <w:sz w:val="17"/>
          <w:szCs w:val="17"/>
          <w:u w:val="single" w:color="auto"/>
          <w:color w:val="auto"/>
        </w:rPr>
        <w:t>(j)</w:t>
      </w:r>
      <w:r>
        <w:rPr>
          <w:rFonts w:ascii="Arial" w:cs="Arial" w:eastAsia="Arial" w:hAnsi="Arial"/>
          <w:sz w:val="17"/>
          <w:szCs w:val="17"/>
          <w:color w:val="auto"/>
        </w:rPr>
        <w:t xml:space="preserve">, </w:t>
      </w:r>
      <w:r>
        <w:rPr>
          <w:rFonts w:ascii="Arial" w:cs="Arial" w:eastAsia="Arial" w:hAnsi="Arial"/>
          <w:sz w:val="17"/>
          <w:szCs w:val="17"/>
          <w:u w:val="single" w:color="auto"/>
          <w:color w:val="auto"/>
        </w:rPr>
        <w:t>(k)</w:t>
      </w:r>
      <w:r>
        <w:rPr>
          <w:rFonts w:ascii="Arial" w:cs="Arial" w:eastAsia="Arial" w:hAnsi="Arial"/>
          <w:sz w:val="17"/>
          <w:szCs w:val="17"/>
          <w:color w:val="auto"/>
        </w:rPr>
        <w:t xml:space="preserve">, </w:t>
      </w:r>
      <w:r>
        <w:rPr>
          <w:rFonts w:ascii="Arial" w:cs="Arial" w:eastAsia="Arial" w:hAnsi="Arial"/>
          <w:sz w:val="17"/>
          <w:szCs w:val="17"/>
          <w:u w:val="single" w:color="auto"/>
          <w:color w:val="auto"/>
        </w:rPr>
        <w:t>(l)</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(m)</w:t>
      </w:r>
      <w:r>
        <w:rPr>
          <w:rFonts w:ascii="Arial" w:cs="Arial" w:eastAsia="Arial" w:hAnsi="Arial"/>
          <w:sz w:val="17"/>
          <w:szCs w:val="17"/>
          <w:color w:val="auto"/>
        </w:rPr>
        <w:t xml:space="preserve">) which results in the realization by such Person of Net Cash Proceeds, the Borrower shall prepay an aggregate principal amount of Loans equal to 100% of such Net Cash Proceeds within three Business Days of receipt thereof by such Person (such prepayments to be applied as set forth in clause (v)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(x) any such prepayment shall only be required with the aggregate amount of Net Cash Proceeds from all Dispositions of properties and Extraordinary Receipts received in any fiscal year of the Borrower or such Subsidiary in excess of $5,000,000 and (y) with respect any Net Cash Proceeds realized under a Disposition described in this </w:t>
      </w:r>
      <w:r>
        <w:rPr>
          <w:rFonts w:ascii="Arial" w:cs="Arial" w:eastAsia="Arial" w:hAnsi="Arial"/>
          <w:sz w:val="17"/>
          <w:szCs w:val="17"/>
          <w:u w:val="single" w:color="auto"/>
          <w:color w:val="auto"/>
        </w:rPr>
        <w:t>Section 2.03(b)(ii)</w:t>
      </w:r>
      <w:r>
        <w:rPr>
          <w:rFonts w:ascii="Arial" w:cs="Arial" w:eastAsia="Arial" w:hAnsi="Arial"/>
          <w:sz w:val="17"/>
          <w:szCs w:val="17"/>
          <w:color w:val="auto"/>
        </w:rPr>
        <w:t xml:space="preserve">, at the election of the Borrower (as notified by the Borrower to the Administrative Agent on or prior to the date of such Disposition), and so long as no Default shall have occurred and be continuing, the Borrower or such Subsidiary may reinvest all or any portion of such Net Cash Proceeds in operating assets so long as within 12 months after the receipt of such Net Cash Proceeds (or 15 months if a commitment to reinvest is entered into within 12 months after such receipt), such purchase shall have been consummated (as certified by the Borrower in writing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Net Cash Proceeds not subject to such definitive agreement or so reinvested shall be immediately applied to the prepayment of the Loans as set forth in this </w:t>
      </w:r>
      <w:r>
        <w:rPr>
          <w:rFonts w:ascii="Arial" w:cs="Arial" w:eastAsia="Arial" w:hAnsi="Arial"/>
          <w:sz w:val="17"/>
          <w:szCs w:val="17"/>
          <w:u w:val="single" w:color="auto"/>
          <w:color w:val="auto"/>
        </w:rPr>
        <w:t>Section 2.03(b)(ii)</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jc w:val="both"/>
        <w:ind w:left="660" w:firstLine="645"/>
        <w:spacing w:after="0" w:line="259" w:lineRule="auto"/>
        <w:tabs>
          <w:tab w:leader="none" w:pos="1803"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Upon the incurrence or issuance by the Borrower or any of its Subsidiaries of any Indebtedness (other than Indebtedness expressly permitted to be incurred or issued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 the Borrower shall prepay an aggregate principal amount of Loans equal to 100% of all Net Cash Proceeds received therefrom within three Business Days of receipt thereof by the Borrower or such Subsidiary (such prepayments to be applied as set forth in clause (v) below).</w:t>
      </w:r>
    </w:p>
    <w:p>
      <w:pPr>
        <w:spacing w:after="0" w:line="186" w:lineRule="exact"/>
        <w:rPr>
          <w:rFonts w:ascii="Arial" w:cs="Arial" w:eastAsia="Arial" w:hAnsi="Arial"/>
          <w:sz w:val="18"/>
          <w:szCs w:val="18"/>
          <w:color w:val="auto"/>
        </w:rPr>
      </w:pPr>
    </w:p>
    <w:p>
      <w:pPr>
        <w:jc w:val="both"/>
        <w:ind w:left="660" w:firstLine="645"/>
        <w:spacing w:after="0" w:line="254" w:lineRule="auto"/>
        <w:tabs>
          <w:tab w:leader="none" w:pos="1863"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Upon any Extraordinary Receipt received by or paid to or for the account of the Borrower or any of its Subsidiaries, and not otherwise included in clause (ii) or (iii) of this </w:t>
      </w:r>
      <w:r>
        <w:rPr>
          <w:rFonts w:ascii="Arial" w:cs="Arial" w:eastAsia="Arial" w:hAnsi="Arial"/>
          <w:sz w:val="18"/>
          <w:szCs w:val="18"/>
          <w:u w:val="single" w:color="auto"/>
          <w:color w:val="auto"/>
        </w:rPr>
        <w:t>Section 2.03(b)</w:t>
      </w:r>
      <w:r>
        <w:rPr>
          <w:rFonts w:ascii="Arial" w:cs="Arial" w:eastAsia="Arial" w:hAnsi="Arial"/>
          <w:sz w:val="18"/>
          <w:szCs w:val="18"/>
          <w:color w:val="auto"/>
        </w:rPr>
        <w:t xml:space="preserve">, the Borrower shall prepay an aggregate principal amount of Loans equal to 100% of all Net Cash Proceeds received therefrom within three Business Days of receipt thereof by the Borrower or such Subsidiary (such prepayments to be applied as set forth in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(x) any such prepayment shall only be required with the aggregate amount of Net Cash Proceeds from all Dispositions of properties and Extraordinary Receipts received in any fiscal year of the Borrower or such Borrower in excess of $5,000,000 and (y) with respect to any proceeds of insurance, condemnation awards (or payments in lieu thereof) or indemnity payments, at the election of the Borrower (as notified by the Borrower to the Administrative Agent on or prior to the date of receipt of such insurance proceeds, condemnation awards or indemnity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69" w:name="page70"/>
    <w:bookmarkEnd w:id="69"/>
    <w:p>
      <w:pPr>
        <w:jc w:val="both"/>
        <w:spacing w:after="0" w:line="279" w:lineRule="auto"/>
        <w:rPr>
          <w:sz w:val="20"/>
          <w:szCs w:val="20"/>
          <w:color w:val="auto"/>
        </w:rPr>
      </w:pPr>
      <w:r>
        <w:rPr>
          <w:rFonts w:ascii="Arial" w:cs="Arial" w:eastAsia="Arial" w:hAnsi="Arial"/>
          <w:sz w:val="17"/>
          <w:szCs w:val="17"/>
          <w:color w:val="auto"/>
        </w:rPr>
        <w:t xml:space="preserve">payments), and so long as no Default shall have occurred and be continuing, the Borrower or such Subsidiary may apply within 12 months after the receipt of such cash proceeds (or 15 months if a commitment to reinvest is entered into within 12 months after such receipt) to replace or repair the equipment, fixed assets or real property in respect of which such cash proceeds were received; and provided, further, however, that any cash proceeds not so applied shall be immediately applied to the prepayment of the Loans as set forth in this </w:t>
      </w:r>
      <w:r>
        <w:rPr>
          <w:rFonts w:ascii="Arial" w:cs="Arial" w:eastAsia="Arial" w:hAnsi="Arial"/>
          <w:sz w:val="17"/>
          <w:szCs w:val="17"/>
          <w:u w:val="single" w:color="auto"/>
          <w:color w:val="auto"/>
        </w:rPr>
        <w:t>Section 2.03(b)(iv)</w:t>
      </w:r>
      <w:r>
        <w:rPr>
          <w:rFonts w:ascii="Arial" w:cs="Arial" w:eastAsia="Arial" w:hAnsi="Arial"/>
          <w:sz w:val="17"/>
          <w:szCs w:val="17"/>
          <w:color w:val="auto"/>
        </w:rPr>
        <w:t>.</w:t>
      </w:r>
    </w:p>
    <w:p>
      <w:pPr>
        <w:spacing w:after="0" w:line="171" w:lineRule="exact"/>
        <w:rPr>
          <w:sz w:val="20"/>
          <w:szCs w:val="20"/>
          <w:color w:val="auto"/>
        </w:rPr>
      </w:pPr>
    </w:p>
    <w:p>
      <w:pPr>
        <w:jc w:val="both"/>
        <w:ind w:firstLine="645"/>
        <w:spacing w:after="0" w:line="264" w:lineRule="auto"/>
        <w:tabs>
          <w:tab w:leader="none" w:pos="10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Each prepayment of Loans pursuant to the foregoing provisions of this </w:t>
      </w:r>
      <w:r>
        <w:rPr>
          <w:rFonts w:ascii="Arial" w:cs="Arial" w:eastAsia="Arial" w:hAnsi="Arial"/>
          <w:sz w:val="18"/>
          <w:szCs w:val="18"/>
          <w:u w:val="single" w:color="auto"/>
          <w:color w:val="auto"/>
        </w:rPr>
        <w:t>Section 2.03(b)</w:t>
      </w:r>
      <w:r>
        <w:rPr>
          <w:rFonts w:ascii="Arial" w:cs="Arial" w:eastAsia="Arial" w:hAnsi="Arial"/>
          <w:sz w:val="18"/>
          <w:szCs w:val="18"/>
          <w:color w:val="auto"/>
        </w:rPr>
        <w:t xml:space="preserve"> shall be applied ratably to the Facilities and to the next four (4) succeeding scheduled quarterly repayment installments thereof in direct order of maturity and then applied to prepay the remaining installments of principal on the Loans (including the final installment) on a pro rata basis.</w:t>
      </w:r>
    </w:p>
    <w:p>
      <w:pPr>
        <w:spacing w:after="0" w:line="181" w:lineRule="exact"/>
        <w:rPr>
          <w:sz w:val="20"/>
          <w:szCs w:val="20"/>
          <w:color w:val="auto"/>
        </w:rPr>
      </w:pPr>
    </w:p>
    <w:p>
      <w:pPr>
        <w:jc w:val="both"/>
        <w:ind w:firstLine="645"/>
        <w:spacing w:after="0" w:line="271" w:lineRule="auto"/>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Notwithstanding any of the other provisions of clause (ii), (iii), (iv) or (v) of this </w:t>
      </w:r>
      <w:r>
        <w:rPr>
          <w:rFonts w:ascii="Arial" w:cs="Arial" w:eastAsia="Arial" w:hAnsi="Arial"/>
          <w:sz w:val="17"/>
          <w:szCs w:val="17"/>
          <w:u w:val="single" w:color="auto"/>
          <w:color w:val="auto"/>
        </w:rPr>
        <w:t>Section 2.03(b)</w:t>
      </w:r>
      <w:r>
        <w:rPr>
          <w:rFonts w:ascii="Arial" w:cs="Arial" w:eastAsia="Arial" w:hAnsi="Arial"/>
          <w:sz w:val="17"/>
          <w:szCs w:val="17"/>
          <w:color w:val="auto"/>
        </w:rPr>
        <w:t xml:space="preserve">, so long as no Default shall have occurred and be continuing, if, on any date on which a prepayment would otherwise be required to be made pursuant to clause (ii), (iii) or (iv) of this </w:t>
      </w:r>
      <w:r>
        <w:rPr>
          <w:rFonts w:ascii="Arial" w:cs="Arial" w:eastAsia="Arial" w:hAnsi="Arial"/>
          <w:sz w:val="17"/>
          <w:szCs w:val="17"/>
          <w:u w:val="single" w:color="auto"/>
          <w:color w:val="auto"/>
        </w:rPr>
        <w:t>Section 2.03(b)</w:t>
      </w:r>
      <w:r>
        <w:rPr>
          <w:rFonts w:ascii="Arial" w:cs="Arial" w:eastAsia="Arial" w:hAnsi="Arial"/>
          <w:sz w:val="17"/>
          <w:szCs w:val="17"/>
          <w:color w:val="auto"/>
        </w:rPr>
        <w:t xml:space="preserve">, the aggregate amount of Net Cash Proceeds required by such clause to be applied to prepay Loans on such date is less than or equal to $5,000,000, the Borrower may defer such prepayment until the first date on which the aggregate amount of Net Cash Proceeds or other amounts otherwise required under clause (ii), (iii), (iv) or (v) of this </w:t>
      </w:r>
      <w:r>
        <w:rPr>
          <w:rFonts w:ascii="Arial" w:cs="Arial" w:eastAsia="Arial" w:hAnsi="Arial"/>
          <w:sz w:val="17"/>
          <w:szCs w:val="17"/>
          <w:u w:val="single" w:color="auto"/>
          <w:color w:val="auto"/>
        </w:rPr>
        <w:t>Section 2.03(b)</w:t>
      </w:r>
      <w:r>
        <w:rPr>
          <w:rFonts w:ascii="Arial" w:cs="Arial" w:eastAsia="Arial" w:hAnsi="Arial"/>
          <w:sz w:val="17"/>
          <w:szCs w:val="17"/>
          <w:color w:val="auto"/>
        </w:rPr>
        <w:t xml:space="preserve"> to be applied to prepay Loans exceeds $5,000,000. Upon the occurrence of a Default during any such deferral period, the Borrower shall immediately prepay the Loans in the amount of all Net Cash Proceeds received by the Borrower and other amounts, as applicable, that are required to be applied to prepay Loans under this </w:t>
      </w:r>
      <w:r>
        <w:rPr>
          <w:rFonts w:ascii="Arial" w:cs="Arial" w:eastAsia="Arial" w:hAnsi="Arial"/>
          <w:sz w:val="17"/>
          <w:szCs w:val="17"/>
          <w:u w:val="single" w:color="auto"/>
          <w:color w:val="auto"/>
        </w:rPr>
        <w:t>Section 2.03(b)</w:t>
      </w:r>
      <w:r>
        <w:rPr>
          <w:rFonts w:ascii="Arial" w:cs="Arial" w:eastAsia="Arial" w:hAnsi="Arial"/>
          <w:sz w:val="17"/>
          <w:szCs w:val="17"/>
          <w:color w:val="auto"/>
        </w:rPr>
        <w:t xml:space="preserve"> (without giving effect to the first and second sentences of this clause (vii)) but which have not previously been so applied.</w:t>
      </w:r>
    </w:p>
    <w:p>
      <w:pPr>
        <w:spacing w:after="0" w:line="179" w:lineRule="exact"/>
        <w:rPr>
          <w:sz w:val="20"/>
          <w:szCs w:val="20"/>
          <w:color w:val="auto"/>
        </w:rPr>
      </w:pPr>
    </w:p>
    <w:p>
      <w:pPr>
        <w:jc w:val="both"/>
        <w:ind w:firstLine="645"/>
        <w:spacing w:after="0" w:line="270" w:lineRule="auto"/>
        <w:tabs>
          <w:tab w:leader="none" w:pos="1082"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Funding Losses, Etc</w:t>
      </w:r>
      <w:r>
        <w:rPr>
          <w:rFonts w:ascii="Arial" w:cs="Arial" w:eastAsia="Arial" w:hAnsi="Arial"/>
          <w:sz w:val="17"/>
          <w:szCs w:val="17"/>
          <w:color w:val="auto"/>
        </w:rPr>
        <w:t xml:space="preserve">. All prepayments under </w:t>
      </w:r>
      <w:r>
        <w:rPr>
          <w:rFonts w:ascii="Arial" w:cs="Arial" w:eastAsia="Arial" w:hAnsi="Arial"/>
          <w:sz w:val="17"/>
          <w:szCs w:val="17"/>
          <w:u w:val="single" w:color="auto"/>
          <w:color w:val="auto"/>
        </w:rPr>
        <w:t>Section 2.03(b)</w:t>
      </w:r>
      <w:r>
        <w:rPr>
          <w:rFonts w:ascii="Arial" w:cs="Arial" w:eastAsia="Arial" w:hAnsi="Arial"/>
          <w:sz w:val="17"/>
          <w:szCs w:val="17"/>
          <w:color w:val="auto"/>
        </w:rPr>
        <w:t xml:space="preserve"> shall be made together with, in the case of any such prepayment of a Eurodollar Rate Loan on a date other than the last day of an Interest Period therefor, any amounts owing in respect of such Eurodollar Rate Loan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So long as no Event of Default shall have occurred and be continuing, if any prepayment of Eurodollar Rate Loans is required to be made under </w:t>
      </w:r>
      <w:r>
        <w:rPr>
          <w:rFonts w:ascii="Arial" w:cs="Arial" w:eastAsia="Arial" w:hAnsi="Arial"/>
          <w:sz w:val="17"/>
          <w:szCs w:val="17"/>
          <w:u w:val="single" w:color="auto"/>
          <w:color w:val="auto"/>
        </w:rPr>
        <w:t>Section 2.03(b)</w:t>
      </w:r>
      <w:r>
        <w:rPr>
          <w:rFonts w:ascii="Arial" w:cs="Arial" w:eastAsia="Arial" w:hAnsi="Arial"/>
          <w:sz w:val="17"/>
          <w:szCs w:val="17"/>
          <w:color w:val="auto"/>
        </w:rPr>
        <w:t xml:space="preserve">, other than on the last day of the Interest Period therefor, the Borrower may, in its sole discretion, deposit the amount of any such prepayment otherwise required to be made thereunder into a cash collateral account (over which the Administrative Agent has sole control) until the last day of such Interest Period, at which time the Administrative Agent shall be authorized (without any further action by or notice to or from the Borrower or any other Loan Party) to apply such amount to the prepayment of such Loans in accordance with </w:t>
      </w:r>
      <w:r>
        <w:rPr>
          <w:rFonts w:ascii="Arial" w:cs="Arial" w:eastAsia="Arial" w:hAnsi="Arial"/>
          <w:sz w:val="17"/>
          <w:szCs w:val="17"/>
          <w:u w:val="single" w:color="auto"/>
          <w:color w:val="auto"/>
        </w:rPr>
        <w:t>Section 2.03(b)</w:t>
      </w:r>
      <w:r>
        <w:rPr>
          <w:rFonts w:ascii="Arial" w:cs="Arial" w:eastAsia="Arial" w:hAnsi="Arial"/>
          <w:sz w:val="17"/>
          <w:szCs w:val="17"/>
          <w:color w:val="auto"/>
        </w:rPr>
        <w:t xml:space="preserve">. Upon the occurrence and during the continuance of any Event of Default, the Administrative Agent shall also be authorized (without any further action by or notice to or from the Borrower or any other Loan Party) to apply such amount to the prepayment of the outstanding Loans in accordance with </w:t>
      </w:r>
      <w:r>
        <w:rPr>
          <w:rFonts w:ascii="Arial" w:cs="Arial" w:eastAsia="Arial" w:hAnsi="Arial"/>
          <w:sz w:val="17"/>
          <w:szCs w:val="17"/>
          <w:u w:val="single" w:color="auto"/>
          <w:color w:val="auto"/>
        </w:rPr>
        <w:t>Section 2.03(b)</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645"/>
        <w:spacing w:after="0" w:line="254" w:lineRule="auto"/>
        <w:tabs>
          <w:tab w:leader="none" w:pos="1049"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If all or any portion of any prepayment required by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is precluded by the provisions of Section 4(c) of the Intercreditor Agreement, the Borrower shall make such prepayment in the maximum amount permitted under the Intercreditor Agreement, with the balance of such amount to be paid on such date as such prepayment is permitted under Section 4(c) of the Intercreditor Agreement. In addition, the Borrower shall, and shall cause its Subsidiaries to, make commercially reasonable good faith efforts, taking into account the Borrower's and its Subsidiaries' liquidity needs, to cause Excess Availability (as described in the Intercreditor Agreement) to be in an amount such that the provisions of Section 4(c) of the Intercreditor Agreement will not operate to preclude any prepayment required by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on any date such a prepayment is required to be made, including, without limitation, using cash of the Borrower and its Material Subsidiaries to reduce the loans outstanding under the ABL Credit Agreement.</w:t>
      </w:r>
    </w:p>
    <w:p>
      <w:pPr>
        <w:spacing w:after="0" w:line="200" w:lineRule="exact"/>
        <w:rPr>
          <w:sz w:val="20"/>
          <w:szCs w:val="20"/>
          <w:color w:val="auto"/>
        </w:rPr>
      </w:pPr>
    </w:p>
    <w:p>
      <w:pPr>
        <w:spacing w:after="0" w:line="23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60"/>
          </w:cols>
          <w:pgMar w:left="900" w:top="584" w:right="239" w:bottom="1440" w:gutter="0" w:footer="0" w:header="0"/>
        </w:sectPr>
      </w:pPr>
    </w:p>
    <w:bookmarkStart w:id="70" w:name="page71"/>
    <w:bookmarkEnd w:id="70"/>
    <w:p>
      <w:pPr>
        <w:jc w:val="both"/>
        <w:ind w:firstLine="648"/>
        <w:spacing w:after="0" w:line="277" w:lineRule="auto"/>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b w:val="1"/>
          <w:bCs w:val="1"/>
          <w:i w:val="1"/>
          <w:iCs w:val="1"/>
          <w:color w:val="auto"/>
        </w:rPr>
        <w:t>Mandatory Termination of Commitments</w:t>
      </w:r>
      <w:r>
        <w:rPr>
          <w:rFonts w:ascii="Arial" w:cs="Arial" w:eastAsia="Arial" w:hAnsi="Arial"/>
          <w:sz w:val="18"/>
          <w:szCs w:val="18"/>
          <w:color w:val="auto"/>
        </w:rPr>
        <w:t>. The aggregate Commitments shall be automatically and permanently reduced to zero on the Restatement Date.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b w:val="1"/>
          <w:bCs w:val="1"/>
          <w:i w:val="1"/>
          <w:iCs w:val="1"/>
          <w:color w:val="auto"/>
        </w:rPr>
        <w:t>Repayment of Loans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the Borrower shall repay to the Lenders $750,000 of the aggregate principal amount of the Loans outstanding on each March 31, June 30, September 30 and December 31 of each year (commencing on March 31, 2013) (which amounts shall be reduced as a result of the application of prepayments in accordance with the order of priority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final principal repayment installment of the Loans shall be repaid on the Maturity Date and in any event shall be in an amount equal to the aggregate principal amount of all Loans outstanding on such date.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b w:val="1"/>
          <w:bCs w:val="1"/>
          <w:i w:val="1"/>
          <w:iCs w:val="1"/>
          <w:color w:val="auto"/>
        </w:rPr>
        <w:t>Interest</w:t>
      </w:r>
      <w:r>
        <w:rPr>
          <w:rFonts w:ascii="Arial" w:cs="Arial" w:eastAsia="Arial" w:hAnsi="Arial"/>
          <w:sz w:val="18"/>
          <w:szCs w:val="18"/>
          <w:color w:val="auto"/>
        </w:rPr>
        <w:t xml:space="preserve">. (a) Subject to the provisions of </w:t>
      </w:r>
      <w:r>
        <w:rPr>
          <w:rFonts w:ascii="Arial" w:cs="Arial" w:eastAsia="Arial" w:hAnsi="Arial"/>
          <w:sz w:val="18"/>
          <w:szCs w:val="18"/>
          <w:u w:val="single" w:color="auto"/>
          <w:color w:val="auto"/>
        </w:rPr>
        <w:t>Section 2.06(b)</w:t>
      </w:r>
      <w:r>
        <w:rPr>
          <w:rFonts w:ascii="Arial" w:cs="Arial" w:eastAsia="Arial" w:hAnsi="Arial"/>
          <w:sz w:val="18"/>
          <w:szCs w:val="18"/>
          <w:color w:val="auto"/>
        </w:rPr>
        <w:t>, (i) each Eurodollar Rate Loan shall bear interest on the outstanding principal amount thereof for each Interest Period at a rate per annum equal to the Eurodollar Rate for such Interest Period plus the Applicable Rate; and (ii) each Base Rate Loan shall bear interest on the outstanding principal amount thereof from the applicable borrowing date at a rate per annum equal to the Base Rate plus the Applicable Rate.</w:t>
      </w:r>
    </w:p>
    <w:p>
      <w:pPr>
        <w:spacing w:after="0" w:line="187" w:lineRule="exact"/>
        <w:rPr>
          <w:sz w:val="20"/>
          <w:szCs w:val="20"/>
          <w:color w:val="auto"/>
        </w:rPr>
      </w:pPr>
    </w:p>
    <w:p>
      <w:pPr>
        <w:jc w:val="both"/>
        <w:ind w:firstLine="656"/>
        <w:spacing w:after="0" w:line="264" w:lineRule="auto"/>
        <w:tabs>
          <w:tab w:leader="none" w:pos="10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81" w:lineRule="exact"/>
        <w:rPr>
          <w:rFonts w:ascii="Arial" w:cs="Arial" w:eastAsia="Arial" w:hAnsi="Arial"/>
          <w:sz w:val="18"/>
          <w:szCs w:val="18"/>
          <w:color w:val="auto"/>
        </w:rPr>
      </w:pPr>
    </w:p>
    <w:p>
      <w:pPr>
        <w:jc w:val="both"/>
        <w:ind w:left="660" w:firstLine="645"/>
        <w:spacing w:after="0" w:line="259" w:lineRule="auto"/>
        <w:tabs>
          <w:tab w:leader="none" w:pos="1741" w:val="left"/>
        </w:tabs>
        <w:numPr>
          <w:ilvl w:val="1"/>
          <w:numId w:val="36"/>
        </w:numPr>
        <w:rPr>
          <w:rFonts w:ascii="Arial" w:cs="Arial" w:eastAsia="Arial" w:hAnsi="Arial"/>
          <w:sz w:val="18"/>
          <w:szCs w:val="18"/>
          <w:color w:val="auto"/>
        </w:rPr>
      </w:pPr>
      <w:r>
        <w:rPr>
          <w:rFonts w:ascii="Arial" w:cs="Arial" w:eastAsia="Arial" w:hAnsi="Arial"/>
          <w:sz w:val="18"/>
          <w:szCs w:val="18"/>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86" w:lineRule="exact"/>
        <w:rPr>
          <w:rFonts w:ascii="Arial" w:cs="Arial" w:eastAsia="Arial" w:hAnsi="Arial"/>
          <w:sz w:val="18"/>
          <w:szCs w:val="18"/>
          <w:color w:val="auto"/>
        </w:rPr>
      </w:pPr>
    </w:p>
    <w:p>
      <w:pPr>
        <w:jc w:val="both"/>
        <w:ind w:left="660" w:firstLine="645"/>
        <w:spacing w:after="0" w:line="264" w:lineRule="auto"/>
        <w:tabs>
          <w:tab w:leader="none" w:pos="1771" w:val="left"/>
        </w:tabs>
        <w:numPr>
          <w:ilvl w:val="1"/>
          <w:numId w:val="36"/>
        </w:numPr>
        <w:rPr>
          <w:rFonts w:ascii="Arial" w:cs="Arial" w:eastAsia="Arial" w:hAnsi="Arial"/>
          <w:sz w:val="18"/>
          <w:szCs w:val="18"/>
          <w:color w:val="auto"/>
        </w:rPr>
      </w:pPr>
      <w:r>
        <w:rPr>
          <w:rFonts w:ascii="Arial" w:cs="Arial" w:eastAsia="Arial" w:hAnsi="Arial"/>
          <w:sz w:val="18"/>
          <w:szCs w:val="18"/>
          <w:color w:val="auto"/>
        </w:rPr>
        <w:t>Upon the request of the Required Lenders, while any Event of Default exists, the Borrower shall pay interest on the principal amount of all outstanding Obligations hereunder at a fluctuating interest rate per annum at all times equal to the Default Rate to the fullest extent permitted by applicable Laws.</w:t>
      </w:r>
    </w:p>
    <w:p>
      <w:pPr>
        <w:spacing w:after="0" w:line="181" w:lineRule="exact"/>
        <w:rPr>
          <w:rFonts w:ascii="Arial" w:cs="Arial" w:eastAsia="Arial" w:hAnsi="Arial"/>
          <w:sz w:val="18"/>
          <w:szCs w:val="18"/>
          <w:color w:val="auto"/>
        </w:rPr>
      </w:pPr>
    </w:p>
    <w:p>
      <w:pPr>
        <w:ind w:left="1740" w:hanging="435"/>
        <w:spacing w:after="0"/>
        <w:tabs>
          <w:tab w:leader="none" w:pos="17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 demand.</w:t>
      </w:r>
    </w:p>
    <w:p>
      <w:pPr>
        <w:spacing w:after="0" w:line="248" w:lineRule="exact"/>
        <w:rPr>
          <w:rFonts w:ascii="Arial" w:cs="Arial" w:eastAsia="Arial" w:hAnsi="Arial"/>
          <w:sz w:val="16"/>
          <w:szCs w:val="16"/>
          <w:color w:val="auto"/>
        </w:rPr>
      </w:pPr>
    </w:p>
    <w:p>
      <w:pPr>
        <w:jc w:val="both"/>
        <w:ind w:firstLine="656"/>
        <w:spacing w:after="0" w:line="264" w:lineRule="auto"/>
        <w:tabs>
          <w:tab w:leader="none" w:pos="10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2.07 </w:t>
      </w:r>
      <w:r>
        <w:rPr>
          <w:rFonts w:ascii="Arial" w:cs="Arial" w:eastAsia="Arial" w:hAnsi="Arial"/>
          <w:sz w:val="18"/>
          <w:szCs w:val="18"/>
          <w:b w:val="1"/>
          <w:bCs w:val="1"/>
          <w:i w:val="1"/>
          <w:iCs w:val="1"/>
          <w:color w:val="auto"/>
        </w:rPr>
        <w:t>Fees</w:t>
      </w:r>
      <w:r>
        <w:rPr>
          <w:rFonts w:ascii="Arial" w:cs="Arial" w:eastAsia="Arial" w:hAnsi="Arial"/>
          <w:sz w:val="18"/>
          <w:szCs w:val="18"/>
          <w:color w:val="auto"/>
        </w:rPr>
        <w:t>. (a) The Borrower shall pay to the Arrangers, the Syndication Agents, the Book Manager and the Administrative Agent for their own respective accounts fees in the amounts and at the times specified in the Engagement Letter and the Fee Letter. Such fees shall be fully earned when paid and shall not be refundable for any reason whatsoever.</w:t>
      </w:r>
    </w:p>
    <w:p>
      <w:pPr>
        <w:spacing w:after="0" w:line="181" w:lineRule="exact"/>
        <w:rPr>
          <w:sz w:val="20"/>
          <w:szCs w:val="20"/>
          <w:color w:val="auto"/>
        </w:rPr>
      </w:pPr>
    </w:p>
    <w:p>
      <w:pPr>
        <w:ind w:firstLine="656"/>
        <w:spacing w:after="0" w:line="277" w:lineRule="auto"/>
        <w:tabs>
          <w:tab w:leader="none" w:pos="11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170" w:lineRule="exact"/>
        <w:rPr>
          <w:rFonts w:ascii="Arial" w:cs="Arial" w:eastAsia="Arial" w:hAnsi="Arial"/>
          <w:sz w:val="18"/>
          <w:szCs w:val="18"/>
          <w:color w:val="auto"/>
        </w:rPr>
      </w:pPr>
    </w:p>
    <w:p>
      <w:pPr>
        <w:jc w:val="both"/>
        <w:ind w:firstLine="656"/>
        <w:spacing w:after="0" w:line="293" w:lineRule="auto"/>
        <w:tabs>
          <w:tab w:leader="none" w:pos="1150"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If a Repricing Event is consummated on or prior to the six month anniversary of the Restatement Date, the Borrower shall pay to the Administrative Agent, for the ratable account of each Lender with Loans that are either repaid or any Lender that withholds its consent to such Repricing Event and is replaced as a Lender under </w:t>
      </w:r>
      <w:r>
        <w:rPr>
          <w:rFonts w:ascii="Arial" w:cs="Arial" w:eastAsia="Arial" w:hAnsi="Arial"/>
          <w:sz w:val="16"/>
          <w:szCs w:val="16"/>
          <w:u w:val="single" w:color="auto"/>
          <w:color w:val="auto"/>
        </w:rPr>
        <w:t>Section 10.13</w:t>
      </w:r>
      <w:r>
        <w:rPr>
          <w:rFonts w:ascii="Arial" w:cs="Arial" w:eastAsia="Arial" w:hAnsi="Arial"/>
          <w:sz w:val="16"/>
          <w:szCs w:val="16"/>
          <w:color w:val="auto"/>
        </w:rPr>
        <w:t>, a fee in an amount equal to 1.00% of (x) in the case of a Repricing Event described in clause (a) of the definition thereof, the aggregate principal amount of all Loans prepaid in connection with such Repricing Event and (y) in the case of a Repricing Event described in clause (b) of the definition thereof, the aggregate principal amount of all Loans outstanding on such date that are subject to an effective pricing reduction pursuant to such Repricing Event. Such fees shall be earned, due and payable upon the date of the effectiveness of such Repricing Event.</w:t>
      </w:r>
    </w:p>
    <w:p>
      <w:pPr>
        <w:spacing w:after="0" w:line="2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2.08 </w:t>
      </w:r>
      <w:r>
        <w:rPr>
          <w:rFonts w:ascii="Arial" w:cs="Arial" w:eastAsia="Arial" w:hAnsi="Arial"/>
          <w:sz w:val="16"/>
          <w:szCs w:val="16"/>
          <w:b w:val="1"/>
          <w:bCs w:val="1"/>
          <w:i w:val="1"/>
          <w:iCs w:val="1"/>
          <w:color w:val="auto"/>
        </w:rPr>
        <w:t>Computation of Interest and Fees</w:t>
      </w:r>
      <w:r>
        <w:rPr>
          <w:rFonts w:ascii="Arial" w:cs="Arial" w:eastAsia="Arial" w:hAnsi="Arial"/>
          <w:sz w:val="16"/>
          <w:szCs w:val="16"/>
          <w:color w:val="auto"/>
        </w:rPr>
        <w:t>. All computations of interest for Base Rate Loans when the Base Rate is determined by the definition thereof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provided that any Loan that is repaid on the same day on which it is made shall, subject 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71" w:name="page72"/>
    <w:bookmarkEnd w:id="71"/>
    <w:p>
      <w:pPr>
        <w:jc w:val="both"/>
        <w:ind w:right="20"/>
        <w:spacing w:after="0" w:line="277" w:lineRule="auto"/>
        <w:rPr>
          <w:sz w:val="20"/>
          <w:szCs w:val="20"/>
          <w:color w:val="auto"/>
        </w:rPr>
      </w:pPr>
      <w:r>
        <w:rPr>
          <w:rFonts w:ascii="Arial" w:cs="Arial" w:eastAsia="Arial" w:hAnsi="Arial"/>
          <w:sz w:val="18"/>
          <w:szCs w:val="18"/>
          <w:u w:val="single" w:color="auto"/>
          <w:color w:val="auto"/>
        </w:rPr>
        <w:t>Section 2.10(a)</w:t>
      </w:r>
      <w:r>
        <w:rPr>
          <w:rFonts w:ascii="Arial" w:cs="Arial" w:eastAsia="Arial" w:hAnsi="Arial"/>
          <w:sz w:val="18"/>
          <w:szCs w:val="18"/>
          <w:color w:val="auto"/>
        </w:rPr>
        <w:t>, bear interest for one day. Each determination by the Administrative Agent of an interest rate or fee hereunder shall be conclusive and binding for all purposes, absent manifest error.</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2.09 </w:t>
      </w:r>
      <w:r>
        <w:rPr>
          <w:rFonts w:ascii="Arial" w:cs="Arial" w:eastAsia="Arial" w:hAnsi="Arial"/>
          <w:sz w:val="17"/>
          <w:szCs w:val="17"/>
          <w:b w:val="1"/>
          <w:bCs w:val="1"/>
          <w:i w:val="1"/>
          <w:iCs w:val="1"/>
          <w:color w:val="auto"/>
        </w:rPr>
        <w:t>Evidence of Debt</w:t>
      </w:r>
      <w:r>
        <w:rPr>
          <w:rFonts w:ascii="Arial" w:cs="Arial" w:eastAsia="Arial" w:hAnsi="Arial"/>
          <w:sz w:val="17"/>
          <w:szCs w:val="17"/>
          <w:color w:val="auto"/>
        </w:rPr>
        <w:t xml:space="preserve">. The Credit Extensions made by each Lender shall be evidenced by one or more accounts or records maintained by such Lender and evidenced by one or more entries in the Register maintained by the Administrative Agent, in each case in the ordinary course of business. The accounts or records maintained by the Administrative Agent and each Lender shall be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b w:val="1"/>
          <w:bCs w:val="1"/>
          <w:i w:val="1"/>
          <w:iCs w:val="1"/>
          <w:color w:val="auto"/>
        </w:rPr>
        <w:t>Payments Generally; Administrative Agent's Clawback</w:t>
      </w:r>
      <w:r>
        <w:rPr>
          <w:rFonts w:ascii="Arial" w:cs="Arial" w:eastAsia="Arial" w:hAnsi="Arial"/>
          <w:sz w:val="17"/>
          <w:szCs w:val="17"/>
          <w:color w:val="auto"/>
        </w:rPr>
        <w:t>. (a) General. 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on computing interest or fees, as the case may be.</w:t>
      </w:r>
    </w:p>
    <w:p>
      <w:pPr>
        <w:spacing w:after="0" w:line="182" w:lineRule="exact"/>
        <w:rPr>
          <w:sz w:val="20"/>
          <w:szCs w:val="20"/>
          <w:color w:val="auto"/>
        </w:rPr>
      </w:pPr>
    </w:p>
    <w:p>
      <w:pPr>
        <w:jc w:val="both"/>
        <w:ind w:firstLine="656"/>
        <w:spacing w:after="0" w:line="285" w:lineRule="auto"/>
        <w:tabs>
          <w:tab w:leader="none" w:pos="1038"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reasonably determined by the Administrative Agent in accordance with banking industry rules on interbank compensation, plus any reasonable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77" w:lineRule="exact"/>
        <w:rPr>
          <w:rFonts w:ascii="Arial" w:cs="Arial" w:eastAsia="Arial" w:hAnsi="Arial"/>
          <w:sz w:val="16"/>
          <w:szCs w:val="16"/>
          <w:color w:val="auto"/>
        </w:rPr>
      </w:pPr>
    </w:p>
    <w:p>
      <w:pPr>
        <w:jc w:val="both"/>
        <w:ind w:left="660" w:firstLine="645"/>
        <w:spacing w:after="0" w:line="271" w:lineRule="auto"/>
        <w:tabs>
          <w:tab w:leader="none" w:pos="1722"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Payments by Borrower; Presumptions by Administrative Agent</w:t>
      </w:r>
      <w:r>
        <w:rPr>
          <w:rFonts w:ascii="Arial" w:cs="Arial" w:eastAsia="Arial" w:hAnsi="Arial"/>
          <w:sz w:val="17"/>
          <w:szCs w:val="17"/>
          <w:color w:val="auto"/>
        </w:rPr>
        <w:t>. Unless the Administrative Agent shall have received notice from the Borrower prior to the time at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reasonably determined by the Administrative Agent in accordance with banking industry rules on interbank compensation.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72" w:name="page73"/>
    <w:bookmarkEnd w:id="72"/>
    <w:p>
      <w:pPr>
        <w:ind w:firstLine="648"/>
        <w:spacing w:after="0" w:line="277" w:lineRule="auto"/>
        <w:rPr>
          <w:sz w:val="20"/>
          <w:szCs w:val="20"/>
          <w:color w:val="auto"/>
        </w:rPr>
      </w:pPr>
      <w:r>
        <w:rPr>
          <w:rFonts w:ascii="Arial" w:cs="Arial" w:eastAsia="Arial" w:hAnsi="Arial"/>
          <w:sz w:val="18"/>
          <w:szCs w:val="18"/>
          <w:color w:val="auto"/>
        </w:rPr>
        <w:t xml:space="preserve">A notice of the Administrative Agent to any Lender or the Borrower with respect to any amount owing under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shall be conclusive, absent manifest error.</w:t>
      </w:r>
    </w:p>
    <w:p>
      <w:pPr>
        <w:spacing w:after="0" w:line="170" w:lineRule="exact"/>
        <w:rPr>
          <w:sz w:val="20"/>
          <w:szCs w:val="20"/>
          <w:color w:val="auto"/>
        </w:rPr>
      </w:pPr>
    </w:p>
    <w:p>
      <w:pPr>
        <w:jc w:val="both"/>
        <w:ind w:firstLine="656"/>
        <w:spacing w:after="0" w:line="279" w:lineRule="auto"/>
        <w:tabs>
          <w:tab w:leader="none" w:pos="1082"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Administrative Agent funds for any Loan to be made by such Lender as provided in the foregoing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funds are not made available to the Borrower by the Administrative Agent because the conditions to the applicable Credit Extension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171" w:lineRule="exact"/>
        <w:rPr>
          <w:rFonts w:ascii="Arial" w:cs="Arial" w:eastAsia="Arial" w:hAnsi="Arial"/>
          <w:sz w:val="17"/>
          <w:szCs w:val="17"/>
          <w:color w:val="auto"/>
        </w:rPr>
      </w:pPr>
    </w:p>
    <w:p>
      <w:pPr>
        <w:jc w:val="both"/>
        <w:ind w:firstLine="656"/>
        <w:spacing w:after="0" w:line="259" w:lineRule="auto"/>
        <w:tabs>
          <w:tab w:leader="none" w:pos="106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Loans and to make payments pursuant to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are several and not joint. The failure of any Lender to make any Loan or to make any payment under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8"/>
          <w:szCs w:val="18"/>
          <w:u w:val="single" w:color="auto"/>
          <w:color w:val="auto"/>
        </w:rPr>
        <w:t>Section 10.04(c)</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656"/>
        <w:spacing w:after="0" w:line="308" w:lineRule="auto"/>
        <w:tabs>
          <w:tab w:leader="none" w:pos="1028"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Funding Source</w:t>
      </w:r>
      <w:r>
        <w:rPr>
          <w:rFonts w:ascii="Arial" w:cs="Arial" w:eastAsia="Arial" w:hAnsi="Arial"/>
          <w:sz w:val="17"/>
          <w:szCs w:val="17"/>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46" w:lineRule="exact"/>
        <w:rPr>
          <w:rFonts w:ascii="Arial" w:cs="Arial" w:eastAsia="Arial" w:hAnsi="Arial"/>
          <w:sz w:val="17"/>
          <w:szCs w:val="17"/>
          <w:color w:val="auto"/>
        </w:rPr>
      </w:pPr>
    </w:p>
    <w:p>
      <w:pPr>
        <w:jc w:val="both"/>
        <w:ind w:firstLine="656"/>
        <w:spacing w:after="0" w:line="279" w:lineRule="auto"/>
        <w:tabs>
          <w:tab w:leader="none" w:pos="1089"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Insufficient Funds</w:t>
      </w:r>
      <w:r>
        <w:rPr>
          <w:rFonts w:ascii="Arial" w:cs="Arial" w:eastAsia="Arial" w:hAnsi="Arial"/>
          <w:sz w:val="17"/>
          <w:szCs w:val="17"/>
          <w:color w:val="auto"/>
        </w:rPr>
        <w:t xml:space="preserve">. If at any time insufficient funds are received by and available to the Administrative Agent to pay fully all amounts of principal, interest and fees then due hereunder, such funds shall be applied (i)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17"/>
          <w:szCs w:val="17"/>
          <w:u w:val="single" w:color="auto"/>
          <w:color w:val="auto"/>
        </w:rPr>
        <w:t>second</w:t>
      </w:r>
      <w:r>
        <w:rPr>
          <w:rFonts w:ascii="Arial" w:cs="Arial" w:eastAsia="Arial" w:hAnsi="Arial"/>
          <w:sz w:val="17"/>
          <w:szCs w:val="17"/>
          <w:color w:val="auto"/>
        </w:rPr>
        <w:t>, toward payment of principal then due hereunder, ratably among the parties entitled thereto in accordance with the amounts of principal then due to such parties.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b w:val="1"/>
          <w:bCs w:val="1"/>
          <w:i w:val="1"/>
          <w:iCs w:val="1"/>
          <w:color w:val="auto"/>
        </w:rPr>
        <w:t>Sharing of Payments by Lenders</w:t>
      </w:r>
      <w:r>
        <w:rPr>
          <w:rFonts w:ascii="Arial" w:cs="Arial" w:eastAsia="Arial" w:hAnsi="Arial"/>
          <w:sz w:val="17"/>
          <w:szCs w:val="17"/>
          <w:color w:val="auto"/>
        </w:rPr>
        <w:t>. If any Lender shall, by exercising any right of setoff or counterclaim or otherwise, obtain payment in respect of (a) Obligations in respect of any Facility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Parties at such time) of payment on account of the Obligations in respect of the Facilities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provided that:</w:t>
      </w:r>
    </w:p>
    <w:p>
      <w:pPr>
        <w:spacing w:after="0" w:line="185" w:lineRule="exact"/>
        <w:rPr>
          <w:sz w:val="20"/>
          <w:szCs w:val="20"/>
          <w:color w:val="auto"/>
        </w:rPr>
      </w:pPr>
    </w:p>
    <w:p>
      <w:pPr>
        <w:ind w:left="660" w:firstLine="645"/>
        <w:spacing w:after="0" w:line="277" w:lineRule="auto"/>
        <w:tabs>
          <w:tab w:leader="none" w:pos="1671"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716"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provisions of this Section shall not be construed to apply to (A) any payment made by the Borrower pursuant to and in accordance with the express terms of this Agreement, (B) any payment obtained by a Lender as consideration for the assignment of or sale of a participation in any of its Loans to any assignee or participant, other than to the Borrower or any Subsidiary thereof (as to which the provisions of this Section shall apply) or (C) the incurrence of any Additional Loans in accordance with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73" w:name="page74"/>
    <w:bookmarkEnd w:id="73"/>
    <w:p>
      <w:pPr>
        <w:jc w:val="both"/>
        <w:ind w:firstLine="648"/>
        <w:spacing w:after="0" w:line="255"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i w:val="1"/>
          <w:iCs w:val="1"/>
          <w:color w:val="auto"/>
        </w:rPr>
        <w:t>Increase in Facility</w:t>
      </w:r>
      <w:r>
        <w:rPr>
          <w:rFonts w:ascii="Arial" w:cs="Arial" w:eastAsia="Arial" w:hAnsi="Arial"/>
          <w:sz w:val="18"/>
          <w:szCs w:val="18"/>
          <w:color w:val="auto"/>
        </w:rPr>
        <w:t>. (a) Request for Increase. Upon notice to the Administrative Agent (which shall promptly notify the Lenders), at any time after the Restatement Date, the Borrower may request additional Commitments (each an “</w:t>
      </w:r>
      <w:r>
        <w:rPr>
          <w:rFonts w:ascii="Arial" w:cs="Arial" w:eastAsia="Arial" w:hAnsi="Arial"/>
          <w:sz w:val="18"/>
          <w:szCs w:val="18"/>
          <w:u w:val="single" w:color="auto"/>
          <w:color w:val="auto"/>
        </w:rPr>
        <w:t>Additional Commitment</w:t>
      </w:r>
      <w:r>
        <w:rPr>
          <w:rFonts w:ascii="Arial" w:cs="Arial" w:eastAsia="Arial" w:hAnsi="Arial"/>
          <w:sz w:val="18"/>
          <w:szCs w:val="18"/>
          <w:color w:val="auto"/>
        </w:rPr>
        <w:t>” and all of them, collectively, the “</w:t>
      </w:r>
      <w:r>
        <w:rPr>
          <w:rFonts w:ascii="Arial" w:cs="Arial" w:eastAsia="Arial" w:hAnsi="Arial"/>
          <w:sz w:val="18"/>
          <w:szCs w:val="18"/>
          <w:u w:val="single" w:color="auto"/>
          <w:color w:val="auto"/>
        </w:rPr>
        <w:t>Additional Commitments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addition shall be in an aggregate amount of not less than $25,000,000 or any whole multiple of $5,000,000 in excess thereof. Any loans made in respect of any such Additional Commitments (the “</w:t>
      </w:r>
      <w:r>
        <w:rPr>
          <w:rFonts w:ascii="Arial" w:cs="Arial" w:eastAsia="Arial" w:hAnsi="Arial"/>
          <w:sz w:val="18"/>
          <w:szCs w:val="18"/>
          <w:u w:val="single" w:color="auto"/>
          <w:color w:val="auto"/>
        </w:rPr>
        <w:t>Additional Loans</w:t>
      </w:r>
      <w:r>
        <w:rPr>
          <w:rFonts w:ascii="Arial" w:cs="Arial" w:eastAsia="Arial" w:hAnsi="Arial"/>
          <w:sz w:val="18"/>
          <w:szCs w:val="18"/>
          <w:color w:val="auto"/>
        </w:rPr>
        <w:t>”) may be made, at the option of the Borrower, by either (i) increasing the Commitments with the same terms (including pricing) as the existing Loans, or (ii) creating a new tranche of terms loans (an “</w:t>
      </w:r>
      <w:r>
        <w:rPr>
          <w:rFonts w:ascii="Arial" w:cs="Arial" w:eastAsia="Arial" w:hAnsi="Arial"/>
          <w:sz w:val="18"/>
          <w:szCs w:val="18"/>
          <w:u w:val="single" w:color="auto"/>
          <w:color w:val="auto"/>
        </w:rPr>
        <w:t>Additional Loan Tranche</w:t>
      </w:r>
      <w:r>
        <w:rPr>
          <w:rFonts w:ascii="Arial" w:cs="Arial" w:eastAsia="Arial" w:hAnsi="Arial"/>
          <w:sz w:val="18"/>
          <w:szCs w:val="18"/>
          <w:color w:val="auto"/>
        </w:rPr>
        <w:t>”).</w:t>
      </w:r>
    </w:p>
    <w:p>
      <w:pPr>
        <w:spacing w:after="0" w:line="193" w:lineRule="exact"/>
        <w:rPr>
          <w:sz w:val="20"/>
          <w:szCs w:val="20"/>
          <w:color w:val="auto"/>
        </w:rPr>
      </w:pPr>
    </w:p>
    <w:p>
      <w:pPr>
        <w:jc w:val="both"/>
        <w:ind w:firstLine="1305"/>
        <w:spacing w:after="0" w:line="288" w:lineRule="auto"/>
        <w:tabs>
          <w:tab w:leader="none" w:pos="1754"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Ranking and Other Provisions</w:t>
      </w:r>
      <w:r>
        <w:rPr>
          <w:rFonts w:ascii="Arial" w:cs="Arial" w:eastAsia="Arial" w:hAnsi="Arial"/>
          <w:sz w:val="16"/>
          <w:szCs w:val="16"/>
          <w:color w:val="auto"/>
        </w:rPr>
        <w:t>. The Additional Loans (i) shall rank pari passu or junior in right of payment and in respect of lien priority as to the Collateral with the outstanding Loans, (ii) shall not have a weighted average life that is shorter than the weighted average life of the outstanding Loans, (iii) shall not mature earlier than the Maturity Date (but such Additional Loans may have nominal amortization prior to such date), and</w:t>
      </w:r>
    </w:p>
    <w:p>
      <w:pPr>
        <w:jc w:val="both"/>
        <w:ind w:firstLine="8"/>
        <w:spacing w:after="0" w:line="281" w:lineRule="auto"/>
        <w:tabs>
          <w:tab w:leader="none" w:pos="309"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except as set forth above, shall be treated substantially the same as (and in any event no more favorably than) the outstanding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Applicable Rate (which, for such purposes only, shall be deemed to include all upfront or similar fees or original issue discount payable to all Lenders providing such Additional Loans, but not arranger fees, and taking into account any Base Rate or Eurodollar Rate floor) relating to any Additional Loan exceeds the Applicable Rate (which, for such purposes only, shall be deemed to include all upfront or similar fees or original issue discount payable to all Lenders providing the outstanding Loans and taking into account any Base Rate or Eurodollar Rate floor) relating to the outstanding Loans immediately prior to the effectiveness of the applicable Additional Facility Amendment by more than 0.50%, the Applicable Rate relating to the outstanding Loans shall be adjusted to be equal to the Applicable Rate (which, for such purposes only, shall be deemed to include all upfront or similar fees or original issue discount payable to all Lenders providing such Additional Loans and taking into account any Base Rate or Eurodollar Rate floor) relating to such Additional Loans minus 0.50%,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initial yield on any Additional Loans shall be determined by the Administrative Agent to be equal to the sum of (x) the applicable margin for the Additional Loans that bear interest based on the Eurodollar Rate and (y) if the Additional Loans are originally advanced at a discount or the Lenders making the same receive a fee directly or indirectly from any company for doing so (the amount of such discount or fee, expressed as a percentage of the Additional Loans, being referred to herein as “</w:t>
      </w:r>
      <w:r>
        <w:rPr>
          <w:rFonts w:ascii="Arial" w:cs="Arial" w:eastAsia="Arial" w:hAnsi="Arial"/>
          <w:sz w:val="16"/>
          <w:szCs w:val="16"/>
          <w:u w:val="single" w:color="auto"/>
          <w:color w:val="auto"/>
        </w:rPr>
        <w:t>Additional Loan OID</w:t>
      </w:r>
      <w:r>
        <w:rPr>
          <w:rFonts w:ascii="Arial" w:cs="Arial" w:eastAsia="Arial" w:hAnsi="Arial"/>
          <w:sz w:val="16"/>
          <w:szCs w:val="16"/>
          <w:color w:val="auto"/>
        </w:rPr>
        <w:t>”), the amount of such Additional Loan OID divided by the lesser of</w:t>
      </w:r>
    </w:p>
    <w:p>
      <w:pPr>
        <w:spacing w:after="0" w:line="8" w:lineRule="exact"/>
        <w:rPr>
          <w:rFonts w:ascii="Arial" w:cs="Arial" w:eastAsia="Arial" w:hAnsi="Arial"/>
          <w:sz w:val="16"/>
          <w:szCs w:val="16"/>
          <w:color w:val="auto"/>
        </w:rPr>
      </w:pPr>
    </w:p>
    <w:p>
      <w:pPr>
        <w:jc w:val="both"/>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(A) the average life to maturity of the Additional Loans and (B) four;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terms and conditions applicable to such Additional Loans may provide for any additional or different financial or other covenants or other provisions that are agreed upon between the Borrower and the relevant Additional Lenders and that are applicable only during periods after the latest Maturity Date that are in effect at the time such Additional Loans are incurred.</w:t>
      </w:r>
    </w:p>
    <w:p>
      <w:pPr>
        <w:spacing w:after="0" w:line="155" w:lineRule="exact"/>
        <w:rPr>
          <w:rFonts w:ascii="Arial" w:cs="Arial" w:eastAsia="Arial" w:hAnsi="Arial"/>
          <w:sz w:val="16"/>
          <w:szCs w:val="16"/>
          <w:color w:val="auto"/>
        </w:rPr>
      </w:pPr>
    </w:p>
    <w:p>
      <w:pPr>
        <w:jc w:val="both"/>
        <w:ind w:firstLine="1305"/>
        <w:spacing w:after="0" w:line="268" w:lineRule="auto"/>
        <w:tabs>
          <w:tab w:leader="none" w:pos="1703"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Notices; Lender Elections</w:t>
      </w:r>
      <w:r>
        <w:rPr>
          <w:rFonts w:ascii="Arial" w:cs="Arial" w:eastAsia="Arial" w:hAnsi="Arial"/>
          <w:sz w:val="17"/>
          <w:szCs w:val="17"/>
          <w:color w:val="auto"/>
        </w:rPr>
        <w:t>. Each notice from the Borrower pursuant to this Section shall set forth the requested amount and proposed terms of the Additional Commitments. Additional Loans (or any portion thereof) may be made by any existing Lender or by any other bank or investing entity that is an Eligible Assignee (any such bank or other financial institution, together with any existing Lenders making any Additional Loans, the “</w:t>
      </w:r>
      <w:r>
        <w:rPr>
          <w:rFonts w:ascii="Arial" w:cs="Arial" w:eastAsia="Arial" w:hAnsi="Arial"/>
          <w:sz w:val="17"/>
          <w:szCs w:val="17"/>
          <w:u w:val="single" w:color="auto"/>
          <w:color w:val="auto"/>
        </w:rPr>
        <w:t>Additional Lenders</w:t>
      </w:r>
      <w:r>
        <w:rPr>
          <w:rFonts w:ascii="Arial" w:cs="Arial" w:eastAsia="Arial" w:hAnsi="Arial"/>
          <w:sz w:val="17"/>
          <w:szCs w:val="17"/>
          <w:color w:val="auto"/>
        </w:rPr>
        <w:t xml:space="preserve">”), in each case on terms permitted in this Section and otherwise on terms reasonably acceptable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have consented (not to be unreasonably withheld) to such Additional Lender's making such Additional Loans if such consent would be required under </w:t>
      </w: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for an assignment of Loans to such Additional Lender. At the time of the sending of such notice, the Borrower (in consultation with the Administrative Agent) shall specify the time period within which each Lender is requested to respond (which shall in no event be less than ten Business Days from the date of delivery of such notice to the Lenders). No Lender shall be obligated to provide any Additional Loans, unless it so agrees. Each Lender shall notify the Administrative Agent within such time period whether or not it agrees to provide an Additional Commitment and, if so, whether by an amount equal to, greater than, or less than its ratable portion (based on such Lender's Applicable Percentage in respect of the existing Facilities) of such requested increase. Any Lender not responding within such time period shall be deemed to have declined to provide an Additional Commitment. The Administrative Agent shall notify the Borrower and each Lender of the Lenders' responses to each request made hereunder. To achieve the full amount of a requested increase, the Borrower may also invite additional Eligible Assignees to become Lenders pursuant to an accession agreement in form and substance reasonably satisfactory to the Administrative Agent and its counsel.</w:t>
      </w:r>
    </w:p>
    <w:p>
      <w:pPr>
        <w:spacing w:after="0" w:line="185" w:lineRule="exact"/>
        <w:rPr>
          <w:rFonts w:ascii="Arial" w:cs="Arial" w:eastAsia="Arial" w:hAnsi="Arial"/>
          <w:sz w:val="17"/>
          <w:szCs w:val="17"/>
          <w:color w:val="auto"/>
        </w:rPr>
      </w:pPr>
    </w:p>
    <w:p>
      <w:pPr>
        <w:jc w:val="both"/>
        <w:ind w:firstLine="1305"/>
        <w:spacing w:after="0" w:line="297" w:lineRule="auto"/>
        <w:tabs>
          <w:tab w:leader="none" w:pos="1767"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Additional Facility Amendment</w:t>
      </w:r>
      <w:r>
        <w:rPr>
          <w:rFonts w:ascii="Arial" w:cs="Arial" w:eastAsia="Arial" w:hAnsi="Arial"/>
          <w:sz w:val="16"/>
          <w:szCs w:val="16"/>
          <w:color w:val="auto"/>
        </w:rPr>
        <w:t>. Commitments in respect of any Additional Commitments shall become Commitments under this Agreement pursuant to an amendment (an “</w:t>
      </w:r>
      <w:r>
        <w:rPr>
          <w:rFonts w:ascii="Arial" w:cs="Arial" w:eastAsia="Arial" w:hAnsi="Arial"/>
          <w:sz w:val="16"/>
          <w:szCs w:val="16"/>
          <w:u w:val="single" w:color="auto"/>
          <w:color w:val="auto"/>
        </w:rPr>
        <w:t>Additional Facility Amendment</w:t>
      </w:r>
      <w:r>
        <w:rPr>
          <w:rFonts w:ascii="Arial" w:cs="Arial" w:eastAsia="Arial" w:hAnsi="Arial"/>
          <w:sz w:val="16"/>
          <w:szCs w:val="16"/>
          <w:color w:val="auto"/>
        </w:rPr>
        <w:t>”) to this Agreement and, as appropriate, the other Loan Documents, executed by the Borrower, the other Loan Parties, each Additional Lender and the Administrative Agent. An Additional Facility Amendment may, without the consent of any other Lenders, effect such amendments to any Loan Documents as may be necessary or appropriate, in the opinion of the Administrative Agent, to effect the provisions of this Section. Upon execution, the Administrative Agent shall provide a copy of any Additional Facility Amendment to all Lenders.</w:t>
      </w:r>
    </w:p>
    <w:p>
      <w:pPr>
        <w:spacing w:after="0" w:line="158" w:lineRule="exact"/>
        <w:rPr>
          <w:rFonts w:ascii="Arial" w:cs="Arial" w:eastAsia="Arial" w:hAnsi="Arial"/>
          <w:sz w:val="16"/>
          <w:szCs w:val="16"/>
          <w:color w:val="auto"/>
        </w:rPr>
      </w:pPr>
    </w:p>
    <w:p>
      <w:pPr>
        <w:ind w:firstLine="1305"/>
        <w:spacing w:after="0" w:line="277" w:lineRule="auto"/>
        <w:tabs>
          <w:tab w:leader="none" w:pos="173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Effective Date and Allocations</w:t>
      </w:r>
      <w:r>
        <w:rPr>
          <w:rFonts w:ascii="Arial" w:cs="Arial" w:eastAsia="Arial" w:hAnsi="Arial"/>
          <w:sz w:val="18"/>
          <w:szCs w:val="18"/>
          <w:color w:val="auto"/>
        </w:rPr>
        <w:t xml:space="preserve">. If any Additional Commitments are added in accordance with this </w:t>
      </w:r>
      <w:r>
        <w:rPr>
          <w:rFonts w:ascii="Arial" w:cs="Arial" w:eastAsia="Arial" w:hAnsi="Arial"/>
          <w:sz w:val="18"/>
          <w:szCs w:val="18"/>
          <w:u w:val="single" w:color="auto"/>
          <w:color w:val="auto"/>
        </w:rPr>
        <w:t>Section 2.12</w:t>
      </w:r>
      <w:r>
        <w:rPr>
          <w:rFonts w:ascii="Arial" w:cs="Arial" w:eastAsia="Arial" w:hAnsi="Arial"/>
          <w:sz w:val="18"/>
          <w:szCs w:val="18"/>
          <w:color w:val="auto"/>
        </w:rPr>
        <w:t>, the Administrative Agent and the Borrower shall determine the effective date (the “</w:t>
      </w:r>
      <w:r>
        <w:rPr>
          <w:rFonts w:ascii="Arial" w:cs="Arial" w:eastAsia="Arial" w:hAnsi="Arial"/>
          <w:sz w:val="18"/>
          <w:szCs w:val="18"/>
          <w:u w:val="single" w:color="auto"/>
          <w:color w:val="auto"/>
        </w:rPr>
        <w:t>Additional Commitments Effective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74" w:name="page75"/>
    <w:bookmarkEnd w:id="74"/>
    <w:p>
      <w:pPr>
        <w:spacing w:after="0" w:line="277" w:lineRule="auto"/>
        <w:rPr>
          <w:sz w:val="20"/>
          <w:szCs w:val="20"/>
          <w:color w:val="auto"/>
        </w:rPr>
      </w:pPr>
      <w:r>
        <w:rPr>
          <w:rFonts w:ascii="Arial" w:cs="Arial" w:eastAsia="Arial" w:hAnsi="Arial"/>
          <w:sz w:val="18"/>
          <w:szCs w:val="18"/>
          <w:u w:val="single" w:color="auto"/>
          <w:color w:val="auto"/>
        </w:rPr>
        <w:t>Date</w:t>
      </w:r>
      <w:r>
        <w:rPr>
          <w:rFonts w:ascii="Arial" w:cs="Arial" w:eastAsia="Arial" w:hAnsi="Arial"/>
          <w:sz w:val="18"/>
          <w:szCs w:val="18"/>
          <w:color w:val="auto"/>
        </w:rPr>
        <w:t>”) and the final allocation of such addition. The Administrative Agent shall promptly notify the Borrower and the Additional Lenders of the final allocation of such addition and the Additional Commitments Effective Date.</w:t>
      </w:r>
    </w:p>
    <w:p>
      <w:pPr>
        <w:spacing w:after="0" w:line="170" w:lineRule="exact"/>
        <w:rPr>
          <w:sz w:val="20"/>
          <w:szCs w:val="20"/>
          <w:color w:val="auto"/>
        </w:rPr>
      </w:pPr>
    </w:p>
    <w:p>
      <w:pPr>
        <w:jc w:val="both"/>
        <w:ind w:firstLine="1305"/>
        <w:spacing w:after="0" w:line="264" w:lineRule="auto"/>
        <w:tabs>
          <w:tab w:leader="none" w:pos="167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Increase</w:t>
      </w:r>
      <w:r>
        <w:rPr>
          <w:rFonts w:ascii="Arial" w:cs="Arial" w:eastAsia="Arial" w:hAnsi="Arial"/>
          <w:sz w:val="18"/>
          <w:szCs w:val="18"/>
          <w:color w:val="auto"/>
        </w:rPr>
        <w:t>. The effectiveness of any Additional Facility Amendment shall, unless otherwise agreed to by the Administrative Agent and each Additional Lender, be subject to the satisfaction on the date thereof (each, an “</w:t>
      </w:r>
      <w:r>
        <w:rPr>
          <w:rFonts w:ascii="Arial" w:cs="Arial" w:eastAsia="Arial" w:hAnsi="Arial"/>
          <w:sz w:val="18"/>
          <w:szCs w:val="18"/>
          <w:u w:val="single" w:color="auto"/>
          <w:color w:val="auto"/>
        </w:rPr>
        <w:t>Additional Facility Closing Date</w:t>
      </w:r>
      <w:r>
        <w:rPr>
          <w:rFonts w:ascii="Arial" w:cs="Arial" w:eastAsia="Arial" w:hAnsi="Arial"/>
          <w:sz w:val="18"/>
          <w:szCs w:val="18"/>
          <w:color w:val="auto"/>
        </w:rPr>
        <w:t>”) of each of the following conditions:</w:t>
      </w:r>
    </w:p>
    <w:p>
      <w:pPr>
        <w:spacing w:after="0" w:line="181" w:lineRule="exact"/>
        <w:rPr>
          <w:sz w:val="20"/>
          <w:szCs w:val="20"/>
          <w:color w:val="auto"/>
        </w:rPr>
      </w:pPr>
    </w:p>
    <w:p>
      <w:pPr>
        <w:jc w:val="both"/>
        <w:ind w:left="660" w:firstLine="645"/>
        <w:spacing w:after="0" w:line="255" w:lineRule="auto"/>
        <w:tabs>
          <w:tab w:leader="none" w:pos="16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Administrative Agent shall have received on or prior to the Additional Facility Closing Date each of the following, each dated the applicable Additional Facility Closing Date unless otherwise indicated or agreed to by the Administrative Agent and each in form and substance reasonably satisfactory to the Administrative Agent: (A) the applicable Additional Facility Amendment; (B) certified copies of resolutions of the Board of Directors of the Borrower approving the execution, delivery and performance of the Additional Facility Amendment; and (C) a favorable opinion of counsel for the Loan Parties dated the Additional Facility Closing Date, to the extent requested by the Administrative Agent addressed to the Administrative Agent and the Lenders (including the Additional Lenders) and in form and substance and from counsel reasonably satisfactory to the Administrative Agent;</w:t>
      </w:r>
    </w:p>
    <w:p>
      <w:pPr>
        <w:spacing w:after="0" w:line="189" w:lineRule="exact"/>
        <w:rPr>
          <w:rFonts w:ascii="Arial" w:cs="Arial" w:eastAsia="Arial" w:hAnsi="Arial"/>
          <w:sz w:val="18"/>
          <w:szCs w:val="18"/>
          <w:color w:val="auto"/>
        </w:rPr>
      </w:pPr>
    </w:p>
    <w:p>
      <w:pPr>
        <w:jc w:val="both"/>
        <w:ind w:left="660" w:firstLine="645"/>
        <w:spacing w:after="0" w:line="288" w:lineRule="auto"/>
        <w:tabs>
          <w:tab w:leader="none" w:pos="1781"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(A) the conditions precedent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shall have been satisfied both before and after giving effect to such Additional Facility Amendment and the additional Credit Extensions provided thereby, (B) such increase shall be made on the terms and conditions provided for above and (C) both before and after giving effect to such Additional Facility Amendment and the additional Extensions of Credit provided thereby,</w:t>
      </w:r>
    </w:p>
    <w:p>
      <w:pPr>
        <w:jc w:val="both"/>
        <w:ind w:left="660" w:hanging="4"/>
        <w:spacing w:after="0" w:line="253" w:lineRule="auto"/>
        <w:tabs>
          <w:tab w:leader="none" w:pos="919"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Consolidated Leverage Ratio on a pro forma basis (determined as of the last day of the most recently ended fiscal quarter for which financial statements were required to have been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shall not exceed 3.50 to 1.00 and (y) the Borrower and its Subsidiaries shall be in pro forma compliance (determined on a pro forma basis as of the last day of the most recently ended fiscal quarter for which financial statements were required to have been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with the other financial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and</w:t>
      </w:r>
    </w:p>
    <w:p>
      <w:pPr>
        <w:spacing w:after="0" w:line="191" w:lineRule="exact"/>
        <w:rPr>
          <w:rFonts w:ascii="Arial" w:cs="Arial" w:eastAsia="Arial" w:hAnsi="Arial"/>
          <w:sz w:val="18"/>
          <w:szCs w:val="18"/>
          <w:color w:val="auto"/>
        </w:rPr>
      </w:pPr>
    </w:p>
    <w:p>
      <w:pPr>
        <w:jc w:val="both"/>
        <w:ind w:left="660" w:firstLine="645"/>
        <w:spacing w:after="0" w:line="259" w:lineRule="auto"/>
        <w:tabs>
          <w:tab w:leader="none" w:pos="17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there shall have been paid to the Administrative Agent, for the account of the Administrative Agent and the Lenders (including any Person becoming a Lender as part of such Additional Facility Amendment on the related Additional Facility Closing Date), as applicable, all fees and expenses (including reasonable out-of-pocket fees, charges and disbursements of counsel) that are due and payable on or before the Additional Facility Date.</w:t>
      </w:r>
    </w:p>
    <w:p>
      <w:pPr>
        <w:spacing w:after="0" w:line="187" w:lineRule="exact"/>
        <w:rPr>
          <w:sz w:val="20"/>
          <w:szCs w:val="20"/>
          <w:color w:val="auto"/>
        </w:rPr>
      </w:pPr>
    </w:p>
    <w:p>
      <w:pPr>
        <w:jc w:val="both"/>
        <w:ind w:firstLine="1305"/>
        <w:spacing w:after="0" w:line="276" w:lineRule="auto"/>
        <w:tabs>
          <w:tab w:leader="none" w:pos="1700"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Effect of Additional Facility Amendment</w:t>
      </w:r>
      <w:r>
        <w:rPr>
          <w:rFonts w:ascii="Arial" w:cs="Arial" w:eastAsia="Arial" w:hAnsi="Arial"/>
          <w:sz w:val="17"/>
          <w:szCs w:val="17"/>
          <w:color w:val="auto"/>
        </w:rPr>
        <w:t>. On each Additional Commitments Effective Date, each Lender or Eligible Assignee which is providing an Additional Commitment (i) shall become a “Lender” for all purposes of this Agreement and the other Loan Documents, (ii) shall have an Additional Commitment which shall become “Commitments” hereunder and (iii) shall make an Additional Loan to the Borrower in a principal amount equal to such Additional Commitment, and such Additional Loan shall be a “Loan” for all purposes of this Agreement and the other Loan Documents (except that the interest rate applicable to any Additional Loan under an Additional Loan Tranche may be higher).</w:t>
      </w:r>
    </w:p>
    <w:p>
      <w:pPr>
        <w:spacing w:after="0" w:line="172" w:lineRule="exact"/>
        <w:rPr>
          <w:rFonts w:ascii="Arial" w:cs="Arial" w:eastAsia="Arial" w:hAnsi="Arial"/>
          <w:sz w:val="17"/>
          <w:szCs w:val="17"/>
          <w:color w:val="auto"/>
        </w:rPr>
      </w:pPr>
    </w:p>
    <w:p>
      <w:pPr>
        <w:ind w:left="1020" w:hanging="364"/>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10.01</w:t>
      </w:r>
      <w:r>
        <w:rPr>
          <w:rFonts w:ascii="Arial" w:cs="Arial" w:eastAsia="Arial" w:hAnsi="Arial"/>
          <w:sz w:val="18"/>
          <w:szCs w:val="18"/>
          <w:color w:val="auto"/>
        </w:rPr>
        <w:t xml:space="preserve"> to the contrary.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t>ARTICLE III</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TAXES, YIELD PROTECTION AND ILLEGALITY</w:t>
      </w:r>
    </w:p>
    <w:p>
      <w:pPr>
        <w:spacing w:after="0" w:line="21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3.01 </w:t>
      </w:r>
      <w:r>
        <w:rPr>
          <w:rFonts w:ascii="Arial" w:cs="Arial" w:eastAsia="Arial" w:hAnsi="Arial"/>
          <w:sz w:val="16"/>
          <w:szCs w:val="16"/>
          <w:b w:val="1"/>
          <w:bCs w:val="1"/>
          <w:i w:val="1"/>
          <w:iCs w:val="1"/>
          <w:color w:val="auto"/>
        </w:rPr>
        <w:t>Taxes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Payments Free of Taxes; Obligation to Withhold; Payments on Account of Taxes</w:t>
      </w:r>
      <w:r>
        <w:rPr>
          <w:rFonts w:ascii="Arial" w:cs="Arial" w:eastAsia="Arial" w:hAnsi="Arial"/>
          <w:sz w:val="16"/>
          <w:szCs w:val="16"/>
          <w:color w:val="auto"/>
        </w:rPr>
        <w:t>. (i) Any and all payments by or on account of any obligation of the Borrower hereunder or under any other Loan Document shall to the extent permitted by applicable Laws be made free and clear of and without deduction or withholding for any Taxes. If, however, applicable Laws require the Borrower or the Administrative Agent to withhold or deduct any Tax, such Tax shall be withheld or deducted in accordance with such Laws as determined by the Borrower or the Administrative Agent, as the case may be.</w:t>
      </w:r>
    </w:p>
    <w:p>
      <w:pPr>
        <w:spacing w:after="0" w:line="154" w:lineRule="exact"/>
        <w:rPr>
          <w:sz w:val="20"/>
          <w:szCs w:val="20"/>
          <w:color w:val="auto"/>
        </w:rPr>
      </w:pPr>
    </w:p>
    <w:p>
      <w:pPr>
        <w:jc w:val="both"/>
        <w:ind w:left="660" w:firstLine="645"/>
        <w:spacing w:after="0" w:line="271" w:lineRule="auto"/>
        <w:tabs>
          <w:tab w:leader="none" w:pos="1762" w:val="left"/>
        </w:tabs>
        <w:numPr>
          <w:ilvl w:val="1"/>
          <w:numId w:val="48"/>
        </w:numPr>
        <w:rPr>
          <w:rFonts w:ascii="Arial" w:cs="Arial" w:eastAsia="Arial" w:hAnsi="Arial"/>
          <w:sz w:val="17"/>
          <w:szCs w:val="17"/>
          <w:color w:val="auto"/>
        </w:rPr>
      </w:pPr>
      <w:r>
        <w:rPr>
          <w:rFonts w:ascii="Arial" w:cs="Arial" w:eastAsia="Arial" w:hAnsi="Arial"/>
          <w:sz w:val="17"/>
          <w:szCs w:val="17"/>
          <w:color w:val="auto"/>
        </w:rPr>
        <w:t>If the Borrower or the Administrative Agent shall be required by the Code to withhold or deduct any Taxes, including both United States federal backup withholding and withholding taxes, from any payment, then (A) the Borrower or Administrative Agent shall withhold or make such deductions as are determined by the Administrative Agent to be required, (B) the Borrower or Administrative Agent shall timely pay the full amount withheld or deducted to the relevant Governmental Authority in accordance with the Code or other applicable Tax laws, and (C) to the extent that the withholding or deduction is made on account of Indemnified Taxes or Other Taxes, the sum payable by the Borrower shall be increased as necessary so that after any required withholding or the making of all required deductions (including deductions applicable to additional sums payable under this Section) the Administrative Agent or Lender, as the case may be, receives an amount equal to the sum it would have received had no such withholding or deduction been made.</w:t>
      </w:r>
    </w:p>
    <w:p>
      <w:pPr>
        <w:spacing w:after="0" w:line="178" w:lineRule="exact"/>
        <w:rPr>
          <w:rFonts w:ascii="Arial" w:cs="Arial" w:eastAsia="Arial" w:hAnsi="Arial"/>
          <w:sz w:val="17"/>
          <w:szCs w:val="17"/>
          <w:color w:val="auto"/>
        </w:rPr>
      </w:pPr>
    </w:p>
    <w:p>
      <w:pPr>
        <w:ind w:firstLine="656"/>
        <w:spacing w:after="0" w:line="277" w:lineRule="auto"/>
        <w:tabs>
          <w:tab w:leader="none" w:pos="109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above, the Borrower shall timely pay any Other Taxes to the relevant Governmental Authority in accordance with applicable law.</w:t>
      </w:r>
    </w:p>
    <w:p>
      <w:pPr>
        <w:spacing w:after="0" w:line="170" w:lineRule="exact"/>
        <w:rPr>
          <w:rFonts w:ascii="Arial" w:cs="Arial" w:eastAsia="Arial" w:hAnsi="Arial"/>
          <w:sz w:val="18"/>
          <w:szCs w:val="18"/>
          <w:color w:val="auto"/>
        </w:rPr>
      </w:pPr>
    </w:p>
    <w:p>
      <w:pPr>
        <w:jc w:val="both"/>
        <w:ind w:firstLine="656"/>
        <w:spacing w:after="0" w:line="287" w:lineRule="auto"/>
        <w:tabs>
          <w:tab w:leader="none" w:pos="1082"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Tax Indemnifications</w:t>
      </w:r>
      <w:r>
        <w:rPr>
          <w:rFonts w:ascii="Arial" w:cs="Arial" w:eastAsia="Arial" w:hAnsi="Arial"/>
          <w:sz w:val="16"/>
          <w:szCs w:val="16"/>
          <w:color w:val="auto"/>
        </w:rPr>
        <w:t xml:space="preserve">. (i) Without limiting the provisions of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the Borrower shall, and does hereby indemnify the Administrative Agent and each Lender, and shall make payment in respect thereof within 30 days after written demand therefor, for the full amount of any Indemnified Taxes or Other Taxes (including Indemnified Taxes or Other Taxes imposed or asserted on or attributable to amounts payable under this Section) withheld or deducted by the Borrower or the Administrative Agent or paid by the Administrative Agent or such Lender, as the case may be, and any penalties, interest and reasonable out-of-pocket expenses arising therefrom or with respect thereto, whether or not such Indemnified Taxes or Other Taxes were correctly or legally imposed or asserted by the relevant Governmental Authority. The Borrower shall also, and does hereby indemnify the Administrative Agent, and shall make payment in respect thereof within 30 days after demand therefor, for any amount which a Lender for any reason fails to pay to the Administrative Agent as required by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this subsection. A certificate as to the amount of any such payment or liability delivered to the Borrower by a Lender (with a copy to the Administrative Agent), or by the Administrative Agent on its own behalf or on behalf of a Lender, shall be conclusive absent manifest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Administrative Agent, as the case may be, will, at the Borrower's request, provide the Borrower with a written statement thereof setting forth in reasonable detail the basis and calculation of such amounts, and shall include reasonable supporting documentation.</w:t>
      </w:r>
    </w:p>
    <w:p>
      <w:pPr>
        <w:spacing w:after="0" w:line="172" w:lineRule="exact"/>
        <w:rPr>
          <w:rFonts w:ascii="Arial" w:cs="Arial" w:eastAsia="Arial" w:hAnsi="Arial"/>
          <w:sz w:val="16"/>
          <w:szCs w:val="16"/>
          <w:color w:val="auto"/>
        </w:rPr>
      </w:pPr>
    </w:p>
    <w:p>
      <w:pPr>
        <w:jc w:val="both"/>
        <w:ind w:left="660" w:firstLine="645"/>
        <w:spacing w:after="0" w:line="288" w:lineRule="auto"/>
        <w:tabs>
          <w:tab w:leader="none" w:pos="1747"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Without limiting the provisions of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each Lender shall, and does hereby, indemnify the Borrower and the Administrative Agent, and shall make payment in respect thereof within 10 days after demand therefor, without duplication, against any and all Taxes and any and all related losses, claims, liabilities, penalties, interest and expenses (including the fees, charges and disbursements of any counsel for the Borrower or the Administrative Agent) incurred by or asserted against the Borrower or the Administrative Agent by any Governmental Authority as a result of the failure by such Lender, as the case may be, to deliver, or as a result of the inaccuracy, inadequacy or deficiency of, any documentation required to be delivered by such Lender, as the case may be, to the Borrower or the Administrative Agent pursuant to </w:t>
      </w:r>
      <w:r>
        <w:rPr>
          <w:rFonts w:ascii="Arial" w:cs="Arial" w:eastAsia="Arial" w:hAnsi="Arial"/>
          <w:sz w:val="16"/>
          <w:szCs w:val="16"/>
          <w:u w:val="single" w:color="auto"/>
          <w:color w:val="auto"/>
        </w:rPr>
        <w:t>subsection (e)</w:t>
      </w:r>
      <w:r>
        <w:rPr>
          <w:rFonts w:ascii="Arial" w:cs="Arial" w:eastAsia="Arial" w:hAnsi="Arial"/>
          <w:sz w:val="16"/>
          <w:szCs w:val="16"/>
          <w:color w:val="auto"/>
        </w:rPr>
        <w:t>. Each Lender hereby authorizes the Administrative Agent to set off and apply any and all amounts at any time owing to such Lender, as the case may be,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the termination of the Aggregate Commitments and the repayment, satisfaction or discharge of all other Obligations.</w:t>
      </w:r>
    </w:p>
    <w:p>
      <w:pPr>
        <w:spacing w:after="0" w:line="169" w:lineRule="exact"/>
        <w:rPr>
          <w:rFonts w:ascii="Arial" w:cs="Arial" w:eastAsia="Arial" w:hAnsi="Arial"/>
          <w:sz w:val="16"/>
          <w:szCs w:val="16"/>
          <w:color w:val="auto"/>
        </w:rPr>
      </w:pPr>
    </w:p>
    <w:p>
      <w:pPr>
        <w:jc w:val="both"/>
        <w:ind w:firstLine="656"/>
        <w:spacing w:after="0" w:line="257" w:lineRule="auto"/>
        <w:tabs>
          <w:tab w:leader="none" w:pos="109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the Borrower or the Administrative Agent, as the case may be, after any payment of Taxes by the Borrower or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76" w:name="page77"/>
    <w:bookmarkEnd w:id="76"/>
    <w:p>
      <w:pPr>
        <w:jc w:val="both"/>
        <w:ind w:firstLine="656"/>
        <w:spacing w:after="0" w:line="271" w:lineRule="auto"/>
        <w:tabs>
          <w:tab w:leader="none" w:pos="1136"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Status of Lenders; Tax Documentation</w:t>
      </w:r>
      <w:r>
        <w:rPr>
          <w:rFonts w:ascii="Arial" w:cs="Arial" w:eastAsia="Arial" w:hAnsi="Arial"/>
          <w:sz w:val="17"/>
          <w:szCs w:val="17"/>
          <w:color w:val="auto"/>
        </w:rPr>
        <w:t xml:space="preserve">. (i) Upon written request of the Borrower, each Lender shall deliver to the Borrower and to the Administrative Agent, at the time or times prescribed by applicable Laws or when reasonably requested by the Borrower or the Administrative Agent, such properly completed and executed documentation prescribed by applicable Laws or by the taxing authorities of any jurisdiction and such other reasonably requested information as will permit the Borrower or the Administrative Agent, as the case may be, to determine (A) whether or not payments made hereunder or under any other Loan Document are subject to Taxes, (B) if applicable, the required rate of withholding or deduction, and (C) such Lender's entitlement to any available exemption from, or reduction of, applicable Taxes in respect of all payments to be made to such Lender by the Borrower pursuant to this Agreement or otherwise to establish such Lender's status for withholding tax purposes in the applicable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Lender shall be required to provide any form that it is not legally able to deliver.</w:t>
      </w:r>
    </w:p>
    <w:p>
      <w:pPr>
        <w:spacing w:after="0" w:line="178" w:lineRule="exact"/>
        <w:rPr>
          <w:rFonts w:ascii="Arial" w:cs="Arial" w:eastAsia="Arial" w:hAnsi="Arial"/>
          <w:sz w:val="17"/>
          <w:szCs w:val="17"/>
          <w:color w:val="auto"/>
        </w:rPr>
      </w:pPr>
    </w:p>
    <w:p>
      <w:pPr>
        <w:ind w:left="1700" w:hanging="395"/>
        <w:spacing w:after="0"/>
        <w:tabs>
          <w:tab w:leader="none" w:pos="17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if the Borrower is resident for tax purposes in the United States,</w:t>
      </w:r>
    </w:p>
    <w:p>
      <w:pPr>
        <w:spacing w:after="0" w:line="225" w:lineRule="exact"/>
        <w:rPr>
          <w:rFonts w:ascii="Arial" w:cs="Arial" w:eastAsia="Arial" w:hAnsi="Arial"/>
          <w:sz w:val="18"/>
          <w:szCs w:val="18"/>
          <w:color w:val="auto"/>
        </w:rPr>
      </w:pPr>
    </w:p>
    <w:p>
      <w:pPr>
        <w:jc w:val="both"/>
        <w:ind w:left="1300" w:firstLine="653"/>
        <w:spacing w:after="0" w:line="257" w:lineRule="auto"/>
        <w:tabs>
          <w:tab w:leader="none" w:pos="2466" w:val="left"/>
        </w:tabs>
        <w:numPr>
          <w:ilvl w:val="2"/>
          <w:numId w:val="50"/>
        </w:numPr>
        <w:rPr>
          <w:rFonts w:ascii="Arial" w:cs="Arial" w:eastAsia="Arial" w:hAnsi="Arial"/>
          <w:sz w:val="18"/>
          <w:szCs w:val="18"/>
          <w:color w:val="auto"/>
        </w:rPr>
      </w:pPr>
      <w:r>
        <w:rPr>
          <w:rFonts w:ascii="Arial" w:cs="Arial" w:eastAsia="Arial" w:hAnsi="Arial"/>
          <w:sz w:val="18"/>
          <w:szCs w:val="18"/>
          <w:color w:val="auto"/>
        </w:rPr>
        <w:t>any Lender that is a “United States person” within the meaning of Section 7701(a)(30) of the Code shall deliver to the Borrower and the Administrative Agent executed originals or copies of Internal Revenue Service Form W-9 or such other documentation or information prescribed by applicable Laws or reasonably requested by the Borrower or the Administrative Agent as will enable the Borrower or the Administrative Agent, as the case may be, to determine whether or not such Lender is subject to backup withholding or information reporting requirements; and</w:t>
      </w:r>
    </w:p>
    <w:p>
      <w:pPr>
        <w:spacing w:after="0" w:line="188" w:lineRule="exact"/>
        <w:rPr>
          <w:rFonts w:ascii="Arial" w:cs="Arial" w:eastAsia="Arial" w:hAnsi="Arial"/>
          <w:sz w:val="18"/>
          <w:szCs w:val="18"/>
          <w:color w:val="auto"/>
        </w:rPr>
      </w:pPr>
    </w:p>
    <w:p>
      <w:pPr>
        <w:jc w:val="both"/>
        <w:ind w:left="1300" w:firstLine="653"/>
        <w:spacing w:after="0" w:line="257" w:lineRule="auto"/>
        <w:tabs>
          <w:tab w:leader="none" w:pos="2523" w:val="left"/>
        </w:tabs>
        <w:numPr>
          <w:ilvl w:val="2"/>
          <w:numId w:val="50"/>
        </w:numPr>
        <w:rPr>
          <w:rFonts w:ascii="Arial" w:cs="Arial" w:eastAsia="Arial" w:hAnsi="Arial"/>
          <w:sz w:val="18"/>
          <w:szCs w:val="18"/>
          <w:color w:val="auto"/>
        </w:rPr>
      </w:pPr>
      <w:r>
        <w:rPr>
          <w:rFonts w:ascii="Arial" w:cs="Arial" w:eastAsia="Arial" w:hAnsi="Arial"/>
          <w:sz w:val="18"/>
          <w:szCs w:val="18"/>
          <w:color w:val="auto"/>
        </w:rPr>
        <w:t>each Foreign Lender that is entitled under the Code or any applicable treaty to an exemption from or reduction of withholding tax with respect to payments hereunder or under any other Loan Document shall deliver to the Borrower and the Administrative Agent (in such number of copies as shall be requested by the recipient) on or prior to the date on which such Foreign Lender becomes a Lender under this Agreement (and from time to time thereafter upon the request of the Borrower or the Administrative Agent, but only if such Foreign Lender is legally entitled to do so), whichever of the following is applicable:</w:t>
      </w:r>
    </w:p>
    <w:p>
      <w:pPr>
        <w:spacing w:after="0" w:line="188" w:lineRule="exact"/>
        <w:rPr>
          <w:sz w:val="20"/>
          <w:szCs w:val="20"/>
          <w:color w:val="auto"/>
        </w:rPr>
      </w:pPr>
    </w:p>
    <w:p>
      <w:pPr>
        <w:ind w:left="1960" w:firstLine="641"/>
        <w:spacing w:after="0" w:line="223" w:lineRule="exact"/>
        <w:tabs>
          <w:tab w:leader="none" w:pos="3079"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executed originals or copies of Internal Revenue Service Form W</w:t>
      </w:r>
      <w:r>
        <w:rPr>
          <w:rFonts w:ascii="MS PGothic" w:cs="MS PGothic" w:eastAsia="MS PGothic" w:hAnsi="MS PGothic"/>
          <w:sz w:val="18"/>
          <w:szCs w:val="18"/>
          <w:color w:val="auto"/>
        </w:rPr>
        <w:t>‑</w:t>
      </w:r>
      <w:r>
        <w:rPr>
          <w:rFonts w:ascii="Arial" w:cs="Arial" w:eastAsia="Arial" w:hAnsi="Arial"/>
          <w:sz w:val="18"/>
          <w:szCs w:val="18"/>
          <w:color w:val="auto"/>
        </w:rPr>
        <w:t>8BEN claiming eligibility for benefits of an income tax treaty to which the United States is a party,</w:t>
      </w:r>
    </w:p>
    <w:p>
      <w:pPr>
        <w:spacing w:after="0" w:line="203" w:lineRule="exact"/>
        <w:rPr>
          <w:sz w:val="20"/>
          <w:szCs w:val="20"/>
          <w:color w:val="auto"/>
        </w:rPr>
      </w:pPr>
    </w:p>
    <w:p>
      <w:pPr>
        <w:ind w:left="2600"/>
        <w:spacing w:after="0" w:line="207" w:lineRule="exact"/>
        <w:tabs>
          <w:tab w:leader="none" w:pos="300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executed originals or copies of Internal Revenue Service Form W</w:t>
      </w:r>
      <w:r>
        <w:rPr>
          <w:rFonts w:ascii="MS PGothic" w:cs="MS PGothic" w:eastAsia="MS PGothic" w:hAnsi="MS PGothic"/>
          <w:sz w:val="16"/>
          <w:szCs w:val="16"/>
          <w:color w:val="auto"/>
        </w:rPr>
        <w:t>‑</w:t>
      </w:r>
      <w:r>
        <w:rPr>
          <w:rFonts w:ascii="Arial" w:cs="Arial" w:eastAsia="Arial" w:hAnsi="Arial"/>
          <w:sz w:val="16"/>
          <w:szCs w:val="16"/>
          <w:color w:val="auto"/>
        </w:rPr>
        <w:t>8ECI,</w:t>
      </w:r>
    </w:p>
    <w:p>
      <w:pPr>
        <w:spacing w:after="0" w:line="225" w:lineRule="exact"/>
        <w:rPr>
          <w:sz w:val="20"/>
          <w:szCs w:val="20"/>
          <w:color w:val="auto"/>
        </w:rPr>
      </w:pPr>
    </w:p>
    <w:p>
      <w:pPr>
        <w:ind w:left="3340" w:hanging="739"/>
        <w:spacing w:after="0" w:line="207" w:lineRule="exact"/>
        <w:tabs>
          <w:tab w:leader="none" w:pos="3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executed originals or copies of Internal Revenue Service Form W</w:t>
      </w:r>
      <w:r>
        <w:rPr>
          <w:rFonts w:ascii="MS PGothic" w:cs="MS PGothic" w:eastAsia="MS PGothic" w:hAnsi="MS PGothic"/>
          <w:sz w:val="18"/>
          <w:szCs w:val="18"/>
          <w:color w:val="auto"/>
        </w:rPr>
        <w:t>‑</w:t>
      </w:r>
      <w:r>
        <w:rPr>
          <w:rFonts w:ascii="Arial" w:cs="Arial" w:eastAsia="Arial" w:hAnsi="Arial"/>
          <w:sz w:val="18"/>
          <w:szCs w:val="18"/>
          <w:color w:val="auto"/>
        </w:rPr>
        <w:t>8IMY and all required supporting</w:t>
      </w:r>
    </w:p>
    <w:p>
      <w:pPr>
        <w:spacing w:after="0" w:line="23"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documentation,</w:t>
      </w:r>
    </w:p>
    <w:p>
      <w:pPr>
        <w:spacing w:after="0" w:line="211" w:lineRule="exact"/>
        <w:rPr>
          <w:sz w:val="20"/>
          <w:szCs w:val="20"/>
          <w:color w:val="auto"/>
        </w:rPr>
      </w:pPr>
    </w:p>
    <w:p>
      <w:pPr>
        <w:jc w:val="both"/>
        <w:ind w:left="1960" w:firstLine="648"/>
        <w:spacing w:after="0" w:line="257" w:lineRule="auto"/>
        <w:rPr>
          <w:sz w:val="20"/>
          <w:szCs w:val="20"/>
          <w:color w:val="auto"/>
        </w:rPr>
      </w:pPr>
      <w:r>
        <w:rPr>
          <w:rFonts w:ascii="Arial" w:cs="Arial" w:eastAsia="Arial" w:hAnsi="Arial"/>
          <w:sz w:val="18"/>
          <w:szCs w:val="18"/>
          <w:color w:val="auto"/>
        </w:rPr>
        <w:t>(IV) in the case of a Foreign Lender claiming the benefits of the exemption for portfolio interest under section 881(c) of the Code, (x) a certificate to the effect that such Foreign Lender is not (A) a “bank” within the meaning of section 881(c)(3)(A) of the Code, (B) a “10 percent shareholder” of the Borrower within the meaning of section 881(c)(3)(B) of the Code, or (C) a “controlled foreign corporation” described in section 881(c)(3)(C) of the Code and (y) executed originals or copies of Internal Revenue Service Form W-8BEN, or</w:t>
      </w:r>
    </w:p>
    <w:p>
      <w:pPr>
        <w:spacing w:after="0" w:line="188" w:lineRule="exact"/>
        <w:rPr>
          <w:sz w:val="20"/>
          <w:szCs w:val="20"/>
          <w:color w:val="auto"/>
        </w:rPr>
      </w:pPr>
    </w:p>
    <w:p>
      <w:pPr>
        <w:jc w:val="both"/>
        <w:ind w:left="1960" w:firstLine="641"/>
        <w:spacing w:after="0" w:line="259" w:lineRule="auto"/>
        <w:tabs>
          <w:tab w:leader="none" w:pos="3108" w:val="left"/>
        </w:tabs>
        <w:numPr>
          <w:ilvl w:val="1"/>
          <w:numId w:val="53"/>
        </w:numPr>
        <w:rPr>
          <w:rFonts w:ascii="Arial" w:cs="Arial" w:eastAsia="Arial" w:hAnsi="Arial"/>
          <w:sz w:val="18"/>
          <w:szCs w:val="18"/>
          <w:color w:val="auto"/>
        </w:rPr>
      </w:pPr>
      <w:r>
        <w:rPr>
          <w:rFonts w:ascii="Arial" w:cs="Arial" w:eastAsia="Arial" w:hAnsi="Arial"/>
          <w:sz w:val="18"/>
          <w:szCs w:val="18"/>
          <w:color w:val="auto"/>
        </w:rPr>
        <w:t>executed originals or copies of 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w:t>
      </w:r>
    </w:p>
    <w:p>
      <w:pPr>
        <w:spacing w:after="0" w:line="186" w:lineRule="exact"/>
        <w:rPr>
          <w:rFonts w:ascii="Arial" w:cs="Arial" w:eastAsia="Arial" w:hAnsi="Arial"/>
          <w:sz w:val="18"/>
          <w:szCs w:val="18"/>
          <w:color w:val="auto"/>
        </w:rPr>
      </w:pPr>
    </w:p>
    <w:p>
      <w:pPr>
        <w:jc w:val="both"/>
        <w:ind w:left="660" w:firstLine="645"/>
        <w:spacing w:after="0" w:line="253" w:lineRule="auto"/>
        <w:tabs>
          <w:tab w:leader="none" w:pos="1798"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Administrative Agent, at the time or times prescribed by law and at such time or times reasonably requested by the Borrower or Administrative Agent, such documentation prescribed by applicable law (including as prescribed by Section 1471(b)(3)(C)(i) of the Code) and such additional documentation reasonably requested by the Borrower or Administrative Agent as may be necessary for the Borrower or Administrative Agent to comply with its obligations under FATCA, to determine that such Lender has complied with such Lender's obligations under FATCA or to determine the amount to deduct and withhold from such payment. Notwithstanding any other provision of this paragraph, a Lender shall not be required to deliver any form pursuant to this paragraph that such Lender is not legally able to deliver.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77" w:name="page78"/>
    <w:bookmarkEnd w:id="77"/>
    <w:p>
      <w:pPr>
        <w:jc w:val="both"/>
        <w:ind w:left="660" w:firstLine="645"/>
        <w:spacing w:after="0" w:line="257" w:lineRule="auto"/>
        <w:tabs>
          <w:tab w:leader="none" w:pos="1827" w:val="left"/>
        </w:tabs>
        <w:numPr>
          <w:ilvl w:val="1"/>
          <w:numId w:val="55"/>
        </w:numPr>
        <w:rPr>
          <w:rFonts w:ascii="Arial" w:cs="Arial" w:eastAsia="Arial" w:hAnsi="Arial"/>
          <w:sz w:val="18"/>
          <w:szCs w:val="18"/>
          <w:color w:val="auto"/>
        </w:rPr>
      </w:pPr>
      <w:r>
        <w:rPr>
          <w:rFonts w:ascii="Arial" w:cs="Arial" w:eastAsia="Arial" w:hAnsi="Arial"/>
          <w:sz w:val="18"/>
          <w:szCs w:val="18"/>
          <w:color w:val="auto"/>
        </w:rPr>
        <w:t>Each Lender shall promptly (A) notify the Borrower and the Administrative Agent of any change in circumstances which would modify or render invalid any claimed exemption or reduction, and (B) take such steps as shall not be disadvantageous to it, in the reasonable judgment of such Lender, and as may be reasonably necessary (including the re-designation of its Lending Office) to avoid any requirement of applicable Laws of any jurisdiction that the Borrower or the Administrative Agent make any withholding or deduction for taxes from amounts payable to such Lender.</w:t>
      </w:r>
    </w:p>
    <w:p>
      <w:pPr>
        <w:spacing w:after="0" w:line="188" w:lineRule="exact"/>
        <w:rPr>
          <w:rFonts w:ascii="Arial" w:cs="Arial" w:eastAsia="Arial" w:hAnsi="Arial"/>
          <w:sz w:val="18"/>
          <w:szCs w:val="18"/>
          <w:color w:val="auto"/>
        </w:rPr>
      </w:pPr>
    </w:p>
    <w:p>
      <w:pPr>
        <w:jc w:val="both"/>
        <w:ind w:firstLine="656"/>
        <w:spacing w:after="0" w:line="269" w:lineRule="auto"/>
        <w:tabs>
          <w:tab w:leader="none" w:pos="1022"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as the case may be. If the Administrative Agent or any Lender determines, in its reasonable discretion, that it has received a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reasonable out-of-pocket expenses incurred by the Administrative Agent, such Lender, as the case may be,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upon the request of the Administrative Agent, such Lender, agrees to repay the amount paid over to the Borrower (plus any penalties, interest or other charges imposed by the relevant Governmental Authority) to the Administrative Agent, such Lender in the event the Administrative Agent, such Lender is required to repay such refund to such Governmental Authority. This subsection shall not be construed to require the Administrative Agent, any Lender to make available its tax returns (or any other information that it deems confidential) to the Borrower or any other Person.</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3.02 </w:t>
      </w:r>
      <w:r>
        <w:rPr>
          <w:rFonts w:ascii="Arial" w:cs="Arial" w:eastAsia="Arial" w:hAnsi="Arial"/>
          <w:sz w:val="17"/>
          <w:szCs w:val="17"/>
          <w:b w:val="1"/>
          <w:bCs w:val="1"/>
          <w:i w:val="1"/>
          <w:iCs w:val="1"/>
          <w:color w:val="auto"/>
        </w:rPr>
        <w:t>Illegality</w:t>
      </w:r>
      <w:r>
        <w:rPr>
          <w:rFonts w:ascii="Arial" w:cs="Arial" w:eastAsia="Arial" w:hAnsi="Arial"/>
          <w:sz w:val="17"/>
          <w:szCs w:val="17"/>
          <w:color w:val="auto"/>
        </w:rPr>
        <w:t>. If any Lender reasonably determines that any Law has made it unlawful, or that any Governmental Authority has asserted that it is unlawful, for any Lender or its applicable Lending Office to make, maintain or fund Eurodollar Rate Loans,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any obligation of such Lender to make or continue Eurodollar Rate Loans or to convert Base Rate Loans to Eurodollar Rate Loans shall be suspended until such Lender notifies the Administrative Agent and the Borrower that the circumstances giving rise to such determination no longer exist. Upon receipt of such notice, the Borrower shall, upon demand from such Lender (with a copy to the Administrative Agent), prepay or, if applicable, convert all Eurodollar Rate Loans of such Lender to Base Rate Loans, either on the last day of the Interest Period therefor, if such Lender may lawfully continue to maintain such Eurodollar Rate Loans to such day, or immediately, if such Lender may not lawfully continue to maintain such Eurodollar Rate Loans. Upon any such prepayment or conversion, the Borrower shall also pay accrued interest on the amount so prepaid or converted.</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3.03 </w:t>
      </w:r>
      <w:r>
        <w:rPr>
          <w:rFonts w:ascii="Arial" w:cs="Arial" w:eastAsia="Arial" w:hAnsi="Arial"/>
          <w:sz w:val="16"/>
          <w:szCs w:val="16"/>
          <w:b w:val="1"/>
          <w:bCs w:val="1"/>
          <w:i w:val="1"/>
          <w:iCs w:val="1"/>
          <w:color w:val="auto"/>
        </w:rPr>
        <w:t>Inability to Determine Rates</w:t>
      </w:r>
      <w:r>
        <w:rPr>
          <w:rFonts w:ascii="Arial" w:cs="Arial" w:eastAsia="Arial" w:hAnsi="Arial"/>
          <w:sz w:val="16"/>
          <w:szCs w:val="16"/>
          <w:color w:val="auto"/>
        </w:rPr>
        <w:t>. If in connection with any request for a Eurodollar Rate Loan or a conversion to or continuation thereof, (a) the Administrative Agent determines that (i) Dollar deposits are not being offered to banks in the London interbank eurodollar market for the applicable amount and Interest Period of such Eurodollar Rate Loan or (ii) adequate and reasonable means do not exist for determining the Eurodollar Rate for any requested Interest Period with respect to a proposed Eurodollar Rate Loan or in connection with an existing or proposed Base Rate Loan, or (b) the Required Lenders determine that for any reason the Eurodollar Rate for any requested Interest Period with respect to a proposed Eurodollar Rate Loan does not adequately and fairly reflect the cost to such Lenders of funding such Loan, the Administrative Agent will promptly so notify the Borrower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Committed Borrowing of Base Rate Loans in the amount specified therein.</w:t>
      </w:r>
    </w:p>
    <w:p>
      <w:pPr>
        <w:spacing w:after="0" w:line="16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6"/>
          <w:szCs w:val="16"/>
          <w:b w:val="1"/>
          <w:bCs w:val="1"/>
          <w:i w:val="1"/>
          <w:iCs w:val="1"/>
          <w:color w:val="auto"/>
        </w:rPr>
        <w:t>Increased Costs</w:t>
      </w:r>
      <w:r>
        <w:rPr>
          <w:rFonts w:ascii="Arial" w:cs="Arial" w:eastAsia="Arial" w:hAnsi="Arial"/>
          <w:sz w:val="16"/>
          <w:szCs w:val="16"/>
          <w:color w:val="auto"/>
        </w:rPr>
        <w:t>. (a)</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Increased Costs Generally</w:t>
      </w:r>
      <w:r>
        <w:rPr>
          <w:rFonts w:ascii="Arial" w:cs="Arial" w:eastAsia="Arial" w:hAnsi="Arial"/>
          <w:sz w:val="16"/>
          <w:szCs w:val="16"/>
          <w:color w:val="auto"/>
        </w:rPr>
        <w:t>. If any Change in Law shall:</w:t>
      </w:r>
    </w:p>
    <w:p>
      <w:pPr>
        <w:spacing w:after="0" w:line="225" w:lineRule="exact"/>
        <w:rPr>
          <w:sz w:val="20"/>
          <w:szCs w:val="20"/>
          <w:color w:val="auto"/>
        </w:rPr>
      </w:pPr>
    </w:p>
    <w:p>
      <w:pPr>
        <w:jc w:val="both"/>
        <w:ind w:left="660" w:firstLine="645"/>
        <w:spacing w:after="0" w:line="264" w:lineRule="auto"/>
        <w:tabs>
          <w:tab w:leader="none" w:pos="1737"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8"/>
          <w:szCs w:val="18"/>
          <w:u w:val="single" w:color="auto"/>
          <w:color w:val="auto"/>
        </w:rPr>
        <w:t>Section 3.04(b)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w:t>
      </w:r>
      <w:r>
        <w:rPr>
          <w:rFonts w:ascii="Arial" w:cs="Arial" w:eastAsia="Arial" w:hAnsi="Arial"/>
          <w:sz w:val="18"/>
          <w:szCs w:val="18"/>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78" w:name="page79"/>
    <w:bookmarkEnd w:id="78"/>
    <w:p>
      <w:pPr>
        <w:jc w:val="both"/>
        <w:ind w:left="660" w:firstLine="645"/>
        <w:spacing w:after="0" w:line="264" w:lineRule="auto"/>
        <w:tabs>
          <w:tab w:leader="none" w:pos="1738"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subject any Lender to any tax of any kind whatsoever with respect to this Agreement, or change the basis of taxation of payments to such Lender in respect thereof (except for Indemnified Taxes or Other Taxes covered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the imposition of, or any change in the rate of, any Excluded Tax payable by such Lender); or</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798"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impose on any Lender or the London interbank market any other condition, cost or expense affecting this Agreement or Eurodollar Rate Loans made by such Lender or participation therein;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 result of any of the foregoing shall be to increase the cost to such Lender of making or maintaining any Eurodollar Rate Loan (or of maintaining its obligation to make any such Loan), or to reduce the amount of any sum received or receivable by such Lender hereunder (whether of principal, interest or any other amount) then, upon request of such Lender, the Borrower will pay to such Lender such additional amount or amounts as will compensate such Lender for such additional costs incurred or reduction suffered.</w:t>
      </w:r>
    </w:p>
    <w:p>
      <w:pPr>
        <w:spacing w:after="0" w:line="187" w:lineRule="exact"/>
        <w:rPr>
          <w:sz w:val="20"/>
          <w:szCs w:val="20"/>
          <w:color w:val="auto"/>
        </w:rPr>
      </w:pPr>
    </w:p>
    <w:p>
      <w:pPr>
        <w:jc w:val="both"/>
        <w:ind w:firstLine="656"/>
        <w:spacing w:after="0" w:line="273" w:lineRule="auto"/>
        <w:tabs>
          <w:tab w:leader="none" w:pos="1065"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Capital Requirements</w:t>
      </w:r>
      <w:r>
        <w:rPr>
          <w:rFonts w:ascii="Arial" w:cs="Arial" w:eastAsia="Arial" w:hAnsi="Arial"/>
          <w:sz w:val="17"/>
          <w:szCs w:val="17"/>
          <w:color w:val="auto"/>
        </w:rPr>
        <w:t>. If any Lender determines that any Change in Law affecting such Lender or any Lending Office of such Lender or such Lender's holding company, if any, regarding capital requirements has or would have the effect of reducing the rate of return on such Lender's capital or on the capital of such Lender's holding company, if any, as a consequence of this Agreement,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w:t>
      </w:r>
    </w:p>
    <w:p>
      <w:pPr>
        <w:spacing w:after="0" w:line="178" w:lineRule="exact"/>
        <w:rPr>
          <w:rFonts w:ascii="Arial" w:cs="Arial" w:eastAsia="Arial" w:hAnsi="Arial"/>
          <w:sz w:val="17"/>
          <w:szCs w:val="17"/>
          <w:color w:val="auto"/>
        </w:rPr>
      </w:pPr>
    </w:p>
    <w:p>
      <w:pPr>
        <w:jc w:val="both"/>
        <w:ind w:firstLine="656"/>
        <w:spacing w:after="0" w:line="286" w:lineRule="auto"/>
        <w:tabs>
          <w:tab w:leader="none" w:pos="1095"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Certificates for Reimbursement</w:t>
      </w:r>
      <w:r>
        <w:rPr>
          <w:rFonts w:ascii="Arial" w:cs="Arial" w:eastAsia="Arial" w:hAnsi="Arial"/>
          <w:sz w:val="17"/>
          <w:szCs w:val="17"/>
          <w:color w:val="auto"/>
        </w:rPr>
        <w:t xml:space="preserve">. A certificate of a Lender setting forth the amount or amounts necessary to compensate such Lender or its holding company, as the case may be, as specified in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 and delivered to the Borrower shall be conclusive absent manifest error. The Borrower shall pay such Lender the amount shown as due on any such certificate within 10 days after receipt thereof.</w:t>
      </w:r>
    </w:p>
    <w:p>
      <w:pPr>
        <w:spacing w:after="0" w:line="165" w:lineRule="exact"/>
        <w:rPr>
          <w:rFonts w:ascii="Arial" w:cs="Arial" w:eastAsia="Arial" w:hAnsi="Arial"/>
          <w:sz w:val="17"/>
          <w:szCs w:val="17"/>
          <w:color w:val="auto"/>
        </w:rPr>
      </w:pPr>
    </w:p>
    <w:p>
      <w:pPr>
        <w:jc w:val="both"/>
        <w:ind w:firstLine="656"/>
        <w:spacing w:after="0" w:line="255" w:lineRule="auto"/>
        <w:tabs>
          <w:tab w:leader="none" w:pos="1092"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xml:space="preserve">. Failure or delay on the part of any Lender to demand compensation pursuant to the foregoing provisions of this Section shall not constitute a waiver of such Lender's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 Lender pursuant to the foregoing provisions of this Section for any increased costs incurred or reductions suffered more than 180 days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93" w:lineRule="exact"/>
        <w:rPr>
          <w:rFonts w:ascii="Arial" w:cs="Arial" w:eastAsia="Arial" w:hAnsi="Arial"/>
          <w:sz w:val="18"/>
          <w:szCs w:val="18"/>
          <w:color w:val="auto"/>
        </w:rPr>
      </w:pPr>
    </w:p>
    <w:p>
      <w:pPr>
        <w:jc w:val="both"/>
        <w:ind w:firstLine="656"/>
        <w:spacing w:after="0" w:line="255" w:lineRule="auto"/>
        <w:tabs>
          <w:tab w:leader="none" w:pos="104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Reserves on Eurodollar Rate Loans</w:t>
      </w:r>
      <w:r>
        <w:rPr>
          <w:rFonts w:ascii="Arial" w:cs="Arial" w:eastAsia="Arial" w:hAnsi="Arial"/>
          <w:sz w:val="18"/>
          <w:szCs w:val="18"/>
          <w:color w:val="auto"/>
        </w:rPr>
        <w:t xml:space="preserve">. The Borrower shall pay to each Lender, as long as such 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Borrower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89" w:lineRule="exact"/>
        <w:rPr>
          <w:rFonts w:ascii="Arial" w:cs="Arial" w:eastAsia="Arial" w:hAnsi="Arial"/>
          <w:sz w:val="18"/>
          <w:szCs w:val="18"/>
          <w:color w:val="auto"/>
        </w:rPr>
      </w:pPr>
    </w:p>
    <w:p>
      <w:pPr>
        <w:ind w:left="1020" w:hanging="364"/>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shall not apply with respect to Taxes, which shall be governed solely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b w:val="1"/>
          <w:bCs w:val="1"/>
          <w:i w:val="1"/>
          <w:iCs w:val="1"/>
          <w:color w:val="auto"/>
        </w:rPr>
        <w:t>Compensation for Losses</w:t>
      </w:r>
      <w:r>
        <w:rPr>
          <w:rFonts w:ascii="Arial" w:cs="Arial" w:eastAsia="Arial" w:hAnsi="Arial"/>
          <w:sz w:val="18"/>
          <w:szCs w:val="18"/>
          <w:color w:val="auto"/>
        </w:rPr>
        <w:t>. Upon written demand of any Lender (with a copy to the Administrative Agent) from time to time, setting forth in reasonable detail the basis for calculating such compensation, the Borrower shall promptly compensate such Lender for and hold such Lender harmless from any loss, cost or expense incurred by it as a result of:</w:t>
      </w:r>
    </w:p>
    <w:p>
      <w:pPr>
        <w:spacing w:after="0" w:line="181" w:lineRule="exact"/>
        <w:rPr>
          <w:sz w:val="20"/>
          <w:szCs w:val="20"/>
          <w:color w:val="auto"/>
        </w:rPr>
      </w:pPr>
    </w:p>
    <w:p>
      <w:pPr>
        <w:ind w:right="20" w:firstLine="656"/>
        <w:spacing w:after="0" w:line="277" w:lineRule="auto"/>
        <w:tabs>
          <w:tab w:leader="none" w:pos="10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70" w:lineRule="exact"/>
        <w:rPr>
          <w:rFonts w:ascii="Arial" w:cs="Arial" w:eastAsia="Arial" w:hAnsi="Arial"/>
          <w:sz w:val="18"/>
          <w:szCs w:val="18"/>
          <w:color w:val="auto"/>
        </w:rPr>
      </w:pPr>
    </w:p>
    <w:p>
      <w:pPr>
        <w:ind w:right="20" w:firstLine="656"/>
        <w:spacing w:after="0" w:line="277" w:lineRule="auto"/>
        <w:tabs>
          <w:tab w:leader="none" w:pos="103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70" w:lineRule="exact"/>
        <w:rPr>
          <w:rFonts w:ascii="Arial" w:cs="Arial" w:eastAsia="Arial" w:hAnsi="Arial"/>
          <w:sz w:val="18"/>
          <w:szCs w:val="18"/>
          <w:color w:val="auto"/>
        </w:rPr>
      </w:pPr>
    </w:p>
    <w:p>
      <w:pPr>
        <w:ind w:firstLine="656"/>
        <w:spacing w:after="0" w:line="277" w:lineRule="auto"/>
        <w:tabs>
          <w:tab w:leader="none" w:pos="1028"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any assignment of a Eurodollar Rate Loan on a day other than the last day of the Interest Period therefor as a result of a request by the Borrower pursuant to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79" w:name="page80"/>
    <w:bookmarkEnd w:id="79"/>
    <w:p>
      <w:pPr>
        <w:ind w:left="1300"/>
        <w:spacing w:after="0" w:line="277" w:lineRule="auto"/>
        <w:rPr>
          <w:sz w:val="20"/>
          <w:szCs w:val="20"/>
          <w:color w:val="auto"/>
        </w:rPr>
      </w:pPr>
      <w:r>
        <w:rPr>
          <w:rFonts w:ascii="Arial" w:cs="Arial" w:eastAsia="Arial" w:hAnsi="Arial"/>
          <w:sz w:val="18"/>
          <w:szCs w:val="18"/>
          <w:color w:val="auto"/>
        </w:rPr>
        <w:t>including any loss or expense arising from the liquidation or reemployment of funds obtained by it to maintain such Loan or from fees payable to terminate the deposits from which such funds were obtained.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For purposes of calculating amounts payable by the Borrower to the Lenders under this </w:t>
      </w:r>
      <w:r>
        <w:rPr>
          <w:rFonts w:ascii="Arial" w:cs="Arial" w:eastAsia="Arial" w:hAnsi="Arial"/>
          <w:sz w:val="17"/>
          <w:szCs w:val="17"/>
          <w:u w:val="single" w:color="auto"/>
          <w:color w:val="auto"/>
        </w:rPr>
        <w:t>Section 3.05</w:t>
      </w:r>
      <w:r>
        <w:rPr>
          <w:rFonts w:ascii="Arial" w:cs="Arial" w:eastAsia="Arial" w:hAnsi="Arial"/>
          <w:sz w:val="17"/>
          <w:szCs w:val="17"/>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3.06 </w:t>
      </w:r>
      <w:r>
        <w:rPr>
          <w:rFonts w:ascii="Arial" w:cs="Arial" w:eastAsia="Arial" w:hAnsi="Arial"/>
          <w:sz w:val="16"/>
          <w:szCs w:val="16"/>
          <w:b w:val="1"/>
          <w:bCs w:val="1"/>
          <w:i w:val="1"/>
          <w:iCs w:val="1"/>
          <w:color w:val="auto"/>
        </w:rPr>
        <w:t>Mitigation Obligations; Replacement of Lenders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the Borrower is required to pay any additional amount to any Lender or any Governmental Authority for the account of any Lender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if any Lender gives a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as the case may be, in the future, or eliminate the need for the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as applicable, and (ii) in each case, would not subject such Lender, as the case may be, to any unreimbursed cost or expense and would not otherwise be disadvantageous to such Lender. The Borrower hereby agrees to pay all reasonable costs and expenses incurred by any Lender in connection with any such designation or assignment.</w:t>
      </w:r>
    </w:p>
    <w:p>
      <w:pPr>
        <w:spacing w:after="0" w:line="166" w:lineRule="exact"/>
        <w:rPr>
          <w:sz w:val="20"/>
          <w:szCs w:val="20"/>
          <w:color w:val="auto"/>
        </w:rPr>
      </w:pPr>
    </w:p>
    <w:p>
      <w:pPr>
        <w:jc w:val="both"/>
        <w:ind w:firstLine="656"/>
        <w:spacing w:after="0" w:line="264" w:lineRule="auto"/>
        <w:tabs>
          <w:tab w:leader="none" w:pos="105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becomes a Non-Consenting Lender, the Borrower may replace such Lender in accordance with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b w:val="1"/>
          <w:bCs w:val="1"/>
          <w:i w:val="1"/>
          <w:iCs w:val="1"/>
          <w:color w:val="auto"/>
        </w:rPr>
        <w:t>Survival</w:t>
      </w:r>
      <w:r>
        <w:rPr>
          <w:rFonts w:ascii="Arial" w:cs="Arial" w:eastAsia="Arial" w:hAnsi="Arial"/>
          <w:sz w:val="18"/>
          <w:szCs w:val="18"/>
          <w:color w:val="auto"/>
        </w:rPr>
        <w:t>. All of the Borrower's obligations under this Article III shall survive termination of the Aggregate Commitments, repayment of all other Obligations hereunder, and resignation of the Administrative Agent.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t>ARTICLE IV</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 TO CREDIT EXTENSIONS</w:t>
      </w:r>
    </w:p>
    <w:p>
      <w:pPr>
        <w:spacing w:after="0" w:line="21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b w:val="1"/>
          <w:bCs w:val="1"/>
          <w:i w:val="1"/>
          <w:iCs w:val="1"/>
          <w:color w:val="auto"/>
        </w:rPr>
        <w:t>Conditions of Initial Credit Extension</w:t>
      </w:r>
      <w:r>
        <w:rPr>
          <w:rFonts w:ascii="Arial" w:cs="Arial" w:eastAsia="Arial" w:hAnsi="Arial"/>
          <w:sz w:val="18"/>
          <w:szCs w:val="18"/>
          <w:color w:val="auto"/>
        </w:rPr>
        <w:t xml:space="preserve">. The obligation of each Lender to make its initial Credit Extension on the Restatement Date hereunder is subject to satisfaction or waiver (in accordance with </w:t>
      </w:r>
      <w:r>
        <w:rPr>
          <w:rFonts w:ascii="Arial" w:cs="Arial" w:eastAsia="Arial" w:hAnsi="Arial"/>
          <w:sz w:val="18"/>
          <w:szCs w:val="18"/>
          <w:u w:val="single" w:color="auto"/>
          <w:color w:val="auto"/>
        </w:rPr>
        <w:t>Section 10.01</w:t>
      </w:r>
      <w:r>
        <w:rPr>
          <w:rFonts w:ascii="Arial" w:cs="Arial" w:eastAsia="Arial" w:hAnsi="Arial"/>
          <w:sz w:val="18"/>
          <w:szCs w:val="18"/>
          <w:color w:val="auto"/>
        </w:rPr>
        <w:t>) of the following conditions precedent:</w:t>
      </w:r>
    </w:p>
    <w:p>
      <w:pPr>
        <w:spacing w:after="0" w:line="170" w:lineRule="exact"/>
        <w:rPr>
          <w:sz w:val="20"/>
          <w:szCs w:val="20"/>
          <w:color w:val="auto"/>
        </w:rPr>
      </w:pPr>
    </w:p>
    <w:p>
      <w:pPr>
        <w:jc w:val="both"/>
        <w:ind w:firstLine="656"/>
        <w:spacing w:after="0" w:line="259" w:lineRule="auto"/>
        <w:tabs>
          <w:tab w:leader="none" w:pos="10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Administrative Agent's receipt of the following, each of which shall be originals or telecopies (followed promptly by originals) unless otherwise specified, each properly executed by a Responsible Officer of the signing Loan Party, each dated the Restatement Date (or, in the case of certificates of governmental officials, a recent date before the Restatement Date) and each in form and substance reasonably satisfactory to the Administrative Agent and each of the Lenders:</w:t>
      </w:r>
    </w:p>
    <w:p>
      <w:pPr>
        <w:spacing w:after="0" w:line="186" w:lineRule="exact"/>
        <w:rPr>
          <w:rFonts w:ascii="Arial" w:cs="Arial" w:eastAsia="Arial" w:hAnsi="Arial"/>
          <w:sz w:val="18"/>
          <w:szCs w:val="18"/>
          <w:color w:val="auto"/>
        </w:rPr>
      </w:pPr>
    </w:p>
    <w:p>
      <w:pPr>
        <w:ind w:left="2340" w:hanging="387"/>
        <w:spacing w:after="0"/>
        <w:tabs>
          <w:tab w:leader="none" w:pos="234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executed counterparts of this Agreement, sufficient in number for distribution to the Administrative Agent, each Lender and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Borrower;</w:t>
      </w:r>
    </w:p>
    <w:p>
      <w:pPr>
        <w:spacing w:after="0" w:line="210" w:lineRule="exact"/>
        <w:rPr>
          <w:rFonts w:ascii="Arial" w:cs="Arial" w:eastAsia="Arial" w:hAnsi="Arial"/>
          <w:sz w:val="16"/>
          <w:szCs w:val="16"/>
          <w:color w:val="auto"/>
        </w:rPr>
      </w:pPr>
    </w:p>
    <w:p>
      <w:pPr>
        <w:ind w:left="660" w:right="20" w:firstLine="1293"/>
        <w:spacing w:after="0" w:line="277" w:lineRule="auto"/>
        <w:tabs>
          <w:tab w:leader="none" w:pos="2356"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Note executed by the Borrower in favor of each Lender requesting a Note, provided that the Borrower receives a request for any such Note at least two Business Days prior to the Restatement Date;</w:t>
      </w:r>
    </w:p>
    <w:p>
      <w:pPr>
        <w:spacing w:after="0" w:line="170" w:lineRule="exact"/>
        <w:rPr>
          <w:rFonts w:ascii="Arial" w:cs="Arial" w:eastAsia="Arial" w:hAnsi="Arial"/>
          <w:sz w:val="18"/>
          <w:szCs w:val="18"/>
          <w:color w:val="auto"/>
        </w:rPr>
      </w:pPr>
    </w:p>
    <w:p>
      <w:pPr>
        <w:jc w:val="both"/>
        <w:ind w:left="660" w:firstLine="1293"/>
        <w:spacing w:after="0" w:line="264" w:lineRule="auto"/>
        <w:tabs>
          <w:tab w:leader="none" w:pos="2455"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master reaffirmation agreement (the “</w:t>
      </w:r>
      <w:r>
        <w:rPr>
          <w:rFonts w:ascii="Arial" w:cs="Arial" w:eastAsia="Arial" w:hAnsi="Arial"/>
          <w:sz w:val="18"/>
          <w:szCs w:val="18"/>
          <w:u w:val="single" w:color="auto"/>
          <w:color w:val="auto"/>
        </w:rPr>
        <w:t>Reaffirmation Agreement</w:t>
      </w:r>
      <w:r>
        <w:rPr>
          <w:rFonts w:ascii="Arial" w:cs="Arial" w:eastAsia="Arial" w:hAnsi="Arial"/>
          <w:sz w:val="18"/>
          <w:szCs w:val="18"/>
          <w:color w:val="auto"/>
        </w:rPr>
        <w:t>”), duly executed by each Loan Party, pursuant to which, among other things, each Loan Party reaffirms its obligations under the Guaranty and Collateral Documents, together with (to the extent not previously delivered to the Administrative Agent):</w:t>
      </w:r>
    </w:p>
    <w:p>
      <w:pPr>
        <w:spacing w:after="0" w:line="181" w:lineRule="exact"/>
        <w:rPr>
          <w:sz w:val="20"/>
          <w:szCs w:val="20"/>
          <w:color w:val="auto"/>
        </w:rPr>
      </w:pPr>
    </w:p>
    <w:p>
      <w:pPr>
        <w:ind w:left="1300" w:firstLine="653"/>
        <w:spacing w:after="0" w:line="277" w:lineRule="auto"/>
        <w:tabs>
          <w:tab w:leader="none" w:pos="2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certificates representing the Pledged Equity referred to therein accompanied by undated stock powers executed in blank and instruments evidencing the Pledged Debt indorsed in blank;</w:t>
      </w:r>
    </w:p>
    <w:p>
      <w:pPr>
        <w:spacing w:after="0" w:line="170" w:lineRule="exact"/>
        <w:rPr>
          <w:rFonts w:ascii="Arial" w:cs="Arial" w:eastAsia="Arial" w:hAnsi="Arial"/>
          <w:sz w:val="18"/>
          <w:szCs w:val="18"/>
          <w:color w:val="auto"/>
        </w:rPr>
      </w:pPr>
    </w:p>
    <w:p>
      <w:pPr>
        <w:jc w:val="both"/>
        <w:ind w:left="1300" w:firstLine="653"/>
        <w:spacing w:after="0" w:line="264" w:lineRule="auto"/>
        <w:tabs>
          <w:tab w:leader="none" w:pos="2503"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Financing Statements in form appropriate for filing under the Uniform Commercial Code of all jurisdictions that the Administrative Agent may deem reasonably necessary or desirable in order to perfect the Liens created under the Security Agreement, covering the Collateral described in the Security Agreement;</w:t>
      </w:r>
    </w:p>
    <w:p>
      <w:pPr>
        <w:spacing w:after="0" w:line="181" w:lineRule="exact"/>
        <w:rPr>
          <w:rFonts w:ascii="Arial" w:cs="Arial" w:eastAsia="Arial" w:hAnsi="Arial"/>
          <w:sz w:val="18"/>
          <w:szCs w:val="18"/>
          <w:color w:val="auto"/>
        </w:rPr>
      </w:pPr>
    </w:p>
    <w:p>
      <w:pPr>
        <w:ind w:left="1300" w:right="20" w:firstLine="653"/>
        <w:spacing w:after="0" w:line="308" w:lineRule="auto"/>
        <w:tabs>
          <w:tab w:leader="none" w:pos="2402" w:val="left"/>
        </w:tabs>
        <w:numPr>
          <w:ilvl w:val="0"/>
          <w:numId w:val="63"/>
        </w:numPr>
        <w:rPr>
          <w:rFonts w:ascii="Arial" w:cs="Arial" w:eastAsia="Arial" w:hAnsi="Arial"/>
          <w:sz w:val="17"/>
          <w:szCs w:val="17"/>
          <w:color w:val="auto"/>
        </w:rPr>
      </w:pPr>
      <w:r>
        <w:rPr>
          <w:rFonts w:ascii="Arial" w:cs="Arial" w:eastAsia="Arial" w:hAnsi="Arial"/>
          <w:sz w:val="17"/>
          <w:szCs w:val="17"/>
          <w:color w:val="auto"/>
        </w:rPr>
        <w:t>evidence of the completion of all other actions, recordings and filings of or with respect to the Security Agreement that the Administrative Agent may deem reasonably necessary or desirable in order to perfect the Liens created thereby; and</w:t>
      </w:r>
    </w:p>
    <w:p>
      <w:pPr>
        <w:spacing w:after="0" w:line="146" w:lineRule="exact"/>
        <w:rPr>
          <w:rFonts w:ascii="Arial" w:cs="Arial" w:eastAsia="Arial" w:hAnsi="Arial"/>
          <w:sz w:val="17"/>
          <w:szCs w:val="17"/>
          <w:color w:val="auto"/>
        </w:rPr>
      </w:pPr>
    </w:p>
    <w:p>
      <w:pPr>
        <w:jc w:val="both"/>
        <w:ind w:left="1300" w:firstLine="653"/>
        <w:spacing w:after="0" w:line="264" w:lineRule="auto"/>
        <w:tabs>
          <w:tab w:leader="none" w:pos="241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evidence that all other action that the Administrative Agent may deem reasonably necessary or desirable in order to perfect the Liens created under the Security Agreement has been taken (including receipt of duly executed payoff letters and UCC-3 termination statements).</w:t>
      </w:r>
    </w:p>
    <w:p>
      <w:pPr>
        <w:spacing w:after="0" w:line="181" w:lineRule="exact"/>
        <w:rPr>
          <w:sz w:val="20"/>
          <w:szCs w:val="20"/>
          <w:color w:val="auto"/>
        </w:rPr>
      </w:pPr>
    </w:p>
    <w:p>
      <w:pPr>
        <w:ind w:left="2400" w:hanging="447"/>
        <w:spacing w:after="0"/>
        <w:tabs>
          <w:tab w:leader="none" w:pos="2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an amendment to the Mortgage covering the property listed on </w:t>
      </w:r>
      <w:r>
        <w:rPr>
          <w:rFonts w:ascii="Arial" w:cs="Arial" w:eastAsia="Arial" w:hAnsi="Arial"/>
          <w:sz w:val="18"/>
          <w:szCs w:val="18"/>
          <w:u w:val="single" w:color="auto"/>
          <w:color w:val="auto"/>
        </w:rPr>
        <w:t>Schedule 1.01(a)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3"/>
        <w:spacing w:after="0" w:line="259" w:lineRule="auto"/>
        <w:tabs>
          <w:tab w:leader="none" w:pos="248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the extent not previously delivered to the Administrative Agent, an Intellectual Property Security Agreement, duly executed by each Loan Party owning any Intellectual Property Collateral (as defined in the Security Agreement), together with evidence that all action that the Administrative Agent in its reasonable judgment may deem reasonably necessary or desirable in order to perfect the Liens created under such Intellectual Property Security Agreement has been taken;</w:t>
      </w:r>
    </w:p>
    <w:p>
      <w:pPr>
        <w:spacing w:after="0" w:line="186" w:lineRule="exact"/>
        <w:rPr>
          <w:rFonts w:ascii="Arial" w:cs="Arial" w:eastAsia="Arial" w:hAnsi="Arial"/>
          <w:sz w:val="18"/>
          <w:szCs w:val="18"/>
          <w:color w:val="auto"/>
        </w:rPr>
      </w:pPr>
    </w:p>
    <w:p>
      <w:pPr>
        <w:ind w:left="660" w:firstLine="1293"/>
        <w:spacing w:after="0" w:line="277" w:lineRule="auto"/>
        <w:tabs>
          <w:tab w:leader="none" w:pos="2401"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amendment to the ABL Credit Agreement, duly executed by the Borrower, the other borrowers party thereto, the requisite lenders party thereto, and the ABL Agent, pursuant to which, among other things, the Transactions are permitted;</w:t>
      </w:r>
    </w:p>
    <w:p>
      <w:pPr>
        <w:spacing w:after="0" w:line="170" w:lineRule="exact"/>
        <w:rPr>
          <w:rFonts w:ascii="Arial" w:cs="Arial" w:eastAsia="Arial" w:hAnsi="Arial"/>
          <w:sz w:val="18"/>
          <w:szCs w:val="18"/>
          <w:color w:val="auto"/>
        </w:rPr>
      </w:pPr>
    </w:p>
    <w:p>
      <w:pPr>
        <w:ind w:left="660" w:firstLine="1293"/>
        <w:spacing w:after="0" w:line="277" w:lineRule="auto"/>
        <w:tabs>
          <w:tab w:leader="none" w:pos="2467"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amendment to, and reaffirmation of, the Intercreditor Agreement, duly executed by the Borrower, the other Loan Parties party thereto, the Administrative Agent and the ABL Agent;</w:t>
      </w:r>
    </w:p>
    <w:p>
      <w:pPr>
        <w:spacing w:after="0" w:line="170" w:lineRule="exact"/>
        <w:rPr>
          <w:rFonts w:ascii="Arial" w:cs="Arial" w:eastAsia="Arial" w:hAnsi="Arial"/>
          <w:sz w:val="18"/>
          <w:szCs w:val="18"/>
          <w:color w:val="auto"/>
        </w:rPr>
      </w:pPr>
    </w:p>
    <w:p>
      <w:pPr>
        <w:ind w:left="660" w:right="20" w:firstLine="1293"/>
        <w:spacing w:after="0" w:line="277" w:lineRule="auto"/>
        <w:tabs>
          <w:tab w:leader="none" w:pos="255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charter document of each Loan Party, certified as of a recent date prior to the Restatement Date by the Secretary of State (or comparable official) of such Loan Party's jurisdiction of incorporation;</w:t>
      </w:r>
    </w:p>
    <w:p>
      <w:pPr>
        <w:spacing w:after="0" w:line="170" w:lineRule="exact"/>
        <w:rPr>
          <w:rFonts w:ascii="Arial" w:cs="Arial" w:eastAsia="Arial" w:hAnsi="Arial"/>
          <w:sz w:val="18"/>
          <w:szCs w:val="18"/>
          <w:color w:val="auto"/>
        </w:rPr>
      </w:pPr>
    </w:p>
    <w:p>
      <w:pPr>
        <w:ind w:left="660" w:firstLine="1293"/>
        <w:spacing w:after="0" w:line="277" w:lineRule="auto"/>
        <w:tabs>
          <w:tab w:leader="none" w:pos="24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certificate of the Secretary or an Assistant Secretary or Responsible Officer of each Loan Party, dated the Restatement Date, certifying (A) that attached thereto are true and correct copies of the Organization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81" w:name="page82"/>
    <w:bookmarkEnd w:id="81"/>
    <w:p>
      <w:pPr>
        <w:ind w:left="660"/>
        <w:spacing w:after="0"/>
        <w:rPr>
          <w:sz w:val="20"/>
          <w:szCs w:val="20"/>
          <w:color w:val="auto"/>
        </w:rPr>
      </w:pPr>
      <w:r>
        <w:rPr>
          <w:rFonts w:ascii="Arial" w:cs="Arial" w:eastAsia="Arial" w:hAnsi="Arial"/>
          <w:sz w:val="18"/>
          <w:szCs w:val="18"/>
          <w:color w:val="auto"/>
        </w:rPr>
        <w:t>Documents of such Loan Party; and (B) that there are no proceedings for the dissolution or liquidation of such Loan Party;</w:t>
      </w:r>
    </w:p>
    <w:p>
      <w:pPr>
        <w:spacing w:after="0" w:line="225" w:lineRule="exact"/>
        <w:rPr>
          <w:sz w:val="20"/>
          <w:szCs w:val="20"/>
          <w:color w:val="auto"/>
        </w:rPr>
      </w:pPr>
    </w:p>
    <w:p>
      <w:pPr>
        <w:jc w:val="both"/>
        <w:ind w:left="660" w:firstLine="1293"/>
        <w:spacing w:after="0" w:line="259" w:lineRule="auto"/>
        <w:tabs>
          <w:tab w:leader="none" w:pos="2416"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customary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or is to be a party;</w:t>
      </w:r>
    </w:p>
    <w:p>
      <w:pPr>
        <w:spacing w:after="0" w:line="186" w:lineRule="exact"/>
        <w:rPr>
          <w:rFonts w:ascii="Arial" w:cs="Arial" w:eastAsia="Arial" w:hAnsi="Arial"/>
          <w:sz w:val="18"/>
          <w:szCs w:val="18"/>
          <w:color w:val="auto"/>
        </w:rPr>
      </w:pPr>
    </w:p>
    <w:p>
      <w:pPr>
        <w:jc w:val="both"/>
        <w:ind w:left="660" w:firstLine="1293"/>
        <w:spacing w:after="0" w:line="259" w:lineRule="auto"/>
        <w:tabs>
          <w:tab w:leader="none" w:pos="24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each Loan Party is duly organized or formed, and that each Loan Party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186" w:lineRule="exact"/>
        <w:rPr>
          <w:rFonts w:ascii="Arial" w:cs="Arial" w:eastAsia="Arial" w:hAnsi="Arial"/>
          <w:sz w:val="18"/>
          <w:szCs w:val="18"/>
          <w:color w:val="auto"/>
        </w:rPr>
      </w:pPr>
    </w:p>
    <w:p>
      <w:pPr>
        <w:jc w:val="both"/>
        <w:ind w:left="660" w:firstLine="1293"/>
        <w:spacing w:after="0" w:line="264" w:lineRule="auto"/>
        <w:tabs>
          <w:tab w:leader="none" w:pos="2451"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favorable opinion of Greenberg Traurig, LLP, counsel to the Loan Parties, addressed to the Administrative Agent and each Lender, and covering such matters concerning the Loan Parties, the Loan Documents and the Transactions as the Required Lenders may reasonably request;</w:t>
      </w:r>
    </w:p>
    <w:p>
      <w:pPr>
        <w:spacing w:after="0" w:line="181" w:lineRule="exact"/>
        <w:rPr>
          <w:rFonts w:ascii="Arial" w:cs="Arial" w:eastAsia="Arial" w:hAnsi="Arial"/>
          <w:sz w:val="18"/>
          <w:szCs w:val="18"/>
          <w:color w:val="auto"/>
        </w:rPr>
      </w:pPr>
    </w:p>
    <w:p>
      <w:pPr>
        <w:jc w:val="both"/>
        <w:ind w:left="660" w:firstLine="1293"/>
        <w:spacing w:after="0" w:line="279" w:lineRule="auto"/>
        <w:tabs>
          <w:tab w:leader="none" w:pos="259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 favorable opinion of Greenberg Traurig, LLP, local counsel to the Loan Parties in Delaware, a favorable opinion of Greenberg Traurig, LLP, local counsel to the Loan Parties in Virginia, a favorable opinion of Jeremiah J. Shives, an in-house counsel of the Borrower, with respect to certain matters under the Indiana law, each addressed to the Administrative Agent and each Lender, and covering such other matters concerning the Loan Parties, the Loan Documents and the Transactions as the Required Lenders may reasonably request;</w:t>
      </w:r>
    </w:p>
    <w:p>
      <w:pPr>
        <w:spacing w:after="0" w:line="171" w:lineRule="exact"/>
        <w:rPr>
          <w:rFonts w:ascii="Arial" w:cs="Arial" w:eastAsia="Arial" w:hAnsi="Arial"/>
          <w:sz w:val="17"/>
          <w:szCs w:val="17"/>
          <w:color w:val="auto"/>
        </w:rPr>
      </w:pPr>
    </w:p>
    <w:p>
      <w:pPr>
        <w:jc w:val="both"/>
        <w:ind w:left="660" w:firstLine="1293"/>
        <w:spacing w:after="0" w:line="312" w:lineRule="auto"/>
        <w:tabs>
          <w:tab w:leader="none" w:pos="2492"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a certificate signed by a Responsible Officer of the Borrower certifying (A) that the conditions specified in </w:t>
      </w:r>
      <w:r>
        <w:rPr>
          <w:rFonts w:ascii="Arial" w:cs="Arial" w:eastAsia="Arial" w:hAnsi="Arial"/>
          <w:sz w:val="16"/>
          <w:szCs w:val="16"/>
          <w:u w:val="single" w:color="auto"/>
          <w:color w:val="auto"/>
        </w:rPr>
        <w:t>Sections 4.02(a)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have been satisfied, (B) that there has been no event or circumstance since the date of the Audited Financial Statements that has had or could be reasonably expected to have, either individually or in the aggregate, a Material Adverse Effect, and (C) the current Debt Ratings;</w:t>
      </w:r>
    </w:p>
    <w:p>
      <w:pPr>
        <w:spacing w:after="0" w:line="146" w:lineRule="exact"/>
        <w:rPr>
          <w:rFonts w:ascii="Arial" w:cs="Arial" w:eastAsia="Arial" w:hAnsi="Arial"/>
          <w:sz w:val="16"/>
          <w:szCs w:val="16"/>
          <w:color w:val="auto"/>
        </w:rPr>
      </w:pPr>
    </w:p>
    <w:p>
      <w:pPr>
        <w:jc w:val="both"/>
        <w:ind w:left="660" w:firstLine="1293"/>
        <w:spacing w:after="0" w:line="264" w:lineRule="auto"/>
        <w:tabs>
          <w:tab w:leader="none" w:pos="2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business plan and budget of the Borrower and its Subsidiaries on a consolidated basis, including forecasts prepared by management of the Borrower, of consolidated balance sheets and statements of income or operations and cash flows of the Borrower and its Subsidiaries on a quarterly basis for the first year following the Restatement Date;</w:t>
      </w:r>
    </w:p>
    <w:p>
      <w:pPr>
        <w:spacing w:after="0" w:line="181" w:lineRule="exact"/>
        <w:rPr>
          <w:rFonts w:ascii="Arial" w:cs="Arial" w:eastAsia="Arial" w:hAnsi="Arial"/>
          <w:sz w:val="18"/>
          <w:szCs w:val="18"/>
          <w:color w:val="auto"/>
        </w:rPr>
      </w:pPr>
    </w:p>
    <w:p>
      <w:pPr>
        <w:ind w:left="660" w:firstLine="1293"/>
        <w:spacing w:after="0" w:line="277" w:lineRule="auto"/>
        <w:tabs>
          <w:tab w:leader="none" w:pos="2489" w:val="left"/>
        </w:tabs>
        <w:numPr>
          <w:ilvl w:val="0"/>
          <w:numId w:val="65"/>
        </w:numPr>
        <w:rPr>
          <w:rFonts w:ascii="Arial" w:cs="Arial" w:eastAsia="Arial" w:hAnsi="Arial"/>
          <w:sz w:val="18"/>
          <w:szCs w:val="18"/>
          <w:color w:val="auto"/>
        </w:rPr>
      </w:pPr>
      <w:r>
        <w:rPr>
          <w:rFonts w:ascii="Arial" w:cs="Arial" w:eastAsia="Arial" w:hAnsi="Arial"/>
          <w:sz w:val="18"/>
          <w:szCs w:val="18"/>
          <w:color w:val="auto"/>
        </w:rPr>
        <w:t>certificates attesting to the Solvency of the Borrower and its Material Subsidiaries, taken as a whole, before and after giving effect to the Transaction, from the chief financial officer of the Borrower;</w:t>
      </w:r>
    </w:p>
    <w:p>
      <w:pPr>
        <w:spacing w:after="0" w:line="170" w:lineRule="exact"/>
        <w:rPr>
          <w:rFonts w:ascii="Arial" w:cs="Arial" w:eastAsia="Arial" w:hAnsi="Arial"/>
          <w:sz w:val="18"/>
          <w:szCs w:val="18"/>
          <w:color w:val="auto"/>
        </w:rPr>
      </w:pPr>
    </w:p>
    <w:p>
      <w:pPr>
        <w:jc w:val="both"/>
        <w:ind w:left="660" w:firstLine="1293"/>
        <w:spacing w:after="0" w:line="312" w:lineRule="auto"/>
        <w:tabs>
          <w:tab w:leader="none" w:pos="2572" w:val="left"/>
        </w:tabs>
        <w:numPr>
          <w:ilvl w:val="0"/>
          <w:numId w:val="65"/>
        </w:numPr>
        <w:rPr>
          <w:rFonts w:ascii="Arial" w:cs="Arial" w:eastAsia="Arial" w:hAnsi="Arial"/>
          <w:sz w:val="16"/>
          <w:szCs w:val="16"/>
          <w:color w:val="auto"/>
        </w:rPr>
      </w:pPr>
      <w:r>
        <w:rPr>
          <w:rFonts w:ascii="Arial" w:cs="Arial" w:eastAsia="Arial" w:hAnsi="Arial"/>
          <w:sz w:val="16"/>
          <w:szCs w:val="16"/>
          <w:color w:val="auto"/>
        </w:rPr>
        <w:t>evidence that all insurance required to be maintained pursuant to the Loan Documents has been obtained and is in effect, together with the certificates of insurance, naming the Administrative Agent, on behalf of the Lenders, as an additional insured or loss payee, as the case may be, under all insurance policies maintained with respect to the assets and properties of the Loan Parties that constitutes Collateral;</w:t>
      </w:r>
    </w:p>
    <w:p>
      <w:pPr>
        <w:spacing w:after="0" w:line="147" w:lineRule="exact"/>
        <w:rPr>
          <w:sz w:val="20"/>
          <w:szCs w:val="20"/>
          <w:color w:val="auto"/>
        </w:rPr>
      </w:pPr>
    </w:p>
    <w:p>
      <w:pPr>
        <w:ind w:left="660" w:firstLine="1293"/>
        <w:spacing w:after="0" w:line="277" w:lineRule="auto"/>
        <w:tabs>
          <w:tab w:leader="none" w:pos="2529"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duly completed pro forma Compliance Certificate as of the last day of the fiscal year of the Borrower ended December 31, 2012, signed by a Responsible Officer of the Borrower;</w:t>
      </w:r>
    </w:p>
    <w:p>
      <w:pPr>
        <w:spacing w:after="0" w:line="170" w:lineRule="exact"/>
        <w:rPr>
          <w:sz w:val="20"/>
          <w:szCs w:val="20"/>
          <w:color w:val="auto"/>
        </w:rPr>
      </w:pPr>
    </w:p>
    <w:p>
      <w:pPr>
        <w:ind w:left="2580" w:hanging="627"/>
        <w:spacing w:after="0"/>
        <w:tabs>
          <w:tab w:leader="none" w:pos="2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Diligence Certificate, duly executed by the Loan Parties; and</w:t>
      </w:r>
    </w:p>
    <w:p>
      <w:pPr>
        <w:spacing w:after="0" w:line="225" w:lineRule="exact"/>
        <w:rPr>
          <w:rFonts w:ascii="Arial" w:cs="Arial" w:eastAsia="Arial" w:hAnsi="Arial"/>
          <w:sz w:val="18"/>
          <w:szCs w:val="18"/>
          <w:color w:val="auto"/>
        </w:rPr>
      </w:pPr>
    </w:p>
    <w:p>
      <w:pPr>
        <w:ind w:left="2500" w:hanging="547"/>
        <w:spacing w:after="0"/>
        <w:tabs>
          <w:tab w:leader="none" w:pos="2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such other assurances, certificates, documents, consents or opinions as the Administrative Agent or any Lender reasonably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may require.</w:t>
      </w:r>
    </w:p>
    <w:p>
      <w:pPr>
        <w:spacing w:after="0" w:line="211" w:lineRule="exact"/>
        <w:rPr>
          <w:sz w:val="20"/>
          <w:szCs w:val="20"/>
          <w:color w:val="auto"/>
        </w:rPr>
      </w:pPr>
    </w:p>
    <w:p>
      <w:pPr>
        <w:jc w:val="both"/>
        <w:ind w:right="20" w:firstLine="656"/>
        <w:spacing w:after="0" w:line="264" w:lineRule="auto"/>
        <w:tabs>
          <w:tab w:leader="none" w:pos="1058"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Borrower shall have paid all of the accrued and unpaid interest on the Existing Loans up to the Restatement Date, and the Existing Loans shall, concurrently with the closing of the Transactions, be fully refinanced by the proceeds of the Loans (subject to the conversion of certain Existing Loans to the Loans as provided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042"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The Fee Letter shall have been executed, (ii) all fees required to be paid to the Administrative Agent, the Arrangers, the Syndication Agents and the Book Manager on or before the Restatement Date shall have been paid and (iii) all fees required to be paid to the Lenders on or before the Restatement Date shall have been paid.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82" w:name="page83"/>
    <w:bookmarkEnd w:id="82"/>
    <w:p>
      <w:pPr>
        <w:jc w:val="both"/>
        <w:ind w:firstLine="656"/>
        <w:spacing w:after="0" w:line="257" w:lineRule="auto"/>
        <w:tabs>
          <w:tab w:leader="none" w:pos="1056"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Unless waived by the Administrative Agent, the Borrower shall have paid all fees, charges and disbursements of counsel to the Administrative Agent (directly to such counsel if requested by the Administrative Agent) to the extent invoiced prior to or on the Restatement Date,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estimate shall not thereafter preclude a final settling of accounts between the Borrower and the Administrative Agent).</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Without limiting the generality of the provisions of the last paragraph of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Section 4.01</w:t>
      </w:r>
      <w:r>
        <w:rPr>
          <w:rFonts w:ascii="Arial" w:cs="Arial" w:eastAsia="Arial" w:hAnsi="Arial"/>
          <w:sz w:val="17"/>
          <w:szCs w:val="17"/>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Restatement Date specifying its objection thereto.</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4.02 </w:t>
      </w:r>
      <w:r>
        <w:rPr>
          <w:rFonts w:ascii="Arial" w:cs="Arial" w:eastAsia="Arial" w:hAnsi="Arial"/>
          <w:sz w:val="16"/>
          <w:szCs w:val="16"/>
          <w:b w:val="1"/>
          <w:bCs w:val="1"/>
          <w:i w:val="1"/>
          <w:iCs w:val="1"/>
          <w:color w:val="auto"/>
        </w:rPr>
        <w:t>Conditions to all Credit Extensions</w:t>
      </w:r>
      <w:r>
        <w:rPr>
          <w:rFonts w:ascii="Arial" w:cs="Arial" w:eastAsia="Arial" w:hAnsi="Arial"/>
          <w:sz w:val="16"/>
          <w:szCs w:val="16"/>
          <w:color w:val="auto"/>
        </w:rPr>
        <w:t>. The obligation of each Lender to honor any request for Credit Extension (other than a Committed Loan Notice requesting only a conversion of Loans to the other Type, or a continuation of Eurodollar Rate Loans) is subject to the following conditions precedent:</w:t>
      </w:r>
    </w:p>
    <w:p>
      <w:pPr>
        <w:spacing w:after="0" w:line="124" w:lineRule="exact"/>
        <w:rPr>
          <w:sz w:val="20"/>
          <w:szCs w:val="20"/>
          <w:color w:val="auto"/>
        </w:rPr>
      </w:pPr>
    </w:p>
    <w:p>
      <w:pPr>
        <w:jc w:val="both"/>
        <w:ind w:firstLine="656"/>
        <w:spacing w:after="0" w:line="255" w:lineRule="auto"/>
        <w:tabs>
          <w:tab w:leader="none" w:pos="1029"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Borrower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any other Loan Document, shall be true and correct in all material respects (and in all respects if any such representation or warranty is already qualified by materiality) on and as of the date of such Credit Extension,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 purposes of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Sections 5.05(a)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respectively.</w:t>
      </w:r>
    </w:p>
    <w:p>
      <w:pPr>
        <w:spacing w:after="0" w:line="193" w:lineRule="exact"/>
        <w:rPr>
          <w:rFonts w:ascii="Arial" w:cs="Arial" w:eastAsia="Arial" w:hAnsi="Arial"/>
          <w:sz w:val="18"/>
          <w:szCs w:val="18"/>
          <w:color w:val="auto"/>
        </w:rPr>
      </w:pPr>
    </w:p>
    <w:p>
      <w:pPr>
        <w:ind w:left="1040" w:hanging="384"/>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from the application of the proceeds thereof.</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Administrative Agent shall have received a request for Credit Extension in accordance with the requirements hereof.</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Each request for Credit Extension (other than a Committed Loan Notice requesting only a conversion of Loans to the other Type or a continuation of Eurodollar Rate Loans) submitted by the Borrower shall be deemed to be a representation and warranty that the conditions specified in </w:t>
      </w:r>
      <w:r>
        <w:rPr>
          <w:rFonts w:ascii="Arial" w:cs="Arial" w:eastAsia="Arial" w:hAnsi="Arial"/>
          <w:sz w:val="16"/>
          <w:szCs w:val="16"/>
          <w:u w:val="single" w:color="auto"/>
          <w:color w:val="auto"/>
        </w:rPr>
        <w:t>Sections 4.02(a) and</w:t>
      </w:r>
    </w:p>
    <w:p>
      <w:pPr>
        <w:ind w:left="5620" w:right="4520" w:hanging="5612"/>
        <w:spacing w:after="0" w:line="793" w:lineRule="auto"/>
        <w:tabs>
          <w:tab w:leader="none" w:pos="259" w:val="left"/>
        </w:tabs>
        <w:numPr>
          <w:ilvl w:val="0"/>
          <w:numId w:val="71"/>
        </w:numPr>
        <w:rPr>
          <w:rFonts w:ascii="Arial" w:cs="Arial" w:eastAsia="Arial" w:hAnsi="Arial"/>
          <w:sz w:val="18"/>
          <w:szCs w:val="18"/>
          <w:u w:val="single" w:color="auto"/>
          <w:color w:val="auto"/>
        </w:rPr>
      </w:pPr>
      <w:r>
        <w:rPr>
          <w:rFonts w:ascii="Arial" w:cs="Arial" w:eastAsia="Arial" w:hAnsi="Arial"/>
          <w:sz w:val="18"/>
          <w:szCs w:val="18"/>
          <w:color w:val="auto"/>
        </w:rPr>
        <w:t>have been satisfied (unless waived) on and as of the date of the applicable Credit Extension. 37</w:t>
      </w:r>
    </w:p>
    <w:p>
      <w:pPr>
        <w:sectPr>
          <w:pgSz w:w="11900" w:h="16838" w:orient="portrait"/>
          <w:cols w:equalWidth="0" w:num="1">
            <w:col w:w="11420"/>
          </w:cols>
          <w:pgMar w:left="240" w:top="584"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ARTICLE V</w:t>
      </w:r>
    </w:p>
    <w:p>
      <w:pPr>
        <w:spacing w:after="0" w:line="266"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REPRESENTATIONS AND WARRANTIES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Borrower represents and warrants to the Administrative Agent and the Lenders that: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b w:val="1"/>
          <w:bCs w:val="1"/>
          <w:i w:val="1"/>
          <w:iCs w:val="1"/>
          <w:color w:val="auto"/>
        </w:rPr>
        <w:t>Existence, Qualification and Power</w:t>
      </w:r>
      <w:r>
        <w:rPr>
          <w:rFonts w:ascii="Arial" w:cs="Arial" w:eastAsia="Arial" w:hAnsi="Arial"/>
          <w:sz w:val="18"/>
          <w:szCs w:val="18"/>
          <w:color w:val="auto"/>
        </w:rPr>
        <w:t>. Each Loan Party and each of its Material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consummate the Transaction,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5.02 </w:t>
      </w:r>
      <w:r>
        <w:rPr>
          <w:rFonts w:ascii="Arial" w:cs="Arial" w:eastAsia="Arial" w:hAnsi="Arial"/>
          <w:sz w:val="17"/>
          <w:szCs w:val="17"/>
          <w:b w:val="1"/>
          <w:bCs w:val="1"/>
          <w:i w:val="1"/>
          <w:iCs w:val="1"/>
          <w:color w:val="auto"/>
        </w:rPr>
        <w:t>Authorization; No Contravention</w:t>
      </w:r>
      <w:r>
        <w:rPr>
          <w:rFonts w:ascii="Arial" w:cs="Arial" w:eastAsia="Arial" w:hAnsi="Arial"/>
          <w:sz w:val="17"/>
          <w:szCs w:val="17"/>
          <w:color w:val="auto"/>
        </w:rPr>
        <w:t>. The execution, delivery and performance by each Loan Party of each Loan Document to which such Person is or is to be a party have been duly authorized by all necessary corporate or other organizational action, and do not and will not (a) contravene the terms of any of such Person's Organization Documents; (b) conflict with or result in any breach or contravention of, or the creation of any Lien under (other than Liens in favor of the Administrative Agent securing the Obligations and in favor of the ABL Agent securing the ABL Indebtedness), or require any payment (except for Indebtedness to be repaid on the Restatement Date in connection with the Transaction)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in the case of clauses (b) or (c), except with respect to any violation, breach, contravention or payment (but not creation of Liens referred to in clause (b)(ii)), to the extent that such violation, breach, contravention or payment could not reasonably be expected to have a Material Adverse Effect.</w:t>
      </w:r>
    </w:p>
    <w:p>
      <w:pPr>
        <w:spacing w:after="0" w:line="18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5.03 </w:t>
      </w:r>
      <w:r>
        <w:rPr>
          <w:rFonts w:ascii="Arial" w:cs="Arial" w:eastAsia="Arial" w:hAnsi="Arial"/>
          <w:sz w:val="16"/>
          <w:szCs w:val="16"/>
          <w:b w:val="1"/>
          <w:bCs w:val="1"/>
          <w:i w:val="1"/>
          <w:iCs w:val="1"/>
          <w:color w:val="auto"/>
        </w:rPr>
        <w:t>Governmental Authorization; Other Consents</w:t>
      </w:r>
      <w:r>
        <w:rPr>
          <w:rFonts w:ascii="Arial" w:cs="Arial" w:eastAsia="Arial" w:hAnsi="Arial"/>
          <w:sz w:val="16"/>
          <w:szCs w:val="16"/>
          <w:color w:val="auto"/>
        </w:rPr>
        <w:t xml:space="preserve">. Except as referred to in clause (f) of </w:t>
      </w:r>
      <w:r>
        <w:rPr>
          <w:rFonts w:ascii="Arial" w:cs="Arial" w:eastAsia="Arial" w:hAnsi="Arial"/>
          <w:sz w:val="16"/>
          <w:szCs w:val="16"/>
          <w:u w:val="single" w:color="auto"/>
          <w:color w:val="auto"/>
        </w:rPr>
        <w:t>Schedule 5.30</w:t>
      </w:r>
      <w:r>
        <w:rPr>
          <w:rFonts w:ascii="Arial" w:cs="Arial" w:eastAsia="Arial" w:hAnsi="Arial"/>
          <w:sz w:val="16"/>
          <w:szCs w:val="16"/>
          <w:color w:val="auto"/>
        </w:rPr>
        <w:t xml:space="preserve">, no approval, consent, exemption, authorization, or other action by, or notice to, or filing with, any Governmental Authority or any other Person is necessary or required, in any material respect, in connection with (i)(a) the execution, delivery or performance by any Loan Party of this Agreement or any other Loan Document, or for the consummation of the Transactions, (b) the grant by any Loan Party of the Liens granted by it pursuant to the Collateral Documents, or (c) the perfection of the Liens created under the Collateral Documents (including the first priority nature thereof subject to the Intercreditor Agreement) except for (1) filings, notices and other actions in respect of the Collateral to be made or otherwise delivered to the Administrative Agent for filing or recordation as of the Restatement Date, and (2) the authorizations, approvals, actions, notices and filings listed on </w:t>
      </w:r>
      <w:r>
        <w:rPr>
          <w:rFonts w:ascii="Arial" w:cs="Arial" w:eastAsia="Arial" w:hAnsi="Arial"/>
          <w:sz w:val="16"/>
          <w:szCs w:val="16"/>
          <w:u w:val="single" w:color="auto"/>
          <w:color w:val="auto"/>
        </w:rPr>
        <w:t>Schedule 5.03</w:t>
      </w:r>
      <w:r>
        <w:rPr>
          <w:rFonts w:ascii="Arial" w:cs="Arial" w:eastAsia="Arial" w:hAnsi="Arial"/>
          <w:sz w:val="16"/>
          <w:szCs w:val="16"/>
          <w:color w:val="auto"/>
        </w:rPr>
        <w:t xml:space="preserve"> (all of which in the case of clause (2) have been duly obtained, taken, given or made and are in full force and effect), or (ii)(x) the maintenance of the Liens created under the Collateral Documents (including the first priority nature thereof subject to the Intercreditor Agreement) or (y) the exercise by the Administrative Agent or any Lender of its rights under the Loan Documents or the remedies in respect of the Collateral pursuant to the Collateral Documents, except for (1) filings, notices and other actions in respect of the enforcement of remedies against the Collateral and in respect of any judicial action and (2) the authorizations, approvals, actions, notices and filings listed on </w:t>
      </w:r>
      <w:r>
        <w:rPr>
          <w:rFonts w:ascii="Arial" w:cs="Arial" w:eastAsia="Arial" w:hAnsi="Arial"/>
          <w:sz w:val="16"/>
          <w:szCs w:val="16"/>
          <w:u w:val="single" w:color="auto"/>
          <w:color w:val="auto"/>
        </w:rPr>
        <w:t>Schedule 5.03</w:t>
      </w:r>
      <w:r>
        <w:rPr>
          <w:rFonts w:ascii="Arial" w:cs="Arial" w:eastAsia="Arial" w:hAnsi="Arial"/>
          <w:sz w:val="16"/>
          <w:szCs w:val="16"/>
          <w:color w:val="auto"/>
        </w:rPr>
        <w:t xml:space="preserve"> (all of which in the case of clause (2) have been duly obtained, taken, given or made and are in full force and effect).</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5.04 </w:t>
      </w:r>
      <w:r>
        <w:rPr>
          <w:rFonts w:ascii="Arial" w:cs="Arial" w:eastAsia="Arial" w:hAnsi="Arial"/>
          <w:sz w:val="18"/>
          <w:szCs w:val="18"/>
          <w:b w:val="1"/>
          <w:bCs w:val="1"/>
          <w:i w:val="1"/>
          <w:iCs w:val="1"/>
          <w:color w:val="auto"/>
        </w:rPr>
        <w:t>Binding Effect</w:t>
      </w:r>
      <w:r>
        <w:rPr>
          <w:rFonts w:ascii="Arial" w:cs="Arial" w:eastAsia="Arial" w:hAnsi="Arial"/>
          <w:sz w:val="18"/>
          <w:szCs w:val="18"/>
          <w:color w:val="auto"/>
        </w:rPr>
        <w: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such enforceability may be limited by bankruptcy, insolvency, reorganization, receivership, moratorium or other laws affecting creditors' rights generally and by general principles of equity.</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5.05 </w:t>
      </w:r>
      <w:r>
        <w:rPr>
          <w:rFonts w:ascii="Arial" w:cs="Arial" w:eastAsia="Arial" w:hAnsi="Arial"/>
          <w:sz w:val="17"/>
          <w:szCs w:val="17"/>
          <w:b w:val="1"/>
          <w:bCs w:val="1"/>
          <w:i w:val="1"/>
          <w:iCs w:val="1"/>
          <w:color w:val="auto"/>
        </w:rPr>
        <w:t>Financial Statements; No Material Adverse Effect</w:t>
      </w:r>
      <w:r>
        <w:rPr>
          <w:rFonts w:ascii="Arial" w:cs="Arial" w:eastAsia="Arial" w:hAnsi="Arial"/>
          <w:sz w:val="17"/>
          <w:szCs w:val="17"/>
          <w:color w:val="auto"/>
        </w:rPr>
        <w:t>. (a) The Audited Financial Statements (i) were prepared in accordance with GAAP consistently applied throughout the period covered thereby, except as otherwise expressly noted therein; and (ii) fairly present in all material respects the financial condition of the Borrower and its Subsidiaries as of the date thereof and their results of operations for the period covered thereby in accordance with GAAP consistently applied throughout the period covered thereby, except as otherwise expressly noted therein.</w:t>
      </w:r>
    </w:p>
    <w:p>
      <w:pPr>
        <w:spacing w:after="0" w:line="171" w:lineRule="exact"/>
        <w:rPr>
          <w:sz w:val="20"/>
          <w:szCs w:val="20"/>
          <w:color w:val="auto"/>
        </w:rPr>
      </w:pPr>
    </w:p>
    <w:p>
      <w:pPr>
        <w:jc w:val="both"/>
        <w:ind w:firstLine="656"/>
        <w:spacing w:after="0" w:line="264" w:lineRule="auto"/>
        <w:tabs>
          <w:tab w:leader="none" w:pos="115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unaudited consolidated balance sheets of the Borrower and its Subsidiaries dated September 30, 2012, and the related consolidated statements of income or operations, shareholders' equity and cash flows for the fiscal quarter ended on that date (i) were prepared in accordance with GAAP consistently applied throughout the period covered thereby, except as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25" w:right="239" w:bottom="1440" w:gutter="0" w:footer="0" w:header="0"/>
        </w:sectPr>
      </w:pPr>
    </w:p>
    <w:bookmarkStart w:id="84" w:name="page85"/>
    <w:bookmarkEnd w:id="84"/>
    <w:p>
      <w:pPr>
        <w:spacing w:after="0" w:line="308" w:lineRule="auto"/>
        <w:rPr>
          <w:sz w:val="20"/>
          <w:szCs w:val="20"/>
          <w:color w:val="auto"/>
        </w:rPr>
      </w:pPr>
      <w:r>
        <w:rPr>
          <w:rFonts w:ascii="Arial" w:cs="Arial" w:eastAsia="Arial" w:hAnsi="Arial"/>
          <w:sz w:val="17"/>
          <w:szCs w:val="17"/>
          <w:color w:val="auto"/>
        </w:rPr>
        <w:t>otherwise expressly noted therein, and (ii) fairly present in all material respects the financial condition of the Borrower and its Subsidiaries as of the date thereof and their results of operations for the period covered thereby, subject to the absence of footnotes and to normal year-end audit adjustments.</w:t>
      </w:r>
    </w:p>
    <w:p>
      <w:pPr>
        <w:spacing w:after="0" w:line="147" w:lineRule="exact"/>
        <w:rPr>
          <w:sz w:val="20"/>
          <w:szCs w:val="20"/>
          <w:color w:val="auto"/>
        </w:rPr>
      </w:pPr>
    </w:p>
    <w:p>
      <w:pPr>
        <w:ind w:firstLine="656"/>
        <w:spacing w:after="0" w:line="277" w:lineRule="auto"/>
        <w:tabs>
          <w:tab w:leader="none" w:pos="103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Since the date of the Audited Financial Statements, there has been no event or circumstance, either individually or in the aggregate, that has had or could reasonably be expected to have a Material Adverse Effect.</w:t>
      </w:r>
    </w:p>
    <w:p>
      <w:pPr>
        <w:spacing w:after="0" w:line="170" w:lineRule="exact"/>
        <w:rPr>
          <w:rFonts w:ascii="Arial" w:cs="Arial" w:eastAsia="Arial" w:hAnsi="Arial"/>
          <w:sz w:val="18"/>
          <w:szCs w:val="18"/>
          <w:color w:val="auto"/>
        </w:rPr>
      </w:pPr>
    </w:p>
    <w:p>
      <w:pPr>
        <w:jc w:val="both"/>
        <w:ind w:firstLine="656"/>
        <w:spacing w:after="0" w:line="276" w:lineRule="auto"/>
        <w:tabs>
          <w:tab w:leader="none" w:pos="1156"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consolidated pro forma balance sheets of the Borrower and its Subsidiaries as at December 31, 2012, and the related consolidated pro forma statements of income and cash flows of the Borrower and its Subsidiaries for the twelve months then ended, certified by the chief financial officer or treasurer of the Borrower, copies of which have been furnished to each Lender, fairly present in all material respects the consolidated pro forma financial condition of the Borrower and its Subsidiaries as at such date and the consolidated pro forma results of operations of the Borrower and its Subsidiaries for the period ended on such date, in each case giving effect to the Transaction, all in accordance with GAAP.</w:t>
      </w:r>
    </w:p>
    <w:p>
      <w:pPr>
        <w:spacing w:after="0" w:line="172" w:lineRule="exact"/>
        <w:rPr>
          <w:rFonts w:ascii="Arial" w:cs="Arial" w:eastAsia="Arial" w:hAnsi="Arial"/>
          <w:sz w:val="17"/>
          <w:szCs w:val="17"/>
          <w:color w:val="auto"/>
        </w:rPr>
      </w:pPr>
    </w:p>
    <w:p>
      <w:pPr>
        <w:jc w:val="both"/>
        <w:ind w:firstLine="656"/>
        <w:spacing w:after="0" w:line="279" w:lineRule="auto"/>
        <w:tabs>
          <w:tab w:leader="none" w:pos="1084"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consolidated forecasted balance sheets, statements of income and cash flows of the Borrower and its Subsidiaries delivered pursuant to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6.01(c)</w:t>
      </w:r>
      <w:r>
        <w:rPr>
          <w:rFonts w:ascii="Arial" w:cs="Arial" w:eastAsia="Arial" w:hAnsi="Arial"/>
          <w:sz w:val="17"/>
          <w:szCs w:val="17"/>
          <w:color w:val="auto"/>
        </w:rPr>
        <w:t xml:space="preserve"> were prepared in good faith on the basis of the assumptions stated therein, which assumptions were fair in light of the conditions existing at the time of delivery of such forecasts, and represented, at the time of delivery, the Borrower's best estimate of its future financial condition and performance; it being understood that actual results may vary from such forecasts and that such variations may be material.</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5.06 </w:t>
      </w:r>
      <w:r>
        <w:rPr>
          <w:rFonts w:ascii="Arial" w:cs="Arial" w:eastAsia="Arial" w:hAnsi="Arial"/>
          <w:sz w:val="16"/>
          <w:szCs w:val="16"/>
          <w:b w:val="1"/>
          <w:bCs w:val="1"/>
          <w:i w:val="1"/>
          <w:iCs w:val="1"/>
          <w:color w:val="auto"/>
        </w:rPr>
        <w:t>Litigation</w:t>
      </w:r>
      <w:r>
        <w:rPr>
          <w:rFonts w:ascii="Arial" w:cs="Arial" w:eastAsia="Arial" w:hAnsi="Arial"/>
          <w:sz w:val="16"/>
          <w:szCs w:val="16"/>
          <w:color w:val="auto"/>
        </w:rPr>
        <w:t>. There are no actions, suits, proceedings, claims or disputes pending or, to the knowledge of the Borrower, threatened in writing or contemplated, at law, in equity, in arbitration or before any Governmental Authority, by or against the Borrower or any of its Material Subsidiaries or against any of their properties or revenues that (a) purport to affect or pertain to this Agreement, any other Loan Document or the consummation of the Transactions,</w:t>
      </w:r>
    </w:p>
    <w:p>
      <w:pPr>
        <w:jc w:val="both"/>
        <w:ind w:firstLine="8"/>
        <w:spacing w:after="0" w:line="255" w:lineRule="auto"/>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except as specifically disclosed in </w:t>
      </w:r>
      <w:r>
        <w:rPr>
          <w:rFonts w:ascii="Arial" w:cs="Arial" w:eastAsia="Arial" w:hAnsi="Arial"/>
          <w:sz w:val="18"/>
          <w:szCs w:val="18"/>
          <w:u w:val="single" w:color="auto"/>
          <w:color w:val="auto"/>
        </w:rPr>
        <w:t>Schedule 5.06</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Disclosed Litigation</w:t>
      </w:r>
      <w:r>
        <w:rPr>
          <w:rFonts w:ascii="Arial" w:cs="Arial" w:eastAsia="Arial" w:hAnsi="Arial"/>
          <w:sz w:val="18"/>
          <w:szCs w:val="18"/>
          <w:color w:val="auto"/>
        </w:rPr>
        <w:t xml:space="preserve">”), either individually or in the aggregate, if determined adversely, could reasonably be expected to have a Material Adverse Effect, and there has been no material adverse change in the status, or financial effect on any Loan Party or any Material Subsidiary thereof, of the matters described in </w:t>
      </w:r>
      <w:r>
        <w:rPr>
          <w:rFonts w:ascii="Arial" w:cs="Arial" w:eastAsia="Arial" w:hAnsi="Arial"/>
          <w:sz w:val="18"/>
          <w:szCs w:val="18"/>
          <w:u w:val="single" w:color="auto"/>
          <w:color w:val="auto"/>
        </w:rPr>
        <w:t>Schedule 5.06</w:t>
      </w:r>
      <w:r>
        <w:rPr>
          <w:rFonts w:ascii="Arial" w:cs="Arial" w:eastAsia="Arial" w:hAnsi="Arial"/>
          <w:sz w:val="18"/>
          <w:szCs w:val="18"/>
          <w:color w:val="auto"/>
        </w:rPr>
        <w:t>.</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5.07 </w:t>
      </w:r>
      <w:r>
        <w:rPr>
          <w:rFonts w:ascii="Arial" w:cs="Arial" w:eastAsia="Arial" w:hAnsi="Arial"/>
          <w:sz w:val="18"/>
          <w:szCs w:val="18"/>
          <w:b w:val="1"/>
          <w:bCs w:val="1"/>
          <w:i w:val="1"/>
          <w:iCs w:val="1"/>
          <w:color w:val="auto"/>
        </w:rPr>
        <w:t>No Default</w:t>
      </w:r>
      <w:r>
        <w:rPr>
          <w:rFonts w:ascii="Arial" w:cs="Arial" w:eastAsia="Arial" w:hAnsi="Arial"/>
          <w:sz w:val="18"/>
          <w:szCs w:val="18"/>
          <w:color w:val="auto"/>
        </w:rPr>
        <w:t>. Neither any Loan Party nor any Material Subsidiary thereof is in default under or with respect to, or a party to, any Contractual Obligation that could, either individually or in the aggregate, reasonably be expected to have a Material Adverse Effect. As of the Restatement Date, no Default has occurred and is continuing or would result from the consummation of the transactions contemplated by this Agreement or any other Loan Document.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5.08 </w:t>
      </w:r>
      <w:r>
        <w:rPr>
          <w:rFonts w:ascii="Arial" w:cs="Arial" w:eastAsia="Arial" w:hAnsi="Arial"/>
          <w:sz w:val="18"/>
          <w:szCs w:val="18"/>
          <w:b w:val="1"/>
          <w:bCs w:val="1"/>
          <w:i w:val="1"/>
          <w:iCs w:val="1"/>
          <w:color w:val="auto"/>
        </w:rPr>
        <w:t>Ownership of Property; Liens; Investments</w:t>
      </w:r>
      <w:r>
        <w:rPr>
          <w:rFonts w:ascii="Arial" w:cs="Arial" w:eastAsia="Arial" w:hAnsi="Arial"/>
          <w:sz w:val="18"/>
          <w:szCs w:val="18"/>
          <w:color w:val="auto"/>
        </w:rPr>
        <w:t>. (a) Each of the Loan Parties and the Material Subsidiaries has good record and marketable title in fee simple to, or valid leasehold interests in, all real property necessary in the ordinary conduct of its business, except for such defects in title as could not, individually or in the aggregate, reasonably be expected to have a Material Adverse Effect.</w:t>
      </w:r>
    </w:p>
    <w:p>
      <w:pPr>
        <w:spacing w:after="0" w:line="181" w:lineRule="exact"/>
        <w:rPr>
          <w:sz w:val="20"/>
          <w:szCs w:val="20"/>
          <w:color w:val="auto"/>
        </w:rPr>
      </w:pPr>
    </w:p>
    <w:p>
      <w:pPr>
        <w:jc w:val="both"/>
        <w:ind w:firstLine="656"/>
        <w:spacing w:after="0" w:line="279" w:lineRule="auto"/>
        <w:tabs>
          <w:tab w:leader="none" w:pos="1038"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Schedule 5.08(b)</w:t>
      </w:r>
      <w:r>
        <w:rPr>
          <w:rFonts w:ascii="Arial" w:cs="Arial" w:eastAsia="Arial" w:hAnsi="Arial"/>
          <w:sz w:val="17"/>
          <w:szCs w:val="17"/>
          <w:color w:val="auto"/>
        </w:rPr>
        <w:t xml:space="preserve"> sets forth a complete and accurate list of all consensual Liens and, to the knowledge of the Borrower, material non-consensual Liens on the property or assets of each Loan Party as of the Restatement Date , showing as of the Restatement Date the lienholder thereof, and the property or assets of such Loan Party subject thereto. The property of each Loan Party is subject to no consensual Liens and, to the knowledge of the Borrower, no material non-consensual, other than such Liens set forth on </w:t>
      </w:r>
      <w:r>
        <w:rPr>
          <w:rFonts w:ascii="Arial" w:cs="Arial" w:eastAsia="Arial" w:hAnsi="Arial"/>
          <w:sz w:val="17"/>
          <w:szCs w:val="17"/>
          <w:u w:val="single" w:color="auto"/>
          <w:color w:val="auto"/>
        </w:rPr>
        <w:t>Schedule 5.08(b)</w:t>
      </w:r>
      <w:r>
        <w:rPr>
          <w:rFonts w:ascii="Arial" w:cs="Arial" w:eastAsia="Arial" w:hAnsi="Arial"/>
          <w:sz w:val="17"/>
          <w:szCs w:val="17"/>
          <w:color w:val="auto"/>
        </w:rPr>
        <w:t xml:space="preserve">, and as otherwise permitted by </w:t>
      </w:r>
      <w:r>
        <w:rPr>
          <w:rFonts w:ascii="Arial" w:cs="Arial" w:eastAsia="Arial" w:hAnsi="Arial"/>
          <w:sz w:val="17"/>
          <w:szCs w:val="17"/>
          <w:u w:val="single" w:color="auto"/>
          <w:color w:val="auto"/>
        </w:rPr>
        <w:t>Section 7.01</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firstLine="656"/>
        <w:spacing w:after="0" w:line="259" w:lineRule="auto"/>
        <w:tabs>
          <w:tab w:leader="none" w:pos="102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Schedule 5.08(c)</w:t>
      </w:r>
      <w:r>
        <w:rPr>
          <w:rFonts w:ascii="Arial" w:cs="Arial" w:eastAsia="Arial" w:hAnsi="Arial"/>
          <w:sz w:val="18"/>
          <w:szCs w:val="18"/>
          <w:color w:val="auto"/>
        </w:rPr>
        <w:t xml:space="preserve"> sets forth a complete and accurate list of all real property owned as of the Restatement Date by each Loan Party, showing as of the Restatement Date the street address, county or other relevant jurisdiction, state, record owner and book value thereof. Each Loan Party has good, marketable and insurable fee simple title to the Material Real Property owned by such Loan Party, free and clear of all Liens, other than Liens created or permitted by the Loan Documents.</w:t>
      </w:r>
    </w:p>
    <w:p>
      <w:pPr>
        <w:spacing w:after="0" w:line="186" w:lineRule="exact"/>
        <w:rPr>
          <w:rFonts w:ascii="Arial" w:cs="Arial" w:eastAsia="Arial" w:hAnsi="Arial"/>
          <w:sz w:val="18"/>
          <w:szCs w:val="18"/>
          <w:color w:val="auto"/>
        </w:rPr>
      </w:pPr>
    </w:p>
    <w:p>
      <w:pPr>
        <w:ind w:firstLine="656"/>
        <w:spacing w:after="0" w:line="308" w:lineRule="auto"/>
        <w:tabs>
          <w:tab w:leader="none" w:pos="1038"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Schedule 5.08(d)</w:t>
      </w:r>
      <w:r>
        <w:rPr>
          <w:rFonts w:ascii="Arial" w:cs="Arial" w:eastAsia="Arial" w:hAnsi="Arial"/>
          <w:sz w:val="17"/>
          <w:szCs w:val="17"/>
          <w:color w:val="auto"/>
        </w:rPr>
        <w:t xml:space="preserve"> sets forth a complete and accurate list of all material leases of real property under which any Loan Party as of the Restatement Date is the lessee, showing as of the Restatement Date the street address, county or other relevant jurisdiction, state, lessor and lessee.</w:t>
      </w:r>
    </w:p>
    <w:p>
      <w:pPr>
        <w:spacing w:after="0" w:line="146" w:lineRule="exact"/>
        <w:rPr>
          <w:rFonts w:ascii="Arial" w:cs="Arial" w:eastAsia="Arial" w:hAnsi="Arial"/>
          <w:sz w:val="17"/>
          <w:szCs w:val="17"/>
          <w:color w:val="auto"/>
        </w:rPr>
      </w:pPr>
    </w:p>
    <w:p>
      <w:pPr>
        <w:ind w:firstLine="656"/>
        <w:spacing w:after="0" w:line="308" w:lineRule="auto"/>
        <w:tabs>
          <w:tab w:leader="none" w:pos="1095"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Schedule 5.08(e)</w:t>
      </w:r>
      <w:r>
        <w:rPr>
          <w:rFonts w:ascii="Arial" w:cs="Arial" w:eastAsia="Arial" w:hAnsi="Arial"/>
          <w:sz w:val="17"/>
          <w:szCs w:val="17"/>
          <w:color w:val="auto"/>
        </w:rPr>
        <w:t xml:space="preserve"> sets forth a complete and accurate list of all Investments (other than Cash Equivalents) held by any Loan Party as of the Restatement Date , showing as of the Restatement Date (unless otherwise indicated) the amount, obligor or issuer and maturity, if any, thereof.</w:t>
      </w:r>
    </w:p>
    <w:p>
      <w:pPr>
        <w:spacing w:after="0" w:line="146" w:lineRule="exact"/>
        <w:rPr>
          <w:rFonts w:ascii="Arial" w:cs="Arial" w:eastAsia="Arial" w:hAnsi="Arial"/>
          <w:sz w:val="17"/>
          <w:szCs w:val="17"/>
          <w:color w:val="auto"/>
        </w:rPr>
      </w:pPr>
    </w:p>
    <w:p>
      <w:pPr>
        <w:ind w:left="1020" w:hanging="364"/>
        <w:spacing w:after="0"/>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Schedule 5.08(f)</w:t>
      </w:r>
      <w:r>
        <w:rPr>
          <w:rFonts w:ascii="Arial" w:cs="Arial" w:eastAsia="Arial" w:hAnsi="Arial"/>
          <w:sz w:val="18"/>
          <w:szCs w:val="18"/>
          <w:color w:val="auto"/>
        </w:rPr>
        <w:t xml:space="preserve"> sets forth any and all commercial tort claims held by any Loan Party as of the Restatement Date.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85" w:name="page86"/>
    <w:bookmarkEnd w:id="85"/>
    <w:p>
      <w:pPr>
        <w:jc w:val="both"/>
        <w:ind w:firstLine="648"/>
        <w:spacing w:after="0" w:line="264" w:lineRule="auto"/>
        <w:rPr>
          <w:sz w:val="20"/>
          <w:szCs w:val="20"/>
          <w:color w:val="auto"/>
        </w:rPr>
      </w:pPr>
      <w:r>
        <w:rPr>
          <w:rFonts w:ascii="Arial" w:cs="Arial" w:eastAsia="Arial" w:hAnsi="Arial"/>
          <w:sz w:val="18"/>
          <w:szCs w:val="18"/>
          <w:color w:val="auto"/>
        </w:rPr>
        <w:t xml:space="preserve">5.09 </w:t>
      </w:r>
      <w:r>
        <w:rPr>
          <w:rFonts w:ascii="Arial" w:cs="Arial" w:eastAsia="Arial" w:hAnsi="Arial"/>
          <w:sz w:val="18"/>
          <w:szCs w:val="18"/>
          <w:b w:val="1"/>
          <w:bCs w:val="1"/>
          <w:i w:val="1"/>
          <w:iCs w:val="1"/>
          <w:color w:val="auto"/>
        </w:rPr>
        <w:t>Environmental Compliance</w:t>
      </w:r>
      <w:r>
        <w:rPr>
          <w:rFonts w:ascii="Arial" w:cs="Arial" w:eastAsia="Arial" w:hAnsi="Arial"/>
          <w:sz w:val="18"/>
          <w:szCs w:val="18"/>
          <w:color w:val="auto"/>
        </w:rPr>
        <w:t xml:space="preserve">. (a) Except as disclosed on </w:t>
      </w:r>
      <w:r>
        <w:rPr>
          <w:rFonts w:ascii="Arial" w:cs="Arial" w:eastAsia="Arial" w:hAnsi="Arial"/>
          <w:sz w:val="18"/>
          <w:szCs w:val="18"/>
          <w:u w:val="single" w:color="auto"/>
          <w:color w:val="auto"/>
        </w:rPr>
        <w:t>Schedule 5.09</w:t>
      </w:r>
      <w:r>
        <w:rPr>
          <w:rFonts w:ascii="Arial" w:cs="Arial" w:eastAsia="Arial" w:hAnsi="Arial"/>
          <w:sz w:val="18"/>
          <w:szCs w:val="18"/>
          <w:color w:val="auto"/>
        </w:rPr>
        <w:t>, there are no claims alleging potential liability or responsibility for violation of any Environmental Law on the respective businesses, operations and properties of the Borrower and the Material Subsidiaries that could individually or in the aggregate, reasonably be expected to have a Material Adverse Effect.</w:t>
      </w:r>
    </w:p>
    <w:p>
      <w:pPr>
        <w:spacing w:after="0" w:line="181" w:lineRule="exact"/>
        <w:rPr>
          <w:sz w:val="20"/>
          <w:szCs w:val="20"/>
          <w:color w:val="auto"/>
        </w:rPr>
      </w:pPr>
    </w:p>
    <w:p>
      <w:pPr>
        <w:jc w:val="both"/>
        <w:ind w:firstLine="656"/>
        <w:spacing w:after="0" w:line="270" w:lineRule="auto"/>
        <w:tabs>
          <w:tab w:leader="none" w:pos="1075" w:val="left"/>
        </w:tabs>
        <w:numPr>
          <w:ilvl w:val="0"/>
          <w:numId w:val="76"/>
        </w:numPr>
        <w:rPr>
          <w:rFonts w:ascii="Arial" w:cs="Arial" w:eastAsia="Arial" w:hAnsi="Arial"/>
          <w:sz w:val="17"/>
          <w:szCs w:val="17"/>
          <w:color w:val="auto"/>
        </w:rPr>
      </w:pPr>
      <w:r>
        <w:rPr>
          <w:rFonts w:ascii="Arial" w:cs="Arial" w:eastAsia="Arial" w:hAnsi="Arial"/>
          <w:sz w:val="17"/>
          <w:szCs w:val="17"/>
          <w:color w:val="auto"/>
        </w:rPr>
        <w:t>Except as could not be expected to have a Material Adverse Effect, (i) none of the properties currently or formerly owned or operated by the Borrower or any Material Subsidiary is listed or, to the knowledge of the Borrower, proposed for listing on the NPL or on the CERCLIS or any analogous foreign, state or local list or is adjacent to any such property; (ii)there are no and, to the knowledge of the Borrower, never have been any underground or above-ground storage tanks or any surface impoundments, septic tanks, pits, sumps or lagoons in which Hazardous Materials are being or have been treated, stored or disposed on any property currently owned or operated by the Borrower or any Material Subsidiary or, to the best of the knowledge of the Borrower, on any property formerly owned or operated by the Borrower or any Material Subsidiary; (iii) there is no asbestos or asbestos-containing material on any property currently owned or operated by the Borrower or any Material Subsidiary; and (iv) Hazardous Materials have not been released, discharged or disposed of on any property currently or, to the knowledge of the Borrower, formerly owned or operated by the Borrower or any Material Subsidiary except for such releases, discharges or disposal that were in compliance with Environmental Laws.</w:t>
      </w:r>
    </w:p>
    <w:p>
      <w:pPr>
        <w:spacing w:after="0" w:line="181" w:lineRule="exact"/>
        <w:rPr>
          <w:rFonts w:ascii="Arial" w:cs="Arial" w:eastAsia="Arial" w:hAnsi="Arial"/>
          <w:sz w:val="17"/>
          <w:szCs w:val="17"/>
          <w:color w:val="auto"/>
        </w:rPr>
      </w:pPr>
    </w:p>
    <w:p>
      <w:pPr>
        <w:jc w:val="both"/>
        <w:ind w:firstLine="656"/>
        <w:spacing w:after="0" w:line="272" w:lineRule="auto"/>
        <w:tabs>
          <w:tab w:leader="none" w:pos="1105" w:val="left"/>
        </w:tabs>
        <w:numPr>
          <w:ilvl w:val="0"/>
          <w:numId w:val="76"/>
        </w:numPr>
        <w:rPr>
          <w:rFonts w:ascii="Arial" w:cs="Arial" w:eastAsia="Arial" w:hAnsi="Arial"/>
          <w:sz w:val="17"/>
          <w:szCs w:val="17"/>
          <w:color w:val="auto"/>
        </w:rPr>
      </w:pPr>
      <w:r>
        <w:rPr>
          <w:rFonts w:ascii="Arial" w:cs="Arial" w:eastAsia="Arial" w:hAnsi="Arial"/>
          <w:sz w:val="17"/>
          <w:szCs w:val="17"/>
          <w:color w:val="auto"/>
        </w:rPr>
        <w:t>Neither the Borrower nor any of its Material Subsidiaries is undertaking, and has not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except for such investigation or assessment or remedial or response action that, in the aggregate, could not reasonably be expected to result in a Material Adverse Effect; and all Hazardous Materials generated, used, treated, handled or stored at, or transported to or from, any property currently or formerly owned or operated by the Borrower or any Material Subsidiary have been disposed of in a manner not reasonably expected to result in material liability to the Borrower or any Material Subsidiary.</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b w:val="1"/>
          <w:bCs w:val="1"/>
          <w:i w:val="1"/>
          <w:iCs w:val="1"/>
          <w:color w:val="auto"/>
        </w:rPr>
        <w:t>Insurance</w:t>
      </w:r>
      <w:r>
        <w:rPr>
          <w:rFonts w:ascii="Arial" w:cs="Arial" w:eastAsia="Arial" w:hAnsi="Arial"/>
          <w:sz w:val="17"/>
          <w:szCs w:val="17"/>
          <w:color w:val="auto"/>
        </w:rPr>
        <w:t>. The properties of the Borrower and its Material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Borrower or the applicable Material Subsidiary operates.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b w:val="1"/>
          <w:bCs w:val="1"/>
          <w:i w:val="1"/>
          <w:iCs w:val="1"/>
          <w:color w:val="auto"/>
        </w:rPr>
        <w:t>Taxes</w:t>
      </w:r>
      <w:r>
        <w:rPr>
          <w:rFonts w:ascii="Arial" w:cs="Arial" w:eastAsia="Arial" w:hAnsi="Arial"/>
          <w:sz w:val="16"/>
          <w:szCs w:val="16"/>
          <w:color w:val="auto"/>
        </w:rPr>
        <w:t>. Except as could not reasonably be expected to have a Material Adverse Effect, either individually or in the aggregate, (a) the Borrower and the Material Subsidiaries have duly and timely filed or caused to be duly and timely filed all Tax Returns and reports required to be filed and all such Tax Returns are true, correct and complete, and (b) have duly and timely paid all federal, state and other Taxes due and payable by them, except those which are being contested in good faith by appropriate proceedings diligently conducted and for which adequate reserves have been provided in accordance with GAAP. There is no proposed Tax assessment against the Borrower or any Material Subsidiary that would, if made, have a Material Adverse Effect or result in a Lien in a material amount on any assets of the Borrower or any Material Subsidiary. Neither any Loan Party nor any Material Subsidiary is party to any tax sharing agreement other than agreements solely among one or more Loan Parties and any Subsidiaries thereof.</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b w:val="1"/>
          <w:bCs w:val="1"/>
          <w:i w:val="1"/>
          <w:iCs w:val="1"/>
          <w:color w:val="auto"/>
        </w:rPr>
        <w:t>ERISA Compliance</w:t>
      </w:r>
      <w:r>
        <w:rPr>
          <w:rFonts w:ascii="Arial" w:cs="Arial" w:eastAsia="Arial" w:hAnsi="Arial"/>
          <w:sz w:val="17"/>
          <w:szCs w:val="17"/>
          <w:color w:val="auto"/>
        </w:rPr>
        <w:t>. (a) Each Plan is in compliance in all material respects with the applicable provisions of ERISA, the Code and other Federal or state Laws. The Borrower and each ERISA Affiliate have made all required contributions to each Plan subject to Section 412 of the Code, and no application for a funding waiver or an extension of any amortization period pursuant to Section 412 of the Code has been made with respect to any Plan except where the failure to make any required contributions could not reasonably be expected to result in a Material Adverse Effect.</w:t>
      </w:r>
    </w:p>
    <w:p>
      <w:pPr>
        <w:spacing w:after="0" w:line="171" w:lineRule="exact"/>
        <w:rPr>
          <w:sz w:val="20"/>
          <w:szCs w:val="20"/>
          <w:color w:val="auto"/>
        </w:rPr>
      </w:pPr>
    </w:p>
    <w:p>
      <w:pPr>
        <w:jc w:val="both"/>
        <w:ind w:firstLine="656"/>
        <w:spacing w:after="0" w:line="312" w:lineRule="auto"/>
        <w:tabs>
          <w:tab w:leader="none" w:pos="1145"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There are no pending or, to the best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46" w:lineRule="exact"/>
        <w:rPr>
          <w:rFonts w:ascii="Arial" w:cs="Arial" w:eastAsia="Arial" w:hAnsi="Arial"/>
          <w:sz w:val="16"/>
          <w:szCs w:val="16"/>
          <w:color w:val="auto"/>
        </w:rPr>
      </w:pPr>
    </w:p>
    <w:p>
      <w:pPr>
        <w:jc w:val="both"/>
        <w:ind w:firstLine="656"/>
        <w:spacing w:after="0" w:line="257" w:lineRule="auto"/>
        <w:tabs>
          <w:tab w:leader="none" w:pos="1054"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Except as could not reasonably be expected to result in a Material Adverse Effect, (i) no ERISA Event has occurred or is reasonably expected to occur; (ii) no Pension Plan has any Unfunded Pension Liability; (iii) neither the Borrower nor any ERISA Affiliate has incurred, or reasonably expects to incur, any liability (and no event has occurred which, with the giving of notice under Section 4219 of ERISA, would result in such liability) under Section 4201 or 4243 of ERISA with respect to a Multiemployer Plan; and (iv) neither the Borrower nor any ERISA Affiliate has engaged in a transaction that could be subject to Section 4069 or 4212(c) of ERISA.</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86" w:name="page87"/>
    <w:bookmarkEnd w:id="86"/>
    <w:p>
      <w:pPr>
        <w:jc w:val="both"/>
        <w:ind w:firstLine="656"/>
        <w:spacing w:after="0" w:line="286"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As of the Restatement Date, each employee benefit plan maintained or contributed to by any Loan Party or any Subsidiary of any Loan Party that is not subject to United States law has been terminated and no additional benefits will be accrued, and any required employer and employee contributions with respect to such plan have been made or, if applicable, accrued in accordance with normal accounting practices.</w:t>
      </w:r>
    </w:p>
    <w:p>
      <w:pPr>
        <w:spacing w:after="0" w:line="165" w:lineRule="exact"/>
        <w:rPr>
          <w:rFonts w:ascii="Arial" w:cs="Arial" w:eastAsia="Arial" w:hAnsi="Arial"/>
          <w:sz w:val="17"/>
          <w:szCs w:val="17"/>
          <w:color w:val="auto"/>
        </w:rPr>
      </w:pPr>
    </w:p>
    <w:p>
      <w:pPr>
        <w:ind w:firstLine="656"/>
        <w:spacing w:after="0" w:line="277" w:lineRule="auto"/>
        <w:tabs>
          <w:tab w:leader="none" w:pos="1083"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 respect to each employee benefit plan maintained or contributed to by any Loan Party or any Subsidiary of any Loan Party that is not subject to United States law (a “</w:t>
      </w:r>
      <w:r>
        <w:rPr>
          <w:rFonts w:ascii="Arial" w:cs="Arial" w:eastAsia="Arial" w:hAnsi="Arial"/>
          <w:sz w:val="18"/>
          <w:szCs w:val="18"/>
          <w:u w:val="single" w:color="auto"/>
          <w:color w:val="auto"/>
        </w:rPr>
        <w:t>Foreign Plan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305"/>
        <w:spacing w:after="0" w:line="277" w:lineRule="auto"/>
        <w:tabs>
          <w:tab w:leader="none" w:pos="1724"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employer and employee contributions required by law or by the terms of any Foreign Plan have been made, or, if applicable, accrued, in accordance with normal accounting practices;</w:t>
      </w:r>
    </w:p>
    <w:p>
      <w:pPr>
        <w:spacing w:after="0" w:line="170" w:lineRule="exact"/>
        <w:rPr>
          <w:rFonts w:ascii="Arial" w:cs="Arial" w:eastAsia="Arial" w:hAnsi="Arial"/>
          <w:sz w:val="18"/>
          <w:szCs w:val="18"/>
          <w:color w:val="auto"/>
        </w:rPr>
      </w:pPr>
    </w:p>
    <w:p>
      <w:pPr>
        <w:jc w:val="both"/>
        <w:ind w:firstLine="1305"/>
        <w:spacing w:after="0" w:line="302" w:lineRule="auto"/>
        <w:tabs>
          <w:tab w:leader="none" w:pos="1773"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Restatement Date, with respect to all current and former participants in such Foreign Plan according to the actuarial assumptions and valuations most recently used to account for such obligations in accordance with applicable generally accepted accounting principles; and</w:t>
      </w:r>
    </w:p>
    <w:p>
      <w:pPr>
        <w:spacing w:after="0" w:line="154" w:lineRule="exact"/>
        <w:rPr>
          <w:rFonts w:ascii="Arial" w:cs="Arial" w:eastAsia="Arial" w:hAnsi="Arial"/>
          <w:sz w:val="16"/>
          <w:szCs w:val="16"/>
          <w:color w:val="auto"/>
        </w:rPr>
      </w:pPr>
    </w:p>
    <w:p>
      <w:pPr>
        <w:ind w:left="1780" w:hanging="475"/>
        <w:spacing w:after="0"/>
        <w:tabs>
          <w:tab w:leader="none" w:pos="1780" w:val="left"/>
        </w:tabs>
        <w:numPr>
          <w:ilvl w:val="1"/>
          <w:numId w:val="78"/>
        </w:numPr>
        <w:rPr>
          <w:rFonts w:ascii="Arial" w:cs="Arial" w:eastAsia="Arial" w:hAnsi="Arial"/>
          <w:sz w:val="16"/>
          <w:szCs w:val="16"/>
          <w:color w:val="auto"/>
        </w:rPr>
      </w:pPr>
      <w:r>
        <w:rPr>
          <w:rFonts w:ascii="Arial" w:cs="Arial" w:eastAsia="Arial" w:hAnsi="Arial"/>
          <w:sz w:val="16"/>
          <w:szCs w:val="16"/>
          <w:color w:val="auto"/>
        </w:rPr>
        <w:t>each Foreign Plan required to be registered has been registered and has been maintained in good standing with applicable regulatory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authorities.</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b w:val="1"/>
          <w:bCs w:val="1"/>
          <w:i w:val="1"/>
          <w:iCs w:val="1"/>
          <w:color w:val="auto"/>
        </w:rPr>
        <w:t>Subsidiaries; Equity Interests; Loan Parties</w:t>
      </w:r>
      <w:r>
        <w:rPr>
          <w:rFonts w:ascii="Arial" w:cs="Arial" w:eastAsia="Arial" w:hAnsi="Arial"/>
          <w:sz w:val="17"/>
          <w:szCs w:val="17"/>
          <w:color w:val="auto"/>
        </w:rPr>
        <w:t xml:space="preserve">. As of the Restatement Date, the Borrower has no Subsidiaries other than those specifically disclosed in Part (a)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and all of the outstanding Equity Interests in such Subsidiaries have been validly issued, are fully paid and non-assessable (to the extent such concepts are applicable in the relevant jurisdiction) and are owned by a Loan Party in the amounts specified on Part (a)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free and clear of all Liens except those created under the Collateral Documents and the ABL Loan Documents, subject to the Intercreditor Agreement. The Borrower has no equity investments in any other corporation or entity other than those specifically disclosed on Part (b)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Set forth on Part (c)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is a complete and accurate list of all Loan Parties, showing as of the Restatement Date (as to each Loan Party) the jurisdiction of its incorporation, the address of its principal place of business and its organizational number, if any. The copy of each Organizational Document of each Loan Party and each amendment thereto provided pursuant to </w:t>
      </w:r>
      <w:r>
        <w:rPr>
          <w:rFonts w:ascii="Arial" w:cs="Arial" w:eastAsia="Arial" w:hAnsi="Arial"/>
          <w:sz w:val="17"/>
          <w:szCs w:val="17"/>
          <w:u w:val="single" w:color="auto"/>
          <w:color w:val="auto"/>
        </w:rPr>
        <w:t>Sections 4.01(a)(vi)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4.01(a)(vii)</w:t>
      </w:r>
      <w:r>
        <w:rPr>
          <w:rFonts w:ascii="Arial" w:cs="Arial" w:eastAsia="Arial" w:hAnsi="Arial"/>
          <w:sz w:val="17"/>
          <w:szCs w:val="17"/>
          <w:color w:val="auto"/>
        </w:rPr>
        <w:t xml:space="preserve"> is a true and correct copy of each such document, each of which is valid and in full force and effect.</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b w:val="1"/>
          <w:bCs w:val="1"/>
          <w:i w:val="1"/>
          <w:iCs w:val="1"/>
          <w:color w:val="auto"/>
        </w:rPr>
        <w:t>Margin Regulations; Investment Company Act</w:t>
      </w:r>
      <w:r>
        <w:rPr>
          <w:rFonts w:ascii="Arial" w:cs="Arial" w:eastAsia="Arial" w:hAnsi="Arial"/>
          <w:sz w:val="18"/>
          <w:szCs w:val="18"/>
          <w:color w:val="auto"/>
        </w:rPr>
        <w:t>. (a) No Loan Party nor any of its Subsidiaries is engaged or will engage, principally or as one of its important activities, in the business of purchasing or carrying margin stock (within the meaning of Regulation U issued by the FRB), or extending credit for the purpose of purchasing or carrying margin stock. No part of the proceeds of the loans made to the Borrower will be used to purchase or carry any such margin stock or to extend credit to others for the purpose of purchasing or carrying any such margin stock or for any purpose that violates the provisions of Regulation T, U or X of the FRB.</w:t>
      </w:r>
    </w:p>
    <w:p>
      <w:pPr>
        <w:spacing w:after="0" w:line="188" w:lineRule="exact"/>
        <w:rPr>
          <w:sz w:val="20"/>
          <w:szCs w:val="20"/>
          <w:color w:val="auto"/>
        </w:rPr>
      </w:pPr>
    </w:p>
    <w:p>
      <w:pPr>
        <w:ind w:firstLine="656"/>
        <w:spacing w:after="0" w:line="277" w:lineRule="auto"/>
        <w:tabs>
          <w:tab w:leader="none" w:pos="1076"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None of the Borrower, any Person Controlling the Borrower, or any Subsidiary is or is required to be registered as an “investment company” under the Investment Company Act of 1940.</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b w:val="1"/>
          <w:bCs w:val="1"/>
          <w:i w:val="1"/>
          <w:iCs w:val="1"/>
          <w:color w:val="auto"/>
        </w:rPr>
        <w:t>Disclosure</w:t>
      </w:r>
      <w:r>
        <w:rPr>
          <w:rFonts w:ascii="Arial" w:cs="Arial" w:eastAsia="Arial" w:hAnsi="Arial"/>
          <w:sz w:val="17"/>
          <w:szCs w:val="17"/>
          <w:color w:val="auto"/>
        </w:rPr>
        <w:t xml:space="preserve">. The Borrower has disclosed to the Administrative Agent and the Lenders all agreements, instruments and corporate or other restrictions to which it or any of its Subsidiaries is subject, and all other matters known to it, that, individually or in the aggregate, could reasonably be expected to result in a Material Adverse Effect. No report, financial statement, certificate or other written information furnished by or on behalf of any Loan Party (other than projected financial information and information of a general economic or industry nature) to the Administrative Agent or any Lender in connection with the transactions contemplated hereby and the negotiation of this Agreement or delivered hereunder or under any other Loan Document (in each case as modified or supplemented by other information so furnished), when taken as a whole, contains any material misstatement of fact or omits to state any material fact necessary to make the statements therein (when taken as a whole), in the light of the circumstances under which they were made, not materially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financial information, the Borrower represents only that such information was prepared in good faith based upon assumptions believed to be reasonable at the time of preparation and delivery; it being understood that such projections may vary from actual results and that such variances may be material.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87" w:name="page88"/>
    <w:bookmarkEnd w:id="87"/>
    <w:p>
      <w:pPr>
        <w:jc w:val="both"/>
        <w:ind w:firstLine="648"/>
        <w:spacing w:after="0" w:line="259"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b w:val="1"/>
          <w:bCs w:val="1"/>
          <w:i w:val="1"/>
          <w:iCs w:val="1"/>
          <w:color w:val="auto"/>
        </w:rPr>
        <w:t>Compliance with Laws</w:t>
      </w:r>
      <w:r>
        <w:rPr>
          <w:rFonts w:ascii="Arial" w:cs="Arial" w:eastAsia="Arial" w:hAnsi="Arial"/>
          <w:sz w:val="18"/>
          <w:szCs w:val="18"/>
          <w:color w:val="auto"/>
        </w:rPr>
        <w:t>. Each Loan Party and each of its Material Subsidiaries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b w:val="1"/>
          <w:bCs w:val="1"/>
          <w:i w:val="1"/>
          <w:iCs w:val="1"/>
          <w:color w:val="auto"/>
        </w:rPr>
        <w:t>Intellectual Property; Licenses, Etc.</w:t>
      </w:r>
      <w:r>
        <w:rPr>
          <w:rFonts w:ascii="Arial" w:cs="Arial" w:eastAsia="Arial" w:hAnsi="Arial"/>
          <w:sz w:val="18"/>
          <w:szCs w:val="18"/>
          <w:color w:val="auto"/>
        </w:rPr>
        <w:t xml:space="preserve"> The Borrower and the Material Subsidiaries own, license or possess the right to use, all of the trademarks, service marks, trade names, copyrights, patents, patent rights, franchises, licenses and other intellectual property rights (collectively, “</w:t>
      </w:r>
      <w:r>
        <w:rPr>
          <w:rFonts w:ascii="Arial" w:cs="Arial" w:eastAsia="Arial" w:hAnsi="Arial"/>
          <w:sz w:val="18"/>
          <w:szCs w:val="18"/>
          <w:u w:val="single" w:color="auto"/>
          <w:color w:val="auto"/>
        </w:rPr>
        <w:t>IP Rights</w:t>
      </w:r>
      <w:r>
        <w:rPr>
          <w:rFonts w:ascii="Arial" w:cs="Arial" w:eastAsia="Arial" w:hAnsi="Arial"/>
          <w:sz w:val="18"/>
          <w:szCs w:val="18"/>
          <w:color w:val="auto"/>
        </w:rPr>
        <w:t>”) that are reasonably necessary for the operation of their respective businesses, as currently conducted. The Diligence Certificate sets forth a complete and accurate list of all material registered or applications to register patents, trademarks or copyrights owned by the Borrower and each of the other Loan Parties as of the Restatement Date. To the knowledge of the Borrower, the operation of the respective businesses of the Borrower or any Material Subsidiary as currently conducted does not infringe upon any intellectual property rights held by any other Person, except as could not reasonably be expected, either individually or in the aggregate, a Material Adverse Effect.</w:t>
      </w:r>
    </w:p>
    <w:p>
      <w:pPr>
        <w:spacing w:after="0" w:line="18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5.18</w:t>
      </w:r>
      <w:r>
        <w:rPr>
          <w:sz w:val="20"/>
          <w:szCs w:val="20"/>
          <w:color w:val="auto"/>
        </w:rPr>
        <w:tab/>
      </w:r>
      <w:r>
        <w:rPr>
          <w:rFonts w:ascii="Arial" w:cs="Arial" w:eastAsia="Arial" w:hAnsi="Arial"/>
          <w:sz w:val="16"/>
          <w:szCs w:val="16"/>
          <w:b w:val="1"/>
          <w:bCs w:val="1"/>
          <w:i w:val="1"/>
          <w:iCs w:val="1"/>
          <w:color w:val="auto"/>
        </w:rPr>
        <w:t>Solvency</w:t>
      </w:r>
      <w:r>
        <w:rPr>
          <w:rFonts w:ascii="Arial" w:cs="Arial" w:eastAsia="Arial" w:hAnsi="Arial"/>
          <w:sz w:val="16"/>
          <w:szCs w:val="16"/>
          <w:color w:val="auto"/>
        </w:rPr>
        <w:t>. The Borrower and the Material Subsidiaries are, on a consolidated basis, Solvent.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b w:val="1"/>
          <w:bCs w:val="1"/>
          <w:i w:val="1"/>
          <w:iCs w:val="1"/>
          <w:color w:val="auto"/>
        </w:rPr>
        <w:t>Casualty, Etc.</w:t>
      </w:r>
      <w:r>
        <w:rPr>
          <w:rFonts w:ascii="Arial" w:cs="Arial" w:eastAsia="Arial" w:hAnsi="Arial"/>
          <w:sz w:val="17"/>
          <w:szCs w:val="17"/>
          <w:color w:val="auto"/>
        </w:rPr>
        <w:t xml:space="preserve"> Neither the businesses nor the properties of the Borrower or any Material Subsidiary are affected by any fire, explosion, accident, strike, lockout or other labor dispute, drought, storm, hail, earthquake, embargo, act of God or of the public enemy or other casualty (to the extent not covered by insurance) that, either individually or in the aggregate, could reasonably be expected to have a Material Adverse Effect.</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5.20 </w:t>
      </w:r>
      <w:r>
        <w:rPr>
          <w:rFonts w:ascii="Arial" w:cs="Arial" w:eastAsia="Arial" w:hAnsi="Arial"/>
          <w:sz w:val="17"/>
          <w:szCs w:val="17"/>
          <w:b w:val="1"/>
          <w:bCs w:val="1"/>
          <w:i w:val="1"/>
          <w:iCs w:val="1"/>
          <w:color w:val="auto"/>
        </w:rPr>
        <w:t>Labor Matters.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5.20</w:t>
      </w:r>
      <w:r>
        <w:rPr>
          <w:rFonts w:ascii="Arial" w:cs="Arial" w:eastAsia="Arial" w:hAnsi="Arial"/>
          <w:sz w:val="17"/>
          <w:szCs w:val="17"/>
          <w:color w:val="auto"/>
        </w:rPr>
        <w:t xml:space="preserve"> and, with respect solely to clauses (a), (b), (c), (e), (f) and (g) below, except as could not reasonably be expected to result in a Material Adverse Effect, as of the Restatement Date (a) no strikes or other material labor disputes against any Loan Party or any Material Subsidiary are pending or, to the Borrower's knowledge, threatened; (b) hours worked by and payment made to employees of each Loan Party and each Material Subsidiary comply with the Fair Labor Standards Act and each other federal, state, local or foreign law applicable to such matters; (c) all payments due from any Loan Party or any Material Subsidiary for employee health and welfare insurance have been paid or accrued as a liability on the books of such Loan Party or Material Subsidiary; (d) no Loan Party or Material Subsidiary is a party to or bound by any collective bargaining agreement, management agreement, consulting agreement, employment agreement, bonus, restricted stock, stock option, or stock appreciation plan or agreement or any similar plan, agreement or arrangement (and true and complete copies of any agreements described on </w:t>
      </w:r>
      <w:r>
        <w:rPr>
          <w:rFonts w:ascii="Arial" w:cs="Arial" w:eastAsia="Arial" w:hAnsi="Arial"/>
          <w:sz w:val="17"/>
          <w:szCs w:val="17"/>
          <w:u w:val="single" w:color="auto"/>
          <w:color w:val="auto"/>
        </w:rPr>
        <w:t>Schedule 5.20</w:t>
      </w:r>
      <w:r>
        <w:rPr>
          <w:rFonts w:ascii="Arial" w:cs="Arial" w:eastAsia="Arial" w:hAnsi="Arial"/>
          <w:sz w:val="17"/>
          <w:szCs w:val="17"/>
          <w:color w:val="auto"/>
        </w:rPr>
        <w:t xml:space="preserve"> have been delivered to the Administrative Agent); (e) there is no organizing activity involving any Loan Party or any Material Subsidiary pending or, to the Borrower's knowledge, threatened by any labor union or group of employees; (f) there are no representation proceedings pending or, to the Borrower's knowledge, threatened with the National Labor Relations Board, and no labor organization or group of employees of any Loan Party or any Material Subsidiary has made a pending demand for recognition; and (g) there are no complaints or charges against any Loan Party or any Material Subsidiary pending or, to the Borrower's knowledge, threatened to be filed with any Governmental Authority or arbitrator based on, arising out of, in connection with, or otherwise relating to the employment or termination of employment by any Loan Party or any Material Subsidiary of any individual.</w:t>
      </w:r>
    </w:p>
    <w:p>
      <w:pPr>
        <w:spacing w:after="0" w:line="1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6"/>
          <w:szCs w:val="16"/>
          <w:b w:val="1"/>
          <w:bCs w:val="1"/>
          <w:i w:val="1"/>
          <w:iCs w:val="1"/>
          <w:color w:val="auto"/>
        </w:rPr>
        <w:t>[Intentionally Omitted]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b w:val="1"/>
          <w:bCs w:val="1"/>
          <w:i w:val="1"/>
          <w:iCs w:val="1"/>
          <w:color w:val="auto"/>
        </w:rPr>
        <w:t>Deposit and Disbursement Accounts</w:t>
      </w:r>
      <w:r>
        <w:rPr>
          <w:rFonts w:ascii="Arial" w:cs="Arial" w:eastAsia="Arial" w:hAnsi="Arial"/>
          <w:sz w:val="18"/>
          <w:szCs w:val="18"/>
          <w:color w:val="auto"/>
        </w:rPr>
        <w:t>. The Diligence Certificate lists all banks and other financial institutions at which any Loan Party maintains Deposit Accounts, Securities Accounts or other accounts as of the Restatement Date, including any disbursement accounts, and such Schedule correctly identifies the name, address and telephone number of each depository or securities intermediary, as applicable, the name in which the account is held, a description of the purpose of the account, and the complete account number therefor.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b w:val="1"/>
          <w:bCs w:val="1"/>
          <w:i w:val="1"/>
          <w:iCs w:val="1"/>
          <w:color w:val="auto"/>
        </w:rPr>
        <w:t>Government Contracts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5.23</w:t>
      </w:r>
      <w:r>
        <w:rPr>
          <w:rFonts w:ascii="Arial" w:cs="Arial" w:eastAsia="Arial" w:hAnsi="Arial"/>
          <w:sz w:val="18"/>
          <w:szCs w:val="18"/>
          <w:color w:val="auto"/>
        </w:rPr>
        <w:t>, as of the Restatement Date, neither the Borrower nor any Material Subsidiary is a party to any material contract or agreement with any Governmental Authority and neither the Borrower's nor any Material Subsidiary's Accounts are subject to the Federal Assignment of Claims Act (31 U.S.C. Section 3727) or any similar state or local law.</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5.24 </w:t>
      </w:r>
      <w:r>
        <w:rPr>
          <w:rFonts w:ascii="Arial" w:cs="Arial" w:eastAsia="Arial" w:hAnsi="Arial"/>
          <w:sz w:val="16"/>
          <w:szCs w:val="16"/>
          <w:b w:val="1"/>
          <w:bCs w:val="1"/>
          <w:i w:val="1"/>
          <w:iCs w:val="1"/>
          <w:color w:val="auto"/>
        </w:rPr>
        <w:t>Customer and Trade Relations</w:t>
      </w:r>
      <w:r>
        <w:rPr>
          <w:rFonts w:ascii="Arial" w:cs="Arial" w:eastAsia="Arial" w:hAnsi="Arial"/>
          <w:sz w:val="16"/>
          <w:szCs w:val="16"/>
          <w:color w:val="auto"/>
        </w:rPr>
        <w:t>. As of the Restatement Date, there exists no actual or, to the knowledge of the Borrower, threatened termination or cancellation of, or any material adverse modification or change in the business relationship of the Borrower or any Material Subsidiary with any customer or group of customers whose purchases during the preceding twelve (12) months caused them to be ranked among the ten largest customers of Borrower or such Material Subsidiary or the business relationship of the Borrower or any Material Subsidiary with any supplier essential to its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88" w:name="page89"/>
    <w:bookmarkEnd w:id="88"/>
    <w:p>
      <w:pPr>
        <w:jc w:val="both"/>
        <w:ind w:firstLine="648"/>
        <w:spacing w:after="0" w:line="264" w:lineRule="auto"/>
        <w:rPr>
          <w:sz w:val="20"/>
          <w:szCs w:val="20"/>
          <w:color w:val="auto"/>
        </w:rPr>
      </w:pPr>
      <w:r>
        <w:rPr>
          <w:rFonts w:ascii="Arial" w:cs="Arial" w:eastAsia="Arial" w:hAnsi="Arial"/>
          <w:sz w:val="18"/>
          <w:szCs w:val="18"/>
          <w:color w:val="auto"/>
        </w:rPr>
        <w:t xml:space="preserve">5.25 </w:t>
      </w:r>
      <w:r>
        <w:rPr>
          <w:rFonts w:ascii="Arial" w:cs="Arial" w:eastAsia="Arial" w:hAnsi="Arial"/>
          <w:sz w:val="18"/>
          <w:szCs w:val="18"/>
          <w:b w:val="1"/>
          <w:bCs w:val="1"/>
          <w:i w:val="1"/>
          <w:iCs w:val="1"/>
          <w:color w:val="auto"/>
        </w:rPr>
        <w:t>Bonding; Licenses</w:t>
      </w:r>
      <w:r>
        <w:rPr>
          <w:rFonts w:ascii="Arial" w:cs="Arial" w:eastAsia="Arial" w:hAnsi="Arial"/>
          <w:sz w:val="18"/>
          <w:szCs w:val="18"/>
          <w:color w:val="auto"/>
        </w:rPr>
        <w:t>. Except as set forth on the Diligence Certificate, as of the Restatement Date, neither the Borrower nor any Material Subsidiary is a party to or bound by any surety bond agreement or bonding requirement with respect to products or services sold by it or any trademark or patent license agreement with respect to products sold by it.</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5.26 </w:t>
      </w:r>
      <w:r>
        <w:rPr>
          <w:rFonts w:ascii="Arial" w:cs="Arial" w:eastAsia="Arial" w:hAnsi="Arial"/>
          <w:sz w:val="17"/>
          <w:szCs w:val="17"/>
          <w:b w:val="1"/>
          <w:bCs w:val="1"/>
          <w:i w:val="1"/>
          <w:iCs w:val="1"/>
          <w:color w:val="auto"/>
        </w:rPr>
        <w:t>Material Contracts</w:t>
      </w:r>
      <w:r>
        <w:rPr>
          <w:rFonts w:ascii="Arial" w:cs="Arial" w:eastAsia="Arial" w:hAnsi="Arial"/>
          <w:sz w:val="17"/>
          <w:szCs w:val="17"/>
          <w:color w:val="auto"/>
        </w:rPr>
        <w:t>. The Diligence Certificate includes a true and complete list, as of the Restatement Date, of each Material Contract to which the Borrower or any Material Subsidiary is a party. As of the Restatement Date, (a) each of the Material Contracts is a valid and binding obligation of the Borrower or such Material Subsidiary which is a party thereto and is enforceable by the Borrower or such Material Subsidiary in accordance with its terms, except as enforcement may be limited by bankruptcy, insolvency, reorganization or similar laws or equitable principles relating to creditors' rights generally, (b) neither the Borrower nor any Material Subsidiary which is a party to any Material Contract is in default, or alleged in writing to be in default, in any material respect under any Material Contract, and no written claim of a material default by the Borrower or any Material Subsidiary under any Material Contract has been received by the Borrower or the respective Material Subsidiary, and (c) there exists no event, condition or occurrence that, after notice or lapse of time or both, would constitute such a material default, or claim by the Borrower or the Material Subsidiary party to any such Material Contract or, to the knowledge of the Borrower, any other party to any such Material Contract.</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5.27 </w:t>
      </w:r>
      <w:r>
        <w:rPr>
          <w:rFonts w:ascii="Arial" w:cs="Arial" w:eastAsia="Arial" w:hAnsi="Arial"/>
          <w:sz w:val="18"/>
          <w:szCs w:val="18"/>
          <w:b w:val="1"/>
          <w:bCs w:val="1"/>
          <w:i w:val="1"/>
          <w:iCs w:val="1"/>
          <w:color w:val="auto"/>
        </w:rPr>
        <w:t>Regulation H</w:t>
      </w:r>
      <w:r>
        <w:rPr>
          <w:rFonts w:ascii="Arial" w:cs="Arial" w:eastAsia="Arial" w:hAnsi="Arial"/>
          <w:sz w:val="18"/>
          <w:szCs w:val="18"/>
          <w:color w:val="auto"/>
        </w:rPr>
        <w:t>. No Mortgage encumbers improved real property that is located in an area that has been identified by the Secretary of Housing and Urban Development as an area having special flood hazards and in which flood insurance has been made available under the National Flood Insurance Act of 1968.</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5.28 </w:t>
      </w:r>
      <w:r>
        <w:rPr>
          <w:rFonts w:ascii="Arial" w:cs="Arial" w:eastAsia="Arial" w:hAnsi="Arial"/>
          <w:sz w:val="16"/>
          <w:szCs w:val="16"/>
          <w:b w:val="1"/>
          <w:bCs w:val="1"/>
          <w:i w:val="1"/>
          <w:iCs w:val="1"/>
          <w:color w:val="auto"/>
        </w:rPr>
        <w:t>Foreign Assets Control Regulations</w:t>
      </w:r>
      <w:r>
        <w:rPr>
          <w:rFonts w:ascii="Arial" w:cs="Arial" w:eastAsia="Arial" w:hAnsi="Arial"/>
          <w:sz w:val="16"/>
          <w:szCs w:val="16"/>
          <w:color w:val="auto"/>
        </w:rPr>
        <w:t>. Neither the Borrower nor, to the knowledge of the Borrower, any of its Affiliate, is, or will be after consummation of the transactions contemplated by the Loan Documents and application of the proceeds of the Term Loans, by reason of being a “national” of a “designated foreign country” or a “specially designated national” within the meaning of the Regulations of the Office of Foreign Assets Control, United States Treasury Department (31 C.F.R., Subtitle B, Chapter V), or for any other reason, in violation of, any United States Federal statute or Presidential Executive Order concerning trade or other relations with any foreign country or any citizen or national thereof or the ownership or operation of any property.</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5.29 </w:t>
      </w:r>
      <w:r>
        <w:rPr>
          <w:rFonts w:ascii="Arial" w:cs="Arial" w:eastAsia="Arial" w:hAnsi="Arial"/>
          <w:sz w:val="18"/>
          <w:szCs w:val="18"/>
          <w:b w:val="1"/>
          <w:bCs w:val="1"/>
          <w:i w:val="1"/>
          <w:iCs w:val="1"/>
          <w:color w:val="auto"/>
        </w:rPr>
        <w:t>Anti-Terrorism Laws</w:t>
      </w:r>
      <w:r>
        <w:rPr>
          <w:rFonts w:ascii="Arial" w:cs="Arial" w:eastAsia="Arial" w:hAnsi="Arial"/>
          <w:sz w:val="18"/>
          <w:szCs w:val="18"/>
          <w:color w:val="auto"/>
        </w:rPr>
        <w:t>. (a) Neither the Borrower nor, to the knowledge of the Borrower, any of its Affiliates is in violation of any laws relating to terrorism or money laundering (“</w:t>
      </w:r>
      <w:r>
        <w:rPr>
          <w:rFonts w:ascii="Arial" w:cs="Arial" w:eastAsia="Arial" w:hAnsi="Arial"/>
          <w:sz w:val="18"/>
          <w:szCs w:val="18"/>
          <w:u w:val="single" w:color="auto"/>
          <w:color w:val="auto"/>
        </w:rPr>
        <w:t>Anti-Terrorism Laws</w:t>
      </w:r>
      <w:r>
        <w:rPr>
          <w:rFonts w:ascii="Arial" w:cs="Arial" w:eastAsia="Arial" w:hAnsi="Arial"/>
          <w:sz w:val="18"/>
          <w:szCs w:val="18"/>
          <w:color w:val="auto"/>
        </w:rPr>
        <w:t>”), including Executive Order No. 13224 on Terrorist Financing, effective September 23, 2001 (the “</w:t>
      </w:r>
      <w:r>
        <w:rPr>
          <w:rFonts w:ascii="Arial" w:cs="Arial" w:eastAsia="Arial" w:hAnsi="Arial"/>
          <w:sz w:val="18"/>
          <w:szCs w:val="18"/>
          <w:u w:val="single" w:color="auto"/>
          <w:color w:val="auto"/>
        </w:rPr>
        <w:t>Executive Order</w:t>
      </w:r>
      <w:r>
        <w:rPr>
          <w:rFonts w:ascii="Arial" w:cs="Arial" w:eastAsia="Arial" w:hAnsi="Arial"/>
          <w:sz w:val="18"/>
          <w:szCs w:val="18"/>
          <w:color w:val="auto"/>
        </w:rPr>
        <w:t>”), and the PATRIOT Act.</w:t>
      </w:r>
    </w:p>
    <w:p>
      <w:pPr>
        <w:spacing w:after="0" w:line="181" w:lineRule="exact"/>
        <w:rPr>
          <w:sz w:val="20"/>
          <w:szCs w:val="20"/>
          <w:color w:val="auto"/>
        </w:rPr>
      </w:pPr>
    </w:p>
    <w:p>
      <w:pPr>
        <w:ind w:right="20" w:firstLine="656"/>
        <w:spacing w:after="0" w:line="277" w:lineRule="auto"/>
        <w:tabs>
          <w:tab w:leader="none" w:pos="1053"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Loan Party or, to the knowledge of the Borrower, any Affiliate or broker or other agent of Loan Parties acting or benefiting in any capacity in connection with the Loans is any of the following:</w:t>
      </w:r>
    </w:p>
    <w:p>
      <w:pPr>
        <w:spacing w:after="0" w:line="170" w:lineRule="exact"/>
        <w:rPr>
          <w:rFonts w:ascii="Arial" w:cs="Arial" w:eastAsia="Arial" w:hAnsi="Arial"/>
          <w:sz w:val="18"/>
          <w:szCs w:val="18"/>
          <w:color w:val="auto"/>
        </w:rPr>
      </w:pPr>
    </w:p>
    <w:p>
      <w:pPr>
        <w:ind w:left="1660" w:hanging="355"/>
        <w:spacing w:after="0"/>
        <w:tabs>
          <w:tab w:leader="none" w:pos="16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 Person that is listed in the annex to, or is otherwise subject to the provisions of, the Executive Order;</w:t>
      </w:r>
    </w:p>
    <w:p>
      <w:pPr>
        <w:spacing w:after="0" w:line="225" w:lineRule="exact"/>
        <w:rPr>
          <w:rFonts w:ascii="Arial" w:cs="Arial" w:eastAsia="Arial" w:hAnsi="Arial"/>
          <w:sz w:val="18"/>
          <w:szCs w:val="18"/>
          <w:color w:val="auto"/>
        </w:rPr>
      </w:pPr>
    </w:p>
    <w:p>
      <w:pPr>
        <w:ind w:left="660" w:firstLine="645"/>
        <w:spacing w:after="0" w:line="277" w:lineRule="auto"/>
        <w:tabs>
          <w:tab w:leader="none" w:pos="1738" w:val="left"/>
        </w:tabs>
        <w:numPr>
          <w:ilvl w:val="1"/>
          <w:numId w:val="80"/>
        </w:numPr>
        <w:rPr>
          <w:rFonts w:ascii="Arial" w:cs="Arial" w:eastAsia="Arial" w:hAnsi="Arial"/>
          <w:sz w:val="18"/>
          <w:szCs w:val="18"/>
          <w:color w:val="auto"/>
        </w:rPr>
      </w:pPr>
      <w:r>
        <w:rPr>
          <w:rFonts w:ascii="Arial" w:cs="Arial" w:eastAsia="Arial" w:hAnsi="Arial"/>
          <w:sz w:val="18"/>
          <w:szCs w:val="18"/>
          <w:color w:val="auto"/>
        </w:rPr>
        <w:t>a Person owned or controlled by, or acting for or on behalf of, any Person that is listed in the annex to, or is otherwise subject to the provisions of, the Executive Order;</w:t>
      </w:r>
    </w:p>
    <w:p>
      <w:pPr>
        <w:spacing w:after="0" w:line="170" w:lineRule="exact"/>
        <w:rPr>
          <w:rFonts w:ascii="Arial" w:cs="Arial" w:eastAsia="Arial" w:hAnsi="Arial"/>
          <w:sz w:val="18"/>
          <w:szCs w:val="18"/>
          <w:color w:val="auto"/>
        </w:rPr>
      </w:pPr>
    </w:p>
    <w:p>
      <w:pPr>
        <w:ind w:left="1760" w:hanging="455"/>
        <w:spacing w:after="0"/>
        <w:tabs>
          <w:tab w:leader="none" w:pos="17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 Person with which any Lender is prohibited from dealing or otherwise engaging in any transaction by any Anti-Terrorism Law; or</w:t>
      </w:r>
    </w:p>
    <w:p>
      <w:pPr>
        <w:spacing w:after="0" w:line="248" w:lineRule="exact"/>
        <w:rPr>
          <w:rFonts w:ascii="Arial" w:cs="Arial" w:eastAsia="Arial" w:hAnsi="Arial"/>
          <w:sz w:val="16"/>
          <w:szCs w:val="16"/>
          <w:color w:val="auto"/>
        </w:rPr>
      </w:pPr>
    </w:p>
    <w:p>
      <w:pPr>
        <w:ind w:left="1740" w:hanging="435"/>
        <w:spacing w:after="0"/>
        <w:tabs>
          <w:tab w:leader="none" w:pos="17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 Person that commits, threatens or conspires to commit or supports “terrorism” as defined in the Executive Order.</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041"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No Loan Party or, to the knowledge of the Borrower, any broker or other agent of any Loan Party acting in any capacity in connection with the Loans (i) conducts any business or engages in making or receiving any contribution of funds, goods or services to or for the benefit of any Person described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above, (ii) deals in, or otherwise engages in any transaction relating to, any property or interests in property blocked pursuant to the Executive Order or (iii) engages in or conspires to engage in any transaction that evades or avoids, or has the purpose of evading or avoiding, or attempts to violate, any of the prohibitions set forth in any Anti-Terrorism Law.</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5.30 </w:t>
      </w:r>
      <w:r>
        <w:rPr>
          <w:rFonts w:ascii="Arial" w:cs="Arial" w:eastAsia="Arial" w:hAnsi="Arial"/>
          <w:sz w:val="18"/>
          <w:szCs w:val="18"/>
          <w:b w:val="1"/>
          <w:bCs w:val="1"/>
          <w:i w:val="1"/>
          <w:iCs w:val="1"/>
          <w:color w:val="auto"/>
        </w:rPr>
        <w:t>Post-Closing Obligations</w:t>
      </w:r>
      <w:r>
        <w:rPr>
          <w:rFonts w:ascii="Arial" w:cs="Arial" w:eastAsia="Arial" w:hAnsi="Arial"/>
          <w:sz w:val="18"/>
          <w:szCs w:val="18"/>
          <w:color w:val="auto"/>
        </w:rPr>
        <w:t xml:space="preserve">. The Borrower shall, and shall cause its Subsidiaries to, deliver each of the documents set forth on </w:t>
      </w:r>
      <w:r>
        <w:rPr>
          <w:rFonts w:ascii="Arial" w:cs="Arial" w:eastAsia="Arial" w:hAnsi="Arial"/>
          <w:sz w:val="18"/>
          <w:szCs w:val="18"/>
          <w:u w:val="single" w:color="auto"/>
          <w:color w:val="auto"/>
        </w:rPr>
        <w:t>Schedule 5.30</w:t>
      </w:r>
      <w:r>
        <w:rPr>
          <w:rFonts w:ascii="Arial" w:cs="Arial" w:eastAsia="Arial" w:hAnsi="Arial"/>
          <w:sz w:val="18"/>
          <w:szCs w:val="18"/>
          <w:color w:val="auto"/>
        </w:rPr>
        <w:t xml:space="preserve"> in the manner and time frame set forth on </w:t>
      </w:r>
      <w:r>
        <w:rPr>
          <w:rFonts w:ascii="Arial" w:cs="Arial" w:eastAsia="Arial" w:hAnsi="Arial"/>
          <w:sz w:val="18"/>
          <w:szCs w:val="18"/>
          <w:u w:val="single" w:color="auto"/>
          <w:color w:val="auto"/>
        </w:rPr>
        <w:t>Schedule 5.30</w:t>
      </w:r>
      <w:r>
        <w:rPr>
          <w:rFonts w:ascii="Arial" w:cs="Arial" w:eastAsia="Arial" w:hAnsi="Arial"/>
          <w:sz w:val="18"/>
          <w:szCs w:val="18"/>
          <w:color w:val="auto"/>
        </w:rPr>
        <w:t>, unless otherwise consented to by the Administrative Agent.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color w:val="auto"/>
        </w:rPr>
        <w:t>ARTICLE VI</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AFFIRMATIVE COVENANTS</w:t>
      </w:r>
    </w:p>
    <w:p>
      <w:pPr>
        <w:spacing w:after="0" w:line="2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So long as any Loan or other Obligation (other than contingent indemnification obligations as to which no claim has been asserted) hereunder which is accrued and payable shall remain unpaid or unsatisfied, the Borrower shall, and shall (except in the case of the covenants set forth in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6.11</w:t>
      </w:r>
      <w:r>
        <w:rPr>
          <w:rFonts w:ascii="Arial" w:cs="Arial" w:eastAsia="Arial" w:hAnsi="Arial"/>
          <w:sz w:val="18"/>
          <w:szCs w:val="18"/>
          <w:color w:val="auto"/>
        </w:rPr>
        <w:t>) cause each other Material Subsidiary to:</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b w:val="1"/>
          <w:bCs w:val="1"/>
          <w:i w:val="1"/>
          <w:iCs w:val="1"/>
          <w:color w:val="auto"/>
        </w:rPr>
        <w:t>Financial Statements</w:t>
      </w:r>
      <w:r>
        <w:rPr>
          <w:rFonts w:ascii="Arial" w:cs="Arial" w:eastAsia="Arial" w:hAnsi="Arial"/>
          <w:sz w:val="18"/>
          <w:szCs w:val="18"/>
          <w:color w:val="auto"/>
        </w:rPr>
        <w:t>. Deliver to the Administrative Agent and each Lender, in form and detail satisfactory to the Administrative Agent and the Required Lenders:</w:t>
      </w:r>
    </w:p>
    <w:p>
      <w:pPr>
        <w:spacing w:after="0" w:line="170" w:lineRule="exact"/>
        <w:rPr>
          <w:sz w:val="20"/>
          <w:szCs w:val="20"/>
          <w:color w:val="auto"/>
        </w:rPr>
      </w:pPr>
    </w:p>
    <w:p>
      <w:pPr>
        <w:jc w:val="both"/>
        <w:ind w:firstLine="656"/>
        <w:spacing w:after="0" w:line="272" w:lineRule="auto"/>
        <w:tabs>
          <w:tab w:leader="none" w:pos="1039" w:val="left"/>
        </w:tabs>
        <w:numPr>
          <w:ilvl w:val="0"/>
          <w:numId w:val="81"/>
        </w:numPr>
        <w:rPr>
          <w:rFonts w:ascii="Arial" w:cs="Arial" w:eastAsia="Arial" w:hAnsi="Arial"/>
          <w:sz w:val="17"/>
          <w:szCs w:val="17"/>
          <w:color w:val="auto"/>
        </w:rPr>
      </w:pPr>
      <w:r>
        <w:rPr>
          <w:rFonts w:ascii="Arial" w:cs="Arial" w:eastAsia="Arial" w:hAnsi="Arial"/>
          <w:sz w:val="17"/>
          <w:szCs w:val="17"/>
          <w:color w:val="auto"/>
        </w:rPr>
        <w:t>as soon as available, but in any event within 105 days after the end of each fiscal year of the Borrower (commencing with the fiscal year ended December 31, 2013), a consolidated balance sheet of the Borrower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an independent certified public accountant of nationally recognized standing reasonably acceptable to the Administrative Agent,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177" w:lineRule="exact"/>
        <w:rPr>
          <w:rFonts w:ascii="Arial" w:cs="Arial" w:eastAsia="Arial" w:hAnsi="Arial"/>
          <w:sz w:val="17"/>
          <w:szCs w:val="17"/>
          <w:color w:val="auto"/>
        </w:rPr>
      </w:pPr>
    </w:p>
    <w:p>
      <w:pPr>
        <w:jc w:val="both"/>
        <w:ind w:firstLine="656"/>
        <w:spacing w:after="0" w:line="291" w:lineRule="auto"/>
        <w:tabs>
          <w:tab w:leader="none" w:pos="1072" w:val="left"/>
        </w:tabs>
        <w:numPr>
          <w:ilvl w:val="0"/>
          <w:numId w:val="81"/>
        </w:numPr>
        <w:rPr>
          <w:rFonts w:ascii="Arial" w:cs="Arial" w:eastAsia="Arial" w:hAnsi="Arial"/>
          <w:sz w:val="16"/>
          <w:szCs w:val="16"/>
          <w:color w:val="auto"/>
        </w:rPr>
      </w:pPr>
      <w:r>
        <w:rPr>
          <w:rFonts w:ascii="Arial" w:cs="Arial" w:eastAsia="Arial" w:hAnsi="Arial"/>
          <w:sz w:val="16"/>
          <w:szCs w:val="16"/>
          <w:color w:val="auto"/>
        </w:rPr>
        <w:t>as soon as available, but in any event within 45 days after the end of each of the first three fiscal quarters of each fiscal year of the Borrower (commencing with the fiscal quarter ended March 31, 2013), a consolidated balance sheet of the Borrower and its Subsidiaries as at the end of such fiscal quarter, and the related consolidated statements of income or operations, changes in shareholders' equity,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certified by the chief executive officer, chief financial officer, treasurer or controller of the Borrower as fairly presenting in all material respects the financial condition, results of operations, shareholders' equity and cash flows of the Borrower and its Subsidiaries in accordance with GAAP, subject only to normal year-end audit adjustments and the absence of footnotes; and</w:t>
      </w:r>
    </w:p>
    <w:p>
      <w:pPr>
        <w:spacing w:after="0" w:line="167" w:lineRule="exact"/>
        <w:rPr>
          <w:rFonts w:ascii="Arial" w:cs="Arial" w:eastAsia="Arial" w:hAnsi="Arial"/>
          <w:sz w:val="16"/>
          <w:szCs w:val="16"/>
          <w:color w:val="auto"/>
        </w:rPr>
      </w:pPr>
    </w:p>
    <w:p>
      <w:pPr>
        <w:jc w:val="both"/>
        <w:ind w:firstLine="656"/>
        <w:spacing w:after="0" w:line="273" w:lineRule="auto"/>
        <w:tabs>
          <w:tab w:leader="none" w:pos="1064" w:val="left"/>
        </w:tabs>
        <w:numPr>
          <w:ilvl w:val="0"/>
          <w:numId w:val="81"/>
        </w:numPr>
        <w:rPr>
          <w:rFonts w:ascii="Arial" w:cs="Arial" w:eastAsia="Arial" w:hAnsi="Arial"/>
          <w:sz w:val="17"/>
          <w:szCs w:val="17"/>
          <w:color w:val="auto"/>
        </w:rPr>
      </w:pPr>
      <w:r>
        <w:rPr>
          <w:rFonts w:ascii="Arial" w:cs="Arial" w:eastAsia="Arial" w:hAnsi="Arial"/>
          <w:sz w:val="17"/>
          <w:szCs w:val="17"/>
          <w:color w:val="auto"/>
        </w:rPr>
        <w:t>as soon as available, but in any event no later than 60 days after the end of each fiscal year of the Borrower, an annual operating plan for the Borrower, on a consolidated basis, approved by the Board of Directors of the Borrower, for the following fiscal year, which (i) includes a statement of all of the material assumptions on which such plan is based, (ii) includes quarterly balance sheets, income statements and statements of cash flows for the following year and (iii) integrates sales, gross profits, operating expenses, operating profit and cash flow projections, all prepared on the same basis and in similar detail as that on which operating results are reported (and in the case of cash flow projections, representing management's good faith estimates of future financial performance of historical performance), and including plans for personnel, Capital Expenditures and facilities.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to any information contained in materials furnished pursuant to </w:t>
      </w:r>
      <w:r>
        <w:rPr>
          <w:rFonts w:ascii="Arial" w:cs="Arial" w:eastAsia="Arial" w:hAnsi="Arial"/>
          <w:sz w:val="18"/>
          <w:szCs w:val="18"/>
          <w:u w:val="single" w:color="auto"/>
          <w:color w:val="auto"/>
        </w:rPr>
        <w:t>Section 6.02(d)</w:t>
      </w:r>
      <w:r>
        <w:rPr>
          <w:rFonts w:ascii="Arial" w:cs="Arial" w:eastAsia="Arial" w:hAnsi="Arial"/>
          <w:sz w:val="18"/>
          <w:szCs w:val="18"/>
          <w:color w:val="auto"/>
        </w:rPr>
        <w:t xml:space="preserve">, the Borrower shall not be separately required to furnish such information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but the foregoing shall not be in derogation of the obligation of the Borrower to furnish the information and materials described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at the times specified therein.</w:t>
      </w:r>
    </w:p>
    <w:p>
      <w:pPr>
        <w:spacing w:after="0" w:line="18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7"/>
          <w:szCs w:val="17"/>
          <w:b w:val="1"/>
          <w:bCs w:val="1"/>
          <w:i w:val="1"/>
          <w:iCs w:val="1"/>
          <w:color w:val="auto"/>
        </w:rPr>
        <w:t>Certificates; Other Information</w:t>
      </w:r>
      <w:r>
        <w:rPr>
          <w:rFonts w:ascii="Arial" w:cs="Arial" w:eastAsia="Arial" w:hAnsi="Arial"/>
          <w:sz w:val="17"/>
          <w:szCs w:val="17"/>
          <w:color w:val="auto"/>
        </w:rPr>
        <w:t>. Deliver to the Administrative Agent and each Lender, in form and detail reasonably satisfactory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and the Required Lenders:</w:t>
      </w:r>
    </w:p>
    <w:p>
      <w:pPr>
        <w:spacing w:after="0" w:line="211" w:lineRule="exact"/>
        <w:rPr>
          <w:sz w:val="20"/>
          <w:szCs w:val="20"/>
          <w:color w:val="auto"/>
        </w:rPr>
      </w:pPr>
    </w:p>
    <w:p>
      <w:pPr>
        <w:jc w:val="both"/>
        <w:ind w:firstLine="656"/>
        <w:spacing w:after="0" w:line="279" w:lineRule="auto"/>
        <w:tabs>
          <w:tab w:leader="none" w:pos="1042"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concurrently with the delivery of the financial statements referred to in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but only to the extent permitted by accounting industry policies generally followed by independent certified public accountants, a certificate of its independent certified public accountants certifying such financial statements and stating that in making the examination necessary therefor no knowledge was obtained of any Event of Default arising from a breach of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or, if any such Event of Default shall exist, stating the nature and status of such event;</w:t>
      </w:r>
    </w:p>
    <w:p>
      <w:pPr>
        <w:spacing w:after="0" w:line="171" w:lineRule="exact"/>
        <w:rPr>
          <w:rFonts w:ascii="Arial" w:cs="Arial" w:eastAsia="Arial" w:hAnsi="Arial"/>
          <w:sz w:val="17"/>
          <w:szCs w:val="17"/>
          <w:color w:val="auto"/>
        </w:rPr>
      </w:pPr>
    </w:p>
    <w:p>
      <w:pPr>
        <w:ind w:firstLine="656"/>
        <w:spacing w:after="0" w:line="277" w:lineRule="auto"/>
        <w:tabs>
          <w:tab w:leader="none" w:pos="1114"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 duly completed Compliance Certificate signed by the chief executive officer, chief financial officer, treasurer or controller of the Borrower;</w:t>
      </w:r>
    </w:p>
    <w:p>
      <w:pPr>
        <w:spacing w:after="0" w:line="170" w:lineRule="exact"/>
        <w:rPr>
          <w:rFonts w:ascii="Arial" w:cs="Arial" w:eastAsia="Arial" w:hAnsi="Arial"/>
          <w:sz w:val="18"/>
          <w:szCs w:val="18"/>
          <w:color w:val="auto"/>
        </w:rPr>
      </w:pPr>
    </w:p>
    <w:p>
      <w:pPr>
        <w:ind w:firstLine="656"/>
        <w:spacing w:after="0" w:line="277" w:lineRule="auto"/>
        <w:tabs>
          <w:tab w:leader="none" w:pos="1207"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promptly after any request by the Administrative Agent or any Lender, copies of any detailed audit reports, management letters or recommendations submitted to the board of directors (or the audit committee of the board of directors)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90" w:name="page91"/>
    <w:bookmarkEnd w:id="90"/>
    <w:p>
      <w:pPr>
        <w:spacing w:after="0" w:line="277" w:lineRule="auto"/>
        <w:rPr>
          <w:sz w:val="20"/>
          <w:szCs w:val="20"/>
          <w:color w:val="auto"/>
        </w:rPr>
      </w:pPr>
      <w:r>
        <w:rPr>
          <w:rFonts w:ascii="Arial" w:cs="Arial" w:eastAsia="Arial" w:hAnsi="Arial"/>
          <w:sz w:val="18"/>
          <w:szCs w:val="18"/>
          <w:color w:val="auto"/>
        </w:rPr>
        <w:t>any Loan Party by independent accountants in connection with the accounts or books of any Loan Party or any of its Subsidiaries, or any audit of any of them;</w:t>
      </w:r>
    </w:p>
    <w:p>
      <w:pPr>
        <w:spacing w:after="0" w:line="170" w:lineRule="exact"/>
        <w:rPr>
          <w:sz w:val="20"/>
          <w:szCs w:val="20"/>
          <w:color w:val="auto"/>
        </w:rPr>
      </w:pPr>
    </w:p>
    <w:p>
      <w:pPr>
        <w:jc w:val="both"/>
        <w:ind w:firstLine="656"/>
        <w:spacing w:after="0" w:line="259" w:lineRule="auto"/>
        <w:tabs>
          <w:tab w:leader="none" w:pos="1073"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promptly after the same are available,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 under Section 13 or 15(d) of the Exchange Act, or with any national securities exchange, and in any case not otherwise required to be delivered to the Administrative Agent pursuant hereto;</w:t>
      </w:r>
    </w:p>
    <w:p>
      <w:pPr>
        <w:spacing w:after="0" w:line="186" w:lineRule="exact"/>
        <w:rPr>
          <w:rFonts w:ascii="Arial" w:cs="Arial" w:eastAsia="Arial" w:hAnsi="Arial"/>
          <w:sz w:val="18"/>
          <w:szCs w:val="18"/>
          <w:color w:val="auto"/>
        </w:rPr>
      </w:pPr>
    </w:p>
    <w:p>
      <w:pPr>
        <w:jc w:val="both"/>
        <w:ind w:firstLine="656"/>
        <w:spacing w:after="0" w:line="312" w:lineRule="auto"/>
        <w:tabs>
          <w:tab w:leader="none" w:pos="1042"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promptly after the furnishing thereof, copies of any statement or report furnished to any holder of debt securities of any Loan Party pursuant to the terms of any indenture, loan or credit or similar agreement in a principal amount greater than $10,000,000 and not otherwise required to be furnished to the Lenders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any other clause of this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or furnished to the administrative agent under the ABL Credit Agreement;</w:t>
      </w:r>
    </w:p>
    <w:p>
      <w:pPr>
        <w:spacing w:after="0" w:line="146" w:lineRule="exact"/>
        <w:rPr>
          <w:rFonts w:ascii="Arial" w:cs="Arial" w:eastAsia="Arial" w:hAnsi="Arial"/>
          <w:sz w:val="16"/>
          <w:szCs w:val="16"/>
          <w:color w:val="auto"/>
        </w:rPr>
      </w:pPr>
    </w:p>
    <w:p>
      <w:pPr>
        <w:jc w:val="both"/>
        <w:ind w:firstLine="656"/>
        <w:spacing w:after="0" w:line="264" w:lineRule="auto"/>
        <w:tabs>
          <w:tab w:leader="none" w:pos="1077"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 soon as available, but in any event within 30 days after the end of each fiscal year of the Borrower, a report summarizing the insurance coverage (specifying type, amount and carrier) in effect for each Loan Party and each Material Subsidiary and containing such additional information as the Administrative Agent, or any Lender through the Administrative Agent, may reasonably specify;</w:t>
      </w:r>
    </w:p>
    <w:p>
      <w:pPr>
        <w:spacing w:after="0" w:line="181" w:lineRule="exact"/>
        <w:rPr>
          <w:rFonts w:ascii="Arial" w:cs="Arial" w:eastAsia="Arial" w:hAnsi="Arial"/>
          <w:sz w:val="18"/>
          <w:szCs w:val="18"/>
          <w:color w:val="auto"/>
        </w:rPr>
      </w:pPr>
    </w:p>
    <w:p>
      <w:pPr>
        <w:jc w:val="both"/>
        <w:ind w:firstLine="656"/>
        <w:spacing w:after="0" w:line="286" w:lineRule="auto"/>
        <w:tabs>
          <w:tab w:leader="none" w:pos="10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promptly, and in any event within five Business Days after receipt thereof by any Loan Party or any Subsidiary thereof, copies of each notice or other correspondence received from the SEC (or comparable agency in any applicable non-U.S. jurisdiction) concerning any material investigation or other material inquiry by such agency regarding financial or other operational results of any Loan Party or any Subsidiary thereof;</w:t>
      </w:r>
    </w:p>
    <w:p>
      <w:pPr>
        <w:spacing w:after="0" w:line="165" w:lineRule="exact"/>
        <w:rPr>
          <w:rFonts w:ascii="Arial" w:cs="Arial" w:eastAsia="Arial" w:hAnsi="Arial"/>
          <w:sz w:val="17"/>
          <w:szCs w:val="17"/>
          <w:color w:val="auto"/>
        </w:rPr>
      </w:pPr>
    </w:p>
    <w:p>
      <w:pPr>
        <w:jc w:val="both"/>
        <w:ind w:firstLine="656"/>
        <w:spacing w:after="0" w:line="276" w:lineRule="auto"/>
        <w:tabs>
          <w:tab w:leader="none" w:pos="11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not later than five Business Days after receipt thereof by any Loan Party, copies of all notices, requests and other documents (including amendments, waivers and other modifications) so received under or pursuant to any instrument, indenture, loan or credit or similar agreement regarding or related to any breach or default by any party thereto or any other event that could materially impair the value of the interests or the rights of any Loan Party or otherwise have a Material Adverse Effect and, from time to time upon request by the Administrative Agent, such information and reports regarding such instruments, indentures and loan and credit and similar agreements as the Administrative Agent may reasonably request;</w:t>
      </w:r>
    </w:p>
    <w:p>
      <w:pPr>
        <w:spacing w:after="0" w:line="172" w:lineRule="exact"/>
        <w:rPr>
          <w:rFonts w:ascii="Arial" w:cs="Arial" w:eastAsia="Arial" w:hAnsi="Arial"/>
          <w:sz w:val="17"/>
          <w:szCs w:val="17"/>
          <w:color w:val="auto"/>
        </w:rPr>
      </w:pPr>
    </w:p>
    <w:p>
      <w:pPr>
        <w:jc w:val="both"/>
        <w:ind w:firstLine="656"/>
        <w:spacing w:after="0" w:line="259" w:lineRule="auto"/>
        <w:tabs>
          <w:tab w:leader="none" w:pos="1039"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promptly after the assertion or occurrence thereof, notice of any action or proceeding arising under any Environmental Law against or of any noncompliance by any Loan Party or any of its Subsidiaries with any Environmental Law or Environmental Permit that could (i) reasonably be expected to have a Material Adverse Effect or (ii) cause any property described in the Mortgages to be subject to any material restrictions on ownership, occupancy, use or transferability under any Environmental Law;</w:t>
      </w:r>
    </w:p>
    <w:p>
      <w:pPr>
        <w:spacing w:after="0" w:line="186" w:lineRule="exact"/>
        <w:rPr>
          <w:rFonts w:ascii="Arial" w:cs="Arial" w:eastAsia="Arial" w:hAnsi="Arial"/>
          <w:sz w:val="18"/>
          <w:szCs w:val="18"/>
          <w:color w:val="auto"/>
        </w:rPr>
      </w:pPr>
    </w:p>
    <w:p>
      <w:pPr>
        <w:jc w:val="both"/>
        <w:ind w:firstLine="656"/>
        <w:spacing w:after="0" w:line="288" w:lineRule="auto"/>
        <w:tabs>
          <w:tab w:leader="none" w:pos="1166"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as soon as available, but in any event within 30 days after the end of each fiscal year of the Borrower, (i) a report supplementing </w:t>
      </w:r>
      <w:r>
        <w:rPr>
          <w:rFonts w:ascii="Arial" w:cs="Arial" w:eastAsia="Arial" w:hAnsi="Arial"/>
          <w:sz w:val="16"/>
          <w:szCs w:val="16"/>
          <w:u w:val="single" w:color="auto"/>
          <w:color w:val="auto"/>
        </w:rPr>
        <w:t>Schedules 5.08(c)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5.08(d)</w:t>
      </w:r>
      <w:r>
        <w:rPr>
          <w:rFonts w:ascii="Arial" w:cs="Arial" w:eastAsia="Arial" w:hAnsi="Arial"/>
          <w:sz w:val="16"/>
          <w:szCs w:val="16"/>
          <w:color w:val="auto"/>
        </w:rPr>
        <w:t xml:space="preserve">, including an identification of all owned real property disposed of by any Loan Party thereof during such fiscal year, a list and description (including the street address, county or other relevant jurisdiction, state, and record owner) of all Material Real Property acquired during such fiscal year and a description of such other changes in the information included in such Schedules as may be necessary for such Schedules to be accurate and complete; (ii) a report supplementing </w:t>
      </w:r>
      <w:r>
        <w:rPr>
          <w:rFonts w:ascii="Arial" w:cs="Arial" w:eastAsia="Arial" w:hAnsi="Arial"/>
          <w:sz w:val="16"/>
          <w:szCs w:val="16"/>
          <w:u w:val="single" w:color="auto"/>
          <w:color w:val="auto"/>
        </w:rPr>
        <w:t>Schedules 8</w:t>
      </w:r>
      <w:r>
        <w:rPr>
          <w:rFonts w:ascii="Arial" w:cs="Arial" w:eastAsia="Arial" w:hAnsi="Arial"/>
          <w:sz w:val="16"/>
          <w:szCs w:val="16"/>
          <w:color w:val="auto"/>
        </w:rPr>
        <w:t xml:space="preserve">, </w:t>
      </w:r>
      <w:r>
        <w:rPr>
          <w:rFonts w:ascii="Arial" w:cs="Arial" w:eastAsia="Arial" w:hAnsi="Arial"/>
          <w:sz w:val="16"/>
          <w:szCs w:val="16"/>
          <w:u w:val="single" w:color="auto"/>
          <w:color w:val="auto"/>
        </w:rPr>
        <w:t>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to the Security Agreement, as applicable, setting forth (A) a list of registration numbers for all patents, trademarks, service marks, trade names and copyrights awarded to any Loan Party thereof during such fiscal year and (B) a list of all patent applications, trademark applications, service mark applications, trade name applications and copyright applications submitted by any Loan Party or any Subsidiary thereof during such fiscal year and the status of each such application; and (iii) a report supplementing </w:t>
      </w:r>
      <w:r>
        <w:rPr>
          <w:rFonts w:ascii="Arial" w:cs="Arial" w:eastAsia="Arial" w:hAnsi="Arial"/>
          <w:sz w:val="16"/>
          <w:szCs w:val="16"/>
          <w:u w:val="single" w:color="auto"/>
          <w:color w:val="auto"/>
        </w:rPr>
        <w:t>Schedules 5.08(e)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5.13</w:t>
      </w:r>
      <w:r>
        <w:rPr>
          <w:rFonts w:ascii="Arial" w:cs="Arial" w:eastAsia="Arial" w:hAnsi="Arial"/>
          <w:sz w:val="16"/>
          <w:szCs w:val="16"/>
          <w:color w:val="auto"/>
        </w:rPr>
        <w:t xml:space="preserve"> containing a description of all changes in the information included in such Schedules as may be necessary for such Schedules to be accurate and complete, each such report to be signed by a Responsible Officer of the Borrower and to be in a form reasonably satisfactory to the Administrative Agent;</w:t>
      </w:r>
    </w:p>
    <w:p>
      <w:pPr>
        <w:spacing w:after="0" w:line="169" w:lineRule="exact"/>
        <w:rPr>
          <w:rFonts w:ascii="Arial" w:cs="Arial" w:eastAsia="Arial" w:hAnsi="Arial"/>
          <w:sz w:val="16"/>
          <w:szCs w:val="16"/>
          <w:color w:val="auto"/>
        </w:rPr>
      </w:pPr>
    </w:p>
    <w:p>
      <w:pPr>
        <w:ind w:firstLine="656"/>
        <w:spacing w:after="0" w:line="277" w:lineRule="auto"/>
        <w:tabs>
          <w:tab w:leader="none" w:pos="1156"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copies of any amendments or modifications to any Material Contract permitted by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within five Business Days of any such amendment or modification; and</w:t>
      </w:r>
    </w:p>
    <w:p>
      <w:pPr>
        <w:spacing w:after="0" w:line="170" w:lineRule="exact"/>
        <w:rPr>
          <w:rFonts w:ascii="Arial" w:cs="Arial" w:eastAsia="Arial" w:hAnsi="Arial"/>
          <w:sz w:val="18"/>
          <w:szCs w:val="18"/>
          <w:color w:val="auto"/>
        </w:rPr>
      </w:pPr>
    </w:p>
    <w:p>
      <w:pPr>
        <w:ind w:firstLine="656"/>
        <w:spacing w:after="0" w:line="308" w:lineRule="auto"/>
        <w:tabs>
          <w:tab w:leader="none" w:pos="998" w:val="left"/>
        </w:tabs>
        <w:numPr>
          <w:ilvl w:val="0"/>
          <w:numId w:val="83"/>
        </w:numPr>
        <w:rPr>
          <w:rFonts w:ascii="Arial" w:cs="Arial" w:eastAsia="Arial" w:hAnsi="Arial"/>
          <w:sz w:val="17"/>
          <w:szCs w:val="17"/>
          <w:color w:val="auto"/>
        </w:rPr>
      </w:pPr>
      <w:r>
        <w:rPr>
          <w:rFonts w:ascii="Arial" w:cs="Arial" w:eastAsia="Arial" w:hAnsi="Arial"/>
          <w:sz w:val="17"/>
          <w:szCs w:val="17"/>
          <w:color w:val="auto"/>
        </w:rPr>
        <w:t>promptly, such additional information regarding the business, financial, legal or corporate affairs of any Loan Party or any Subsidiary thereof, or compliance with the terms of the Loan Documents, as the Administrative Agent or any Lender may from time to time reasonably request.</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Documents required to be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6.02(d)</w:t>
      </w:r>
      <w:r>
        <w:rPr>
          <w:rFonts w:ascii="Arial" w:cs="Arial" w:eastAsia="Arial" w:hAnsi="Arial"/>
          <w:sz w:val="18"/>
          <w:szCs w:val="18"/>
          <w:color w:val="auto"/>
        </w:rPr>
        <w:t xml:space="preserve"> (to the extent any such documents are included in materials otherwise filed with the SEC) may be delivered electronically and if so delivered, shall be deemed 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91" w:name="page92"/>
    <w:bookmarkEnd w:id="91"/>
    <w:p>
      <w:pPr>
        <w:jc w:val="both"/>
        <w:spacing w:after="0" w:line="287" w:lineRule="auto"/>
        <w:rPr>
          <w:sz w:val="20"/>
          <w:szCs w:val="20"/>
          <w:color w:val="auto"/>
        </w:rPr>
      </w:pPr>
      <w:r>
        <w:rPr>
          <w:rFonts w:ascii="Arial" w:cs="Arial" w:eastAsia="Arial" w:hAnsi="Arial"/>
          <w:sz w:val="16"/>
          <w:szCs w:val="16"/>
          <w:color w:val="auto"/>
        </w:rPr>
        <w:t xml:space="preserve">have been delivered on the date (i) on which the Borrower posts such documents, or provides a link thereto on the Borrower's website on the Internet at the website address listed on </w:t>
      </w:r>
      <w:r>
        <w:rPr>
          <w:rFonts w:ascii="Arial" w:cs="Arial" w:eastAsia="Arial" w:hAnsi="Arial"/>
          <w:sz w:val="16"/>
          <w:szCs w:val="16"/>
          <w:u w:val="single" w:color="auto"/>
          <w:color w:val="auto"/>
        </w:rPr>
        <w:t>Schedule 10.02</w:t>
      </w:r>
      <w:r>
        <w:rPr>
          <w:rFonts w:ascii="Arial" w:cs="Arial" w:eastAsia="Arial" w:hAnsi="Arial"/>
          <w:sz w:val="16"/>
          <w:szCs w:val="16"/>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deliver paper copies of such documents to the Administrative Agent or any Lender that requests the Borrower to deliver such paper copies until a written request to cease delivering paper copies is given by the Administrative Agent or such Lender and (ii) the Borrower shall notify the Administrative Agent and each Lender (by telecopier or electronic mail) of the posting of any such documents and provide to the Administrative Agent by electronic mail electronic versions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soft copies) of such documents. Notwithstanding anything contained herein, in every instance the Borrower shall be required to provide paper copies of the Compliance Certificates required by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to the Administrative Agent. Except for such Compliance Certificates,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timely accessing posted documents or requesting delivery of paper copies from the Administrative Agent and maintaining its copies of such documents.</w:t>
      </w:r>
    </w:p>
    <w:p>
      <w:pPr>
        <w:spacing w:after="0" w:line="17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Borrower hereby acknowledges that (a) the Administrative Agent and/or the Arrangers will make available to the Lenders materials and/or information provided by or on behalf of the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w:t>
      </w:r>
    </w:p>
    <w:p>
      <w:pPr>
        <w:spacing w:after="0" w:line="3" w:lineRule="exact"/>
        <w:rPr>
          <w:sz w:val="20"/>
          <w:szCs w:val="20"/>
          <w:color w:val="auto"/>
        </w:rPr>
      </w:pPr>
    </w:p>
    <w:p>
      <w:pPr>
        <w:jc w:val="both"/>
        <w:ind w:firstLine="8"/>
        <w:spacing w:after="0" w:line="290" w:lineRule="auto"/>
        <w:tabs>
          <w:tab w:leader="none" w:pos="258" w:val="left"/>
        </w:tabs>
        <w:numPr>
          <w:ilvl w:val="0"/>
          <w:numId w:val="84"/>
        </w:numPr>
        <w:rPr>
          <w:rFonts w:ascii="Arial" w:cs="Arial" w:eastAsia="Arial" w:hAnsi="Arial"/>
          <w:sz w:val="16"/>
          <w:szCs w:val="16"/>
          <w:color w:val="auto"/>
        </w:rPr>
      </w:pPr>
      <w:r>
        <w:rPr>
          <w:rFonts w:ascii="Arial" w:cs="Arial" w:eastAsia="Arial" w:hAnsi="Arial"/>
          <w:sz w:val="16"/>
          <w:szCs w:val="16"/>
          <w:color w:val="auto"/>
        </w:rPr>
        <w:t>by marking Borrower Materials “PUBLIC,” the Borrower shall be deemed to have authorized the Administrative Agent, the Arrangers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Borrower Materials constitute Information, they shall be treated as set forth in </w:t>
      </w:r>
      <w:r>
        <w:rPr>
          <w:rFonts w:ascii="Arial" w:cs="Arial" w:eastAsia="Arial" w:hAnsi="Arial"/>
          <w:sz w:val="16"/>
          <w:szCs w:val="16"/>
          <w:u w:val="single" w:color="auto"/>
          <w:color w:val="auto"/>
        </w:rPr>
        <w:t>Section 10.07</w:t>
      </w:r>
      <w:r>
        <w:rPr>
          <w:rFonts w:ascii="Arial" w:cs="Arial" w:eastAsia="Arial" w:hAnsi="Arial"/>
          <w:sz w:val="16"/>
          <w:szCs w:val="16"/>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6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b w:val="1"/>
          <w:bCs w:val="1"/>
          <w:i w:val="1"/>
          <w:iCs w:val="1"/>
          <w:color w:val="auto"/>
        </w:rPr>
        <w:t>Notices</w:t>
      </w:r>
      <w:r>
        <w:rPr>
          <w:rFonts w:ascii="Arial" w:cs="Arial" w:eastAsia="Arial" w:hAnsi="Arial"/>
          <w:sz w:val="18"/>
          <w:szCs w:val="18"/>
          <w:color w:val="auto"/>
        </w:rPr>
        <w:t>. Promptly, after a Responsible Officer of the Borrower or any Guarantor has obtained knowledge thereof, notify the Administrative Agent and each Lender:</w:t>
      </w:r>
    </w:p>
    <w:p>
      <w:pPr>
        <w:spacing w:after="0" w:line="170" w:lineRule="exact"/>
        <w:rPr>
          <w:sz w:val="20"/>
          <w:szCs w:val="20"/>
          <w:color w:val="auto"/>
        </w:rPr>
      </w:pPr>
    </w:p>
    <w:p>
      <w:pPr>
        <w:ind w:left="1040" w:hanging="384"/>
        <w:spacing w:after="0"/>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of the occurrence of any Default or Event of Default;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of any matter that has resulted or could reasonably be expected to result in a Material Adverse Effect;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of the occurrence of any material ERISA Event;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of any material change in accounting policies or financial reporting practices by any Loan Party or any Subsidiary thereof;</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05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of the (i) occurrence of any Disposition of property or assets for which the Borrower or any other Loan Party is required to make a mandatory prepayment pursuant to </w:t>
      </w:r>
      <w:r>
        <w:rPr>
          <w:rFonts w:ascii="Arial" w:cs="Arial" w:eastAsia="Arial" w:hAnsi="Arial"/>
          <w:sz w:val="18"/>
          <w:szCs w:val="18"/>
          <w:u w:val="single" w:color="auto"/>
          <w:color w:val="auto"/>
        </w:rPr>
        <w:t>Section 2.03(b)(ii)</w:t>
      </w:r>
      <w:r>
        <w:rPr>
          <w:rFonts w:ascii="Arial" w:cs="Arial" w:eastAsia="Arial" w:hAnsi="Arial"/>
          <w:sz w:val="18"/>
          <w:szCs w:val="18"/>
          <w:color w:val="auto"/>
        </w:rPr>
        <w:t xml:space="preserve"> or the ABL Credit Agreement, (ii) incurrence or issuance of any Indebtedness for which the Borrower or any other Loan Party is required to make a mandatory prepayment pursuant to </w:t>
      </w:r>
      <w:r>
        <w:rPr>
          <w:rFonts w:ascii="Arial" w:cs="Arial" w:eastAsia="Arial" w:hAnsi="Arial"/>
          <w:sz w:val="18"/>
          <w:szCs w:val="18"/>
          <w:u w:val="single" w:color="auto"/>
          <w:color w:val="auto"/>
        </w:rPr>
        <w:t>Section 2.03(b)(iii)</w:t>
      </w:r>
      <w:r>
        <w:rPr>
          <w:rFonts w:ascii="Arial" w:cs="Arial" w:eastAsia="Arial" w:hAnsi="Arial"/>
          <w:sz w:val="18"/>
          <w:szCs w:val="18"/>
          <w:color w:val="auto"/>
        </w:rPr>
        <w:t xml:space="preserve"> or the ABL Credit Agreement, and (iii) receipt of any Extraordinary Receipt for which the Borrower or any other Loan Party is required to make a mandatory prepayment pursuant to </w:t>
      </w:r>
      <w:r>
        <w:rPr>
          <w:rFonts w:ascii="Arial" w:cs="Arial" w:eastAsia="Arial" w:hAnsi="Arial"/>
          <w:sz w:val="18"/>
          <w:szCs w:val="18"/>
          <w:u w:val="single" w:color="auto"/>
          <w:color w:val="auto"/>
        </w:rPr>
        <w:t>Section 2.03(b)(iv)</w:t>
      </w:r>
      <w:r>
        <w:rPr>
          <w:rFonts w:ascii="Arial" w:cs="Arial" w:eastAsia="Arial" w:hAnsi="Arial"/>
          <w:sz w:val="18"/>
          <w:szCs w:val="18"/>
          <w:color w:val="auto"/>
        </w:rPr>
        <w:t xml:space="preserve"> or the ABL Credit Agreement;</w:t>
      </w:r>
    </w:p>
    <w:p>
      <w:pPr>
        <w:spacing w:after="0" w:line="188" w:lineRule="exact"/>
        <w:rPr>
          <w:rFonts w:ascii="Arial" w:cs="Arial" w:eastAsia="Arial" w:hAnsi="Arial"/>
          <w:sz w:val="18"/>
          <w:szCs w:val="18"/>
          <w:color w:val="auto"/>
        </w:rPr>
      </w:pPr>
    </w:p>
    <w:p>
      <w:pPr>
        <w:ind w:left="1020" w:hanging="364"/>
        <w:spacing w:after="0"/>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of any announcement by Moody's or S&amp;P of any change or, to the knowledge of the Borrower, possible change in a Debt Rating;</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of any labor negotiations or strike by employees;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of any amendment, notice of default or early termination of any Material Contract.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Each notice pursuant to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6.03(e)</w:t>
      </w:r>
      <w:r>
        <w:rPr>
          <w:rFonts w:ascii="Arial" w:cs="Arial" w:eastAsia="Arial" w:hAnsi="Arial"/>
          <w:sz w:val="18"/>
          <w:szCs w:val="18"/>
          <w:color w:val="auto"/>
        </w:rPr>
        <w:t>) shall be accompanied by a statement of a Responsible Officer of the Borrower setting forth details of the occurrence referred to therein and stating what action the Borrower or such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92" w:name="page93"/>
    <w:bookmarkEnd w:id="92"/>
    <w:p>
      <w:pPr>
        <w:jc w:val="both"/>
        <w:ind w:right="20"/>
        <w:spacing w:after="0" w:line="277" w:lineRule="auto"/>
        <w:rPr>
          <w:sz w:val="20"/>
          <w:szCs w:val="20"/>
          <w:color w:val="auto"/>
        </w:rPr>
      </w:pPr>
      <w:r>
        <w:rPr>
          <w:rFonts w:ascii="Arial" w:cs="Arial" w:eastAsia="Arial" w:hAnsi="Arial"/>
          <w:sz w:val="18"/>
          <w:szCs w:val="18"/>
          <w:color w:val="auto"/>
        </w:rPr>
        <w:t xml:space="preserve">other Loan Party has taken and proposes to take with respect thereto. Each notice pursuant to </w:t>
      </w:r>
      <w:r>
        <w:rPr>
          <w:rFonts w:ascii="Arial" w:cs="Arial" w:eastAsia="Arial" w:hAnsi="Arial"/>
          <w:sz w:val="18"/>
          <w:szCs w:val="18"/>
          <w:u w:val="single" w:color="auto"/>
          <w:color w:val="auto"/>
        </w:rPr>
        <w:t>Section 6.03(a)</w:t>
      </w:r>
      <w:r>
        <w:rPr>
          <w:rFonts w:ascii="Arial" w:cs="Arial" w:eastAsia="Arial" w:hAnsi="Arial"/>
          <w:sz w:val="18"/>
          <w:szCs w:val="18"/>
          <w:color w:val="auto"/>
        </w:rPr>
        <w:t xml:space="preserve"> shall describe with particularity any and all provisions of this Agreement and any other Loan Document that have been breached.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b w:val="1"/>
          <w:bCs w:val="1"/>
          <w:i w:val="1"/>
          <w:iCs w:val="1"/>
          <w:color w:val="auto"/>
        </w:rPr>
        <w:t>Payment of Obligations</w:t>
      </w:r>
      <w:r>
        <w:rPr>
          <w:rFonts w:ascii="Arial" w:cs="Arial" w:eastAsia="Arial" w:hAnsi="Arial"/>
          <w:sz w:val="18"/>
          <w:szCs w:val="18"/>
          <w:color w:val="auto"/>
        </w:rPr>
        <w:t>. Pay, discharge or otherwise satisfy as the same shall become due and payable (a) all material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Material Subsidiary; and (b) all lawful claims which, if unpaid, would by law become a Lien upon any material portion of its property.</w:t>
      </w:r>
    </w:p>
    <w:p>
      <w:pPr>
        <w:spacing w:after="0" w:line="187"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 xml:space="preserve">6.05 </w:t>
      </w:r>
      <w:r>
        <w:rPr>
          <w:rFonts w:ascii="Arial" w:cs="Arial" w:eastAsia="Arial" w:hAnsi="Arial"/>
          <w:sz w:val="16"/>
          <w:szCs w:val="16"/>
          <w:b w:val="1"/>
          <w:bCs w:val="1"/>
          <w:i w:val="1"/>
          <w:iCs w:val="1"/>
          <w:color w:val="auto"/>
        </w:rPr>
        <w:t>Preservation of Existence, Etc; Ownership of Loan Parties.</w:t>
      </w:r>
      <w:r>
        <w:rPr>
          <w:rFonts w:ascii="Arial" w:cs="Arial" w:eastAsia="Arial" w:hAnsi="Arial"/>
          <w:sz w:val="16"/>
          <w:szCs w:val="16"/>
          <w:color w:val="auto"/>
        </w:rPr>
        <w:t xml:space="preserve"> (a) Preserve, renew and maintain in full force and effect its legal existence and good standing under the Laws of the jurisdiction of its organization except in a transaction permitted by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7.05</w:t>
      </w:r>
      <w:r>
        <w:rPr>
          <w:rFonts w:ascii="Arial" w:cs="Arial" w:eastAsia="Arial" w:hAnsi="Arial"/>
          <w:sz w:val="16"/>
          <w:szCs w:val="16"/>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or as otherwise permitted hereunder; (c) preserve or renew all of its registered patents, trademarks, trade names and service marks, the non</w:t>
      </w:r>
      <w:r>
        <w:rPr>
          <w:rFonts w:ascii="MS PGothic" w:cs="MS PGothic" w:eastAsia="MS PGothic" w:hAnsi="MS PGothic"/>
          <w:sz w:val="16"/>
          <w:szCs w:val="16"/>
          <w:color w:val="auto"/>
        </w:rPr>
        <w:t>‑</w:t>
      </w:r>
      <w:r>
        <w:rPr>
          <w:rFonts w:ascii="Arial" w:cs="Arial" w:eastAsia="Arial" w:hAnsi="Arial"/>
          <w:sz w:val="16"/>
          <w:szCs w:val="16"/>
          <w:color w:val="auto"/>
        </w:rPr>
        <w:t>preservation of which could reasonably be expected to have a Material Adverse Effect or as otherwise permitted hereunder; and (d) conduct its business and affairs without infringement of or interference with any intellectual property rights of any other Person in any material respect. The Borrower shall, directly or indirectly, own 100% Equity Interests of each Loan Party.</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6.06 </w:t>
      </w:r>
      <w:r>
        <w:rPr>
          <w:rFonts w:ascii="Arial" w:cs="Arial" w:eastAsia="Arial" w:hAnsi="Arial"/>
          <w:sz w:val="18"/>
          <w:szCs w:val="18"/>
          <w:b w:val="1"/>
          <w:bCs w:val="1"/>
          <w:i w:val="1"/>
          <w:iCs w:val="1"/>
          <w:color w:val="auto"/>
        </w:rPr>
        <w:t>Maintenance of Properties</w:t>
      </w:r>
      <w:r>
        <w:rPr>
          <w:rFonts w:ascii="Arial" w:cs="Arial" w:eastAsia="Arial" w:hAnsi="Arial"/>
          <w:sz w:val="18"/>
          <w:szCs w:val="18"/>
          <w:color w:val="auto"/>
        </w:rPr>
        <w:t>. (a) Maintain, preserve and protect all of its material properties and equipment reasonably necessary in the operation of its business in good working order and condition, ordinary wear and tear excepted; (b) make all reasonably necessary repairs thereto and renewals and replacements thereof except where the failure to do so could not reasonably be expected to have a Material Adverse Effect; and (c) use the standard of care typical in the industry in the operation and maintenance of its facilities.</w:t>
      </w:r>
    </w:p>
    <w:p>
      <w:pPr>
        <w:spacing w:after="0" w:line="187"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 xml:space="preserve">6.07 </w:t>
      </w:r>
      <w:r>
        <w:rPr>
          <w:rFonts w:ascii="Arial" w:cs="Arial" w:eastAsia="Arial" w:hAnsi="Arial"/>
          <w:sz w:val="16"/>
          <w:szCs w:val="16"/>
          <w:b w:val="1"/>
          <w:bCs w:val="1"/>
          <w:i w:val="1"/>
          <w:iCs w:val="1"/>
          <w:color w:val="auto"/>
        </w:rPr>
        <w:t>Maintenance of Insurance</w:t>
      </w:r>
      <w:r>
        <w:rPr>
          <w:rFonts w:ascii="Arial" w:cs="Arial" w:eastAsia="Arial" w:hAnsi="Arial"/>
          <w:sz w:val="16"/>
          <w:szCs w:val="16"/>
          <w:color w:val="auto"/>
        </w:rPr>
        <w:t>. 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(after giving effect to any self</w:t>
      </w:r>
      <w:r>
        <w:rPr>
          <w:rFonts w:ascii="MS PGothic" w:cs="MS PGothic" w:eastAsia="MS PGothic" w:hAnsi="MS PGothic"/>
          <w:sz w:val="16"/>
          <w:szCs w:val="16"/>
          <w:color w:val="auto"/>
        </w:rPr>
        <w:t>‑</w:t>
      </w:r>
      <w:r>
        <w:rPr>
          <w:rFonts w:ascii="Arial" w:cs="Arial" w:eastAsia="Arial" w:hAnsi="Arial"/>
          <w:sz w:val="16"/>
          <w:szCs w:val="16"/>
          <w:color w:val="auto"/>
        </w:rPr>
        <w:t>insurance reasonable and customary for similarly situated Persons engaged in the same or similar businesses as the respective Loan Party) as are customarily carried under similar circumstances by such other Persons and providing for not less than 30 days' prior written notice to the Administrative Agent of termination, lapse or cancellation of such insurance. All property insurance policies covering the Collateral are to be made payable to the Administrative Agent for the benefit of the Administrative Agent and the Lenders, as their interests may appear, in case of loss, pursuant to a standard loss payable endorsement with a standard non contributory “lender” or “secured party” clause and are to contain such other provisions as the Administrative Agent may reasonably require to fully protect the Lenders' interest in the Collateral and to any payments to be made under such policies. All certificates of property and general liability insurance are to be delivered to the Administrative Agent, with the loss payable (but only in respect of Collateral) and additional insured endorsements in favor of the Administrative Agent. If the Borrower or such other Loan Party fails to maintain such insurance, the Administrative Agent may arrange for such insurance, but at the Borrower's or such other Loan Party's expense and without any responsibility on the Administrative Agent's part for obtaining the insurance, the solvency of the insurance companies, the adequacy of the coverage, or the collection of claims. The Borrower or such Loan Party shall give the Administrative Agent prompt notice of any loss exceeding $250,000 covered by its casualty or business interruption insurance. Upon the occurrence and during the continuance of an Event of Default, the Administrative Agent shall have the sole right to file claims under any property and general liability insurance policies in respect of the Collateral,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b w:val="1"/>
          <w:bCs w:val="1"/>
          <w:i w:val="1"/>
          <w:iCs w:val="1"/>
          <w:color w:val="auto"/>
        </w:rPr>
        <w:t>Compliance with Laws</w:t>
      </w:r>
      <w:r>
        <w:rPr>
          <w:rFonts w:ascii="Arial" w:cs="Arial" w:eastAsia="Arial" w:hAnsi="Arial"/>
          <w:sz w:val="18"/>
          <w:szCs w:val="18"/>
          <w:color w:val="auto"/>
        </w:rPr>
        <w:t>. Comply in all respects with the requirements of all applicable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6.09 </w:t>
      </w:r>
      <w:r>
        <w:rPr>
          <w:rFonts w:ascii="Arial" w:cs="Arial" w:eastAsia="Arial" w:hAnsi="Arial"/>
          <w:sz w:val="17"/>
          <w:szCs w:val="17"/>
          <w:b w:val="1"/>
          <w:bCs w:val="1"/>
          <w:i w:val="1"/>
          <w:iCs w:val="1"/>
          <w:color w:val="auto"/>
        </w:rPr>
        <w:t>Books and Records</w:t>
      </w:r>
      <w:r>
        <w:rPr>
          <w:rFonts w:ascii="Arial" w:cs="Arial" w:eastAsia="Arial" w:hAnsi="Arial"/>
          <w:sz w:val="17"/>
          <w:szCs w:val="17"/>
          <w:color w:val="auto"/>
        </w:rPr>
        <w:t>. Maintain proper books of record and account, in which full, true and correct, in all material respects, entries in conformity with GAAP consistently applied shall be made of all financial transactions and matters involving the assets and business of the Borrower or such Material Subsidiary, as the case may be (it being understood and agreed that Foreign Subsidiaries may maintain individual books and records in conformity with generally accepted accounting principles that are applicable in their respective jurisdiction of organization).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93" w:name="page94"/>
    <w:bookmarkEnd w:id="93"/>
    <w:p>
      <w:pPr>
        <w:jc w:val="both"/>
        <w:ind w:firstLine="648"/>
        <w:spacing w:after="0" w:line="270"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b w:val="1"/>
          <w:bCs w:val="1"/>
          <w:i w:val="1"/>
          <w:iCs w:val="1"/>
          <w:color w:val="auto"/>
        </w:rPr>
        <w:t>Inspection Rights</w:t>
      </w:r>
      <w:r>
        <w:rPr>
          <w:rFonts w:ascii="Arial" w:cs="Arial" w:eastAsia="Arial" w:hAnsi="Arial"/>
          <w:sz w:val="17"/>
          <w:szCs w:val="17"/>
          <w:color w:val="auto"/>
        </w:rPr>
        <w:t xml:space="preserve">. Permit representatives of the Administrative Agent (and, during the continuance of any Event of Default, any Lender in coordination with the Administrative Agent) to visit and inspect any of its properties, to examine its corporate, financial and operating records, and make copies thereof or abstracts therefrom, and to discuss its affairs, finances and accounts with its directors, officers, and independent public accountants (subject to such accountants' customary policies and procedures), all at the reasonable expense of the Borrower and at such reasonable times during normal business hours and as often as may be reasonably desired, upon reasonable advance notice to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excluding any such visits and inspections during the continuation of an Event of Default, the Loan Parties shall not be required to pay for such visits;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when an Event of Default exists the Administrative Agent or any Lender (or any of their respective representatives) may do any of the foregoing at the expense of the Borrower at any time during normal business hours and upon reasonable notice. The Administrative Agent and the Lenders shall give the Borrower the opportunity to participate in any discussions with the Borrower's accountants.</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b w:val="1"/>
          <w:bCs w:val="1"/>
          <w:i w:val="1"/>
          <w:iCs w:val="1"/>
          <w:color w:val="auto"/>
        </w:rPr>
        <w:t>Use of Proceeds</w:t>
      </w:r>
      <w:r>
        <w:rPr>
          <w:rFonts w:ascii="Arial" w:cs="Arial" w:eastAsia="Arial" w:hAnsi="Arial"/>
          <w:sz w:val="18"/>
          <w:szCs w:val="18"/>
          <w:color w:val="auto"/>
        </w:rPr>
        <w:t xml:space="preserve">. Use the proceeds of the Credit Extensions for the refinancing of the Existing Loans (subject to the conversion of certain Existing Loans to the Loans as provided in </w:t>
      </w:r>
      <w:r>
        <w:rPr>
          <w:rFonts w:ascii="Arial" w:cs="Arial" w:eastAsia="Arial" w:hAnsi="Arial"/>
          <w:sz w:val="18"/>
          <w:szCs w:val="18"/>
          <w:u w:val="single" w:color="auto"/>
          <w:color w:val="auto"/>
        </w:rPr>
        <w:t>Section 2.01</w:t>
      </w:r>
      <w:r>
        <w:rPr>
          <w:rFonts w:ascii="Arial" w:cs="Arial" w:eastAsia="Arial" w:hAnsi="Arial"/>
          <w:sz w:val="18"/>
          <w:szCs w:val="18"/>
          <w:color w:val="auto"/>
        </w:rPr>
        <w:t>), the payment of related fees and expenses and general corporate and working capital purposes not in contravention of any Law or of any Loan Document.</w:t>
      </w:r>
    </w:p>
    <w:p>
      <w:pPr>
        <w:spacing w:after="0" w:line="18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b w:val="1"/>
          <w:bCs w:val="1"/>
          <w:i w:val="1"/>
          <w:iCs w:val="1"/>
          <w:color w:val="auto"/>
        </w:rPr>
        <w:t>Covenant to Guarantee Obligations and Give Security</w:t>
      </w:r>
      <w:r>
        <w:rPr>
          <w:rFonts w:ascii="Arial" w:cs="Arial" w:eastAsia="Arial" w:hAnsi="Arial"/>
          <w:sz w:val="16"/>
          <w:szCs w:val="16"/>
          <w:color w:val="auto"/>
        </w:rPr>
        <w:t>. Subject to the Intercreditor Agreement:</w:t>
      </w:r>
    </w:p>
    <w:p>
      <w:pPr>
        <w:spacing w:after="0" w:line="225" w:lineRule="exact"/>
        <w:rPr>
          <w:sz w:val="20"/>
          <w:szCs w:val="20"/>
          <w:color w:val="auto"/>
        </w:rPr>
      </w:pPr>
    </w:p>
    <w:p>
      <w:pPr>
        <w:jc w:val="both"/>
        <w:ind w:firstLine="980"/>
        <w:spacing w:after="0" w:line="264" w:lineRule="auto"/>
        <w:tabs>
          <w:tab w:leader="none" w:pos="123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Upon the formation or acquisition of any Material Subsidiary (other than any Permitted Receivables Financing Subsidiary so long as such Subsidiary is not a borrower or guarantor under the ABL Loan Documents) by any Loan Party, pledge such Loan Party's equity interest in such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pledge shall be limited to 66% of voting Equity Interests with respect to any Foreign Subsidiary.</w:t>
      </w:r>
    </w:p>
    <w:p>
      <w:pPr>
        <w:spacing w:after="0" w:line="181" w:lineRule="exact"/>
        <w:rPr>
          <w:rFonts w:ascii="Arial" w:cs="Arial" w:eastAsia="Arial" w:hAnsi="Arial"/>
          <w:sz w:val="18"/>
          <w:szCs w:val="18"/>
          <w:color w:val="auto"/>
        </w:rPr>
      </w:pPr>
    </w:p>
    <w:p>
      <w:pPr>
        <w:jc w:val="both"/>
        <w:ind w:firstLine="980"/>
        <w:spacing w:after="0" w:line="259" w:lineRule="auto"/>
        <w:tabs>
          <w:tab w:leader="none" w:pos="12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Upon the formation or acquisition of any new direct or indirect wholly owned Domestic Subsidiary (other than Permitted Receivables Financing Subsidiaries and Immaterial Subsidiaries, in each case so long as such Subsidiary is not a borrower or guarantor under the ABL Loan Documents) by any Loan Party or upon the acquisition of any personal property (other than “Excluded Property” as defined in the Security Agreement) or any Material Real Property by any Loan Party, then the Borrower shall, at the Borrower's expense:</w:t>
      </w:r>
    </w:p>
    <w:p>
      <w:pPr>
        <w:spacing w:after="0" w:line="186" w:lineRule="exact"/>
        <w:rPr>
          <w:rFonts w:ascii="Arial" w:cs="Arial" w:eastAsia="Arial" w:hAnsi="Arial"/>
          <w:sz w:val="18"/>
          <w:szCs w:val="18"/>
          <w:color w:val="auto"/>
        </w:rPr>
      </w:pPr>
    </w:p>
    <w:p>
      <w:pPr>
        <w:jc w:val="both"/>
        <w:ind w:left="660" w:firstLine="645"/>
        <w:spacing w:after="0" w:line="259" w:lineRule="auto"/>
        <w:tabs>
          <w:tab w:leader="none" w:pos="16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within 15 days after such formation or acquisition (or such longer period as the Administrative Agent may agree), cause such Domestic Subsidiary, and cause each direct and indirect parent of such Domestic Subsidiary (if it has not already done so), to duly execute and deliver to the Administrative Agent a guaranty or guaranty supplement, in form and substance reasonably satisfactory to the Administrative Agent, guaranteeing the other Loan Parties' obligations under the Loan Documents,</w:t>
      </w:r>
    </w:p>
    <w:p>
      <w:pPr>
        <w:spacing w:after="0" w:line="186" w:lineRule="exact"/>
        <w:rPr>
          <w:rFonts w:ascii="Arial" w:cs="Arial" w:eastAsia="Arial" w:hAnsi="Arial"/>
          <w:sz w:val="18"/>
          <w:szCs w:val="18"/>
          <w:color w:val="auto"/>
        </w:rPr>
      </w:pPr>
    </w:p>
    <w:p>
      <w:pPr>
        <w:jc w:val="both"/>
        <w:ind w:left="660" w:right="20" w:firstLine="645"/>
        <w:spacing w:after="0" w:line="264" w:lineRule="auto"/>
        <w:tabs>
          <w:tab w:leader="none" w:pos="1792" w:val="left"/>
        </w:tabs>
        <w:numPr>
          <w:ilvl w:val="1"/>
          <w:numId w:val="86"/>
        </w:numPr>
        <w:rPr>
          <w:rFonts w:ascii="Arial" w:cs="Arial" w:eastAsia="Arial" w:hAnsi="Arial"/>
          <w:sz w:val="18"/>
          <w:szCs w:val="18"/>
          <w:color w:val="auto"/>
        </w:rPr>
      </w:pPr>
      <w:r>
        <w:rPr>
          <w:rFonts w:ascii="Arial" w:cs="Arial" w:eastAsia="Arial" w:hAnsi="Arial"/>
          <w:sz w:val="18"/>
          <w:szCs w:val="18"/>
          <w:color w:val="auto"/>
        </w:rPr>
        <w:t>within 15 days after such formation or acquisition (or such longer period as the Administrative Agent may agree), furnish to the Administrative Agent a description of the Material Real Property and personal properties of such Domestic Subsidiary or such other personal property and Material Real Property, in detail reasonably satisfactory to the Administrative Agent,</w:t>
      </w:r>
    </w:p>
    <w:p>
      <w:pPr>
        <w:spacing w:after="0" w:line="181" w:lineRule="exact"/>
        <w:rPr>
          <w:rFonts w:ascii="Arial" w:cs="Arial" w:eastAsia="Arial" w:hAnsi="Arial"/>
          <w:sz w:val="18"/>
          <w:szCs w:val="18"/>
          <w:color w:val="auto"/>
        </w:rPr>
      </w:pPr>
    </w:p>
    <w:p>
      <w:pPr>
        <w:jc w:val="both"/>
        <w:ind w:left="660" w:firstLine="645"/>
        <w:spacing w:after="0" w:line="269" w:lineRule="auto"/>
        <w:tabs>
          <w:tab w:leader="none" w:pos="1871" w:val="left"/>
        </w:tabs>
        <w:numPr>
          <w:ilvl w:val="1"/>
          <w:numId w:val="86"/>
        </w:numPr>
        <w:rPr>
          <w:rFonts w:ascii="Arial" w:cs="Arial" w:eastAsia="Arial" w:hAnsi="Arial"/>
          <w:sz w:val="17"/>
          <w:szCs w:val="17"/>
          <w:color w:val="auto"/>
        </w:rPr>
      </w:pPr>
      <w:r>
        <w:rPr>
          <w:rFonts w:ascii="Arial" w:cs="Arial" w:eastAsia="Arial" w:hAnsi="Arial"/>
          <w:sz w:val="17"/>
          <w:szCs w:val="17"/>
          <w:color w:val="auto"/>
        </w:rPr>
        <w:t xml:space="preserve">within 30 days after such formation or acquisition (or such longer period as the Administrative Agent may agree), cause such Domestic Subsidiary and each direct and indirect parent of such Domestic Subsidiary and each other respective Loan Party (if it has not already done so) to duly execute and deliver to the Administrative Agent deeds of trust, trust deeds, deeds to secure debt, mortgages, Security Agreement Supplements, IP Security Agreement Supplements, amendment to the Loan Documents and other security and pledge agreements, as specified by and in form and substance reasonably satisfactory to the Administrative Agent (including such instruments of the type specified in </w:t>
      </w:r>
      <w:r>
        <w:rPr>
          <w:rFonts w:ascii="Arial" w:cs="Arial" w:eastAsia="Arial" w:hAnsi="Arial"/>
          <w:sz w:val="17"/>
          <w:szCs w:val="17"/>
          <w:u w:val="single" w:color="auto"/>
          <w:color w:val="auto"/>
        </w:rPr>
        <w:t>Section 4.01(a)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securing payment of all the Obligations of such Domestic Subsidiary, such parent or such Loan Party, as the case may be, under the Loan Documents and constituting Liens on all such real and personal properties,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only 66% of voting Equity Interests of any Foreign Subsidiary shall be required to be pledged as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notwithstanding anything to the contrary in any Loan Document, no assets owned by any Foreign Subsidiary or Equity Interests in any Permitted Receivables Financing Subsidiary or assets owned by any Permitted Receivables Financing Subsidiary shall be required to be pledged as Collateral (so long as such Equity Interests or assets shall not constitute collateral under the ABL Loan Documents),</w:t>
      </w:r>
    </w:p>
    <w:p>
      <w:pPr>
        <w:spacing w:after="0" w:line="182" w:lineRule="exact"/>
        <w:rPr>
          <w:rFonts w:ascii="Arial" w:cs="Arial" w:eastAsia="Arial" w:hAnsi="Arial"/>
          <w:sz w:val="17"/>
          <w:szCs w:val="17"/>
          <w:color w:val="auto"/>
        </w:rPr>
      </w:pPr>
    </w:p>
    <w:p>
      <w:pPr>
        <w:jc w:val="both"/>
        <w:ind w:left="660" w:firstLine="645"/>
        <w:spacing w:after="0" w:line="302" w:lineRule="auto"/>
        <w:tabs>
          <w:tab w:leader="none" w:pos="1861" w:val="left"/>
        </w:tabs>
        <w:numPr>
          <w:ilvl w:val="1"/>
          <w:numId w:val="86"/>
        </w:numPr>
        <w:rPr>
          <w:rFonts w:ascii="Arial" w:cs="Arial" w:eastAsia="Arial" w:hAnsi="Arial"/>
          <w:sz w:val="16"/>
          <w:szCs w:val="16"/>
          <w:color w:val="auto"/>
        </w:rPr>
      </w:pPr>
      <w:r>
        <w:rPr>
          <w:rFonts w:ascii="Arial" w:cs="Arial" w:eastAsia="Arial" w:hAnsi="Arial"/>
          <w:sz w:val="16"/>
          <w:szCs w:val="16"/>
          <w:color w:val="auto"/>
        </w:rPr>
        <w:t>within 30 days after such formation or acquisition (or such longer period as the Administrative Agent may agree), cause such Domestic Subsidiary and each direct and indirect parent of such Subsidiary (if it has not already done so) and each other respective Loan Party to take whatever action (including the recording of mortgages, the filing of Uniform Commercial Code financing statements, the giving of notices and the endorsement of notices on title documents) may be necessary or advisable in the reasonable opinion of the Administrative Agent to vest in the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94" w:name="page95"/>
    <w:bookmarkEnd w:id="94"/>
    <w:p>
      <w:pPr>
        <w:jc w:val="both"/>
        <w:ind w:left="660"/>
        <w:spacing w:after="0" w:line="259" w:lineRule="auto"/>
        <w:rPr>
          <w:sz w:val="20"/>
          <w:szCs w:val="20"/>
          <w:color w:val="auto"/>
        </w:rPr>
      </w:pPr>
      <w:r>
        <w:rPr>
          <w:rFonts w:ascii="Arial" w:cs="Arial" w:eastAsia="Arial" w:hAnsi="Arial"/>
          <w:sz w:val="18"/>
          <w:szCs w:val="18"/>
          <w:color w:val="auto"/>
        </w:rPr>
        <w:t xml:space="preserve">Administrative Agent (or in any representative of the Administrative Agent designated by it) valid and subsisting Liens on the properties purported to be subject to the deeds of trust, trust deeds, deeds to secure debt, mortgages, Security Agreement Supplements, IP Security Agreement Supplements, amendments to the Loan Documents and security and pledge agreements delivered pursuant to this </w:t>
      </w:r>
      <w:r>
        <w:rPr>
          <w:rFonts w:ascii="Arial" w:cs="Arial" w:eastAsia="Arial" w:hAnsi="Arial"/>
          <w:sz w:val="18"/>
          <w:szCs w:val="18"/>
          <w:u w:val="single" w:color="auto"/>
          <w:color w:val="auto"/>
        </w:rPr>
        <w:t>Section 6.12</w:t>
      </w:r>
      <w:r>
        <w:rPr>
          <w:rFonts w:ascii="Arial" w:cs="Arial" w:eastAsia="Arial" w:hAnsi="Arial"/>
          <w:sz w:val="18"/>
          <w:szCs w:val="18"/>
          <w:color w:val="auto"/>
        </w:rPr>
        <w:t>, enforceable against all third parties in accordance with their terms,</w:t>
      </w:r>
    </w:p>
    <w:p>
      <w:pPr>
        <w:spacing w:after="0" w:line="187" w:lineRule="exact"/>
        <w:rPr>
          <w:sz w:val="20"/>
          <w:szCs w:val="20"/>
          <w:color w:val="auto"/>
        </w:rPr>
      </w:pPr>
    </w:p>
    <w:p>
      <w:pPr>
        <w:jc w:val="both"/>
        <w:ind w:left="660" w:firstLine="645"/>
        <w:spacing w:after="0" w:line="257" w:lineRule="auto"/>
        <w:tabs>
          <w:tab w:leader="none" w:pos="1786" w:val="left"/>
        </w:tabs>
        <w:numPr>
          <w:ilvl w:val="0"/>
          <w:numId w:val="87"/>
        </w:numPr>
        <w:rPr>
          <w:rFonts w:ascii="Arial" w:cs="Arial" w:eastAsia="Arial" w:hAnsi="Arial"/>
          <w:sz w:val="18"/>
          <w:szCs w:val="18"/>
          <w:color w:val="auto"/>
        </w:rPr>
      </w:pPr>
      <w:r>
        <w:rPr>
          <w:rFonts w:ascii="Arial" w:cs="Arial" w:eastAsia="Arial" w:hAnsi="Arial"/>
          <w:sz w:val="18"/>
          <w:szCs w:val="18"/>
          <w:color w:val="auto"/>
        </w:rPr>
        <w:t>within 60 days after such formation or acquisition (or such longer period as the Administrative Agent may agree), deliver to the Administrative Agent, upon the request of the Administrative Agent in its sole discretion, a signed copy of one or more favorable opinions, addressed to the Administrative Agent, on behalf of itself, and the other Secured Parties, of counsel for the Loan Parties reasonably acceptable to the Administrative Agent as to the matters contained in clauses (i), (iii) and (iv) above, and as to such other matters as the Administrative Agent may reasonably request, and</w:t>
      </w:r>
    </w:p>
    <w:p>
      <w:pPr>
        <w:spacing w:after="0" w:line="188" w:lineRule="exact"/>
        <w:rPr>
          <w:rFonts w:ascii="Arial" w:cs="Arial" w:eastAsia="Arial" w:hAnsi="Arial"/>
          <w:sz w:val="18"/>
          <w:szCs w:val="18"/>
          <w:color w:val="auto"/>
        </w:rPr>
      </w:pPr>
    </w:p>
    <w:p>
      <w:pPr>
        <w:jc w:val="both"/>
        <w:ind w:left="660" w:firstLine="645"/>
        <w:spacing w:after="0" w:line="257" w:lineRule="auto"/>
        <w:tabs>
          <w:tab w:leader="none" w:pos="1849"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as promptly as practicable after such formation or acquisition, deliver, upon the request of the Administrative Agent in its sole discretion, to the Administrative Agent with respect to each parcel of Material Real Property owned by the entity that is the subject of such formation or acquisition title reports, surveys and Phase I environmental assessment reports,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to the extent that any Loan Party or any of its Subsidiaries shall have otherwise received any of the foregoing items with respect to such real property, such items shall, promptly after the receipt thereof, be delivered to the Administrative Agent.</w:t>
      </w:r>
    </w:p>
    <w:p>
      <w:pPr>
        <w:spacing w:after="0" w:line="188" w:lineRule="exact"/>
        <w:rPr>
          <w:sz w:val="20"/>
          <w:szCs w:val="20"/>
          <w:color w:val="auto"/>
        </w:rPr>
      </w:pPr>
    </w:p>
    <w:p>
      <w:pPr>
        <w:jc w:val="both"/>
        <w:ind w:firstLine="656"/>
        <w:spacing w:after="0" w:line="264" w:lineRule="auto"/>
        <w:tabs>
          <w:tab w:leader="none" w:pos="1046"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Notwithstanding the foregoing, the Administrative Agent shall not take a security interest in those assets as to which the Administrative Agent shall determine, in its reasonable discretion, that the cost of obtaining such Lien (including any mortgage, stamp, intangibles or other tax) are excessive in relation to the benefit to the Lenders of the security afforded thereby.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b w:val="1"/>
          <w:bCs w:val="1"/>
          <w:i w:val="1"/>
          <w:iCs w:val="1"/>
          <w:color w:val="auto"/>
        </w:rPr>
        <w:t>Compliance with Environmental Laws</w:t>
      </w:r>
      <w:r>
        <w:rPr>
          <w:rFonts w:ascii="Arial" w:cs="Arial" w:eastAsia="Arial" w:hAnsi="Arial"/>
          <w:sz w:val="18"/>
          <w:szCs w:val="18"/>
          <w:color w:val="auto"/>
        </w:rPr>
        <w:t>. Except, in each case, to the extent that the failure to do so could reasonably be expected to have a Material Adverse Effect, comply, and make all reasonable efforts to cause all lessees and other Persons operating or occupying its properties to comply, in all material respects, with all applicable Environmental Laws and Environmental Permits; obtain and renew all Environmental Permits necessary for its operations and properties; and, to the extent required under Environmental Laws, conduct any investigation, study, sampling and testing, and undertake any cleanup, removal, remedial or other action necessary to remove and clean up all Hazardous Materials from any of its properties, in accordance in all material respects with the requirements of all Environmental Laws.</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b w:val="1"/>
          <w:bCs w:val="1"/>
          <w:i w:val="1"/>
          <w:iCs w:val="1"/>
          <w:color w:val="auto"/>
        </w:rPr>
        <w:t>Preparation of Environmental Reports</w:t>
      </w:r>
      <w:r>
        <w:rPr>
          <w:rFonts w:ascii="Arial" w:cs="Arial" w:eastAsia="Arial" w:hAnsi="Arial"/>
          <w:sz w:val="16"/>
          <w:szCs w:val="16"/>
          <w:color w:val="auto"/>
        </w:rPr>
        <w:t>. Borrower shall, or shall cause the applicable Loan Party to, promptly deliver a Phase I environmental assessment report with respect to any Material Real Property acquired after the Restatement Date from an environmental consulting firm reasonably acceptable to the Administrative Agent. In addition, if the Administrative Agent reasonably determines that a material risk exists with respect to any Material Real Property as a result of a release of any Hazardous Materials with respect to any existing Material Real Property, then, at the request of the Required Lenders from time to time, provide to the Lenders within 60 days after such request, at the expense of the Borrower, an environmental site assessment report for any of its Material Real Properties described in such request, prepared by an environmental consulting firm acceptable to the Administrative Agent, indicating the presence or absence of Hazardous Materials and the estimated cost of any compliance, removal or remedial action in connection with any Hazardous Materials on such properties; without limiting the generality of the foregoing, if the Administrative Agent determines at any time that a material risk exists that any such report will not be provided within the time referred to above, the Administrative Agent may retain an environmental consulting firm to prepare such report at the expense of the Borrower, and the Borrower hereby grants and agrees to cause any Subsidiary that owns any property described in such request to grant at the time of such request to the Administrative Agent, the Lenders, such firm and any agents or representatives thereof an irrevocable non-exclusive license, subject to the rights of tenants, to enter onto their respective properties to undertake such an assessment.</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b w:val="1"/>
          <w:bCs w:val="1"/>
          <w:i w:val="1"/>
          <w:iCs w:val="1"/>
          <w:color w:val="auto"/>
        </w:rPr>
        <w:t>Further Assurances</w:t>
      </w:r>
      <w:r>
        <w:rPr>
          <w:rFonts w:ascii="Arial" w:cs="Arial" w:eastAsia="Arial" w:hAnsi="Arial"/>
          <w:sz w:val="18"/>
          <w:szCs w:val="18"/>
          <w:color w:val="auto"/>
        </w:rPr>
        <w:t>. Subject to the Intercreditor Agreement, promptly upon request by the Administrative Agent, 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agreements, acts, deeds, certificates, assurances, endorsements, opinions of counsel and other instruments as the Administrative Agent, or any Lender through the Administrative Agent, may reasonably require from time to time (the “</w:t>
      </w:r>
      <w:r>
        <w:rPr>
          <w:rFonts w:ascii="Arial" w:cs="Arial" w:eastAsia="Arial" w:hAnsi="Arial"/>
          <w:sz w:val="18"/>
          <w:szCs w:val="18"/>
          <w:u w:val="single" w:color="auto"/>
          <w:color w:val="auto"/>
        </w:rPr>
        <w:t>Additional Documents</w:t>
      </w:r>
      <w:r>
        <w:rPr>
          <w:rFonts w:ascii="Arial" w:cs="Arial" w:eastAsia="Arial" w:hAnsi="Arial"/>
          <w:sz w:val="18"/>
          <w:szCs w:val="18"/>
          <w:color w:val="auto"/>
        </w:rPr>
        <w:t>”) in order to (i) carry out more effectively the purposes of the Loan Documents, (ii) to the fullest extent permitted by applicable law, subject any Loan Party's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95" w:name="page96"/>
    <w:bookmarkEnd w:id="95"/>
    <w:p>
      <w:pPr>
        <w:jc w:val="both"/>
        <w:spacing w:after="0" w:line="271" w:lineRule="auto"/>
        <w:rPr>
          <w:sz w:val="20"/>
          <w:szCs w:val="20"/>
          <w:color w:val="auto"/>
        </w:rPr>
      </w:pPr>
      <w:r>
        <w:rPr>
          <w:rFonts w:ascii="Arial" w:cs="Arial" w:eastAsia="Arial" w:hAnsi="Arial"/>
          <w:sz w:val="17"/>
          <w:szCs w:val="17"/>
          <w:color w:val="auto"/>
        </w:rPr>
        <w:t xml:space="preserve">executed in connection with any Loan Document to which any Loan Party or any of its Subsidiaries is or is to be a party, and cause each of its Subsidiaries to do so. To the maximum extent permitted by applicable law, if any Loan Party or any of its Subsidiaries refuses or fails to execute or deliver any reasonably requested Additional Documents within a reasonable period of time following the request to do so, the Borrower hereby authorizes the Administrative Agent to execute any such Additional Documents in the applicable Loan Party's or its Subsidiary's name, as applicable, and authorizes the Administrative Agent to file such executed Additional Documents in any appropriate filing office. In furtherance and not in limitation of the foregoing, each Loan Party shall take such actions as the Administrative Agent may reasonably request from time to time to ensure that the Obligations are guarantied by the Guarantors and are secured by substantially all of the assets of the Borrower and its Material Subsidiaries and all of the outstanding capital stock of the Subsidiaries of the Borrower; subject to the proviso in </w:t>
      </w:r>
      <w:r>
        <w:rPr>
          <w:rFonts w:ascii="Arial" w:cs="Arial" w:eastAsia="Arial" w:hAnsi="Arial"/>
          <w:sz w:val="17"/>
          <w:szCs w:val="17"/>
          <w:u w:val="single" w:color="auto"/>
          <w:color w:val="auto"/>
        </w:rPr>
        <w:t>Section 6.12(b)(iii)</w:t>
      </w:r>
      <w:r>
        <w:rPr>
          <w:rFonts w:ascii="Arial" w:cs="Arial" w:eastAsia="Arial" w:hAnsi="Arial"/>
          <w:sz w:val="17"/>
          <w:szCs w:val="17"/>
          <w:color w:val="auto"/>
        </w:rPr>
        <w:t>.</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6.16 </w:t>
      </w:r>
      <w:r>
        <w:rPr>
          <w:rFonts w:ascii="Arial" w:cs="Arial" w:eastAsia="Arial" w:hAnsi="Arial"/>
          <w:sz w:val="17"/>
          <w:szCs w:val="17"/>
          <w:b w:val="1"/>
          <w:bCs w:val="1"/>
          <w:i w:val="1"/>
          <w:iCs w:val="1"/>
          <w:color w:val="auto"/>
        </w:rPr>
        <w:t>Compliance with Terms of Leaseholds</w:t>
      </w:r>
      <w:r>
        <w:rPr>
          <w:rFonts w:ascii="Arial" w:cs="Arial" w:eastAsia="Arial" w:hAnsi="Arial"/>
          <w:sz w:val="17"/>
          <w:szCs w:val="17"/>
          <w:color w:val="auto"/>
        </w:rPr>
        <w:t>. Make all payments and otherwise perform all obligations in respect of all leases of real property to which the Borrower or any other Loan Party is a party, keep such leases in full force and effect and not allow such leases to lapse or be terminated or any rights to renew such leases to be forfeited or cancelled, notify the Administrative Agent of any default by any party with respect to such leases and cooperate with the Administrative Agent in all respects to cure any such default, and cause each other Loan Party to do so, except, in any case, where the failure to do so, either individually or in the aggregate, could not be reasonably likely to have a Material Adverse Effect.</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6.17 </w:t>
      </w:r>
      <w:r>
        <w:rPr>
          <w:rFonts w:ascii="Arial" w:cs="Arial" w:eastAsia="Arial" w:hAnsi="Arial"/>
          <w:sz w:val="17"/>
          <w:szCs w:val="17"/>
          <w:b w:val="1"/>
          <w:bCs w:val="1"/>
          <w:i w:val="1"/>
          <w:iCs w:val="1"/>
          <w:color w:val="auto"/>
        </w:rPr>
        <w:t>Interest Rate Hedging</w:t>
      </w:r>
      <w:r>
        <w:rPr>
          <w:rFonts w:ascii="Arial" w:cs="Arial" w:eastAsia="Arial" w:hAnsi="Arial"/>
          <w:sz w:val="17"/>
          <w:szCs w:val="17"/>
          <w:color w:val="auto"/>
        </w:rPr>
        <w:t>. No later than March 31, 2013, amend, extend or otherwise modify the existing interest rate Swap Contract of the Borrower so that such Swap Contract covers a notional amount of not less than 50% of the aggregate outstanding principal amount of the Loans, and providing for the counterparty thereto to make payments thereunder for an initial period of no less than three years from the Restatement Date.</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6.18 </w:t>
      </w:r>
      <w:r>
        <w:rPr>
          <w:rFonts w:ascii="Arial" w:cs="Arial" w:eastAsia="Arial" w:hAnsi="Arial"/>
          <w:sz w:val="17"/>
          <w:szCs w:val="17"/>
          <w:b w:val="1"/>
          <w:bCs w:val="1"/>
          <w:i w:val="1"/>
          <w:iCs w:val="1"/>
          <w:color w:val="auto"/>
        </w:rPr>
        <w:t>Material Contracts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7.9(b)</w:t>
      </w:r>
      <w:r>
        <w:rPr>
          <w:rFonts w:ascii="Arial" w:cs="Arial" w:eastAsia="Arial" w:hAnsi="Arial"/>
          <w:sz w:val="17"/>
          <w:szCs w:val="17"/>
          <w:color w:val="auto"/>
        </w:rPr>
        <w:t>, perform and observe all the terms and provisions of each Material Contract to be performed or observed by it, maintain each such Material Contract in full force and effect, enforce each such Material Contract in accordance with its terms, take all such action to such end as may be from time to time requested by the Administrative Agent and, upon request of the Administrative Agent, make to each other party to each such Material Contract such demands and requests for information and reports or for action as any Loan Party or any of its Subsidiaries is entitled to make under such Material Contract, and cause each of its Subsidiaries to do so.</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6.19 </w:t>
      </w:r>
      <w:r>
        <w:rPr>
          <w:rFonts w:ascii="Arial" w:cs="Arial" w:eastAsia="Arial" w:hAnsi="Arial"/>
          <w:sz w:val="18"/>
          <w:szCs w:val="18"/>
          <w:b w:val="1"/>
          <w:bCs w:val="1"/>
          <w:i w:val="1"/>
          <w:iCs w:val="1"/>
          <w:color w:val="auto"/>
        </w:rPr>
        <w:t>Disclosure Updates</w:t>
      </w:r>
      <w:r>
        <w:rPr>
          <w:rFonts w:ascii="Arial" w:cs="Arial" w:eastAsia="Arial" w:hAnsi="Arial"/>
          <w:sz w:val="18"/>
          <w:szCs w:val="18"/>
          <w:color w:val="auto"/>
        </w:rPr>
        <w:t>. Promptly and in no event later than five Business Days after obtaining knowledge thereof, notify the Administrative Agent if any written information, exhibit, or report furnished to the Administrative Agent or the Lenders contained, at the time it was furnished, any untrue statement of a material fact or omitted to state any material fact necessary to make the statements contained therein not misleading in light of the circumstances in which made. The foregoing to the contrary notwithstanding, any notification pursuant to the foregoing provision will not cure or remedy the effect of the prior untrue statement of a material fact or omission of any material fact nor shall any such notification have the effect of amending or modifying this Agreement or any of the Schedules hereto.</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6.20 </w:t>
      </w:r>
      <w:r>
        <w:rPr>
          <w:rFonts w:ascii="Arial" w:cs="Arial" w:eastAsia="Arial" w:hAnsi="Arial"/>
          <w:sz w:val="18"/>
          <w:szCs w:val="18"/>
          <w:b w:val="1"/>
          <w:bCs w:val="1"/>
          <w:i w:val="1"/>
          <w:iCs w:val="1"/>
          <w:color w:val="auto"/>
        </w:rPr>
        <w:t>Location of Inventory and Equipment</w:t>
      </w:r>
      <w:r>
        <w:rPr>
          <w:rFonts w:ascii="Arial" w:cs="Arial" w:eastAsia="Arial" w:hAnsi="Arial"/>
          <w:sz w:val="18"/>
          <w:szCs w:val="18"/>
          <w:color w:val="auto"/>
        </w:rPr>
        <w:t>. Keep each Loan Party' and its Subsidiaries' Inventory and Equipment (other than vehicles and Equipment out for repair) only at the locations identified on Schedule 4 to the Security Agreement and their chief executive offices only at the locations identified on Schedule 3 to the Security Agreement; provided, however, that any Borrower may amend Schedule 3 or Schedule 4 to the Security Agreement so long as such amendment occurs by written notice to the Administrative Agent (i) with respect to Inventory, not less than 10 days prior to the date on which such Inventory is moved to such new location or such chief executive office is relocated and so long as such new location is within the continental United States, and (ii) with respect to Equipment, not less than 10 days after the date on which such Equipment is moved to such new location and so long as such new location is within the continental United States.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color w:val="auto"/>
        </w:rPr>
        <w:t>ARTICLE VII</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NEGATIVE COVENANTS</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So long as any Loan or other Obligation hereunder shall remain unpaid or unsatisfied, the Borrower shall not, nor shall it permit any other Material Subsidiary (and with respect to </w:t>
      </w:r>
      <w:r>
        <w:rPr>
          <w:rFonts w:ascii="Arial" w:cs="Arial" w:eastAsia="Arial" w:hAnsi="Arial"/>
          <w:sz w:val="18"/>
          <w:szCs w:val="18"/>
          <w:u w:val="single" w:color="auto"/>
          <w:color w:val="auto"/>
        </w:rPr>
        <w:t>Section 7.22</w:t>
      </w:r>
      <w:r>
        <w:rPr>
          <w:rFonts w:ascii="Arial" w:cs="Arial" w:eastAsia="Arial" w:hAnsi="Arial"/>
          <w:sz w:val="18"/>
          <w:szCs w:val="18"/>
          <w:color w:val="auto"/>
        </w:rPr>
        <w:t>, Permitted Receivables Financing Subsidiaries) to, directly or indirectly:</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7.01 </w:t>
      </w:r>
      <w:r>
        <w:rPr>
          <w:rFonts w:ascii="Arial" w:cs="Arial" w:eastAsia="Arial" w:hAnsi="Arial"/>
          <w:sz w:val="16"/>
          <w:szCs w:val="16"/>
          <w:b w:val="1"/>
          <w:bCs w:val="1"/>
          <w:i w:val="1"/>
          <w:iCs w:val="1"/>
          <w:color w:val="auto"/>
        </w:rPr>
        <w:t>Liens</w:t>
      </w:r>
      <w:r>
        <w:rPr>
          <w:rFonts w:ascii="Arial" w:cs="Arial" w:eastAsia="Arial" w:hAnsi="Arial"/>
          <w:sz w:val="16"/>
          <w:szCs w:val="16"/>
          <w:color w:val="auto"/>
        </w:rPr>
        <w:t>. Create, incur, assume or suffer to exist any Lien upon any of its property, assets or revenues, whether now owned or hereafter acquired, or sign or file or authorize the filing under the Uniform Commercial Code of any jurisdiction a financing statement that names the Borrower or any Material Subsidiary as debtor, or sign any security agreement authorizing any secured party thereunder to file such financing statement, other than the following:</w:t>
      </w:r>
    </w:p>
    <w:p>
      <w:pPr>
        <w:spacing w:after="0" w:line="147" w:lineRule="exact"/>
        <w:rPr>
          <w:sz w:val="20"/>
          <w:szCs w:val="20"/>
          <w:color w:val="auto"/>
        </w:rPr>
      </w:pPr>
    </w:p>
    <w:p>
      <w:pPr>
        <w:ind w:left="1040" w:hanging="384"/>
        <w:spacing w:after="0"/>
        <w:tabs>
          <w:tab w:leader="none" w:pos="10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Liens pursuant to any Loan Document to secure the Obligations;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Liens granted under any ABL Loan Document to secure the ABL Indebtedness;</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074"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Liens existing on the Restatement Date and listed on </w:t>
      </w:r>
      <w:r>
        <w:rPr>
          <w:rFonts w:ascii="Arial" w:cs="Arial" w:eastAsia="Arial" w:hAnsi="Arial"/>
          <w:sz w:val="18"/>
          <w:szCs w:val="18"/>
          <w:u w:val="single" w:color="auto"/>
          <w:color w:val="auto"/>
        </w:rPr>
        <w:t>Schedule 5.08(b)</w:t>
      </w:r>
      <w:r>
        <w:rPr>
          <w:rFonts w:ascii="Arial" w:cs="Arial" w:eastAsia="Arial" w:hAnsi="Arial"/>
          <w:sz w:val="18"/>
          <w:szCs w:val="18"/>
          <w:color w:val="auto"/>
        </w:rPr>
        <w:t xml:space="preserve"> and any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property covered thereby is not changed, (ii) the amount secured or benefited thereby is not increased except as contemplated by </w:t>
      </w:r>
      <w:r>
        <w:rPr>
          <w:rFonts w:ascii="Arial" w:cs="Arial" w:eastAsia="Arial" w:hAnsi="Arial"/>
          <w:sz w:val="18"/>
          <w:szCs w:val="18"/>
          <w:u w:val="single" w:color="auto"/>
          <w:color w:val="auto"/>
        </w:rPr>
        <w:t>Section 7.02(e)</w:t>
      </w:r>
      <w:r>
        <w:rPr>
          <w:rFonts w:ascii="Arial" w:cs="Arial" w:eastAsia="Arial" w:hAnsi="Arial"/>
          <w:sz w:val="18"/>
          <w:szCs w:val="18"/>
          <w:color w:val="auto"/>
        </w:rPr>
        <w:t xml:space="preserve">, (iii) the direct or any contingent obligor with respect thereto is not changed, and (iv) any renewal or extension of the obligations secured or benefited thereby is permitted by </w:t>
      </w:r>
      <w:r>
        <w:rPr>
          <w:rFonts w:ascii="Arial" w:cs="Arial" w:eastAsia="Arial" w:hAnsi="Arial"/>
          <w:sz w:val="18"/>
          <w:szCs w:val="18"/>
          <w:u w:val="single" w:color="auto"/>
          <w:color w:val="auto"/>
        </w:rPr>
        <w:t>Section 7.02(e)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088" w:val="left"/>
        </w:tabs>
        <w:numPr>
          <w:ilvl w:val="0"/>
          <w:numId w:val="89"/>
        </w:numPr>
        <w:rPr>
          <w:rFonts w:ascii="Arial" w:cs="Arial" w:eastAsia="Arial" w:hAnsi="Arial"/>
          <w:sz w:val="18"/>
          <w:szCs w:val="18"/>
          <w:color w:val="auto"/>
        </w:rPr>
      </w:pPr>
      <w:r>
        <w:rPr>
          <w:rFonts w:ascii="Arial" w:cs="Arial" w:eastAsia="Arial" w:hAnsi="Arial"/>
          <w:sz w:val="18"/>
          <w:szCs w:val="18"/>
          <w:color w:val="auto"/>
        </w:rPr>
        <w:t>Liens for taxes not yet due or delinquent or which can thereafter be paid without penalty, or which are being contested in good faith and by appropriate proceedings diligently conducted, if adequate reserves with respect thereto are maintained on the books of the applicable Person in accordance with GAAP;</w:t>
      </w:r>
    </w:p>
    <w:p>
      <w:pPr>
        <w:spacing w:after="0" w:line="181" w:lineRule="exact"/>
        <w:rPr>
          <w:rFonts w:ascii="Arial" w:cs="Arial" w:eastAsia="Arial" w:hAnsi="Arial"/>
          <w:sz w:val="18"/>
          <w:szCs w:val="18"/>
          <w:color w:val="auto"/>
        </w:rPr>
      </w:pPr>
    </w:p>
    <w:p>
      <w:pPr>
        <w:jc w:val="both"/>
        <w:ind w:firstLine="656"/>
        <w:spacing w:after="0" w:line="279" w:lineRule="auto"/>
        <w:tabs>
          <w:tab w:leader="none" w:pos="1123" w:val="left"/>
        </w:tabs>
        <w:numPr>
          <w:ilvl w:val="0"/>
          <w:numId w:val="89"/>
        </w:numPr>
        <w:rPr>
          <w:rFonts w:ascii="Arial" w:cs="Arial" w:eastAsia="Arial" w:hAnsi="Arial"/>
          <w:sz w:val="17"/>
          <w:szCs w:val="17"/>
          <w:color w:val="auto"/>
        </w:rPr>
      </w:pPr>
      <w:r>
        <w:rPr>
          <w:rFonts w:ascii="Arial" w:cs="Arial" w:eastAsia="Arial" w:hAnsi="Arial"/>
          <w:sz w:val="17"/>
          <w:szCs w:val="17"/>
          <w:color w:val="auto"/>
        </w:rPr>
        <w:t>carriers', warehousemen's, landlords', mechanics', materialmen's, repairmen's or other like Liens arising in the ordinary course of business which are not overdue for a period of more than 60 days or if more than 60 days overdue, are not in excess of $2,000,000 in the aggregate, and in any case, unfiled and no other actions have been taken to enforce such Lien or which are being contested in good faith and by appropriate proceedings diligently conducted, if adequate reserves with respect thereto are maintained on the books of the applicable Person;</w:t>
      </w:r>
    </w:p>
    <w:p>
      <w:pPr>
        <w:spacing w:after="0" w:line="171" w:lineRule="exact"/>
        <w:rPr>
          <w:rFonts w:ascii="Arial" w:cs="Arial" w:eastAsia="Arial" w:hAnsi="Arial"/>
          <w:sz w:val="17"/>
          <w:szCs w:val="17"/>
          <w:color w:val="auto"/>
        </w:rPr>
      </w:pPr>
    </w:p>
    <w:p>
      <w:pPr>
        <w:ind w:firstLine="656"/>
        <w:spacing w:after="0" w:line="277" w:lineRule="auto"/>
        <w:tabs>
          <w:tab w:leader="none" w:pos="1077" w:val="left"/>
        </w:tabs>
        <w:numPr>
          <w:ilvl w:val="0"/>
          <w:numId w:val="89"/>
        </w:numPr>
        <w:rPr>
          <w:rFonts w:ascii="Arial" w:cs="Arial" w:eastAsia="Arial" w:hAnsi="Arial"/>
          <w:sz w:val="18"/>
          <w:szCs w:val="18"/>
          <w:color w:val="auto"/>
        </w:rPr>
      </w:pPr>
      <w:r>
        <w:rPr>
          <w:rFonts w:ascii="Arial" w:cs="Arial" w:eastAsia="Arial" w:hAnsi="Arial"/>
          <w:sz w:val="18"/>
          <w:szCs w:val="18"/>
          <w:color w:val="auto"/>
        </w:rPr>
        <w:t>pledges or deposits in the ordinary course of business in connection with workers' compensation, unemployment insurance and other social security legislation, other than any Lien imposed by ERISA;</w:t>
      </w:r>
    </w:p>
    <w:p>
      <w:pPr>
        <w:spacing w:after="0" w:line="170" w:lineRule="exact"/>
        <w:rPr>
          <w:rFonts w:ascii="Arial" w:cs="Arial" w:eastAsia="Arial" w:hAnsi="Arial"/>
          <w:sz w:val="18"/>
          <w:szCs w:val="18"/>
          <w:color w:val="auto"/>
        </w:rPr>
      </w:pPr>
    </w:p>
    <w:p>
      <w:pPr>
        <w:ind w:firstLine="656"/>
        <w:spacing w:after="0" w:line="277" w:lineRule="auto"/>
        <w:tabs>
          <w:tab w:leader="none" w:pos="10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41"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affecting real property and other standard Lien exceptions in title policies which, in the aggregate, are not substantial in amount, and which do not in any case materially detract from the value of the property subject thereto or materially interfere with the ordinary conduct of the business of the applicable Person;</w:t>
      </w:r>
    </w:p>
    <w:p>
      <w:pPr>
        <w:spacing w:after="0" w:line="181" w:lineRule="exact"/>
        <w:rPr>
          <w:rFonts w:ascii="Arial" w:cs="Arial" w:eastAsia="Arial" w:hAnsi="Arial"/>
          <w:sz w:val="18"/>
          <w:szCs w:val="18"/>
          <w:color w:val="auto"/>
        </w:rPr>
      </w:pPr>
    </w:p>
    <w:p>
      <w:pPr>
        <w:ind w:left="1000" w:hanging="344"/>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004"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7.02(g)</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do not at any time encumber any property (except for replacements, additions and accessions to such property) other than the property financed by such Indebtedness and the proceeds thereof, (ii) with respect to Capitalized Leases, such Liens do not at any time extend to or cover any assets other than the assets subject to such Capitalized Leases and the proceeds thereof and customary security deposits, and (iii) such Liens attach concurrently or within 270 days after the acquisition, repair, replacement or improvement of the property subsequent to such Lien;</w:t>
      </w:r>
    </w:p>
    <w:p>
      <w:pPr>
        <w:spacing w:after="0" w:line="188" w:lineRule="exact"/>
        <w:rPr>
          <w:rFonts w:ascii="Arial" w:cs="Arial" w:eastAsia="Arial" w:hAnsi="Arial"/>
          <w:sz w:val="18"/>
          <w:szCs w:val="18"/>
          <w:color w:val="auto"/>
        </w:rPr>
      </w:pPr>
    </w:p>
    <w:p>
      <w:pPr>
        <w:jc w:val="both"/>
        <w:ind w:firstLine="656"/>
        <w:spacing w:after="0" w:line="264" w:lineRule="auto"/>
        <w:tabs>
          <w:tab w:leader="none" w:pos="1059"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merged into or consolidated with the Borrower or any Material Subsidiary or becomes a Material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were not created in contemplation of such merger, consolidation or Investment and do not extend to any assets other than those of the Person merged into or consolidated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97" w:name="page98"/>
    <w:bookmarkEnd w:id="97"/>
    <w:p>
      <w:pPr>
        <w:ind w:right="20"/>
        <w:spacing w:after="0" w:line="277" w:lineRule="auto"/>
        <w:rPr>
          <w:sz w:val="20"/>
          <w:szCs w:val="20"/>
          <w:color w:val="auto"/>
        </w:rPr>
      </w:pPr>
      <w:r>
        <w:rPr>
          <w:rFonts w:ascii="Arial" w:cs="Arial" w:eastAsia="Arial" w:hAnsi="Arial"/>
          <w:sz w:val="18"/>
          <w:szCs w:val="18"/>
          <w:color w:val="auto"/>
        </w:rPr>
        <w:t xml:space="preserve">with the Borrower or such Material Subsidiary or acquired by the Borrower or such Material Subsidiary, and the applicable Indebtedness secured by such Lien is permitted under </w:t>
      </w:r>
      <w:r>
        <w:rPr>
          <w:rFonts w:ascii="Arial" w:cs="Arial" w:eastAsia="Arial" w:hAnsi="Arial"/>
          <w:sz w:val="18"/>
          <w:szCs w:val="18"/>
          <w:u w:val="single" w:color="auto"/>
          <w:color w:val="auto"/>
        </w:rPr>
        <w:t>Section 7.02(h)</w:t>
      </w:r>
      <w:r>
        <w:rPr>
          <w:rFonts w:ascii="Arial" w:cs="Arial" w:eastAsia="Arial" w:hAnsi="Arial"/>
          <w:sz w:val="18"/>
          <w:szCs w:val="18"/>
          <w:color w:val="auto"/>
        </w:rPr>
        <w:t>;</w:t>
      </w:r>
    </w:p>
    <w:p>
      <w:pPr>
        <w:spacing w:after="0" w:line="170" w:lineRule="exact"/>
        <w:rPr>
          <w:sz w:val="20"/>
          <w:szCs w:val="20"/>
          <w:color w:val="auto"/>
        </w:rPr>
      </w:pPr>
    </w:p>
    <w:p>
      <w:pPr>
        <w:ind w:firstLine="656"/>
        <w:spacing w:after="0" w:line="277" w:lineRule="auto"/>
        <w:tabs>
          <w:tab w:leader="none" w:pos="1072"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Liens on or transfers of Accounts and contracts and instruments related thereto arising solely in connection with the sale of such Accounts pursuant to </w:t>
      </w:r>
      <w:r>
        <w:rPr>
          <w:rFonts w:ascii="Arial" w:cs="Arial" w:eastAsia="Arial" w:hAnsi="Arial"/>
          <w:sz w:val="18"/>
          <w:szCs w:val="18"/>
          <w:u w:val="single" w:color="auto"/>
          <w:color w:val="auto"/>
        </w:rPr>
        <w:t>Section 7.05(h)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656"/>
        <w:spacing w:after="0" w:line="277" w:lineRule="auto"/>
        <w:tabs>
          <w:tab w:leader="none" w:pos="1156"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Liens on the assets of a Foreign Subsidiary securing Indebtedness of such Foreign Subsidiary to the extent such Indebtedness is permitted under </w:t>
      </w:r>
      <w:r>
        <w:rPr>
          <w:rFonts w:ascii="Arial" w:cs="Arial" w:eastAsia="Arial" w:hAnsi="Arial"/>
          <w:sz w:val="18"/>
          <w:szCs w:val="18"/>
          <w:u w:val="single" w:color="auto"/>
          <w:color w:val="auto"/>
        </w:rPr>
        <w:t>Section 7.02(k)</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65" w:val="left"/>
        </w:tabs>
        <w:numPr>
          <w:ilvl w:val="1"/>
          <w:numId w:val="90"/>
        </w:numPr>
        <w:rPr>
          <w:rFonts w:ascii="Arial" w:cs="Arial" w:eastAsia="Arial" w:hAnsi="Arial"/>
          <w:sz w:val="18"/>
          <w:szCs w:val="18"/>
          <w:color w:val="auto"/>
        </w:rPr>
      </w:pPr>
      <w:r>
        <w:rPr>
          <w:rFonts w:ascii="Arial" w:cs="Arial" w:eastAsia="Arial" w:hAnsi="Arial"/>
          <w:sz w:val="18"/>
          <w:szCs w:val="18"/>
          <w:color w:val="auto"/>
        </w:rPr>
        <w:t>Liens consisting of (i) purchase money security interests in Inventory of Remy Power Products, LLC located at locations owned or controlled by O'Reilly Automotive, Inc. or Autozone Parts, Inc. and (ii) Accounts owing to Remy Power Products, LLC from O'Reilly Automotive, Inc. or Autozone Parts, Inc.;</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132"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Liens in favor of customs and revenue authorities arising as a matter of law to secure payment of customs duties in connection with the importation of goods, excluding, however, any Lien related to that certain customs matter set forth on </w:t>
      </w:r>
      <w:r>
        <w:rPr>
          <w:rFonts w:ascii="Arial" w:cs="Arial" w:eastAsia="Arial" w:hAnsi="Arial"/>
          <w:sz w:val="18"/>
          <w:szCs w:val="18"/>
          <w:u w:val="single" w:color="auto"/>
          <w:color w:val="auto"/>
        </w:rPr>
        <w:t>Schedule 7.01</w:t>
      </w:r>
      <w:r>
        <w:rPr>
          <w:rFonts w:ascii="Arial" w:cs="Arial" w:eastAsia="Arial" w:hAnsi="Arial"/>
          <w:sz w:val="18"/>
          <w:szCs w:val="18"/>
          <w:color w:val="auto"/>
        </w:rPr>
        <w:t>, which Loan Parties shall give immediate notice thereof to Administrative Agent;</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Liens in favor of the United States Department of Energy on equipment which it has financed;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firstLine="656"/>
        <w:spacing w:after="0" w:line="220" w:lineRule="exact"/>
        <w:tabs>
          <w:tab w:leader="none" w:pos="1010" w:val="left"/>
        </w:tabs>
        <w:numPr>
          <w:ilvl w:val="1"/>
          <w:numId w:val="90"/>
        </w:numPr>
        <w:rPr>
          <w:rFonts w:ascii="Arial" w:cs="Arial" w:eastAsia="Arial" w:hAnsi="Arial"/>
          <w:sz w:val="18"/>
          <w:szCs w:val="18"/>
          <w:color w:val="auto"/>
        </w:rPr>
      </w:pPr>
      <w:r>
        <w:rPr>
          <w:rFonts w:ascii="Arial" w:cs="Arial" w:eastAsia="Arial" w:hAnsi="Arial"/>
          <w:sz w:val="18"/>
          <w:szCs w:val="18"/>
          <w:color w:val="auto"/>
        </w:rPr>
        <w:t>Liens (i) of a collection bank arising under Section 4</w:t>
      </w:r>
      <w:r>
        <w:rPr>
          <w:rFonts w:ascii="MS PGothic" w:cs="MS PGothic" w:eastAsia="MS PGothic" w:hAnsi="MS PGothic"/>
          <w:sz w:val="18"/>
          <w:szCs w:val="18"/>
          <w:color w:val="auto"/>
        </w:rPr>
        <w:t>‑</w:t>
      </w:r>
      <w:r>
        <w:rPr>
          <w:rFonts w:ascii="Arial" w:cs="Arial" w:eastAsia="Arial" w:hAnsi="Arial"/>
          <w:sz w:val="18"/>
          <w:szCs w:val="18"/>
          <w:color w:val="auto"/>
        </w:rPr>
        <w:t>210 of the Uniform Commercial Code on items in the course of collection, (ii) attaching to commodity trading accounts or other commodities brokerage accounts incurred in the ordinary course of business; and (iii) in favor of a banking or other financial institution arising as a matter of law or under customary general terms and conditions encumbering deposits (including the right of set-off) and which are within the general parameters customary in the banking industry;</w:t>
      </w:r>
    </w:p>
    <w:p>
      <w:pPr>
        <w:spacing w:after="0" w:line="204" w:lineRule="exact"/>
        <w:rPr>
          <w:rFonts w:ascii="Arial" w:cs="Arial" w:eastAsia="Arial" w:hAnsi="Arial"/>
          <w:sz w:val="18"/>
          <w:szCs w:val="18"/>
          <w:color w:val="auto"/>
        </w:rPr>
      </w:pPr>
    </w:p>
    <w:p>
      <w:pPr>
        <w:ind w:right="20" w:firstLine="656"/>
        <w:spacing w:after="0" w:line="277" w:lineRule="auto"/>
        <w:tabs>
          <w:tab w:leader="none" w:pos="1044" w:val="left"/>
        </w:tabs>
        <w:numPr>
          <w:ilvl w:val="1"/>
          <w:numId w:val="90"/>
        </w:numPr>
        <w:rPr>
          <w:rFonts w:ascii="Arial" w:cs="Arial" w:eastAsia="Arial" w:hAnsi="Arial"/>
          <w:sz w:val="18"/>
          <w:szCs w:val="18"/>
          <w:color w:val="auto"/>
        </w:rPr>
      </w:pPr>
      <w:r>
        <w:rPr>
          <w:rFonts w:ascii="Arial" w:cs="Arial" w:eastAsia="Arial" w:hAnsi="Arial"/>
          <w:sz w:val="18"/>
          <w:szCs w:val="18"/>
          <w:color w:val="auto"/>
        </w:rPr>
        <w:t>Liens arising from precautionary UCC financing statement filings regarding leases entered into by the Borrower or any Material Subsidiary in the ordinary course of business;</w:t>
      </w:r>
    </w:p>
    <w:p>
      <w:pPr>
        <w:spacing w:after="0" w:line="170" w:lineRule="exact"/>
        <w:rPr>
          <w:rFonts w:ascii="Arial" w:cs="Arial" w:eastAsia="Arial" w:hAnsi="Arial"/>
          <w:sz w:val="18"/>
          <w:szCs w:val="18"/>
          <w:color w:val="auto"/>
        </w:rPr>
      </w:pPr>
    </w:p>
    <w:p>
      <w:pPr>
        <w:ind w:firstLine="656"/>
        <w:spacing w:after="0" w:line="277" w:lineRule="auto"/>
        <w:tabs>
          <w:tab w:leader="none" w:pos="1132"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interest or title of a lessor, sublessor, licensee, sublicensee, licensor or sublicensor under any lease, sublease, license or sublicense agreement (including software and other technology licenses) in the ordinary course of business;</w:t>
      </w:r>
    </w:p>
    <w:p>
      <w:pPr>
        <w:spacing w:after="0" w:line="170" w:lineRule="exact"/>
        <w:rPr>
          <w:rFonts w:ascii="Arial" w:cs="Arial" w:eastAsia="Arial" w:hAnsi="Arial"/>
          <w:sz w:val="18"/>
          <w:szCs w:val="18"/>
          <w:color w:val="auto"/>
        </w:rPr>
      </w:pPr>
    </w:p>
    <w:p>
      <w:pPr>
        <w:ind w:firstLine="656"/>
        <w:spacing w:after="0" w:line="277" w:lineRule="auto"/>
        <w:tabs>
          <w:tab w:leader="none" w:pos="1053" w:val="left"/>
        </w:tabs>
        <w:numPr>
          <w:ilvl w:val="1"/>
          <w:numId w:val="90"/>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the Borrower or any Material Subsidiary in the ordinary course of business;</w:t>
      </w:r>
    </w:p>
    <w:p>
      <w:pPr>
        <w:spacing w:after="0" w:line="170" w:lineRule="exact"/>
        <w:rPr>
          <w:rFonts w:ascii="Arial" w:cs="Arial" w:eastAsia="Arial" w:hAnsi="Arial"/>
          <w:sz w:val="18"/>
          <w:szCs w:val="18"/>
          <w:color w:val="auto"/>
        </w:rPr>
      </w:pPr>
    </w:p>
    <w:p>
      <w:pPr>
        <w:jc w:val="both"/>
        <w:ind w:firstLine="656"/>
        <w:spacing w:after="0" w:line="288" w:lineRule="auto"/>
        <w:tabs>
          <w:tab w:leader="none" w:pos="1133" w:val="left"/>
        </w:tabs>
        <w:numPr>
          <w:ilvl w:val="1"/>
          <w:numId w:val="90"/>
        </w:numPr>
        <w:rPr>
          <w:rFonts w:ascii="Arial" w:cs="Arial" w:eastAsia="Arial" w:hAnsi="Arial"/>
          <w:sz w:val="16"/>
          <w:szCs w:val="16"/>
          <w:color w:val="auto"/>
        </w:rPr>
      </w:pPr>
      <w:r>
        <w:rPr>
          <w:rFonts w:ascii="Arial" w:cs="Arial" w:eastAsia="Arial" w:hAnsi="Arial"/>
          <w:sz w:val="16"/>
          <w:szCs w:val="16"/>
          <w:color w:val="auto"/>
        </w:rPr>
        <w:t>Liens that are customary contractual rights of setoff (i) relating to the establishment of depository relations with banks or other financial institutions not given in connection with the incurrence of Indebtedness, (ii) relating to pooled deposit or sweep accounts of the Borrower or any Material Subsidiary to permit satisfaction of overdraft or similar obligations incurred in the ordinary course of business of the Borrower or any Material Subsidiary or</w:t>
      </w:r>
    </w:p>
    <w:p>
      <w:pPr>
        <w:ind w:right="20" w:firstLine="8"/>
        <w:spacing w:after="0" w:line="261"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relating to purchase orders and other agreements entered into with customers of the Borrower or any Material Subsidiary in the ordinary course of business;</w:t>
      </w:r>
    </w:p>
    <w:p>
      <w:pPr>
        <w:spacing w:after="0" w:line="183" w:lineRule="exact"/>
        <w:rPr>
          <w:rFonts w:ascii="Arial" w:cs="Arial" w:eastAsia="Arial" w:hAnsi="Arial"/>
          <w:sz w:val="18"/>
          <w:szCs w:val="18"/>
          <w:color w:val="auto"/>
        </w:rPr>
      </w:pPr>
    </w:p>
    <w:p>
      <w:pPr>
        <w:jc w:val="both"/>
        <w:ind w:firstLine="656"/>
        <w:spacing w:after="0" w:line="264" w:lineRule="auto"/>
        <w:tabs>
          <w:tab w:leader="none" w:pos="1106" w:val="left"/>
        </w:tabs>
        <w:numPr>
          <w:ilvl w:val="1"/>
          <w:numId w:val="91"/>
        </w:numPr>
        <w:rPr>
          <w:rFonts w:ascii="Arial" w:cs="Arial" w:eastAsia="Arial" w:hAnsi="Arial"/>
          <w:sz w:val="18"/>
          <w:szCs w:val="18"/>
          <w:color w:val="auto"/>
        </w:rPr>
      </w:pPr>
      <w:r>
        <w:rPr>
          <w:rFonts w:ascii="Arial" w:cs="Arial" w:eastAsia="Arial" w:hAnsi="Arial"/>
          <w:sz w:val="18"/>
          <w:szCs w:val="18"/>
          <w:color w:val="auto"/>
        </w:rPr>
        <w:t>(i) zoning, building, entitlement and other land use regulations by Governmental Authorities with which the normal operation of the business complies, and (ii) any zoning or similar law or right reserved to or vested in any Governmental Authority to control or regulate the use of any real property that does not materially interfere with the ordinary conduct of the business of the Borrower or the Material Subsidiaries;</w:t>
      </w:r>
    </w:p>
    <w:p>
      <w:pPr>
        <w:spacing w:after="0" w:line="181" w:lineRule="exact"/>
        <w:rPr>
          <w:rFonts w:ascii="Arial" w:cs="Arial" w:eastAsia="Arial" w:hAnsi="Arial"/>
          <w:sz w:val="18"/>
          <w:szCs w:val="18"/>
          <w:color w:val="auto"/>
        </w:rPr>
      </w:pPr>
    </w:p>
    <w:p>
      <w:pPr>
        <w:ind w:firstLine="656"/>
        <w:spacing w:after="0" w:line="277" w:lineRule="auto"/>
        <w:tabs>
          <w:tab w:leader="none" w:pos="1082" w:val="left"/>
        </w:tabs>
        <w:numPr>
          <w:ilvl w:val="1"/>
          <w:numId w:val="91"/>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the Borrower or any Material Subsidiary in connection with any letter of intent or purchase agreement with respect to a Permitted Acquisition and permitted Investments under this Agreement;</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deposits made in the ordinary course of business to secure liability to insurance carriers;</w:t>
      </w:r>
    </w:p>
    <w:p>
      <w:pPr>
        <w:spacing w:after="0" w:line="225" w:lineRule="exact"/>
        <w:rPr>
          <w:rFonts w:ascii="Arial" w:cs="Arial" w:eastAsia="Arial" w:hAnsi="Arial"/>
          <w:sz w:val="18"/>
          <w:szCs w:val="18"/>
          <w:color w:val="auto"/>
        </w:rPr>
      </w:pPr>
    </w:p>
    <w:p>
      <w:pPr>
        <w:ind w:right="20" w:firstLine="656"/>
        <w:spacing w:after="0" w:line="277" w:lineRule="auto"/>
        <w:tabs>
          <w:tab w:leader="none" w:pos="1062" w:val="left"/>
        </w:tabs>
        <w:numPr>
          <w:ilvl w:val="1"/>
          <w:numId w:val="91"/>
        </w:numPr>
        <w:rPr>
          <w:rFonts w:ascii="Arial" w:cs="Arial" w:eastAsia="Arial" w:hAnsi="Arial"/>
          <w:sz w:val="18"/>
          <w:szCs w:val="18"/>
          <w:color w:val="auto"/>
        </w:rPr>
      </w:pPr>
      <w:r>
        <w:rPr>
          <w:rFonts w:ascii="Arial" w:cs="Arial" w:eastAsia="Arial" w:hAnsi="Arial"/>
          <w:sz w:val="18"/>
          <w:szCs w:val="18"/>
          <w:color w:val="auto"/>
        </w:rPr>
        <w:t>receipt of progress payments and advances from customers in the ordinary course of business to the extent same creates a Lien on the related inventory and proceeds thereof;</w:t>
      </w:r>
    </w:p>
    <w:p>
      <w:pPr>
        <w:spacing w:after="0" w:line="170" w:lineRule="exact"/>
        <w:rPr>
          <w:sz w:val="20"/>
          <w:szCs w:val="20"/>
          <w:color w:val="auto"/>
        </w:rPr>
      </w:pPr>
    </w:p>
    <w:p>
      <w:pPr>
        <w:ind w:left="5620" w:right="2340" w:hanging="4964"/>
        <w:spacing w:after="0" w:line="810" w:lineRule="auto"/>
        <w:tabs>
          <w:tab w:leader="none" w:pos="1112" w:val="left"/>
        </w:tabs>
        <w:numPr>
          <w:ilvl w:val="0"/>
          <w:numId w:val="92"/>
        </w:numPr>
        <w:rPr>
          <w:rFonts w:ascii="Arial" w:cs="Arial" w:eastAsia="Arial" w:hAnsi="Arial"/>
          <w:sz w:val="18"/>
          <w:szCs w:val="18"/>
          <w:color w:val="auto"/>
        </w:rPr>
      </w:pPr>
      <w:r>
        <w:rPr>
          <w:rFonts w:ascii="Arial" w:cs="Arial" w:eastAsia="Arial" w:hAnsi="Arial"/>
          <w:sz w:val="18"/>
          <w:szCs w:val="18"/>
          <w:color w:val="auto"/>
        </w:rPr>
        <w:t>other Liens securing Indebtedness outstanding in an aggregate principal amount not to exceed $5,000,000; and 52</w:t>
      </w:r>
    </w:p>
    <w:p>
      <w:pPr>
        <w:sectPr>
          <w:pgSz w:w="11900" w:h="16838" w:orient="portrait"/>
          <w:cols w:equalWidth="0" w:num="1">
            <w:col w:w="11420"/>
          </w:cols>
          <w:pgMar w:left="240" w:top="584" w:right="239" w:bottom="1440" w:gutter="0" w:footer="0" w:header="0"/>
        </w:sectPr>
      </w:pPr>
    </w:p>
    <w:bookmarkStart w:id="98" w:name="page99"/>
    <w:bookmarkEnd w:id="98"/>
    <w:p>
      <w:pPr>
        <w:jc w:val="both"/>
        <w:ind w:firstLine="656"/>
        <w:spacing w:after="0" w:line="264" w:lineRule="auto"/>
        <w:tabs>
          <w:tab w:leader="none" w:pos="117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replacement, extension or renewal of any Lien permitted by clauses (k) and (m) above upon or in the same property theretofore subject thereto or the replacement, extension or renewal (without increase in the amount or change in any direct or contingent obligor) of the Indebtedness secured thereby.</w:t>
      </w:r>
    </w:p>
    <w:p>
      <w:pPr>
        <w:spacing w:after="0" w:line="18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7.02</w:t>
      </w:r>
      <w:r>
        <w:rPr>
          <w:sz w:val="20"/>
          <w:szCs w:val="20"/>
          <w:color w:val="auto"/>
        </w:rPr>
        <w:tab/>
      </w:r>
      <w:r>
        <w:rPr>
          <w:rFonts w:ascii="Arial" w:cs="Arial" w:eastAsia="Arial" w:hAnsi="Arial"/>
          <w:sz w:val="15"/>
          <w:szCs w:val="15"/>
          <w:b w:val="1"/>
          <w:bCs w:val="1"/>
          <w:i w:val="1"/>
          <w:iCs w:val="1"/>
          <w:color w:val="auto"/>
        </w:rPr>
        <w:t>Indebtedness</w:t>
      </w:r>
      <w:r>
        <w:rPr>
          <w:rFonts w:ascii="Arial" w:cs="Arial" w:eastAsia="Arial" w:hAnsi="Arial"/>
          <w:sz w:val="15"/>
          <w:szCs w:val="15"/>
          <w:color w:val="auto"/>
        </w:rPr>
        <w:t>. Create, incur, assume or suffer to exist any Indebtedness, except:</w:t>
      </w:r>
    </w:p>
    <w:p>
      <w:pPr>
        <w:spacing w:after="0" w:line="225" w:lineRule="exact"/>
        <w:rPr>
          <w:sz w:val="20"/>
          <w:szCs w:val="20"/>
          <w:color w:val="auto"/>
        </w:rPr>
      </w:pPr>
    </w:p>
    <w:p>
      <w:pPr>
        <w:jc w:val="both"/>
        <w:ind w:firstLine="656"/>
        <w:spacing w:after="0" w:line="264" w:lineRule="auto"/>
        <w:tabs>
          <w:tab w:leader="none" w:pos="1106"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obligations (contingent or otherwise) existing or arising under (i) any Swap Contract required under </w:t>
      </w:r>
      <w:r>
        <w:rPr>
          <w:rFonts w:ascii="Arial" w:cs="Arial" w:eastAsia="Arial" w:hAnsi="Arial"/>
          <w:sz w:val="18"/>
          <w:szCs w:val="18"/>
          <w:u w:val="single" w:color="auto"/>
          <w:color w:val="auto"/>
        </w:rPr>
        <w:t>Section 6.17</w:t>
      </w:r>
      <w:r>
        <w:rPr>
          <w:rFonts w:ascii="Arial" w:cs="Arial" w:eastAsia="Arial" w:hAnsi="Arial"/>
          <w:sz w:val="18"/>
          <w:szCs w:val="18"/>
          <w:color w:val="auto"/>
        </w:rPr>
        <w:t>, and (ii) Swap Contracts designed to hedge against fluctuations in interest rates, foreign exchange rates or commodities pricing risks incurred in the ordinary course of business and consistent with prudent business practice and not for speculative purposes;</w:t>
      </w:r>
    </w:p>
    <w:p>
      <w:pPr>
        <w:spacing w:after="0" w:line="181" w:lineRule="exact"/>
        <w:rPr>
          <w:rFonts w:ascii="Arial" w:cs="Arial" w:eastAsia="Arial" w:hAnsi="Arial"/>
          <w:sz w:val="18"/>
          <w:szCs w:val="18"/>
          <w:color w:val="auto"/>
        </w:rPr>
      </w:pPr>
    </w:p>
    <w:p>
      <w:pPr>
        <w:ind w:left="1080" w:hanging="424"/>
        <w:spacing w:after="0"/>
        <w:tabs>
          <w:tab w:leader="none" w:pos="10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Indebtedness of a Subsidiary of the Borrower owed to the Borrower or a wholly-owned Subsidiary of the Borrower, which Indebtedness shall</w:t>
      </w:r>
    </w:p>
    <w:p>
      <w:pPr>
        <w:spacing w:after="0" w:line="46" w:lineRule="exact"/>
        <w:rPr>
          <w:rFonts w:ascii="Arial" w:cs="Arial" w:eastAsia="Arial" w:hAnsi="Arial"/>
          <w:sz w:val="16"/>
          <w:szCs w:val="16"/>
          <w:color w:val="auto"/>
        </w:rPr>
      </w:pPr>
    </w:p>
    <w:p>
      <w:pPr>
        <w:ind w:firstLine="8"/>
        <w:spacing w:after="0" w:line="261" w:lineRule="auto"/>
        <w:tabs>
          <w:tab w:leader="none" w:pos="234"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in the case of Indebtedness owed to a Loan Party, constitute “Pledged Debt” under the Security Agreement, (iii) be on terms (including subordination terms) acceptable to the Administrative Agent and (iv) be otherwise permitted under the provisions of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040" w:hanging="384"/>
        <w:spacing w:after="0"/>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Indebtedness under the Loan Documents;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Indebtedness under the ABL Loan Documents;</w:t>
      </w:r>
    </w:p>
    <w:p>
      <w:pPr>
        <w:spacing w:after="0" w:line="225" w:lineRule="exact"/>
        <w:rPr>
          <w:rFonts w:ascii="Arial" w:cs="Arial" w:eastAsia="Arial" w:hAnsi="Arial"/>
          <w:sz w:val="18"/>
          <w:szCs w:val="18"/>
          <w:color w:val="auto"/>
        </w:rPr>
      </w:pPr>
    </w:p>
    <w:p>
      <w:pPr>
        <w:jc w:val="both"/>
        <w:ind w:firstLine="656"/>
        <w:spacing w:after="0" w:line="270" w:lineRule="auto"/>
        <w:tabs>
          <w:tab w:leader="none" w:pos="1099" w:val="left"/>
        </w:tabs>
        <w:numPr>
          <w:ilvl w:val="1"/>
          <w:numId w:val="95"/>
        </w:numPr>
        <w:rPr>
          <w:rFonts w:ascii="Arial" w:cs="Arial" w:eastAsia="Arial" w:hAnsi="Arial"/>
          <w:sz w:val="17"/>
          <w:szCs w:val="17"/>
          <w:color w:val="auto"/>
        </w:rPr>
      </w:pPr>
      <w:r>
        <w:rPr>
          <w:rFonts w:ascii="Arial" w:cs="Arial" w:eastAsia="Arial" w:hAnsi="Arial"/>
          <w:sz w:val="17"/>
          <w:szCs w:val="17"/>
          <w:color w:val="auto"/>
        </w:rPr>
        <w:t xml:space="preserve">Indebtedness outstanding on the Restatement Date and listed on </w:t>
      </w:r>
      <w:r>
        <w:rPr>
          <w:rFonts w:ascii="Arial" w:cs="Arial" w:eastAsia="Arial" w:hAnsi="Arial"/>
          <w:sz w:val="17"/>
          <w:szCs w:val="17"/>
          <w:u w:val="single" w:color="auto"/>
          <w:color w:val="auto"/>
        </w:rPr>
        <w:t>Schedule 7.02</w:t>
      </w:r>
      <w:r>
        <w:rPr>
          <w:rFonts w:ascii="Arial" w:cs="Arial" w:eastAsia="Arial" w:hAnsi="Arial"/>
          <w:sz w:val="17"/>
          <w:szCs w:val="17"/>
          <w:color w:val="auto"/>
        </w:rPr>
        <w:t xml:space="preserve"> and any refinancings, refundings, renewals, amendments or extensions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amount of such Indebtedness is not increased at the time of such refinancing, refunding, renewal, amendment or extension except by an amount equal to a reasonable premium or other reasonable amount paid, and fees and expenses reasonably incurred, in connection with such refinancing and by an amount equal to any existing commitments unutilized thereunder and the direct or any contingent obligor with respect thereto is not changed, as a result of or in connection with such refinancing, refunding, renewal, amendment or extension, and (ii) the terms relating to principal amount, amortization, maturity, collateral (if any) and subordination (if any), and other material terms taken as a whole, of any such refinancing, refunding, renewal, amendment or extension of such Indebtedness, and of any agreement entered into and of any instrument issued in connection therewith, are no less favorable in any material respect to the Loan Parties or the Lenders than the terms of any agreement or instrument governing the Indebtedness being refinanced, refunded, renewed, amended or extended and the interest rate applicable to any such refinancing, refunding, renewal, amendment or extension of such Indebtedness does not exceed the then applicable market interest rate;</w:t>
      </w:r>
    </w:p>
    <w:p>
      <w:pPr>
        <w:spacing w:after="0" w:line="177" w:lineRule="exact"/>
        <w:rPr>
          <w:rFonts w:ascii="Arial" w:cs="Arial" w:eastAsia="Arial" w:hAnsi="Arial"/>
          <w:sz w:val="17"/>
          <w:szCs w:val="17"/>
          <w:color w:val="auto"/>
        </w:rPr>
      </w:pPr>
    </w:p>
    <w:p>
      <w:pPr>
        <w:ind w:left="1020" w:hanging="364"/>
        <w:spacing w:after="0"/>
        <w:tabs>
          <w:tab w:leader="none" w:pos="1020" w:val="left"/>
        </w:tabs>
        <w:numPr>
          <w:ilvl w:val="1"/>
          <w:numId w:val="95"/>
        </w:numPr>
        <w:rPr>
          <w:rFonts w:ascii="Arial" w:cs="Arial" w:eastAsia="Arial" w:hAnsi="Arial"/>
          <w:sz w:val="16"/>
          <w:szCs w:val="16"/>
          <w:color w:val="auto"/>
        </w:rPr>
      </w:pPr>
      <w:r>
        <w:rPr>
          <w:rFonts w:ascii="Arial" w:cs="Arial" w:eastAsia="Arial" w:hAnsi="Arial"/>
          <w:sz w:val="16"/>
          <w:szCs w:val="16"/>
          <w:color w:val="auto"/>
        </w:rPr>
        <w:t>Guarantees of the Borrower or any Guarantor in respect of Indebtedness otherwise permitted hereunder of the Borrower or any other Guarantor;</w:t>
      </w:r>
    </w:p>
    <w:p>
      <w:pPr>
        <w:spacing w:after="0" w:line="248" w:lineRule="exact"/>
        <w:rPr>
          <w:rFonts w:ascii="Arial" w:cs="Arial" w:eastAsia="Arial" w:hAnsi="Arial"/>
          <w:sz w:val="16"/>
          <w:szCs w:val="16"/>
          <w:color w:val="auto"/>
        </w:rPr>
      </w:pPr>
    </w:p>
    <w:p>
      <w:pPr>
        <w:jc w:val="both"/>
        <w:ind w:firstLine="656"/>
        <w:spacing w:after="0" w:line="264" w:lineRule="auto"/>
        <w:tabs>
          <w:tab w:leader="none" w:pos="1115"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Indebtedness in respect of Capitalized Lease Obligations, Synthetic Lease Obligations and purchase money obligations for fixed or capital assets within the limitations set forth in </w:t>
      </w:r>
      <w:r>
        <w:rPr>
          <w:rFonts w:ascii="Arial" w:cs="Arial" w:eastAsia="Arial" w:hAnsi="Arial"/>
          <w:sz w:val="18"/>
          <w:szCs w:val="18"/>
          <w:u w:val="single" w:color="auto"/>
          <w:color w:val="auto"/>
        </w:rPr>
        <w:t>Section 7.01(j)</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aggregate amount of all such Indebtedness at any one time outstanding shall not exceed $40,000,000;</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205"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Indebtedness of any Person that becomes a Subsidiary of the Borrower after the Restatement Date in accordance with the terms of </w:t>
      </w:r>
      <w:r>
        <w:rPr>
          <w:rFonts w:ascii="Arial" w:cs="Arial" w:eastAsia="Arial" w:hAnsi="Arial"/>
          <w:sz w:val="18"/>
          <w:szCs w:val="18"/>
          <w:u w:val="single" w:color="auto"/>
          <w:color w:val="auto"/>
        </w:rPr>
        <w:t>Section 7.03(g)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7.03(l)</w:t>
      </w:r>
      <w:r>
        <w:rPr>
          <w:rFonts w:ascii="Arial" w:cs="Arial" w:eastAsia="Arial" w:hAnsi="Arial"/>
          <w:sz w:val="18"/>
          <w:szCs w:val="18"/>
          <w:color w:val="auto"/>
        </w:rPr>
        <w:t>, which Indebtedness is existing at the time such Person becomes a Subsidiary of the Borrower (other than Indebtedness incurred solely in contemplation of such Person's becoming a Subsidiary of the Borrower);</w:t>
      </w:r>
    </w:p>
    <w:p>
      <w:pPr>
        <w:spacing w:after="0" w:line="181" w:lineRule="exact"/>
        <w:rPr>
          <w:rFonts w:ascii="Arial" w:cs="Arial" w:eastAsia="Arial" w:hAnsi="Arial"/>
          <w:sz w:val="18"/>
          <w:szCs w:val="18"/>
          <w:color w:val="auto"/>
        </w:rPr>
      </w:pPr>
    </w:p>
    <w:p>
      <w:pPr>
        <w:ind w:firstLine="656"/>
        <w:spacing w:after="0" w:line="308" w:lineRule="auto"/>
        <w:tabs>
          <w:tab w:leader="none" w:pos="1007" w:val="left"/>
        </w:tabs>
        <w:numPr>
          <w:ilvl w:val="1"/>
          <w:numId w:val="95"/>
        </w:numPr>
        <w:rPr>
          <w:rFonts w:ascii="Arial" w:cs="Arial" w:eastAsia="Arial" w:hAnsi="Arial"/>
          <w:sz w:val="17"/>
          <w:szCs w:val="17"/>
          <w:color w:val="auto"/>
        </w:rPr>
      </w:pPr>
      <w:r>
        <w:rPr>
          <w:rFonts w:ascii="Arial" w:cs="Arial" w:eastAsia="Arial" w:hAnsi="Arial"/>
          <w:sz w:val="17"/>
          <w:szCs w:val="17"/>
          <w:color w:val="auto"/>
        </w:rPr>
        <w:t>Indebtedness incurred under credit cards issued to employees, agents, officers, directors, or other Affiliates of any Loan Party or any Subsidiary of any Loan Party in the ordinary course of business in an aggregate amount not to exceed $1,000,000 outstanding in any fiscal month;</w:t>
      </w:r>
    </w:p>
    <w:p>
      <w:pPr>
        <w:spacing w:after="0" w:line="146" w:lineRule="exact"/>
        <w:rPr>
          <w:rFonts w:ascii="Arial" w:cs="Arial" w:eastAsia="Arial" w:hAnsi="Arial"/>
          <w:sz w:val="17"/>
          <w:szCs w:val="17"/>
          <w:color w:val="auto"/>
        </w:rPr>
      </w:pPr>
    </w:p>
    <w:p>
      <w:pPr>
        <w:ind w:left="1000" w:hanging="344"/>
        <w:spacing w:after="0"/>
        <w:tabs>
          <w:tab w:leader="none" w:pos="10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guarantees constituting endorsement of negotiable instruments for deposit or collection in the ordinary course of business;</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042"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Indebtedness incurred by a Foreign Subsidiary to any Person (other than to a Loan Party or a Subsidiary of a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that, (i) the aggregate amount of such Indebtedness that may be outstanding at any one time by all Foreign Subsidiaries shall not exceed $100,000,000, and (ii) recourse for such Indebtedness shall not attach to any Loan Party or any Domestic Subsidiary;</w:t>
      </w:r>
    </w:p>
    <w:p>
      <w:pPr>
        <w:spacing w:after="0" w:line="181" w:lineRule="exact"/>
        <w:rPr>
          <w:rFonts w:ascii="Arial" w:cs="Arial" w:eastAsia="Arial" w:hAnsi="Arial"/>
          <w:sz w:val="18"/>
          <w:szCs w:val="18"/>
          <w:color w:val="auto"/>
        </w:rPr>
      </w:pPr>
    </w:p>
    <w:p>
      <w:pPr>
        <w:ind w:right="20" w:firstLine="656"/>
        <w:spacing w:after="0" w:line="277" w:lineRule="auto"/>
        <w:tabs>
          <w:tab w:leader="none" w:pos="1217" w:val="left"/>
        </w:tabs>
        <w:numPr>
          <w:ilvl w:val="1"/>
          <w:numId w:val="95"/>
        </w:numPr>
        <w:rPr>
          <w:rFonts w:ascii="Arial" w:cs="Arial" w:eastAsia="Arial" w:hAnsi="Arial"/>
          <w:sz w:val="18"/>
          <w:szCs w:val="18"/>
          <w:color w:val="auto"/>
        </w:rPr>
      </w:pPr>
      <w:r>
        <w:rPr>
          <w:rFonts w:ascii="Arial" w:cs="Arial" w:eastAsia="Arial" w:hAnsi="Arial"/>
          <w:sz w:val="18"/>
          <w:szCs w:val="18"/>
          <w:color w:val="auto"/>
        </w:rPr>
        <w:t>Customer Obligations outstanding on the Restatement Date but excluding any refinancings or replacements thereof and (ii) additional Customer Obligations up to an aggregate amount of such additional Customer Obligations at any time of $24,000,000;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99" w:name="page100"/>
    <w:bookmarkEnd w:id="99"/>
    <w:p>
      <w:pPr>
        <w:ind w:left="1100" w:hanging="444"/>
        <w:spacing w:after="0"/>
        <w:tabs>
          <w:tab w:leader="none" w:pos="11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firstLine="656"/>
        <w:spacing w:after="0" w:line="279" w:lineRule="auto"/>
        <w:tabs>
          <w:tab w:leader="none" w:pos="1088"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Permitted Ratio Debt, so long as both before and after giving effect to the issuance or incurrence thereof, (i) no Default or Event of Default shall have occurred and be continuing, and (ii) the Borrower shall be in pro forma compliance with the financial covenants set forth in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and the Consolidated Leverage Ratio on a pro forma basis shall not exceed 3.50 to 1.00 (in each case, determined as of the last day of the most recently ended fiscal quarter for which financial statements were required to have been delivered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as applicable);</w:t>
      </w:r>
    </w:p>
    <w:p>
      <w:pPr>
        <w:spacing w:after="0" w:line="171" w:lineRule="exact"/>
        <w:rPr>
          <w:rFonts w:ascii="Arial" w:cs="Arial" w:eastAsia="Arial" w:hAnsi="Arial"/>
          <w:sz w:val="17"/>
          <w:szCs w:val="17"/>
          <w:color w:val="auto"/>
        </w:rPr>
      </w:pPr>
    </w:p>
    <w:p>
      <w:pPr>
        <w:ind w:firstLine="656"/>
        <w:spacing w:after="0" w:line="277" w:lineRule="auto"/>
        <w:tabs>
          <w:tab w:leader="none" w:pos="1038"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Indebtedness incurred by the Borrower or any Material Subsidiary in a Permitted Acquisition or Disposition under agreements providing for the adjustment of the purchase price or similar adjustments;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84"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Indebtedness consisting of obligations of the Borrower or any Material Subsidiary under deferred consideration (earn-outs, indemnifications, incentive non-competes and other contingent obligations) or other similar arrangements incurred by such Person in connection with the Transactions, and any Permitted Acquisitions and any other Investments permitted under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089"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Indebtedness in respect of netting services, overdraft protections, employee credit card programs, automatic clearinghouse arrangements and similar arrangements in each case in connection with deposit accounts and Indebtedness arising from the honoring of a bank or other financial institution of a check, draft or similar instrument drawn against insufficient funds in the ordinary course of business, provided that any such Indebtedness is extinguished within 30 days;</w:t>
      </w:r>
    </w:p>
    <w:p>
      <w:pPr>
        <w:spacing w:after="0" w:line="186" w:lineRule="exact"/>
        <w:rPr>
          <w:rFonts w:ascii="Arial" w:cs="Arial" w:eastAsia="Arial" w:hAnsi="Arial"/>
          <w:sz w:val="18"/>
          <w:szCs w:val="18"/>
          <w:color w:val="auto"/>
        </w:rPr>
      </w:pPr>
    </w:p>
    <w:p>
      <w:pPr>
        <w:jc w:val="both"/>
        <w:ind w:firstLine="656"/>
        <w:spacing w:after="0" w:line="276" w:lineRule="auto"/>
        <w:tabs>
          <w:tab w:leader="none" w:pos="1079"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Indebtedness incurred by the Borrower or any Material Subsidiary in respect of bank guarantees, warehouse receipts or similar instruments (other than letters of credit) issued or created in the ordinary course of business consistent with past practice, including in respect of workers compensation claims, health, disability or other employee benefits or property, casualty or liability insurance or self insurance, or other Indebtedness with respect to reimbursement type obligations (other than obligations in respect of letters of credit) regarding workers compensation claims;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reimbursement obligations in respect thereof are satisfied within 30 days following the due date thereof;</w:t>
      </w:r>
    </w:p>
    <w:p>
      <w:pPr>
        <w:spacing w:after="0" w:line="172" w:lineRule="exact"/>
        <w:rPr>
          <w:rFonts w:ascii="Arial" w:cs="Arial" w:eastAsia="Arial" w:hAnsi="Arial"/>
          <w:sz w:val="17"/>
          <w:szCs w:val="17"/>
          <w:color w:val="auto"/>
        </w:rPr>
      </w:pPr>
    </w:p>
    <w:p>
      <w:pPr>
        <w:ind w:right="20" w:firstLine="656"/>
        <w:spacing w:after="0" w:line="277" w:lineRule="auto"/>
        <w:tabs>
          <w:tab w:leader="none" w:pos="1137" w:val="left"/>
        </w:tabs>
        <w:numPr>
          <w:ilvl w:val="0"/>
          <w:numId w:val="96"/>
        </w:numPr>
        <w:rPr>
          <w:rFonts w:ascii="Arial" w:cs="Arial" w:eastAsia="Arial" w:hAnsi="Arial"/>
          <w:sz w:val="18"/>
          <w:szCs w:val="18"/>
          <w:color w:val="auto"/>
        </w:rPr>
      </w:pPr>
      <w:r>
        <w:rPr>
          <w:rFonts w:ascii="Arial" w:cs="Arial" w:eastAsia="Arial" w:hAnsi="Arial"/>
          <w:sz w:val="18"/>
          <w:szCs w:val="18"/>
          <w:color w:val="auto"/>
        </w:rPr>
        <w:t>obligations in respect of performance, bid, appeal and surety bonds and performance and completion guarantees and similar obligations provided by the Borrower or any Material Subsidiary;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057"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Indebtedness consisting of (a) the financing of insurance premiums or (b) take-or-pay obligations contained in supply arrangements, in each case, in the ordinary course of business.</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7.03</w:t>
      </w:r>
      <w:r>
        <w:rPr>
          <w:sz w:val="20"/>
          <w:szCs w:val="20"/>
          <w:color w:val="auto"/>
        </w:rPr>
        <w:tab/>
      </w:r>
      <w:r>
        <w:rPr>
          <w:rFonts w:ascii="Arial" w:cs="Arial" w:eastAsia="Arial" w:hAnsi="Arial"/>
          <w:sz w:val="16"/>
          <w:szCs w:val="16"/>
          <w:b w:val="1"/>
          <w:bCs w:val="1"/>
          <w:i w:val="1"/>
          <w:iCs w:val="1"/>
          <w:color w:val="auto"/>
        </w:rPr>
        <w:t>Investments</w:t>
      </w:r>
      <w:r>
        <w:rPr>
          <w:rFonts w:ascii="Arial" w:cs="Arial" w:eastAsia="Arial" w:hAnsi="Arial"/>
          <w:sz w:val="16"/>
          <w:szCs w:val="16"/>
          <w:color w:val="auto"/>
        </w:rPr>
        <w:t>. Make or hold any Investments, except:</w:t>
      </w:r>
    </w:p>
    <w:p>
      <w:pPr>
        <w:spacing w:after="0" w:line="225" w:lineRule="exact"/>
        <w:rPr>
          <w:sz w:val="20"/>
          <w:szCs w:val="20"/>
          <w:color w:val="auto"/>
        </w:rPr>
      </w:pPr>
    </w:p>
    <w:p>
      <w:pPr>
        <w:ind w:left="1040" w:hanging="384"/>
        <w:spacing w:after="0"/>
        <w:tabs>
          <w:tab w:leader="none" w:pos="10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Investments in the form of Cash Equivalents;</w:t>
      </w:r>
    </w:p>
    <w:p>
      <w:pPr>
        <w:spacing w:after="0" w:line="225" w:lineRule="exact"/>
        <w:rPr>
          <w:rFonts w:ascii="Arial" w:cs="Arial" w:eastAsia="Arial" w:hAnsi="Arial"/>
          <w:sz w:val="18"/>
          <w:szCs w:val="18"/>
          <w:color w:val="auto"/>
        </w:rPr>
      </w:pPr>
    </w:p>
    <w:p>
      <w:pPr>
        <w:ind w:firstLine="656"/>
        <w:spacing w:after="0" w:line="277" w:lineRule="auto"/>
        <w:tabs>
          <w:tab w:leader="none" w:pos="1058" w:val="left"/>
        </w:tabs>
        <w:numPr>
          <w:ilvl w:val="0"/>
          <w:numId w:val="97"/>
        </w:numPr>
        <w:rPr>
          <w:rFonts w:ascii="Arial" w:cs="Arial" w:eastAsia="Arial" w:hAnsi="Arial"/>
          <w:sz w:val="18"/>
          <w:szCs w:val="18"/>
          <w:color w:val="auto"/>
        </w:rPr>
      </w:pPr>
      <w:r>
        <w:rPr>
          <w:rFonts w:ascii="Arial" w:cs="Arial" w:eastAsia="Arial" w:hAnsi="Arial"/>
          <w:sz w:val="18"/>
          <w:szCs w:val="18"/>
          <w:color w:val="auto"/>
        </w:rPr>
        <w:t>advances to officers, directors and employees of Borrower or any Material Subsidiary in an aggregate amount not to exceed $2,000,000 at any time outstanding for travel, entertainment, relocation and other ordinary business purposes;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136"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Investments by the Borrower and its Subsidiaries in their respective Subsidiaries outstanding on the Restatement Date, (ii) additional Investments by the Borrower and its Subsidiaries in Loan Parties (other than the Borrower) and (iii) additional Investments by Subsidiaries of the Borrower that are not Loan Parties in other Subsidiaries that are not Loan Parties;</w:t>
      </w:r>
    </w:p>
    <w:p>
      <w:pPr>
        <w:spacing w:after="0" w:line="181" w:lineRule="exact"/>
        <w:rPr>
          <w:rFonts w:ascii="Arial" w:cs="Arial" w:eastAsia="Arial" w:hAnsi="Arial"/>
          <w:sz w:val="18"/>
          <w:szCs w:val="18"/>
          <w:color w:val="auto"/>
        </w:rPr>
      </w:pPr>
    </w:p>
    <w:p>
      <w:pPr>
        <w:ind w:firstLine="656"/>
        <w:spacing w:after="0" w:line="277" w:lineRule="auto"/>
        <w:tabs>
          <w:tab w:leader="none" w:pos="1095"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Investments comprised of notes payable, or Equity Interests issued by account debtors to any Loan Party pursuant to negotiated agreements with respect to settlement of such account debtor's Accounts in the ordinary course of business;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Guarantees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Investments existing on the Restatement Date (other than those referred to in </w:t>
      </w:r>
      <w:r>
        <w:rPr>
          <w:rFonts w:ascii="Arial" w:cs="Arial" w:eastAsia="Arial" w:hAnsi="Arial"/>
          <w:sz w:val="18"/>
          <w:szCs w:val="18"/>
          <w:u w:val="single" w:color="auto"/>
          <w:color w:val="auto"/>
        </w:rPr>
        <w:t>Section 7.03(c)</w:t>
      </w:r>
      <w:r>
        <w:rPr>
          <w:rFonts w:ascii="Arial" w:cs="Arial" w:eastAsia="Arial" w:hAnsi="Arial"/>
          <w:sz w:val="18"/>
          <w:szCs w:val="18"/>
          <w:color w:val="auto"/>
        </w:rPr>
        <w:t xml:space="preserve">) and set forth on </w:t>
      </w:r>
      <w:r>
        <w:rPr>
          <w:rFonts w:ascii="Arial" w:cs="Arial" w:eastAsia="Arial" w:hAnsi="Arial"/>
          <w:sz w:val="18"/>
          <w:szCs w:val="18"/>
          <w:u w:val="single" w:color="auto"/>
          <w:color w:val="auto"/>
        </w:rPr>
        <w:t>Schedule 5.08(e)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103" w:val="left"/>
        </w:tabs>
        <w:numPr>
          <w:ilvl w:val="0"/>
          <w:numId w:val="97"/>
        </w:numPr>
        <w:rPr>
          <w:rFonts w:ascii="Arial" w:cs="Arial" w:eastAsia="Arial" w:hAnsi="Arial"/>
          <w:sz w:val="18"/>
          <w:szCs w:val="18"/>
          <w:color w:val="auto"/>
        </w:rPr>
      </w:pPr>
      <w:r>
        <w:rPr>
          <w:rFonts w:ascii="Arial" w:cs="Arial" w:eastAsia="Arial" w:hAnsi="Arial"/>
          <w:sz w:val="18"/>
          <w:szCs w:val="18"/>
          <w:color w:val="auto"/>
        </w:rPr>
        <w:t>Equity Interests or other obligations issued to the Borrower or any Material Subsidiary by any Person (or representative of such Person) in respect of Indebtedness of such Person owing to Borrower or such Material Subsidiary in connection with the insolvency, bankruptcy, receivership or reorganization of such Person or a composition or readjustment of the debts of such Person;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100" w:name="page101"/>
    <w:bookmarkEnd w:id="100"/>
    <w:p>
      <w:pPr>
        <w:ind w:left="1000" w:hanging="344"/>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Investments consisting of non-cash consideration received in connection with a Disposition permitted by </w:t>
      </w:r>
      <w:r>
        <w:rPr>
          <w:rFonts w:ascii="Arial" w:cs="Arial" w:eastAsia="Arial" w:hAnsi="Arial"/>
          <w:sz w:val="18"/>
          <w:szCs w:val="18"/>
          <w:u w:val="single" w:color="auto"/>
          <w:color w:val="auto"/>
        </w:rPr>
        <w:t>Section 7.05(f)</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9" w:lineRule="auto"/>
        <w:tabs>
          <w:tab w:leader="none" w:pos="998"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(i) Investment in a Permitted Receivables Financing Subsidiary or any Investment by a Permitted Receivables Financing Subsidiary in any other Person in connection with a Permitted Receivables Financing,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Investment in a Permitted Receivables Financing Subsidiary is in the form of a contribution of additional Permitted Receivables Financing Assets and (ii) distributions or payments by such Permitted Receivables Financing Subsidiary of Permitted Receivables Financing Fees;</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085" w:val="left"/>
        </w:tabs>
        <w:numPr>
          <w:ilvl w:val="0"/>
          <w:numId w:val="98"/>
        </w:numPr>
        <w:rPr>
          <w:rFonts w:ascii="Arial" w:cs="Arial" w:eastAsia="Arial" w:hAnsi="Arial"/>
          <w:sz w:val="18"/>
          <w:szCs w:val="18"/>
          <w:color w:val="auto"/>
        </w:rPr>
      </w:pPr>
      <w:r>
        <w:rPr>
          <w:rFonts w:ascii="Arial" w:cs="Arial" w:eastAsia="Arial" w:hAnsi="Arial"/>
          <w:sz w:val="18"/>
          <w:szCs w:val="18"/>
          <w:color w:val="auto"/>
        </w:rPr>
        <w:t>so long as no Default exists, Investments by Foreign Subsidiaries made with cash of Foreign Subsidiaries in any foreign business (including any foreign assets and any Equity Interests in any foreign Person) which are in the same or a similar line of business as the Borrower and its Subsidiaries are engaged on the Restatement Date and reasonable extensions or expansions thereof; and</w:t>
      </w:r>
    </w:p>
    <w:p>
      <w:pPr>
        <w:spacing w:after="0" w:line="181" w:lineRule="exact"/>
        <w:rPr>
          <w:rFonts w:ascii="Arial" w:cs="Arial" w:eastAsia="Arial" w:hAnsi="Arial"/>
          <w:sz w:val="18"/>
          <w:szCs w:val="18"/>
          <w:color w:val="auto"/>
        </w:rPr>
      </w:pPr>
    </w:p>
    <w:p>
      <w:pPr>
        <w:jc w:val="both"/>
        <w:ind w:firstLine="656"/>
        <w:spacing w:after="0" w:line="255" w:lineRule="auto"/>
        <w:tabs>
          <w:tab w:leader="none" w:pos="1009"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other Investments so long as the aggregate amount thereof (determined as of the amount originally advanced, loaned or otherwise invested, less any returns on the respective investment not to exceed the original amount invested) at no time exceeds the sum of (i) $50,000,000,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an amount equal to the Available Amount accumulated pursuant to clause (b) of the definition thereof,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so long as no Default or Event of Default has occurred and is continuing or will result therefrom, an amount equal to the Available Amount, less the amount available pursuant to the foregoing clause (ii);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Investment may be made pursuant to this </w:t>
      </w:r>
      <w:r>
        <w:rPr>
          <w:rFonts w:ascii="Arial" w:cs="Arial" w:eastAsia="Arial" w:hAnsi="Arial"/>
          <w:sz w:val="18"/>
          <w:szCs w:val="18"/>
          <w:u w:val="single" w:color="auto"/>
          <w:color w:val="auto"/>
        </w:rPr>
        <w:t>Section 7.03(l)</w:t>
      </w:r>
      <w:r>
        <w:rPr>
          <w:rFonts w:ascii="Arial" w:cs="Arial" w:eastAsia="Arial" w:hAnsi="Arial"/>
          <w:sz w:val="18"/>
          <w:szCs w:val="18"/>
          <w:color w:val="auto"/>
        </w:rPr>
        <w:t xml:space="preserve"> in any Material Subsidiary that is not a Loan Party for the purpose of making a Restricted Payment prohibited pursuant to </w:t>
      </w:r>
      <w:r>
        <w:rPr>
          <w:rFonts w:ascii="Arial" w:cs="Arial" w:eastAsia="Arial" w:hAnsi="Arial"/>
          <w:sz w:val="18"/>
          <w:szCs w:val="18"/>
          <w:u w:val="single" w:color="auto"/>
          <w:color w:val="auto"/>
        </w:rPr>
        <w:t>Section 7.06</w:t>
      </w:r>
      <w:r>
        <w:rPr>
          <w:rFonts w:ascii="Arial" w:cs="Arial" w:eastAsia="Arial" w:hAnsi="Arial"/>
          <w:sz w:val="18"/>
          <w:szCs w:val="18"/>
          <w:color w:val="auto"/>
        </w:rPr>
        <w:t>.</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7.04 </w:t>
      </w:r>
      <w:r>
        <w:rPr>
          <w:rFonts w:ascii="Arial" w:cs="Arial" w:eastAsia="Arial" w:hAnsi="Arial"/>
          <w:sz w:val="17"/>
          <w:szCs w:val="17"/>
          <w:b w:val="1"/>
          <w:bCs w:val="1"/>
          <w:i w:val="1"/>
          <w:iCs w:val="1"/>
          <w:color w:val="auto"/>
        </w:rPr>
        <w:t>Fundamental Changes</w:t>
      </w:r>
      <w:r>
        <w:rPr>
          <w:rFonts w:ascii="Arial" w:cs="Arial" w:eastAsia="Arial" w:hAnsi="Arial"/>
          <w:sz w:val="17"/>
          <w:szCs w:val="17"/>
          <w:color w:val="auto"/>
        </w:rPr>
        <w:t>. Merge, dissolve, liquidate, consolidate with or into another Person, or Dispose of (whether in one transaction or in a series of transactions) all or substantially all of its assets (whether now owned or hereafter acquired) to or in favor of any Person or suspend or go out of a substantial portion of its or their business, except that, so long as no Default or Event of Default exists or would result therefrom:</w:t>
      </w:r>
    </w:p>
    <w:p>
      <w:pPr>
        <w:spacing w:after="0" w:line="166" w:lineRule="exact"/>
        <w:rPr>
          <w:sz w:val="20"/>
          <w:szCs w:val="20"/>
          <w:color w:val="auto"/>
        </w:rPr>
      </w:pPr>
    </w:p>
    <w:p>
      <w:pPr>
        <w:jc w:val="both"/>
        <w:ind w:firstLine="656"/>
        <w:spacing w:after="0" w:line="255" w:lineRule="auto"/>
        <w:tabs>
          <w:tab w:leader="none" w:pos="1087"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any Subsidiary may merge with (i)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the continuing or surviving Person, or (ii) any one or more other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when any Loan Party is merging with any Subsidiary, such Loan Party shall be the continuing or surviving Person and (ii) when any wholly-owned Subsidiary is merging with another Subsidiary, such wholly-owned Subsidiary shall be the continuing or surviving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Subsidiary of the Borrower may merge with and into a wholly-owned Subsidiary which is not a Loan Party (and such non-Loan Party Subsidiary may be the surviving Person) in connection with the Corporate Restructuring in a manner not materially adverse to the interests of the Lenders with the prior written consent of the Administrative Agent;</w:t>
      </w:r>
    </w:p>
    <w:p>
      <w:pPr>
        <w:spacing w:after="0" w:line="193" w:lineRule="exact"/>
        <w:rPr>
          <w:rFonts w:ascii="Arial" w:cs="Arial" w:eastAsia="Arial" w:hAnsi="Arial"/>
          <w:sz w:val="18"/>
          <w:szCs w:val="18"/>
          <w:color w:val="auto"/>
        </w:rPr>
      </w:pPr>
    </w:p>
    <w:p>
      <w:pPr>
        <w:ind w:left="1060" w:hanging="404"/>
        <w:spacing w:after="0"/>
        <w:tabs>
          <w:tab w:leader="none" w:pos="10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any Loan Party may Dispose of all or substantially all of its assets (upon voluntary liquidation or otherwise) to the Borrower or to another Loan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Party;</w:t>
      </w:r>
    </w:p>
    <w:p>
      <w:pPr>
        <w:spacing w:after="0" w:line="210" w:lineRule="exact"/>
        <w:rPr>
          <w:rFonts w:ascii="Arial" w:cs="Arial" w:eastAsia="Arial" w:hAnsi="Arial"/>
          <w:sz w:val="16"/>
          <w:szCs w:val="16"/>
          <w:color w:val="auto"/>
        </w:rPr>
      </w:pPr>
    </w:p>
    <w:p>
      <w:pPr>
        <w:ind w:firstLine="656"/>
        <w:spacing w:after="0" w:line="277" w:lineRule="auto"/>
        <w:tabs>
          <w:tab w:leader="none" w:pos="104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Material Subsidiary that is not a Loan Party may dispose of all or substantially all its assets (including any Disposition that is in the nature of a liquidation) to (i) another Subsidiary that is not a Loan Party or (ii) to a Loan Party; and</w:t>
      </w:r>
    </w:p>
    <w:p>
      <w:pPr>
        <w:spacing w:after="0" w:line="170" w:lineRule="exact"/>
        <w:rPr>
          <w:rFonts w:ascii="Arial" w:cs="Arial" w:eastAsia="Arial" w:hAnsi="Arial"/>
          <w:sz w:val="18"/>
          <w:szCs w:val="18"/>
          <w:color w:val="auto"/>
        </w:rPr>
      </w:pPr>
    </w:p>
    <w:p>
      <w:pPr>
        <w:jc w:val="both"/>
        <w:ind w:firstLine="656"/>
        <w:spacing w:after="0" w:line="302" w:lineRule="auto"/>
        <w:tabs>
          <w:tab w:leader="none" w:pos="1089"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in connection with any Permitted Acquisitions or permitted Investment under this Agreement, the Borrower or any Material Subsidiary may merge into or consolidate with any other Person or permit any other Person to merge into or consolidate with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Person surviving such merger shall be the Borrower or a Material Subsidiary, (ii) in the case of any such merger to which the Borrower is a party, the Borrower is the surviving Person and (iii) in the case of any such merger to which any Loan Party (other than the Borrower) is a party, such Loan Party is the surviving Person.</w:t>
      </w:r>
    </w:p>
    <w:p>
      <w:pPr>
        <w:spacing w:after="0" w:line="15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7.05</w:t>
      </w:r>
      <w:r>
        <w:rPr>
          <w:sz w:val="20"/>
          <w:szCs w:val="20"/>
          <w:color w:val="auto"/>
        </w:rPr>
        <w:tab/>
      </w:r>
      <w:r>
        <w:rPr>
          <w:rFonts w:ascii="Arial" w:cs="Arial" w:eastAsia="Arial" w:hAnsi="Arial"/>
          <w:sz w:val="16"/>
          <w:szCs w:val="16"/>
          <w:b w:val="1"/>
          <w:bCs w:val="1"/>
          <w:i w:val="1"/>
          <w:iCs w:val="1"/>
          <w:color w:val="auto"/>
        </w:rPr>
        <w:t>Dispositions</w:t>
      </w:r>
      <w:r>
        <w:rPr>
          <w:rFonts w:ascii="Arial" w:cs="Arial" w:eastAsia="Arial" w:hAnsi="Arial"/>
          <w:sz w:val="16"/>
          <w:szCs w:val="16"/>
          <w:color w:val="auto"/>
        </w:rPr>
        <w:t>. Make any Disposition or enter into any agreement to make any Disposition, except:</w:t>
      </w:r>
    </w:p>
    <w:p>
      <w:pPr>
        <w:spacing w:after="0" w:line="225" w:lineRule="exact"/>
        <w:rPr>
          <w:sz w:val="20"/>
          <w:szCs w:val="20"/>
          <w:color w:val="auto"/>
        </w:rPr>
      </w:pPr>
    </w:p>
    <w:p>
      <w:pPr>
        <w:jc w:val="both"/>
        <w:ind w:firstLine="656"/>
        <w:spacing w:after="0" w:line="264" w:lineRule="auto"/>
        <w:tabs>
          <w:tab w:leader="none" w:pos="102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Dispositions of obsolete, surplus or worn out property, or property no longer used or useful in the conduct of the business of the Loan Parties, in each case whether now owned or hereafter acquired, in the ordinary course of business, and Dispositions of Accounts in connection with the collection or compromise thereof;</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101" w:name="page102"/>
    <w:bookmarkEnd w:id="101"/>
    <w:p>
      <w:pPr>
        <w:ind w:left="1040" w:hanging="384"/>
        <w:spacing w:after="0"/>
        <w:tabs>
          <w:tab w:leader="none" w:pos="1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Dispositions of inventory and goods held for sale in the ordinary course of business;</w:t>
      </w:r>
    </w:p>
    <w:p>
      <w:pPr>
        <w:spacing w:after="0" w:line="225" w:lineRule="exact"/>
        <w:rPr>
          <w:rFonts w:ascii="Arial" w:cs="Arial" w:eastAsia="Arial" w:hAnsi="Arial"/>
          <w:sz w:val="18"/>
          <w:szCs w:val="18"/>
          <w:color w:val="auto"/>
        </w:rPr>
      </w:pPr>
    </w:p>
    <w:p>
      <w:pPr>
        <w:ind w:firstLine="656"/>
        <w:spacing w:after="0" w:line="308" w:lineRule="auto"/>
        <w:tabs>
          <w:tab w:leader="none" w:pos="110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46" w:lineRule="exact"/>
        <w:rPr>
          <w:rFonts w:ascii="Arial" w:cs="Arial" w:eastAsia="Arial" w:hAnsi="Arial"/>
          <w:sz w:val="17"/>
          <w:szCs w:val="17"/>
          <w:color w:val="auto"/>
        </w:rPr>
      </w:pPr>
    </w:p>
    <w:p>
      <w:pPr>
        <w:jc w:val="both"/>
        <w:ind w:firstLine="656"/>
        <w:spacing w:after="0" w:line="273" w:lineRule="auto"/>
        <w:tabs>
          <w:tab w:leader="none" w:pos="104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(i) Dispositions of property by any Material Subsidiary to the Borrower or to a wholly-owned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transferor of such property is a Loan Party, the transferee thereof must either be a Loan Party, and (ii) Disposition of Equity Interests of any Immaterial Subsidiaries or certain other assets by a Material Subsidiary to a wholly-owned Subsidiary which is not a Loan Party in connection with a corporate restructuring (the “</w:t>
      </w:r>
      <w:r>
        <w:rPr>
          <w:rFonts w:ascii="Arial" w:cs="Arial" w:eastAsia="Arial" w:hAnsi="Arial"/>
          <w:sz w:val="17"/>
          <w:szCs w:val="17"/>
          <w:u w:val="single" w:color="auto"/>
          <w:color w:val="auto"/>
        </w:rPr>
        <w:t>Corporate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Restructuring</w:t>
      </w:r>
      <w:r>
        <w:rPr>
          <w:rFonts w:ascii="Arial" w:cs="Arial" w:eastAsia="Arial" w:hAnsi="Arial"/>
          <w:sz w:val="17"/>
          <w:szCs w:val="17"/>
          <w:color w:val="auto"/>
        </w:rPr>
        <w:t>”) in a manner not materially adverse to the interests of the Lenders with the prior written consent of the Administrative Agent, and Borrower shall give written notice of such proposed corporate restructuring to the Administrative Agent at least fifteen (15) Business Days (or such shorter period of time acceptable to the Administrative Agent) prior to the anticipated closing date thereof;</w:t>
      </w:r>
    </w:p>
    <w:p>
      <w:pPr>
        <w:spacing w:after="0" w:line="178" w:lineRule="exact"/>
        <w:rPr>
          <w:rFonts w:ascii="Arial" w:cs="Arial" w:eastAsia="Arial" w:hAnsi="Arial"/>
          <w:sz w:val="17"/>
          <w:szCs w:val="17"/>
          <w:color w:val="auto"/>
        </w:rPr>
      </w:pPr>
    </w:p>
    <w:p>
      <w:pPr>
        <w:ind w:firstLine="656"/>
        <w:spacing w:after="0" w:line="277" w:lineRule="auto"/>
        <w:tabs>
          <w:tab w:leader="none" w:pos="102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and transfers of property resulting from with condemnation proceedings or in connection with receipt of insurance proceeds;</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05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Disposition of other assets having a fair market value not to exceed 10% of the Consolidated Total Assets in the aggregate subsequent to the Restatement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less than 75% of the consideration for such Disposition shall be received in cash or Cash Equivalents and (ii) the Net Cash Proceeds of any such Disposition are applied to the prepayment of the Loans to the extent required by </w:t>
      </w:r>
      <w:r>
        <w:rPr>
          <w:rFonts w:ascii="Arial" w:cs="Arial" w:eastAsia="Arial" w:hAnsi="Arial"/>
          <w:sz w:val="17"/>
          <w:szCs w:val="17"/>
          <w:u w:val="single" w:color="auto"/>
          <w:color w:val="auto"/>
        </w:rPr>
        <w:t>Section 2.03(b)</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1040" w:hanging="384"/>
        <w:spacing w:after="0"/>
        <w:tabs>
          <w:tab w:leader="none" w:pos="1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non-exclusive licenses of IP Rights in the ordinary course of business and substantially consistent with past practice;</w:t>
      </w:r>
    </w:p>
    <w:p>
      <w:pPr>
        <w:spacing w:after="0" w:line="225" w:lineRule="exact"/>
        <w:rPr>
          <w:rFonts w:ascii="Arial" w:cs="Arial" w:eastAsia="Arial" w:hAnsi="Arial"/>
          <w:sz w:val="18"/>
          <w:szCs w:val="18"/>
          <w:color w:val="auto"/>
        </w:rPr>
      </w:pPr>
    </w:p>
    <w:p>
      <w:pPr>
        <w:jc w:val="both"/>
        <w:ind w:firstLine="656"/>
        <w:spacing w:after="0" w:line="271" w:lineRule="auto"/>
        <w:tabs>
          <w:tab w:leader="none" w:pos="1122"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(i) the sale of Accounts (and any instruments representing such Accounts) owing from AutoZone, Inc., (ii) the sale of Accounts (and any instruments representing such Accounts) owing from Advance Stores Company, Incorporated, (iii) the sale of Accounts (and any instruments representing such Accounts) owing from General Parts Inc. (d/b/a Carquest), in each case owned by World Wide Automotive, L.L.C.; </w:t>
      </w:r>
      <w:r>
        <w:rPr>
          <w:rFonts w:ascii="Arial" w:cs="Arial" w:eastAsia="Arial" w:hAnsi="Arial"/>
          <w:sz w:val="17"/>
          <w:szCs w:val="17"/>
          <w:u w:val="single" w:color="auto"/>
          <w:color w:val="auto"/>
        </w:rPr>
        <w:t>provided</w:t>
      </w:r>
      <w:r>
        <w:rPr>
          <w:rFonts w:ascii="Arial" w:cs="Arial" w:eastAsia="Arial" w:hAnsi="Arial"/>
          <w:sz w:val="17"/>
          <w:szCs w:val="17"/>
          <w:color w:val="auto"/>
        </w:rPr>
        <w:t>, that, in each case, the sale of Accounts (and any instruments representing such Accounts) by World Wide Automotive, L.L.C. pursuant to factoring arrangements shall be limited to arrangements with such customers and with respect to which the Administrative Agent has received copies of all agreements, documents and instruments evidencing or relating thereto, or any successors or assigns of such customers, and (iv) the sale of Accounts (and any instruments representing such Accounts) by one or more Loan Parties owing from each of Caterpillar Inc., O'Reilly Automotive, Inc. and Volvo, so long as such factoring arrangements are in form and substance satisfactory to the Administrative Agent;</w:t>
      </w:r>
    </w:p>
    <w:p>
      <w:pPr>
        <w:spacing w:after="0" w:line="178" w:lineRule="exact"/>
        <w:rPr>
          <w:rFonts w:ascii="Arial" w:cs="Arial" w:eastAsia="Arial" w:hAnsi="Arial"/>
          <w:sz w:val="17"/>
          <w:szCs w:val="17"/>
          <w:color w:val="auto"/>
        </w:rPr>
      </w:pPr>
    </w:p>
    <w:p>
      <w:pPr>
        <w:ind w:left="1000" w:hanging="344"/>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Disposition of the Locomotive Business;</w:t>
      </w:r>
    </w:p>
    <w:p>
      <w:pPr>
        <w:spacing w:after="0" w:line="225" w:lineRule="exact"/>
        <w:rPr>
          <w:rFonts w:ascii="Arial" w:cs="Arial" w:eastAsia="Arial" w:hAnsi="Arial"/>
          <w:sz w:val="18"/>
          <w:szCs w:val="18"/>
          <w:color w:val="auto"/>
        </w:rPr>
      </w:pPr>
    </w:p>
    <w:p>
      <w:pPr>
        <w:ind w:right="20" w:firstLine="656"/>
        <w:spacing w:after="0" w:line="277" w:lineRule="auto"/>
        <w:tabs>
          <w:tab w:leader="none" w:pos="104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the sale of Accounts (and any instruments representing such Accounts) pursuant to factoring arrangements;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sale of Accounts by a Domestic Subsidiary such sale must be non-recourse;</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Dispositions of Cash Equivalents for reasonable equivalent value;</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Disposition of Permitted Receivables Financing Assets, for cash, to a Permitted Receivables Financing Subsidiary; and</w:t>
      </w:r>
    </w:p>
    <w:p>
      <w:pPr>
        <w:spacing w:after="0" w:line="225" w:lineRule="exact"/>
        <w:rPr>
          <w:rFonts w:ascii="Arial" w:cs="Arial" w:eastAsia="Arial" w:hAnsi="Arial"/>
          <w:sz w:val="18"/>
          <w:szCs w:val="18"/>
          <w:color w:val="auto"/>
        </w:rPr>
      </w:pPr>
    </w:p>
    <w:p>
      <w:pPr>
        <w:ind w:right="240" w:firstLine="656"/>
        <w:spacing w:after="0" w:line="530" w:lineRule="auto"/>
        <w:tabs>
          <w:tab w:leader="none" w:pos="108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other Dispositions provided that the aggregate book value of all property Disposed of in reliance on this clause shall not exceed $2,500,000;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Disposition pursuant to this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7.05(d)(ii)</w:t>
      </w:r>
      <w:r>
        <w:rPr>
          <w:rFonts w:ascii="Arial" w:cs="Arial" w:eastAsia="Arial" w:hAnsi="Arial"/>
          <w:sz w:val="17"/>
          <w:szCs w:val="17"/>
          <w:color w:val="auto"/>
        </w:rPr>
        <w:t xml:space="preserve"> above) shall be for fair market value.</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b w:val="1"/>
          <w:bCs w:val="1"/>
          <w:i w:val="1"/>
          <w:iCs w:val="1"/>
          <w:color w:val="auto"/>
        </w:rPr>
        <w:t>Restricted Payments</w:t>
      </w:r>
      <w:r>
        <w:rPr>
          <w:rFonts w:ascii="Arial" w:cs="Arial" w:eastAsia="Arial" w:hAnsi="Arial"/>
          <w:sz w:val="18"/>
          <w:szCs w:val="18"/>
          <w:color w:val="auto"/>
        </w:rPr>
        <w:t>. Declare or make, directly or indirectly, any Restricted Payment, or incur any obligation (contingent or otherwise) to do so, or issue or sell any Equity Interests or accept any capital contributions, except that, so long as no Default or Event of Default shall have occurred and be continuing at the time of any action described below or would result therefrom: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102" w:name="page103"/>
    <w:bookmarkEnd w:id="102"/>
    <w:p>
      <w:pPr>
        <w:jc w:val="both"/>
        <w:ind w:firstLine="656"/>
        <w:spacing w:after="0" w:line="264" w:lineRule="auto"/>
        <w:tabs>
          <w:tab w:leader="none" w:pos="104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Material Subsidiary may make Restricted Payments to the Borrower, any other Loan Party and any other Person that owns a direct Equity Interest in such Material Subsidiary, ratably according to their respective holdings of the type of Equity Interest in respect of which such Restricted Payment is being made;</w:t>
      </w:r>
    </w:p>
    <w:p>
      <w:pPr>
        <w:spacing w:after="0" w:line="181" w:lineRule="exact"/>
        <w:rPr>
          <w:rFonts w:ascii="Arial" w:cs="Arial" w:eastAsia="Arial" w:hAnsi="Arial"/>
          <w:sz w:val="18"/>
          <w:szCs w:val="18"/>
          <w:color w:val="auto"/>
        </w:rPr>
      </w:pPr>
    </w:p>
    <w:p>
      <w:pPr>
        <w:ind w:firstLine="656"/>
        <w:spacing w:after="0" w:line="277" w:lineRule="auto"/>
        <w:tabs>
          <w:tab w:leader="none" w:pos="10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Borrower and each Material Subsidiary may declare and make dividend payments or other distributions payable solely in the common stock or other common Equity Interests of such Person;</w:t>
      </w:r>
    </w:p>
    <w:p>
      <w:pPr>
        <w:spacing w:after="0" w:line="17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Borrower may issue and sell its common Equity Interests;</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05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so long as (x) no Default or Event of Default is continuing or would result therefrom, and (y) immediately before and immediately after giving effect to such Restricted Payment, the Borrower shall be in pro forma compliance with the financial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(determined as of the last day of the most recently ended fiscal quarter for which financial statements were required to have been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 applicable):</w:t>
      </w:r>
    </w:p>
    <w:p>
      <w:pPr>
        <w:spacing w:after="0" w:line="186" w:lineRule="exact"/>
        <w:rPr>
          <w:rFonts w:ascii="Arial" w:cs="Arial" w:eastAsia="Arial" w:hAnsi="Arial"/>
          <w:sz w:val="18"/>
          <w:szCs w:val="18"/>
          <w:color w:val="auto"/>
        </w:rPr>
      </w:pPr>
    </w:p>
    <w:p>
      <w:pPr>
        <w:ind w:left="2440" w:hanging="487"/>
        <w:spacing w:after="0"/>
        <w:tabs>
          <w:tab w:leader="none" w:pos="244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Borrower may pay annual dividends to stockholders of the Borrower not to exceed $35,000,000 in any fiscal year; and</w:t>
      </w:r>
    </w:p>
    <w:p>
      <w:pPr>
        <w:spacing w:after="0" w:line="248" w:lineRule="exact"/>
        <w:rPr>
          <w:rFonts w:ascii="Arial" w:cs="Arial" w:eastAsia="Arial" w:hAnsi="Arial"/>
          <w:sz w:val="16"/>
          <w:szCs w:val="16"/>
          <w:color w:val="auto"/>
        </w:rPr>
      </w:pPr>
    </w:p>
    <w:p>
      <w:pPr>
        <w:jc w:val="both"/>
        <w:ind w:left="660" w:firstLine="1293"/>
        <w:spacing w:after="0" w:line="302" w:lineRule="auto"/>
        <w:tabs>
          <w:tab w:leader="none" w:pos="2529" w:val="left"/>
        </w:tabs>
        <w:numPr>
          <w:ilvl w:val="1"/>
          <w:numId w:val="102"/>
        </w:numPr>
        <w:rPr>
          <w:rFonts w:ascii="Arial" w:cs="Arial" w:eastAsia="Arial" w:hAnsi="Arial"/>
          <w:sz w:val="16"/>
          <w:szCs w:val="16"/>
          <w:color w:val="auto"/>
        </w:rPr>
      </w:pPr>
      <w:r>
        <w:rPr>
          <w:rFonts w:ascii="Arial" w:cs="Arial" w:eastAsia="Arial" w:hAnsi="Arial"/>
          <w:sz w:val="16"/>
          <w:szCs w:val="16"/>
          <w:color w:val="auto"/>
        </w:rPr>
        <w:t xml:space="preserve">the Borrower may make Restricted Payments (x) in an aggregate amount not to exceed the Available Amount so long as, the Consolidated Leverage Ratio shall not exceed on a pro forma basis 3.50 to 1.00, and (y) in an unlimited amount so long as the Consolidated Leverage Ratio shall not exceed on a pro forma basis 3.00 to 1.00 (in each case, determined as of the last day of the most recently ended fiscal quarter for which financial statements were required to have been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as applicable).</w:t>
      </w:r>
    </w:p>
    <w:p>
      <w:pPr>
        <w:spacing w:after="0" w:line="154" w:lineRule="exact"/>
        <w:rPr>
          <w:rFonts w:ascii="Arial" w:cs="Arial" w:eastAsia="Arial" w:hAnsi="Arial"/>
          <w:sz w:val="16"/>
          <w:szCs w:val="16"/>
          <w:color w:val="auto"/>
        </w:rPr>
      </w:pPr>
    </w:p>
    <w:p>
      <w:pPr>
        <w:jc w:val="both"/>
        <w:ind w:firstLine="656"/>
        <w:spacing w:after="0" w:line="264" w:lineRule="auto"/>
        <w:tabs>
          <w:tab w:leader="none" w:pos="107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purchases by the Borrower of Equity Interests of the Borrower from former employees, officers and directors (or any spouses, ex-spouses or estates of any of the foregoing) with respect to Equity Interests of the Borrower so long as the aggregate amount of all such repurchases does not exceed $10,000,000 during the term of this Credit Agreement;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notwithstanding anything to the contrary in this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the Borrower or any Material Subsidiary shall not make any Restricted Payment on any preferred stock of the Borrower or any Material Subsidiary other than pursuant to </w:t>
      </w:r>
      <w:r>
        <w:rPr>
          <w:rFonts w:ascii="Arial" w:cs="Arial" w:eastAsia="Arial" w:hAnsi="Arial"/>
          <w:sz w:val="18"/>
          <w:szCs w:val="18"/>
          <w:u w:val="single" w:color="auto"/>
          <w:color w:val="auto"/>
        </w:rPr>
        <w:t>Section 7.06(d)</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7.07 </w:t>
      </w:r>
      <w:r>
        <w:rPr>
          <w:rFonts w:ascii="Arial" w:cs="Arial" w:eastAsia="Arial" w:hAnsi="Arial"/>
          <w:sz w:val="18"/>
          <w:szCs w:val="18"/>
          <w:b w:val="1"/>
          <w:bCs w:val="1"/>
          <w:i w:val="1"/>
          <w:iCs w:val="1"/>
          <w:color w:val="auto"/>
        </w:rPr>
        <w:t>Change in Nature of Business</w:t>
      </w:r>
      <w:r>
        <w:rPr>
          <w:rFonts w:ascii="Arial" w:cs="Arial" w:eastAsia="Arial" w:hAnsi="Arial"/>
          <w:sz w:val="18"/>
          <w:szCs w:val="18"/>
          <w:color w:val="auto"/>
        </w:rPr>
        <w:t>. Engage in any material line of business substantially different from those lines of business conducted by the Borrower and its Subsidiaries on the Restatement Date or any business substantially related or incidental thereto.</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7.08 </w:t>
      </w:r>
      <w:r>
        <w:rPr>
          <w:rFonts w:ascii="Arial" w:cs="Arial" w:eastAsia="Arial" w:hAnsi="Arial"/>
          <w:sz w:val="18"/>
          <w:szCs w:val="18"/>
          <w:b w:val="1"/>
          <w:bCs w:val="1"/>
          <w:i w:val="1"/>
          <w:iCs w:val="1"/>
          <w:color w:val="auto"/>
        </w:rPr>
        <w:t>Transactions with Affiliates</w:t>
      </w:r>
      <w:r>
        <w:rPr>
          <w:rFonts w:ascii="Arial" w:cs="Arial" w:eastAsia="Arial" w:hAnsi="Arial"/>
          <w:sz w:val="18"/>
          <w:szCs w:val="18"/>
          <w:color w:val="auto"/>
        </w:rPr>
        <w:t>. Except for transactions in connection with a Permitted Receivables Financing and transactions permitted hereunder, enter into any transaction of any kind with any Affiliate of the Borrower, whether or not in the ordinary course of business, other than on fair and reasonable terms substantially as favorable to the Borrower or such Material Subsidiary as would be obtainable by the Borrower or such Material Subsidiary at the time in a comparable arm's length transaction with a Person other than an Affiliate. In addition, if any such transaction or series of related transactions involves payments in excess of $5,000,000 in the aggregate, the terms of these transactions must be disclosed in advance to the Administrative Agent (other than ordinary course asset sales between the Loan Parties and any other asset sales between Loan Parties related to the Loan Parties' operational restructuring).</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7.09 </w:t>
      </w:r>
      <w:r>
        <w:rPr>
          <w:rFonts w:ascii="Arial" w:cs="Arial" w:eastAsia="Arial" w:hAnsi="Arial"/>
          <w:sz w:val="17"/>
          <w:szCs w:val="17"/>
          <w:b w:val="1"/>
          <w:bCs w:val="1"/>
          <w:i w:val="1"/>
          <w:iCs w:val="1"/>
          <w:color w:val="auto"/>
        </w:rPr>
        <w:t>Burdensome Agreements; Material Contract</w:t>
      </w:r>
      <w:r>
        <w:rPr>
          <w:rFonts w:ascii="Arial" w:cs="Arial" w:eastAsia="Arial" w:hAnsi="Arial"/>
          <w:sz w:val="17"/>
          <w:szCs w:val="17"/>
          <w:color w:val="auto"/>
        </w:rPr>
        <w:t xml:space="preserve">. (a) Enter into or permit to exist any Contractual Obligation (other than the Loan Documents and the ABL Loan Documents) that (i) limits the ability (A) of any Material Subsidiary to make Restricted Payments to a Loan Party or to otherwise transfer property to or invest in a Loan Party, (B) of any Subsidiary to Guarantee the Indebtedness of the Borrower under this Agreement or (C) of the Borrower or any Subsidiary to create, incur, assume or suffer to exist Liens on property of such Person in favor of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this clause (C) shall not prohibit any negative pledge incurred or provided in favor of any holder of Indebtedness permitted under </w:t>
      </w:r>
      <w:r>
        <w:rPr>
          <w:rFonts w:ascii="Arial" w:cs="Arial" w:eastAsia="Arial" w:hAnsi="Arial"/>
          <w:sz w:val="17"/>
          <w:szCs w:val="17"/>
          <w:u w:val="single" w:color="auto"/>
          <w:color w:val="auto"/>
        </w:rPr>
        <w:t>Section 7.02(g)</w:t>
      </w:r>
      <w:r>
        <w:rPr>
          <w:rFonts w:ascii="Arial" w:cs="Arial" w:eastAsia="Arial" w:hAnsi="Arial"/>
          <w:sz w:val="17"/>
          <w:szCs w:val="17"/>
          <w:color w:val="auto"/>
        </w:rPr>
        <w:t xml:space="preserve"> solely to the extent any such negative pledge relates to the property financed by or the subject of such Indebtedness; (ii) requires the grant of a Lien to secure an obligation of such Person if a Lien is granted to secure another obligation of such Person other than obligations under the Loan Documents, ABL Loan Documents or obligations secured by any other Liens permitted under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or (iii) prohibits the creation of a Lien on any of the Borrower's or any Material Subsidiary's properties or other assets in favor of Administrative Agent, on behalf of itself and Lenders, as additional collateral for the Obligations, except operating leases, Capitalized Leases or licenses which prohibits Liens upon the assets that are subject thereto and agreements governing Liens permitted under this </w:t>
      </w:r>
      <w:r>
        <w:rPr>
          <w:rFonts w:ascii="Arial" w:cs="Arial" w:eastAsia="Arial" w:hAnsi="Arial"/>
          <w:sz w:val="17"/>
          <w:szCs w:val="17"/>
          <w:u w:val="single" w:color="auto"/>
          <w:color w:val="auto"/>
        </w:rPr>
        <w:t>Section 7.09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7.02(g)</w:t>
      </w:r>
      <w:r>
        <w:rPr>
          <w:rFonts w:ascii="Arial" w:cs="Arial" w:eastAsia="Arial" w:hAnsi="Arial"/>
          <w:sz w:val="17"/>
          <w:szCs w:val="17"/>
          <w:color w:val="auto"/>
        </w:rPr>
        <w:t xml:space="preserve">, except, in each case, for any agreement in effect (1) on the Restatement Date and set forth on </w:t>
      </w:r>
      <w:r>
        <w:rPr>
          <w:rFonts w:ascii="Arial" w:cs="Arial" w:eastAsia="Arial" w:hAnsi="Arial"/>
          <w:sz w:val="17"/>
          <w:szCs w:val="17"/>
          <w:u w:val="single" w:color="auto"/>
          <w:color w:val="auto"/>
        </w:rPr>
        <w:t>Schedule 7.09</w:t>
      </w:r>
      <w:r>
        <w:rPr>
          <w:rFonts w:ascii="Arial" w:cs="Arial" w:eastAsia="Arial" w:hAnsi="Arial"/>
          <w:sz w:val="17"/>
          <w:szCs w:val="17"/>
          <w:color w:val="auto"/>
        </w:rPr>
        <w:t xml:space="preserve"> or (2) at the time any Material Subsidiary becomes a Subsidiary of the Borrower, so long as such agreement was not entered into solely in contemplation of such Person becoming a Subsidiary of the Borrower; or (b) change or amend,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103" w:name="page104"/>
    <w:bookmarkEnd w:id="103"/>
    <w:p>
      <w:pPr>
        <w:jc w:val="both"/>
        <w:spacing w:after="0" w:line="277" w:lineRule="auto"/>
        <w:rPr>
          <w:sz w:val="20"/>
          <w:szCs w:val="20"/>
          <w:color w:val="auto"/>
        </w:rPr>
      </w:pPr>
      <w:r>
        <w:rPr>
          <w:rFonts w:ascii="Arial" w:cs="Arial" w:eastAsia="Arial" w:hAnsi="Arial"/>
          <w:sz w:val="18"/>
          <w:szCs w:val="18"/>
          <w:color w:val="auto"/>
        </w:rPr>
        <w:t>modify or supplement the terms of or terminate or agree to terminate any Material Contract, other than amendments and other modifications which would not reasonably be expected to materially and adversely affect the interest of the Administrative Agent or any Lender.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b w:val="1"/>
          <w:bCs w:val="1"/>
          <w:i w:val="1"/>
          <w:iCs w:val="1"/>
          <w:color w:val="auto"/>
        </w:rPr>
        <w:t>Use of Proceeds</w:t>
      </w:r>
      <w:r>
        <w:rPr>
          <w:rFonts w:ascii="Arial" w:cs="Arial" w:eastAsia="Arial" w:hAnsi="Arial"/>
          <w:sz w:val="18"/>
          <w:szCs w:val="18"/>
          <w:color w:val="auto"/>
        </w:rPr>
        <w:t>.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8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5"/>
          <w:szCs w:val="15"/>
          <w:b w:val="1"/>
          <w:bCs w:val="1"/>
          <w:i w:val="1"/>
          <w:iCs w:val="1"/>
          <w:color w:val="auto"/>
        </w:rPr>
        <w:t>Financial Covenants.</w:t>
      </w:r>
    </w:p>
    <w:p>
      <w:pPr>
        <w:spacing w:after="0" w:line="225" w:lineRule="exact"/>
        <w:rPr>
          <w:sz w:val="20"/>
          <w:szCs w:val="20"/>
          <w:color w:val="auto"/>
        </w:rPr>
      </w:pPr>
    </w:p>
    <w:p>
      <w:pPr>
        <w:ind w:right="20" w:firstLine="656"/>
        <w:spacing w:after="0" w:line="277" w:lineRule="auto"/>
        <w:tabs>
          <w:tab w:leader="none" w:pos="1028"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Consolidated Interest Coverage Ratio</w:t>
      </w:r>
      <w:r>
        <w:rPr>
          <w:rFonts w:ascii="Arial" w:cs="Arial" w:eastAsia="Arial" w:hAnsi="Arial"/>
          <w:sz w:val="18"/>
          <w:szCs w:val="18"/>
          <w:color w:val="auto"/>
        </w:rPr>
        <w:t>. Permit the Consolidated Interest Coverage Ratio as of the end of any fiscal quarter of the Borrower to be less than 3.00 to 1.00.</w:t>
      </w:r>
    </w:p>
    <w:p>
      <w:pPr>
        <w:spacing w:after="0" w:line="170" w:lineRule="exact"/>
        <w:rPr>
          <w:rFonts w:ascii="Arial" w:cs="Arial" w:eastAsia="Arial" w:hAnsi="Arial"/>
          <w:sz w:val="18"/>
          <w:szCs w:val="18"/>
          <w:color w:val="auto"/>
        </w:rPr>
      </w:pPr>
    </w:p>
    <w:p>
      <w:pPr>
        <w:ind w:firstLine="656"/>
        <w:spacing w:after="0" w:line="277" w:lineRule="auto"/>
        <w:tabs>
          <w:tab w:leader="none" w:pos="105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Permit the Consolidated Leverage Ratio at any time during any period of four fiscal quarters of the Borrower set forth below to be greater than 3.75 to 1.00.</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b w:val="1"/>
          <w:bCs w:val="1"/>
          <w:i w:val="1"/>
          <w:iCs w:val="1"/>
          <w:color w:val="auto"/>
        </w:rPr>
        <w:t>[Intentionally Omitted]</w:t>
      </w:r>
      <w:r>
        <w:rPr>
          <w:rFonts w:ascii="Arial" w:cs="Arial" w:eastAsia="Arial" w:hAnsi="Arial"/>
          <w:sz w:val="16"/>
          <w:szCs w:val="16"/>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b w:val="1"/>
          <w:bCs w:val="1"/>
          <w:i w:val="1"/>
          <w:iCs w:val="1"/>
          <w:color w:val="auto"/>
        </w:rPr>
        <w:t>Amendments of Organization Documents</w:t>
      </w:r>
      <w:r>
        <w:rPr>
          <w:rFonts w:ascii="Arial" w:cs="Arial" w:eastAsia="Arial" w:hAnsi="Arial"/>
          <w:sz w:val="18"/>
          <w:szCs w:val="18"/>
          <w:color w:val="auto"/>
        </w:rPr>
        <w:t>. Amend any of its Organization Documents in a manner materially adverse to the Administrative Agent or the Lenders.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b w:val="1"/>
          <w:bCs w:val="1"/>
          <w:i w:val="1"/>
          <w:iCs w:val="1"/>
          <w:color w:val="auto"/>
        </w:rPr>
        <w:t>Accounting Changes</w:t>
      </w:r>
      <w:r>
        <w:rPr>
          <w:rFonts w:ascii="Arial" w:cs="Arial" w:eastAsia="Arial" w:hAnsi="Arial"/>
          <w:sz w:val="18"/>
          <w:szCs w:val="18"/>
          <w:color w:val="auto"/>
        </w:rPr>
        <w:t xml:space="preserve">. Make any change in (a) accounting policies or reporting practices, except as required by GAAP or (b)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Borrower may, upon written notice to the Administrative Agent, change its fiscal year to a “4/4/5” fiscal year, in which case, Borrower and the Administrative Agent will, and are hereby authorized by the Lenders to, amend this Agreement as reasonably necessary to reflect such change in fiscal year.</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7.15 </w:t>
      </w:r>
      <w:r>
        <w:rPr>
          <w:rFonts w:ascii="Arial" w:cs="Arial" w:eastAsia="Arial" w:hAnsi="Arial"/>
          <w:sz w:val="16"/>
          <w:szCs w:val="16"/>
          <w:b w:val="1"/>
          <w:bCs w:val="1"/>
          <w:i w:val="1"/>
          <w:iCs w:val="1"/>
          <w:color w:val="auto"/>
        </w:rPr>
        <w:t>Prepayments, Etc. of Junior Indebtedness</w:t>
      </w:r>
      <w:r>
        <w:rPr>
          <w:rFonts w:ascii="Arial" w:cs="Arial" w:eastAsia="Arial" w:hAnsi="Arial"/>
          <w:sz w:val="16"/>
          <w:szCs w:val="16"/>
          <w:color w:val="auto"/>
        </w:rPr>
        <w:t>. Prepay, redeem, purchase, defease or otherwise satisfy prior to the scheduled maturity thereof in any manner, refinance, refund, renew or extend, or make any payment, in each case, in violation of any subordination terms of any Junior Indebtedness.</w:t>
      </w:r>
    </w:p>
    <w:p>
      <w:pPr>
        <w:spacing w:after="0" w:line="12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7.16</w:t>
      </w:r>
      <w:r>
        <w:rPr>
          <w:sz w:val="20"/>
          <w:szCs w:val="20"/>
          <w:color w:val="auto"/>
        </w:rPr>
        <w:tab/>
      </w:r>
      <w:r>
        <w:rPr>
          <w:rFonts w:ascii="Arial" w:cs="Arial" w:eastAsia="Arial" w:hAnsi="Arial"/>
          <w:sz w:val="16"/>
          <w:szCs w:val="16"/>
          <w:b w:val="1"/>
          <w:bCs w:val="1"/>
          <w:i w:val="1"/>
          <w:iCs w:val="1"/>
          <w:color w:val="auto"/>
        </w:rPr>
        <w:t>Amendment, Etc. of Indebtedness</w:t>
      </w:r>
      <w:r>
        <w:rPr>
          <w:rFonts w:ascii="Arial" w:cs="Arial" w:eastAsia="Arial" w:hAnsi="Arial"/>
          <w:sz w:val="16"/>
          <w:szCs w:val="16"/>
          <w:color w:val="auto"/>
        </w:rPr>
        <w:t>. Amend, modify or change in any manner any term or condition of any Indebtedness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Schedule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7.02</w:t>
      </w:r>
      <w:r>
        <w:rPr>
          <w:rFonts w:ascii="Arial" w:cs="Arial" w:eastAsia="Arial" w:hAnsi="Arial"/>
          <w:sz w:val="18"/>
          <w:szCs w:val="18"/>
          <w:color w:val="auto"/>
        </w:rPr>
        <w:t xml:space="preserve">, except for any amendment, refinancing, refunding, renewal or extension thereof permitted by </w:t>
      </w:r>
      <w:r>
        <w:rPr>
          <w:rFonts w:ascii="Arial" w:cs="Arial" w:eastAsia="Arial" w:hAnsi="Arial"/>
          <w:sz w:val="18"/>
          <w:szCs w:val="18"/>
          <w:u w:val="single" w:color="auto"/>
          <w:color w:val="auto"/>
        </w:rPr>
        <w:t>Section 7.02(e)</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7.17 </w:t>
      </w:r>
      <w:r>
        <w:rPr>
          <w:rFonts w:ascii="Arial" w:cs="Arial" w:eastAsia="Arial" w:hAnsi="Arial"/>
          <w:sz w:val="16"/>
          <w:szCs w:val="16"/>
          <w:b w:val="1"/>
          <w:bCs w:val="1"/>
          <w:i w:val="1"/>
          <w:iCs w:val="1"/>
          <w:color w:val="auto"/>
        </w:rPr>
        <w:t>Hazardous Materials</w:t>
      </w:r>
      <w:r>
        <w:rPr>
          <w:rFonts w:ascii="Arial" w:cs="Arial" w:eastAsia="Arial" w:hAnsi="Arial"/>
          <w:sz w:val="16"/>
          <w:szCs w:val="16"/>
          <w:color w:val="auto"/>
        </w:rPr>
        <w:t>. Cause or permit a Release of any Hazardous Material on, at, in, under, above, to, from or about any of the real estate owned, leased subleased or used by any Loan Party where such Release would (a) violate in any respect, or form the basis for any Environmental Liabilities under, any Environmental Laws or Environmental Permits or (b) otherwise adversely impact the value or marketability of any of such real estate or any of the Collateral, other than such violations or Environmental Liabilities that could not reasonably be expected to have a Material Adverse Effect.</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7.18 </w:t>
      </w:r>
      <w:r>
        <w:rPr>
          <w:rFonts w:ascii="Arial" w:cs="Arial" w:eastAsia="Arial" w:hAnsi="Arial"/>
          <w:sz w:val="18"/>
          <w:szCs w:val="18"/>
          <w:b w:val="1"/>
          <w:bCs w:val="1"/>
          <w:i w:val="1"/>
          <w:iCs w:val="1"/>
          <w:color w:val="auto"/>
        </w:rPr>
        <w:t>Cancellation of Indebtedness</w:t>
      </w:r>
      <w:r>
        <w:rPr>
          <w:rFonts w:ascii="Arial" w:cs="Arial" w:eastAsia="Arial" w:hAnsi="Arial"/>
          <w:sz w:val="18"/>
          <w:szCs w:val="18"/>
          <w:color w:val="auto"/>
        </w:rPr>
        <w:t>. Cancel any claim or debt owing to it, except for reasonable consideration negotiated on an arm's length basis and in the ordinary course of its business consistent with past practices.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7.19 </w:t>
      </w:r>
      <w:r>
        <w:rPr>
          <w:rFonts w:ascii="Arial" w:cs="Arial" w:eastAsia="Arial" w:hAnsi="Arial"/>
          <w:sz w:val="18"/>
          <w:szCs w:val="18"/>
          <w:b w:val="1"/>
          <w:bCs w:val="1"/>
          <w:i w:val="1"/>
          <w:iCs w:val="1"/>
          <w:color w:val="auto"/>
        </w:rPr>
        <w:t>No Speculative Transactions</w:t>
      </w:r>
      <w:r>
        <w:rPr>
          <w:rFonts w:ascii="Arial" w:cs="Arial" w:eastAsia="Arial" w:hAnsi="Arial"/>
          <w:sz w:val="18"/>
          <w:szCs w:val="18"/>
          <w:color w:val="auto"/>
        </w:rPr>
        <w:t>. Engage in any transaction involving commodity options, futures contracts or similar transactions, except solely to hedge against fluctuations in (a) the prices of commodities owned or purchased by it or (b) interest rates, provided any such transaction is consistent with the Loan Parties' hedging policies existing as of the Restatement Date.</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7.20 </w:t>
      </w:r>
      <w:r>
        <w:rPr>
          <w:rFonts w:ascii="Arial" w:cs="Arial" w:eastAsia="Arial" w:hAnsi="Arial"/>
          <w:sz w:val="17"/>
          <w:szCs w:val="17"/>
          <w:b w:val="1"/>
          <w:bCs w:val="1"/>
          <w:i w:val="1"/>
          <w:iCs w:val="1"/>
          <w:color w:val="auto"/>
        </w:rPr>
        <w:t>ERISA</w:t>
      </w:r>
      <w:r>
        <w:rPr>
          <w:rFonts w:ascii="Arial" w:cs="Arial" w:eastAsia="Arial" w:hAnsi="Arial"/>
          <w:sz w:val="17"/>
          <w:szCs w:val="17"/>
          <w:color w:val="auto"/>
        </w:rPr>
        <w:t>. Except as could not reasonably be expected to result in a Material Adverse Effect, the Borrower shall not, nor shall it permit any ERISA Affiliate to, cause or permit to occur (a) an event that could result in the imposition of a Lien under ERISA or (b) an ERISA Event.</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7.21 </w:t>
      </w:r>
      <w:r>
        <w:rPr>
          <w:rFonts w:ascii="Arial" w:cs="Arial" w:eastAsia="Arial" w:hAnsi="Arial"/>
          <w:sz w:val="17"/>
          <w:szCs w:val="17"/>
          <w:b w:val="1"/>
          <w:bCs w:val="1"/>
          <w:i w:val="1"/>
          <w:iCs w:val="1"/>
          <w:color w:val="auto"/>
        </w:rPr>
        <w:t>Sanctions</w:t>
      </w:r>
      <w:r>
        <w:rPr>
          <w:rFonts w:ascii="Arial" w:cs="Arial" w:eastAsia="Arial" w:hAnsi="Arial"/>
          <w:sz w:val="17"/>
          <w:szCs w:val="17"/>
          <w:color w:val="auto"/>
        </w:rPr>
        <w:t>. Directly or indirectly, use the proceeds of any Credit Extension, or lend, contribute or otherwise make available such proceeds to any Subsidiary or Affiliates,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Syndication Agent, Book Manager otherwise) of Sanctions.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104" w:name="page105"/>
    <w:bookmarkEnd w:id="104"/>
    <w:p>
      <w:pPr>
        <w:jc w:val="both"/>
        <w:ind w:firstLine="648"/>
        <w:spacing w:after="0" w:line="264" w:lineRule="auto"/>
        <w:rPr>
          <w:sz w:val="20"/>
          <w:szCs w:val="20"/>
          <w:color w:val="auto"/>
        </w:rPr>
      </w:pPr>
      <w:r>
        <w:rPr>
          <w:rFonts w:ascii="Arial" w:cs="Arial" w:eastAsia="Arial" w:hAnsi="Arial"/>
          <w:sz w:val="18"/>
          <w:szCs w:val="18"/>
          <w:color w:val="auto"/>
        </w:rPr>
        <w:t xml:space="preserve">7.22 </w:t>
      </w:r>
      <w:r>
        <w:rPr>
          <w:rFonts w:ascii="Arial" w:cs="Arial" w:eastAsia="Arial" w:hAnsi="Arial"/>
          <w:sz w:val="18"/>
          <w:szCs w:val="18"/>
          <w:b w:val="1"/>
          <w:bCs w:val="1"/>
          <w:i w:val="1"/>
          <w:iCs w:val="1"/>
          <w:color w:val="auto"/>
        </w:rPr>
        <w:t>Permitted Receivables Financing Subsidiaries</w:t>
      </w:r>
      <w:r>
        <w:rPr>
          <w:rFonts w:ascii="Arial" w:cs="Arial" w:eastAsia="Arial" w:hAnsi="Arial"/>
          <w:sz w:val="18"/>
          <w:szCs w:val="18"/>
          <w:color w:val="auto"/>
        </w:rPr>
        <w:t>. Permit any Permitted Receivables Financing Subsidiary to engage in any activities or to incur any Indebtedness, guaranty, Liens or any other obligations, in each case except as otherwise permitted under the definition of Permitted Receivables Financing Subsidiaries.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4"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t>ARTICLE VIII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EVENTS OF DEFAULT AND REMEDIES</w:t>
      </w:r>
    </w:p>
    <w:p>
      <w:pPr>
        <w:spacing w:after="0" w:line="21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b w:val="1"/>
          <w:bCs w:val="1"/>
          <w:i w:val="1"/>
          <w:iCs w:val="1"/>
          <w:color w:val="auto"/>
        </w:rPr>
        <w:t>Events of Default</w:t>
      </w:r>
      <w:r>
        <w:rPr>
          <w:rFonts w:ascii="Arial" w:cs="Arial" w:eastAsia="Arial" w:hAnsi="Arial"/>
          <w:sz w:val="16"/>
          <w:szCs w:val="16"/>
          <w:color w:val="auto"/>
        </w:rPr>
        <w:t>. Any one or more of the following events shall constitute an Event of Default:</w:t>
      </w:r>
    </w:p>
    <w:p>
      <w:pPr>
        <w:spacing w:after="0" w:line="225" w:lineRule="exact"/>
        <w:rPr>
          <w:sz w:val="20"/>
          <w:szCs w:val="20"/>
          <w:color w:val="auto"/>
        </w:rPr>
      </w:pPr>
    </w:p>
    <w:p>
      <w:pPr>
        <w:jc w:val="both"/>
        <w:ind w:firstLine="656"/>
        <w:spacing w:after="0" w:line="264" w:lineRule="auto"/>
        <w:tabs>
          <w:tab w:leader="none" w:pos="1068"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The Borrower or any other Loan Party fails to (i) pay when and as required to be paid herein, any amount of principal of any Loan, or (ii) pay within three Business Days after the same becomes due, any interest on any Loan, or any fee due hereunder, or (iii) pay within five days after the same becomes due, any other amount payable hereunder or under any other Loan Document; or</w:t>
      </w:r>
    </w:p>
    <w:p>
      <w:pPr>
        <w:spacing w:after="0" w:line="181" w:lineRule="exact"/>
        <w:rPr>
          <w:rFonts w:ascii="Arial" w:cs="Arial" w:eastAsia="Arial" w:hAnsi="Arial"/>
          <w:sz w:val="18"/>
          <w:szCs w:val="18"/>
          <w:color w:val="auto"/>
        </w:rPr>
      </w:pPr>
    </w:p>
    <w:p>
      <w:pPr>
        <w:ind w:firstLine="656"/>
        <w:spacing w:after="0" w:line="277" w:lineRule="auto"/>
        <w:tabs>
          <w:tab w:leader="none" w:pos="1079"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 xml:space="preserve">. The Borrower fails to perform or observe any term, covenant or agreement contained in any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w:t>
      </w:r>
      <w:r>
        <w:rPr>
          <w:rFonts w:ascii="Arial" w:cs="Arial" w:eastAsia="Arial" w:hAnsi="Arial"/>
          <w:sz w:val="18"/>
          <w:szCs w:val="18"/>
          <w:color w:val="auto"/>
        </w:rPr>
        <w:t xml:space="preserve">, </w:t>
      </w:r>
      <w:r>
        <w:rPr>
          <w:rFonts w:ascii="Arial" w:cs="Arial" w:eastAsia="Arial" w:hAnsi="Arial"/>
          <w:sz w:val="18"/>
          <w:szCs w:val="18"/>
          <w:u w:val="single" w:color="auto"/>
          <w:color w:val="auto"/>
        </w:rPr>
        <w:t>6.10</w:t>
      </w:r>
      <w:r>
        <w:rPr>
          <w:rFonts w:ascii="Arial" w:cs="Arial" w:eastAsia="Arial" w:hAnsi="Arial"/>
          <w:sz w:val="18"/>
          <w:szCs w:val="18"/>
          <w:color w:val="auto"/>
        </w:rPr>
        <w:t xml:space="preserve">,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w:t>
      </w:r>
      <w:r>
        <w:rPr>
          <w:rFonts w:ascii="Arial" w:cs="Arial" w:eastAsia="Arial" w:hAnsi="Arial"/>
          <w:sz w:val="18"/>
          <w:szCs w:val="18"/>
          <w:u w:val="single" w:color="auto"/>
          <w:color w:val="auto"/>
        </w:rPr>
        <w:t>6.14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8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xml:space="preserve">. Any Loan Party fails to perform or observe any other covenant or agreement (not specified in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contained in any Loan Document on its part to be performed or observed and such failure continues for 30 days after the earlier of the Borrower's knowledge thereof or notice thereof by the Administrative Agent to the Borrower; or</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065"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warranty, certification or statement of fact made or deemed made by or on behalf of any Loan Party herein, in any other Loan Document, or in any document required to be delivered in connection herewith or therewith shall be incorrect or misleading in any material respect (and in all respects if any such representation or warranty is already qualified by materiality) when made or deemed made; or</w:t>
      </w:r>
    </w:p>
    <w:p>
      <w:pPr>
        <w:spacing w:after="0" w:line="186" w:lineRule="exact"/>
        <w:rPr>
          <w:rFonts w:ascii="Arial" w:cs="Arial" w:eastAsia="Arial" w:hAnsi="Arial"/>
          <w:sz w:val="18"/>
          <w:szCs w:val="18"/>
          <w:color w:val="auto"/>
        </w:rPr>
      </w:pPr>
    </w:p>
    <w:p>
      <w:pPr>
        <w:jc w:val="both"/>
        <w:ind w:firstLine="656"/>
        <w:spacing w:after="0" w:line="288" w:lineRule="auto"/>
        <w:tabs>
          <w:tab w:leader="none" w:pos="1082"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The Borrower or any Material Subsidiary (A) fails to make any payment beyond the applicable grace period with respect thereto, if any (whether by scheduled maturity, required prepayment, acceleration, demand, or otherwise) in respect of any Indebtedness or Guarantee (other than Indebtedness hereunder), including the ABL Credit Agreement, having an aggregate principal amount (including undrawn committed or available amounts and including amounts owing to all creditors under any combined or syndicated credit arrangement) of more than the $5,000,000, or (B) fails to observe or perform any other agreement or condition relating to any such Indebtedness or Guarantee, including the ABL Credit Agreement,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w:t>
      </w:r>
    </w:p>
    <w:p>
      <w:pPr>
        <w:spacing w:after="0" w:line="169" w:lineRule="exact"/>
        <w:rPr>
          <w:rFonts w:ascii="Arial" w:cs="Arial" w:eastAsia="Arial" w:hAnsi="Arial"/>
          <w:sz w:val="16"/>
          <w:szCs w:val="16"/>
          <w:color w:val="auto"/>
        </w:rPr>
      </w:pPr>
    </w:p>
    <w:p>
      <w:pPr>
        <w:jc w:val="both"/>
        <w:ind w:firstLine="656"/>
        <w:spacing w:after="0" w:line="255" w:lineRule="auto"/>
        <w:tabs>
          <w:tab w:leader="none" w:pos="1049"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Any Loan Party or any Material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89" w:lineRule="exact"/>
        <w:rPr>
          <w:rFonts w:ascii="Arial" w:cs="Arial" w:eastAsia="Arial" w:hAnsi="Arial"/>
          <w:sz w:val="18"/>
          <w:szCs w:val="18"/>
          <w:color w:val="auto"/>
        </w:rPr>
      </w:pPr>
    </w:p>
    <w:p>
      <w:pPr>
        <w:jc w:val="both"/>
        <w:ind w:firstLine="656"/>
        <w:spacing w:after="0" w:line="286" w:lineRule="auto"/>
        <w:tabs>
          <w:tab w:leader="none" w:pos="1092"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Inability to Pay Debts; Attachment</w:t>
      </w:r>
      <w:r>
        <w:rPr>
          <w:rFonts w:ascii="Arial" w:cs="Arial" w:eastAsia="Arial" w:hAnsi="Arial"/>
          <w:sz w:val="17"/>
          <w:szCs w:val="17"/>
          <w:color w:val="auto"/>
        </w:rPr>
        <w:t>. (i) Any Loan Party or any Material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60 days after its issue or levy; or</w:t>
      </w:r>
    </w:p>
    <w:p>
      <w:pPr>
        <w:spacing w:after="0" w:line="165" w:lineRule="exact"/>
        <w:rPr>
          <w:rFonts w:ascii="Arial" w:cs="Arial" w:eastAsia="Arial" w:hAnsi="Arial"/>
          <w:sz w:val="17"/>
          <w:szCs w:val="17"/>
          <w:color w:val="auto"/>
        </w:rPr>
      </w:pPr>
    </w:p>
    <w:p>
      <w:pPr>
        <w:jc w:val="both"/>
        <w:ind w:firstLine="656"/>
        <w:spacing w:after="0" w:line="255" w:lineRule="auto"/>
        <w:tabs>
          <w:tab w:leader="none" w:pos="1079"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There is entered against any Loan Party or any Material Subsidiary (i) one or more final judgments or orders for the payment of money in an aggregate amount (as to all such judgments and orders) exceeding $5,000,000 (to the extent not covered by independent third-party insurance as to which the insurer has been notified of the potential claim and does not deny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60 consecutive days during which a stay of enforcement of such judgment, by reason of a pending appeal or otherwise, is not in effect; 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625" w:right="239" w:bottom="1440" w:gutter="0" w:footer="0" w:header="0"/>
        </w:sectPr>
      </w:pPr>
    </w:p>
    <w:bookmarkStart w:id="106" w:name="page107"/>
    <w:bookmarkEnd w:id="106"/>
    <w:p>
      <w:pPr>
        <w:jc w:val="both"/>
        <w:ind w:firstLine="656"/>
        <w:spacing w:after="0" w:line="257" w:lineRule="auto"/>
        <w:tabs>
          <w:tab w:leader="none" w:pos="102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Pension Plan or Multiemployer Plan which has resulted or could reasonably be expected to result in liability of any Loan Party or any Material Subsidiary under Title IV of ERISA to the Pension Plan, Multiemployer Plan or the PBGC in an aggregate amount in excess of $5,000,000, or (ii) the Borrower or any ERISA Affiliate fails to pay when due, after the expiration of any applicable grace period, any installment payment with respect to its withdrawal liability under Section 4201 of ERISA under a Multiemployer Plan in an aggregate amount in excess of $5,000,000; or</w:t>
      </w:r>
    </w:p>
    <w:p>
      <w:pPr>
        <w:spacing w:after="0" w:line="188" w:lineRule="exact"/>
        <w:rPr>
          <w:rFonts w:ascii="Arial" w:cs="Arial" w:eastAsia="Arial" w:hAnsi="Arial"/>
          <w:sz w:val="18"/>
          <w:szCs w:val="18"/>
          <w:color w:val="auto"/>
        </w:rPr>
      </w:pPr>
    </w:p>
    <w:p>
      <w:pPr>
        <w:jc w:val="both"/>
        <w:ind w:firstLine="656"/>
        <w:spacing w:after="0" w:line="273" w:lineRule="auto"/>
        <w:tabs>
          <w:tab w:leader="none" w:pos="1025"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Invalidity of Loan Documents</w:t>
      </w:r>
      <w:r>
        <w:rPr>
          <w:rFonts w:ascii="Arial" w:cs="Arial" w:eastAsia="Arial" w:hAnsi="Arial"/>
          <w:sz w:val="17"/>
          <w:szCs w:val="17"/>
          <w:color w:val="auto"/>
        </w:rPr>
        <w:t>. Any material provision of any Loan Document, at any time after its execution and delivery and for any reason other than as expressly permitted hereunder or thereunder or satisfaction in full of all the Obligations (other than contingent indemnification obligations as to which no claim has been asserted), ceases to be in full force and effect; or any Loan Party contests in writing the validity or enforceability of any provision of any Loan Document; or any Loan Party denies in writing that it has any or further liability or obligation under any provision of any Loan Document (other than as a result of repayment in full of the Obligations (other than contingent indemnification obligations as to which no claim has been asserted)), or purports in writing to revoke, terminate or rescind any provision of any Loan Document; or</w:t>
      </w:r>
    </w:p>
    <w:p>
      <w:pPr>
        <w:spacing w:after="0" w:line="178" w:lineRule="exact"/>
        <w:rPr>
          <w:rFonts w:ascii="Arial" w:cs="Arial" w:eastAsia="Arial" w:hAnsi="Arial"/>
          <w:sz w:val="17"/>
          <w:szCs w:val="17"/>
          <w:color w:val="auto"/>
        </w:rPr>
      </w:pPr>
    </w:p>
    <w:p>
      <w:pPr>
        <w:ind w:left="1040" w:hanging="384"/>
        <w:spacing w:after="0"/>
        <w:tabs>
          <w:tab w:leader="none" w:pos="104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 or</w:t>
      </w:r>
    </w:p>
    <w:p>
      <w:pPr>
        <w:spacing w:after="0" w:line="225" w:lineRule="exact"/>
        <w:rPr>
          <w:rFonts w:ascii="Arial" w:cs="Arial" w:eastAsia="Arial" w:hAnsi="Arial"/>
          <w:sz w:val="18"/>
          <w:szCs w:val="18"/>
          <w:color w:val="auto"/>
        </w:rPr>
      </w:pPr>
    </w:p>
    <w:p>
      <w:pPr>
        <w:jc w:val="both"/>
        <w:ind w:firstLine="656"/>
        <w:spacing w:after="0" w:line="302" w:lineRule="auto"/>
        <w:tabs>
          <w:tab w:leader="none" w:pos="998"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Collateral Documents</w:t>
      </w:r>
      <w:r>
        <w:rPr>
          <w:rFonts w:ascii="Arial" w:cs="Arial" w:eastAsia="Arial" w:hAnsi="Arial"/>
          <w:sz w:val="16"/>
          <w:szCs w:val="16"/>
          <w:color w:val="auto"/>
        </w:rPr>
        <w:t xml:space="preserve">. Any Collateral Document after delivery thereof pursuant to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6.12</w:t>
      </w:r>
      <w:r>
        <w:rPr>
          <w:rFonts w:ascii="Arial" w:cs="Arial" w:eastAsia="Arial" w:hAnsi="Arial"/>
          <w:sz w:val="16"/>
          <w:szCs w:val="16"/>
          <w:color w:val="auto"/>
        </w:rPr>
        <w:t xml:space="preserve"> shall for any reason (other than pursuant to the terms thereof) cease to create a valid and perfected first priority Lien (subject to Liens permitted by </w:t>
      </w:r>
      <w:r>
        <w:rPr>
          <w:rFonts w:ascii="Arial" w:cs="Arial" w:eastAsia="Arial" w:hAnsi="Arial"/>
          <w:sz w:val="16"/>
          <w:szCs w:val="16"/>
          <w:u w:val="single" w:color="auto"/>
          <w:color w:val="auto"/>
        </w:rPr>
        <w:t>Section 7.01</w:t>
      </w:r>
      <w:r>
        <w:rPr>
          <w:rFonts w:ascii="Arial" w:cs="Arial" w:eastAsia="Arial" w:hAnsi="Arial"/>
          <w:sz w:val="16"/>
          <w:szCs w:val="16"/>
          <w:color w:val="auto"/>
        </w:rPr>
        <w:t>, including the Liens granted on the ABL Priority Collateral) on any material Collateral purported to be covered thereby, except to the extent (i) that any such perfection or priority is not required by any Loan Document or (ii) except as to Collateral consisting of real property, any Liens referred to in the respective title insurance policy.</w:t>
      </w:r>
    </w:p>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b w:val="1"/>
          <w:bCs w:val="1"/>
          <w:i w:val="1"/>
          <w:iCs w:val="1"/>
          <w:color w:val="auto"/>
        </w:rPr>
        <w:t>Remedies upon Event of Default</w:t>
      </w:r>
      <w:r>
        <w:rPr>
          <w:rFonts w:ascii="Arial" w:cs="Arial" w:eastAsia="Arial" w:hAnsi="Arial"/>
          <w:sz w:val="18"/>
          <w:szCs w:val="18"/>
          <w:color w:val="auto"/>
        </w:rPr>
        <w:t>. If any Event of Default occurs and is continuing, the Administrative Agent shall, at the request of, or may, with the consent of, the Required Lenders, take any or all of the following actions:</w:t>
      </w:r>
    </w:p>
    <w:p>
      <w:pPr>
        <w:spacing w:after="0" w:line="170" w:lineRule="exact"/>
        <w:rPr>
          <w:sz w:val="20"/>
          <w:szCs w:val="20"/>
          <w:color w:val="auto"/>
        </w:rPr>
      </w:pPr>
    </w:p>
    <w:p>
      <w:pPr>
        <w:jc w:val="both"/>
        <w:ind w:firstLine="656"/>
        <w:spacing w:after="0" w:line="264" w:lineRule="auto"/>
        <w:tabs>
          <w:tab w:leader="none" w:pos="105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and</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12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exercise on behalf of itself and the Lenders all rights and remedies available to it and the Lenders under the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upon the occurrence of an actual or deemed entry of an order for relief with respect to the Borrower under the Bankruptcy Code, the unpaid principal amount of all outstanding Loans and all interest and other amounts as aforesaid shall automatically become due and payable without further act of the Administrative Agent or any Lender.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8.03 </w:t>
      </w:r>
      <w:r>
        <w:rPr>
          <w:rFonts w:ascii="Arial" w:cs="Arial" w:eastAsia="Arial" w:hAnsi="Arial"/>
          <w:sz w:val="18"/>
          <w:szCs w:val="18"/>
          <w:b w:val="1"/>
          <w:bCs w:val="1"/>
          <w:i w:val="1"/>
          <w:iCs w:val="1"/>
          <w:color w:val="auto"/>
        </w:rPr>
        <w:t>Application of Funds</w:t>
      </w:r>
      <w:r>
        <w:rPr>
          <w:rFonts w:ascii="Arial" w:cs="Arial" w:eastAsia="Arial" w:hAnsi="Arial"/>
          <w:sz w:val="18"/>
          <w:szCs w:val="18"/>
          <w:color w:val="auto"/>
        </w:rPr>
        <w:t xml:space="preserve">. Subject to the Intercreditor Agreement, after the exercise of remedies provided for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after the Loans have automatically become immediately due and payable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any amounts received on account of the Obligations shall be applied by the Administrative Agent in the following order:</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7"/>
          <w:szCs w:val="17"/>
          <w:u w:val="single" w:color="auto"/>
          <w:color w:val="auto"/>
        </w:rPr>
        <w:t>Article III</w:t>
      </w:r>
      <w:r>
        <w:rPr>
          <w:rFonts w:ascii="Arial" w:cs="Arial" w:eastAsia="Arial" w:hAnsi="Arial"/>
          <w:sz w:val="17"/>
          <w:szCs w:val="17"/>
          <w:color w:val="auto"/>
        </w:rPr>
        <w:t>) payable to the Administrative Agent in its capacity as such;</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Obligations constituting fees, indemnities and other amounts (other than principal and interest) payable to the Lenders (including fees, charges and disbursements of counsel to the respective Lenders (including fees and time charges for attorneys who may be employees of any Lender) arising under the Loan Documents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them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interest on the Loans and other Obligations arising under the Loan Documents, ratably among the Lenders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payment of that portion of the Obligations constituting unpaid principal of the Loans and Obligations then owing under Secured Hedge Agreements, ratably among the Lenders and the Hedge Banks in proportion to the respective amounts described in this clause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held by them;</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Last</w:t>
      </w:r>
      <w:r>
        <w:rPr>
          <w:rFonts w:ascii="Arial" w:cs="Arial" w:eastAsia="Arial" w:hAnsi="Arial"/>
          <w:sz w:val="17"/>
          <w:szCs w:val="17"/>
          <w:color w:val="auto"/>
        </w:rPr>
        <w:t>, the balance, if any, after all of the Obligations have been indefeasibly paid in full, to the Borrower or as otherwise required by Law.</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4" w:right="239" w:bottom="1440" w:gutter="0" w:footer="0" w:header="0"/>
        </w:sectPr>
      </w:pPr>
    </w:p>
    <w:bookmarkStart w:id="107" w:name="page108"/>
    <w:bookmarkEnd w:id="107"/>
    <w:p>
      <w:pPr>
        <w:jc w:val="both"/>
        <w:spacing w:after="0" w:line="257" w:lineRule="auto"/>
        <w:rPr>
          <w:sz w:val="20"/>
          <w:szCs w:val="20"/>
          <w:color w:val="auto"/>
        </w:rPr>
      </w:pPr>
      <w:r>
        <w:rPr>
          <w:rFonts w:ascii="Arial" w:cs="Arial" w:eastAsia="Arial" w:hAnsi="Arial"/>
          <w:sz w:val="18"/>
          <w:szCs w:val="18"/>
          <w:color w:val="auto"/>
        </w:rPr>
        <w:t xml:space="preserve">Notwithstanding the foregoing, Obligations arising under Secured Hedge Agreements shall be excluded from the application described above if the Administrative Agent has not received written notice thereof, together with such supporting documentation as the Administrative Agent may request, from the applicable Hedge Bank. Each Hedge Bank not a party to the Credit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hereof for itself and its Affiliates as if a “Lender” party hereto.</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4"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color w:val="auto"/>
        </w:rPr>
        <w:t>ARTICLE IX</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ADMINISTRATIVE AGENT</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b w:val="1"/>
          <w:bCs w:val="1"/>
          <w:i w:val="1"/>
          <w:iCs w:val="1"/>
          <w:color w:val="auto"/>
        </w:rPr>
        <w:t>Appointment and Authority</w:t>
      </w:r>
      <w:r>
        <w:rPr>
          <w:rFonts w:ascii="Arial" w:cs="Arial" w:eastAsia="Arial" w:hAnsi="Arial"/>
          <w:sz w:val="18"/>
          <w:szCs w:val="18"/>
          <w:color w:val="auto"/>
        </w:rPr>
        <w:t>. (n) Each of the Lenders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the Borrower shall not have rights as a third party beneficiary of any of such provisions.</w:t>
      </w:r>
    </w:p>
    <w:p>
      <w:pPr>
        <w:spacing w:after="0" w:line="188" w:lineRule="exact"/>
        <w:rPr>
          <w:sz w:val="20"/>
          <w:szCs w:val="20"/>
          <w:color w:val="auto"/>
        </w:rPr>
      </w:pPr>
    </w:p>
    <w:p>
      <w:pPr>
        <w:jc w:val="both"/>
        <w:ind w:firstLine="656"/>
        <w:spacing w:after="0" w:line="290" w:lineRule="auto"/>
        <w:tabs>
          <w:tab w:leader="none" w:pos="115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Administrative Agent shall also act as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xml:space="preserve">” under the Loan Documents, and each of the Lenders (including in its capacities as a potential Hedge Bank) hereby irrevocably appoints and authorizes the Administrative Agent to act as the agent of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 10.04(c)</w:t>
      </w:r>
      <w:r>
        <w:rPr>
          <w:rFonts w:ascii="Arial" w:cs="Arial" w:eastAsia="Arial" w:hAnsi="Arial"/>
          <w:sz w:val="16"/>
          <w:szCs w:val="16"/>
          <w:color w:val="auto"/>
        </w:rPr>
        <w:t>, as though such co-agents, sub-agents and attorneys-in-fact were the “collateral agent” under the Loan Documents) as if set forth in full herein with respect thereto.</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b w:val="1"/>
          <w:bCs w:val="1"/>
          <w:i w:val="1"/>
          <w:iCs w:val="1"/>
          <w:color w:val="auto"/>
        </w:rPr>
        <w:t>Rights as a Lender</w:t>
      </w:r>
      <w:r>
        <w:rPr>
          <w:rFonts w:ascii="Arial" w:cs="Arial" w:eastAsia="Arial" w:hAnsi="Arial"/>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9.03 </w:t>
      </w:r>
      <w:r>
        <w:rPr>
          <w:rFonts w:ascii="Arial" w:cs="Arial" w:eastAsia="Arial" w:hAnsi="Arial"/>
          <w:sz w:val="18"/>
          <w:szCs w:val="18"/>
          <w:b w:val="1"/>
          <w:bCs w:val="1"/>
          <w:i w:val="1"/>
          <w:iCs w:val="1"/>
          <w:color w:val="auto"/>
        </w:rPr>
        <w:t>Exculpatory Provisions</w:t>
      </w:r>
      <w:r>
        <w:rPr>
          <w:rFonts w:ascii="Arial" w:cs="Arial" w:eastAsia="Arial" w:hAnsi="Arial"/>
          <w:sz w:val="18"/>
          <w:szCs w:val="18"/>
          <w:color w:val="auto"/>
        </w:rPr>
        <w:t>. The Administrative Agent shall not have any duties or obligations except those expressly set forth herein and in the other Loan Documents. Without limiting the generality of the foregoing, the Administrative Agent:</w:t>
      </w:r>
    </w:p>
    <w:p>
      <w:pPr>
        <w:spacing w:after="0" w:line="170" w:lineRule="exact"/>
        <w:rPr>
          <w:sz w:val="20"/>
          <w:szCs w:val="20"/>
          <w:color w:val="auto"/>
        </w:rPr>
      </w:pPr>
    </w:p>
    <w:p>
      <w:pPr>
        <w:ind w:left="1040" w:hanging="384"/>
        <w:spacing w:after="0"/>
        <w:tabs>
          <w:tab w:leader="none" w:pos="10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05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188" w:lineRule="exact"/>
        <w:rPr>
          <w:rFonts w:ascii="Arial" w:cs="Arial" w:eastAsia="Arial" w:hAnsi="Arial"/>
          <w:sz w:val="18"/>
          <w:szCs w:val="18"/>
          <w:color w:val="auto"/>
        </w:rPr>
      </w:pPr>
    </w:p>
    <w:p>
      <w:pPr>
        <w:jc w:val="both"/>
        <w:ind w:firstLine="656"/>
        <w:spacing w:after="0" w:line="264" w:lineRule="auto"/>
        <w:tabs>
          <w:tab w:leader="none" w:pos="103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11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Sections 10.01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8.02</w:t>
      </w:r>
      <w:r>
        <w:rPr>
          <w:rFonts w:ascii="Arial" w:cs="Arial" w:eastAsia="Arial" w:hAnsi="Arial"/>
          <w:sz w:val="18"/>
          <w:szCs w:val="18"/>
          <w:color w:val="auto"/>
        </w:rPr>
        <w:t>) or (ii) in the absence of its own gross negligence or willful misconduct. The Administrative Agent shall be deemed not to have knowledge of any Default unless and until notice describing such Default is given to the Administrative Agent by the Borrower or a Lender.</w:t>
      </w:r>
    </w:p>
    <w:p>
      <w:pPr>
        <w:spacing w:after="0" w:line="188" w:lineRule="exact"/>
        <w:rPr>
          <w:rFonts w:ascii="Arial" w:cs="Arial" w:eastAsia="Arial" w:hAnsi="Arial"/>
          <w:sz w:val="18"/>
          <w:szCs w:val="18"/>
          <w:color w:val="auto"/>
        </w:rPr>
      </w:pPr>
    </w:p>
    <w:p>
      <w:pPr>
        <w:jc w:val="both"/>
        <w:ind w:firstLine="656"/>
        <w:spacing w:after="0" w:line="259" w:lineRule="auto"/>
        <w:tabs>
          <w:tab w:leader="none" w:pos="103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25" w:right="239" w:bottom="1440" w:gutter="0" w:footer="0" w:header="0"/>
        </w:sectPr>
      </w:pPr>
    </w:p>
    <w:bookmarkStart w:id="109" w:name="page110"/>
    <w:bookmarkEnd w:id="109"/>
    <w:p>
      <w:pPr>
        <w:jc w:val="both"/>
        <w:spacing w:after="0" w:line="259" w:lineRule="auto"/>
        <w:rPr>
          <w:sz w:val="20"/>
          <w:szCs w:val="20"/>
          <w:color w:val="auto"/>
        </w:rPr>
      </w:pPr>
      <w:r>
        <w:rPr>
          <w:rFonts w:ascii="Arial" w:cs="Arial" w:eastAsia="Arial" w:hAnsi="Arial"/>
          <w:sz w:val="18"/>
          <w:szCs w:val="18"/>
          <w:color w:val="auto"/>
        </w:rPr>
        <w:t xml:space="preserve">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 the satisfaction of any condition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elsewhere herein, other than to confirm receipt of items expressly required to be delivered to the Administrative Agent.</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9.04 </w:t>
      </w:r>
      <w:r>
        <w:rPr>
          <w:rFonts w:ascii="Arial" w:cs="Arial" w:eastAsia="Arial" w:hAnsi="Arial"/>
          <w:sz w:val="17"/>
          <w:szCs w:val="17"/>
          <w:b w:val="1"/>
          <w:bCs w:val="1"/>
          <w:i w:val="1"/>
          <w:iCs w:val="1"/>
          <w:color w:val="auto"/>
        </w:rPr>
        <w:t>Reliance by Administrative Agent</w:t>
      </w:r>
      <w:r>
        <w:rPr>
          <w:rFonts w:ascii="Arial" w:cs="Arial" w:eastAsia="Arial" w:hAnsi="Arial"/>
          <w:sz w:val="17"/>
          <w:szCs w:val="17"/>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9.05 </w:t>
      </w:r>
      <w:r>
        <w:rPr>
          <w:rFonts w:ascii="Arial" w:cs="Arial" w:eastAsia="Arial" w:hAnsi="Arial"/>
          <w:sz w:val="16"/>
          <w:szCs w:val="16"/>
          <w:b w:val="1"/>
          <w:bCs w:val="1"/>
          <w:i w:val="1"/>
          <w:iCs w:val="1"/>
          <w:color w:val="auto"/>
        </w:rPr>
        <w:t>Delegation of Duties</w:t>
      </w:r>
      <w:r>
        <w:rPr>
          <w:rFonts w:ascii="Arial" w:cs="Arial" w:eastAsia="Arial" w:hAnsi="Arial"/>
          <w:sz w:val="16"/>
          <w:szCs w:val="16"/>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5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9.06 </w:t>
      </w:r>
      <w:r>
        <w:rPr>
          <w:rFonts w:ascii="Arial" w:cs="Arial" w:eastAsia="Arial" w:hAnsi="Arial"/>
          <w:sz w:val="17"/>
          <w:szCs w:val="17"/>
          <w:b w:val="1"/>
          <w:bCs w:val="1"/>
          <w:i w:val="1"/>
          <w:iCs w:val="1"/>
          <w:color w:val="auto"/>
        </w:rPr>
        <w:t>Resignation of Administrative Agent</w:t>
      </w:r>
      <w:r>
        <w:rPr>
          <w:rFonts w:ascii="Arial" w:cs="Arial" w:eastAsia="Arial" w:hAnsi="Arial"/>
          <w:sz w:val="17"/>
          <w:szCs w:val="17"/>
          <w:color w:val="auto"/>
        </w:rPr>
        <w:t xml:space="preserve">. The Administrative Agent may at any time give notice of its resignation to the Lenders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appoint a successor Administrative Agent meeting the qualifications set forth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Lenders under any of the Loan Documents, the retiring Administrative Agent shall continue to hold such collateral security until such time as a successor Administrative Agent is appointed) and (b) all payments, communications and determinations provided to be made by, to or through the Administrative Agent shall instead be made by or to each Lender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Article and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9.07 </w:t>
      </w:r>
      <w:r>
        <w:rPr>
          <w:rFonts w:ascii="Arial" w:cs="Arial" w:eastAsia="Arial" w:hAnsi="Arial"/>
          <w:sz w:val="18"/>
          <w:szCs w:val="18"/>
          <w:b w:val="1"/>
          <w:bCs w:val="1"/>
          <w:i w:val="1"/>
          <w:iCs w:val="1"/>
          <w:color w:val="auto"/>
        </w:rPr>
        <w:t>Non-Reliance on Administrative Agent and Other Lenders</w:t>
      </w:r>
      <w:r>
        <w:rPr>
          <w:rFonts w:ascii="Arial" w:cs="Arial" w:eastAsia="Arial" w:hAnsi="Arial"/>
          <w:sz w:val="18"/>
          <w:szCs w:val="18"/>
          <w:color w:val="auto"/>
        </w:rPr>
        <w:t>.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9.08 </w:t>
      </w:r>
      <w:r>
        <w:rPr>
          <w:rFonts w:ascii="Arial" w:cs="Arial" w:eastAsia="Arial" w:hAnsi="Arial"/>
          <w:sz w:val="18"/>
          <w:szCs w:val="18"/>
          <w:b w:val="1"/>
          <w:bCs w:val="1"/>
          <w:i w:val="1"/>
          <w:iCs w:val="1"/>
          <w:color w:val="auto"/>
        </w:rPr>
        <w:t>No Other Duties, Etc.</w:t>
      </w:r>
      <w:r>
        <w:rPr>
          <w:rFonts w:ascii="Arial" w:cs="Arial" w:eastAsia="Arial" w:hAnsi="Arial"/>
          <w:sz w:val="18"/>
          <w:szCs w:val="18"/>
          <w:color w:val="auto"/>
        </w:rPr>
        <w:t xml:space="preserve"> Anything herein to the contrary notwithstanding, none of the Arrangers, the Syndication Agents or the Book Manager listed on the cover page hereof shall have any powers, duties or responsibilities under this Agreement or any of the other Loan Documents, except in its capacity, as applicable, as the Administrative Agent or a Lender.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4" w:right="239" w:bottom="1440" w:gutter="0" w:footer="0" w:header="0"/>
        </w:sectPr>
      </w:pPr>
    </w:p>
    <w:bookmarkStart w:id="110" w:name="page111"/>
    <w:bookmarkEnd w:id="110"/>
    <w:p>
      <w:pPr>
        <w:jc w:val="both"/>
        <w:ind w:firstLine="648"/>
        <w:spacing w:after="0" w:line="259" w:lineRule="auto"/>
        <w:rPr>
          <w:sz w:val="20"/>
          <w:szCs w:val="20"/>
          <w:color w:val="auto"/>
        </w:rPr>
      </w:pPr>
      <w:r>
        <w:rPr>
          <w:rFonts w:ascii="Arial" w:cs="Arial" w:eastAsia="Arial" w:hAnsi="Arial"/>
          <w:sz w:val="18"/>
          <w:szCs w:val="18"/>
          <w:color w:val="auto"/>
        </w:rPr>
        <w:t xml:space="preserve">9.09 </w:t>
      </w:r>
      <w:r>
        <w:rPr>
          <w:rFonts w:ascii="Arial" w:cs="Arial" w:eastAsia="Arial" w:hAnsi="Arial"/>
          <w:sz w:val="18"/>
          <w:szCs w:val="18"/>
          <w:b w:val="1"/>
          <w:bCs w:val="1"/>
          <w:i w:val="1"/>
          <w:iCs w:val="1"/>
          <w:color w:val="auto"/>
        </w:rPr>
        <w:t>Administrative Agent May File Proofs of Claim</w:t>
      </w:r>
      <w:r>
        <w:rPr>
          <w:rFonts w:ascii="Arial" w:cs="Arial" w:eastAsia="Arial" w:hAnsi="Arial"/>
          <w:sz w:val="18"/>
          <w:szCs w:val="18"/>
          <w:color w:val="auto"/>
        </w:rPr>
        <w:t>. In case of the pendency of any proceeding under any Debtor Relief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7" w:lineRule="exact"/>
        <w:rPr>
          <w:sz w:val="20"/>
          <w:szCs w:val="20"/>
          <w:color w:val="auto"/>
        </w:rPr>
      </w:pPr>
    </w:p>
    <w:p>
      <w:pPr>
        <w:jc w:val="both"/>
        <w:ind w:firstLine="656"/>
        <w:spacing w:after="0" w:line="257" w:lineRule="auto"/>
        <w:tabs>
          <w:tab w:leader="none" w:pos="105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8"/>
          <w:szCs w:val="18"/>
          <w:u w:val="single" w:color="auto"/>
          <w:color w:val="auto"/>
        </w:rPr>
        <w:t>Sections 2.07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 allowed in such judicial proceeding; and</w:t>
      </w:r>
    </w:p>
    <w:p>
      <w:pPr>
        <w:spacing w:after="0" w:line="188" w:lineRule="exact"/>
        <w:rPr>
          <w:rFonts w:ascii="Arial" w:cs="Arial" w:eastAsia="Arial" w:hAnsi="Arial"/>
          <w:sz w:val="18"/>
          <w:szCs w:val="18"/>
          <w:color w:val="auto"/>
        </w:rPr>
      </w:pPr>
    </w:p>
    <w:p>
      <w:pPr>
        <w:ind w:left="1040" w:hanging="384"/>
        <w:spacing w:after="0"/>
        <w:tabs>
          <w:tab w:leader="none" w:pos="10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7"/>
          <w:szCs w:val="17"/>
          <w:u w:val="single" w:color="auto"/>
          <w:color w:val="auto"/>
        </w:rPr>
        <w:t>Sections 2.07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10.04</w:t>
      </w:r>
      <w:r>
        <w:rPr>
          <w:rFonts w:ascii="Arial" w:cs="Arial" w:eastAsia="Arial" w:hAnsi="Arial"/>
          <w:sz w:val="17"/>
          <w:szCs w:val="17"/>
          <w:color w:val="auto"/>
        </w:rPr>
        <w:t>.</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or in any such proceeding.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b w:val="1"/>
          <w:bCs w:val="1"/>
          <w:i w:val="1"/>
          <w:iCs w:val="1"/>
          <w:color w:val="auto"/>
        </w:rPr>
        <w:t>Collateral and Guaranty Matters</w:t>
      </w:r>
      <w:r>
        <w:rPr>
          <w:rFonts w:ascii="Arial" w:cs="Arial" w:eastAsia="Arial" w:hAnsi="Arial"/>
          <w:sz w:val="18"/>
          <w:szCs w:val="18"/>
          <w:color w:val="auto"/>
        </w:rPr>
        <w:t>. Each of the Lenders (including in its capacities as a potential Hedge Bank) irrevocably authorize the Administrative Agent, at its option and in its discretion,</w:t>
      </w:r>
    </w:p>
    <w:p>
      <w:pPr>
        <w:spacing w:after="0" w:line="170" w:lineRule="exact"/>
        <w:rPr>
          <w:sz w:val="20"/>
          <w:szCs w:val="20"/>
          <w:color w:val="auto"/>
        </w:rPr>
      </w:pPr>
    </w:p>
    <w:p>
      <w:pPr>
        <w:jc w:val="both"/>
        <w:ind w:firstLine="656"/>
        <w:spacing w:after="0" w:line="264" w:lineRule="auto"/>
        <w:tabs>
          <w:tab w:leader="none" w:pos="106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to release any Lien on any property granted to or held by the Administrative Agent under any Loan Document (i) upon payment in full of all Obligations (other than contingent indemnification obligations), (ii) that is sold or to be sold as part of or in connection with any sale permitted hereunder or under any other Loan Document, or (iii) if approved, authorized or ratified in writing in accordance with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firstLine="656"/>
        <w:spacing w:after="0" w:line="277" w:lineRule="auto"/>
        <w:tabs>
          <w:tab w:leader="none" w:pos="105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release any Guarantor from its obligations under the Guaranty if such Person ceases to be a Subsidiary as a result of a transaction permitted hereunder; and</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3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8"/>
          <w:szCs w:val="18"/>
          <w:u w:val="single" w:color="auto"/>
          <w:color w:val="auto"/>
        </w:rPr>
        <w:t>Section 7.01(j)</w:t>
      </w:r>
      <w:r>
        <w:rPr>
          <w:rFonts w:ascii="Arial" w:cs="Arial" w:eastAsia="Arial" w:hAnsi="Arial"/>
          <w:sz w:val="18"/>
          <w:szCs w:val="18"/>
          <w:color w:val="auto"/>
        </w:rPr>
        <w:t xml:space="preserve"> (or to release any such Lien if the respective holder of a Lien on such property will not agree to a subordination agreement).</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In each case as specified in this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Arial" w:cs="Arial" w:eastAsia="Arial" w:hAnsi="Arial"/>
          <w:sz w:val="17"/>
          <w:szCs w:val="17"/>
          <w:u w:val="single" w:color="auto"/>
          <w:color w:val="auto"/>
        </w:rPr>
        <w:t>Section 9.10</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b w:val="1"/>
          <w:bCs w:val="1"/>
          <w:i w:val="1"/>
          <w:iCs w:val="1"/>
          <w:color w:val="auto"/>
        </w:rPr>
        <w:t>Secured Hedge Agreements</w:t>
      </w:r>
      <w:r>
        <w:rPr>
          <w:rFonts w:ascii="Arial" w:cs="Arial" w:eastAsia="Arial" w:hAnsi="Arial"/>
          <w:sz w:val="17"/>
          <w:szCs w:val="17"/>
          <w:color w:val="auto"/>
        </w:rPr>
        <w:t xml:space="preserve">. No Hedge Bank that obtains the benefits of </w:t>
      </w:r>
      <w:r>
        <w:rPr>
          <w:rFonts w:ascii="Arial" w:cs="Arial" w:eastAsia="Arial" w:hAnsi="Arial"/>
          <w:sz w:val="17"/>
          <w:szCs w:val="17"/>
          <w:u w:val="single" w:color="auto"/>
          <w:color w:val="auto"/>
        </w:rPr>
        <w:t>Section 8.03</w:t>
      </w:r>
      <w:r>
        <w:rPr>
          <w:rFonts w:ascii="Arial" w:cs="Arial" w:eastAsia="Arial" w:hAnsi="Arial"/>
          <w:sz w:val="17"/>
          <w:szCs w:val="17"/>
          <w:color w:val="auto"/>
        </w:rPr>
        <w:t>,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IX to the contrary, the Administrative Agent shall not be required to verify the payment of, or that other satisfactory arrangements have been made with respect to, Obligations arising under Secured Hedge Agreements unless the Administrative Agent has received written notice of such Obligations, together with such supporting documentation as the Administrative Agent may request, from the applicable Hedge Bank.</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color w:val="auto"/>
        </w:rPr>
        <w:t>ARTICLE X</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10.01 </w:t>
      </w:r>
      <w:r>
        <w:rPr>
          <w:rFonts w:ascii="Arial" w:cs="Arial" w:eastAsia="Arial" w:hAnsi="Arial"/>
          <w:sz w:val="17"/>
          <w:szCs w:val="17"/>
          <w:b w:val="1"/>
          <w:bCs w:val="1"/>
          <w:i w:val="1"/>
          <w:iCs w:val="1"/>
          <w:color w:val="auto"/>
        </w:rPr>
        <w:t>Amendments, Etc.</w:t>
      </w:r>
      <w:r>
        <w:rPr>
          <w:rFonts w:ascii="Arial" w:cs="Arial" w:eastAsia="Arial" w:hAnsi="Arial"/>
          <w:sz w:val="17"/>
          <w:szCs w:val="17"/>
          <w:color w:val="auto"/>
        </w:rPr>
        <w:t xml:space="preserve">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amendment, waiver or consent shall:</w:t>
      </w:r>
    </w:p>
    <w:p>
      <w:pPr>
        <w:spacing w:after="0" w:line="171" w:lineRule="exact"/>
        <w:rPr>
          <w:sz w:val="20"/>
          <w:szCs w:val="20"/>
          <w:color w:val="auto"/>
        </w:rPr>
      </w:pPr>
    </w:p>
    <w:p>
      <w:pPr>
        <w:ind w:firstLine="656"/>
        <w:spacing w:after="0" w:line="277" w:lineRule="auto"/>
        <w:tabs>
          <w:tab w:leader="none" w:pos="10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4.01(b)(i)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or, in the case of the initial Credit Extension, </w:t>
      </w:r>
      <w:r>
        <w:rPr>
          <w:rFonts w:ascii="Arial" w:cs="Arial" w:eastAsia="Arial" w:hAnsi="Arial"/>
          <w:sz w:val="18"/>
          <w:szCs w:val="18"/>
          <w:u w:val="single" w:color="auto"/>
          <w:color w:val="auto"/>
        </w:rPr>
        <w:t>Section 4.02</w:t>
      </w:r>
      <w:r>
        <w:rPr>
          <w:rFonts w:ascii="Arial" w:cs="Arial" w:eastAsia="Arial" w:hAnsi="Arial"/>
          <w:sz w:val="18"/>
          <w:szCs w:val="18"/>
          <w:color w:val="auto"/>
        </w:rPr>
        <w:t>, without the written consent of each Lender;</w:t>
      </w:r>
    </w:p>
    <w:p>
      <w:pPr>
        <w:spacing w:after="0" w:line="170" w:lineRule="exact"/>
        <w:rPr>
          <w:rFonts w:ascii="Arial" w:cs="Arial" w:eastAsia="Arial" w:hAnsi="Arial"/>
          <w:sz w:val="18"/>
          <w:szCs w:val="18"/>
          <w:color w:val="auto"/>
        </w:rPr>
      </w:pPr>
    </w:p>
    <w:p>
      <w:pPr>
        <w:ind w:firstLine="656"/>
        <w:spacing w:after="0" w:line="277" w:lineRule="auto"/>
        <w:tabs>
          <w:tab w:leader="none" w:pos="106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clause (a) above, waive any condition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as to any Credit Extension under a particular Facility without the written consent of the Required Lenders;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extend or increase the Commitment of any Lender without the written consent of such Lender;</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0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postpone any date fixed by this Agreement (including extension of the Maturity Date) or any other Loan Document for any payment (excluding mandatory prepayments) of principal, interest, fees or other amounts due to the Lenders (or any of them) hereunder or under such other Loan Document without the written consent of each Lender entitled to such payment;</w:t>
      </w:r>
    </w:p>
    <w:p>
      <w:pPr>
        <w:spacing w:after="0" w:line="181" w:lineRule="exact"/>
        <w:rPr>
          <w:rFonts w:ascii="Arial" w:cs="Arial" w:eastAsia="Arial" w:hAnsi="Arial"/>
          <w:sz w:val="18"/>
          <w:szCs w:val="18"/>
          <w:color w:val="auto"/>
        </w:rPr>
      </w:pPr>
    </w:p>
    <w:p>
      <w:pPr>
        <w:jc w:val="both"/>
        <w:ind w:firstLine="656"/>
        <w:spacing w:after="0" w:line="286" w:lineRule="auto"/>
        <w:tabs>
          <w:tab w:leader="none" w:pos="1043"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reduce the principal of, or the rate of interest specified herein on, any Loan, or any fees or other amounts payable hereunder or under any other Loan Document without the written consent of each Lender entitled to such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only the consent of the Required Lenders shall be necessary to amend the definition of “Default Rate” or to waive any obligation of the Borrower to pay interest at the Default Rate;</w:t>
      </w:r>
    </w:p>
    <w:p>
      <w:pPr>
        <w:spacing w:after="0" w:line="165" w:lineRule="exact"/>
        <w:rPr>
          <w:rFonts w:ascii="Arial" w:cs="Arial" w:eastAsia="Arial" w:hAnsi="Arial"/>
          <w:sz w:val="17"/>
          <w:szCs w:val="17"/>
          <w:color w:val="auto"/>
        </w:rPr>
      </w:pPr>
    </w:p>
    <w:p>
      <w:pPr>
        <w:jc w:val="both"/>
        <w:ind w:firstLine="656"/>
        <w:spacing w:after="0" w:line="259"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change (i)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in a manner that would alter the pro rata sharing of payments required thereby without the written consent of each Lender or (ii) the order of application of any prepayment of Loans among the Facilities from the application thereof set forth in the applicable provisions of </w:t>
      </w:r>
      <w:r>
        <w:rPr>
          <w:rFonts w:ascii="Arial" w:cs="Arial" w:eastAsia="Arial" w:hAnsi="Arial"/>
          <w:sz w:val="18"/>
          <w:szCs w:val="18"/>
          <w:u w:val="single" w:color="auto"/>
          <w:color w:val="auto"/>
        </w:rPr>
        <w:t>Section 2.03(b)</w:t>
      </w:r>
      <w:r>
        <w:rPr>
          <w:rFonts w:ascii="Arial" w:cs="Arial" w:eastAsia="Arial" w:hAnsi="Arial"/>
          <w:sz w:val="18"/>
          <w:szCs w:val="18"/>
          <w:color w:val="auto"/>
        </w:rPr>
        <w:t>, in any manner that materially and adversely affects the Lenders under a Facility without the written consent of the Required Lenders of such Facility;</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06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change (i) any provision of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(other than the definitions specified in clause (ii) of this </w:t>
      </w:r>
      <w:r>
        <w:rPr>
          <w:rFonts w:ascii="Arial" w:cs="Arial" w:eastAsia="Arial" w:hAnsi="Arial"/>
          <w:sz w:val="18"/>
          <w:szCs w:val="18"/>
          <w:u w:val="single" w:color="auto"/>
          <w:color w:val="auto"/>
        </w:rPr>
        <w:t>Section 10.01(g)</w:t>
      </w:r>
      <w:r>
        <w:rPr>
          <w:rFonts w:ascii="Arial" w:cs="Arial" w:eastAsia="Arial" w:hAnsi="Arial"/>
          <w:sz w:val="18"/>
          <w:szCs w:val="18"/>
          <w:color w:val="auto"/>
        </w:rPr>
        <w:t>), without the written consent of each Lender or (ii) the definition of “Required Lenders” without the written consent of each Lender under the Facility;</w:t>
      </w:r>
    </w:p>
    <w:p>
      <w:pPr>
        <w:spacing w:after="0" w:line="186" w:lineRule="exact"/>
        <w:rPr>
          <w:rFonts w:ascii="Arial" w:cs="Arial" w:eastAsia="Arial" w:hAnsi="Arial"/>
          <w:sz w:val="18"/>
          <w:szCs w:val="18"/>
          <w:color w:val="auto"/>
        </w:rPr>
      </w:pPr>
    </w:p>
    <w:p>
      <w:pPr>
        <w:ind w:left="1040" w:hanging="384"/>
        <w:spacing w:after="0"/>
        <w:tabs>
          <w:tab w:leader="none" w:pos="10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release all or substantially all of the Collateral in any transaction or series of related transactions, without the written consent of each Lender;</w:t>
      </w:r>
    </w:p>
    <w:p>
      <w:pPr>
        <w:spacing w:after="0" w:line="248" w:lineRule="exact"/>
        <w:rPr>
          <w:rFonts w:ascii="Arial" w:cs="Arial" w:eastAsia="Arial" w:hAnsi="Arial"/>
          <w:sz w:val="16"/>
          <w:szCs w:val="16"/>
          <w:color w:val="auto"/>
        </w:rPr>
      </w:pPr>
    </w:p>
    <w:p>
      <w:pPr>
        <w:ind w:right="20" w:firstLine="656"/>
        <w:spacing w:after="0" w:line="342" w:lineRule="auto"/>
        <w:tabs>
          <w:tab w:leader="none" w:pos="103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release all or substantially all of the value of the Guaranty, without the written consent of each Lender, except to the extent the release of any Subsidiary from the Guaranty is permitted pursuant to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(in which case such release may be made by the Administrative Agent acting alone); or</w:t>
      </w:r>
    </w:p>
    <w:p>
      <w:pPr>
        <w:spacing w:after="0" w:line="123" w:lineRule="exact"/>
        <w:rPr>
          <w:rFonts w:ascii="Arial" w:cs="Arial" w:eastAsia="Arial" w:hAnsi="Arial"/>
          <w:sz w:val="16"/>
          <w:szCs w:val="16"/>
          <w:color w:val="auto"/>
        </w:rPr>
      </w:pPr>
    </w:p>
    <w:p>
      <w:pPr>
        <w:ind w:right="20" w:firstLine="656"/>
        <w:spacing w:after="0" w:line="277" w:lineRule="auto"/>
        <w:tabs>
          <w:tab w:leader="none" w:pos="105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impose any greater restriction on the ability of any Lender under the Facility to assign any of its rights or obligations hereunder without the written consent of the Required Lenders;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amendment, waiver or consent shall, unless in writing and signed by the Administrative Agent in addition to the Lenders required above, affect the rights or duties of the Administrative Agent under this Agreement or any other Loan Document. Notwithstanding anything to the contrary herein, no Defaulting Lender shall have any right to approve or disapprove any amendment, waiver or consent hereunder. In addition, notwithstanding the foregoing, this Agreement may be amended with the written consent of the Administrative Agent, the Borrower and the Additional Lenders providing the relevant Additional Loans and/or Additional Commitments to permit the Additional Facility Amendment in accordance with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the event the Borrower replaces a Non-Consenting Lender in accordance with </w:t>
      </w:r>
      <w:r>
        <w:rPr>
          <w:rFonts w:ascii="Arial" w:cs="Arial" w:eastAsia="Arial" w:hAnsi="Arial"/>
          <w:sz w:val="18"/>
          <w:szCs w:val="18"/>
          <w:u w:val="single" w:color="auto"/>
          <w:color w:val="auto"/>
        </w:rPr>
        <w:t>Section 10.13</w:t>
      </w:r>
      <w:r>
        <w:rPr>
          <w:rFonts w:ascii="Arial" w:cs="Arial" w:eastAsia="Arial" w:hAnsi="Arial"/>
          <w:sz w:val="18"/>
          <w:szCs w:val="18"/>
          <w:color w:val="auto"/>
        </w:rPr>
        <w:t>, such amendment, waiver, consent or release can be effected as a result of the assignment contemplated by such Section (together with all other such assignments required by the Borrower to be made pursuant to this paragraph).</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625" w:right="239" w:bottom="1440" w:gutter="0" w:footer="0" w:header="0"/>
        </w:sectPr>
      </w:pPr>
    </w:p>
    <w:bookmarkStart w:id="112" w:name="page113"/>
    <w:bookmarkEnd w:id="112"/>
    <w:p>
      <w:pPr>
        <w:jc w:val="both"/>
        <w:ind w:firstLine="648"/>
        <w:spacing w:after="0" w:line="302" w:lineRule="auto"/>
        <w:rPr>
          <w:sz w:val="20"/>
          <w:szCs w:val="20"/>
          <w:color w:val="auto"/>
        </w:rPr>
      </w:pPr>
      <w:r>
        <w:rPr>
          <w:rFonts w:ascii="Arial" w:cs="Arial" w:eastAsia="Arial" w:hAnsi="Arial"/>
          <w:sz w:val="16"/>
          <w:szCs w:val="16"/>
          <w:color w:val="auto"/>
        </w:rPr>
        <w:t xml:space="preserve">10.02 </w:t>
      </w:r>
      <w:r>
        <w:rPr>
          <w:rFonts w:ascii="Arial" w:cs="Arial" w:eastAsia="Arial" w:hAnsi="Arial"/>
          <w:sz w:val="16"/>
          <w:szCs w:val="16"/>
          <w:b w:val="1"/>
          <w:bCs w:val="1"/>
          <w:i w:val="1"/>
          <w:iCs w:val="1"/>
          <w:color w:val="auto"/>
        </w:rPr>
        <w:t>Notices; Effectiveness; Electronic Communications</w:t>
      </w:r>
      <w:r>
        <w:rPr>
          <w:rFonts w:ascii="Arial" w:cs="Arial" w:eastAsia="Arial" w:hAnsi="Arial"/>
          <w:sz w:val="16"/>
          <w:szCs w:val="16"/>
          <w:color w:val="auto"/>
        </w:rPr>
        <w:t xml:space="preserve">. (o) </w:t>
      </w:r>
      <w:r>
        <w:rPr>
          <w:rFonts w:ascii="Arial" w:cs="Arial" w:eastAsia="Arial" w:hAnsi="Arial"/>
          <w:sz w:val="16"/>
          <w:szCs w:val="16"/>
          <w:u w:val="single" w:color="auto"/>
          <w:color w:val="auto"/>
        </w:rPr>
        <w:t>Notices Generally</w:t>
      </w:r>
      <w:r>
        <w:rPr>
          <w:rFonts w:ascii="Arial" w:cs="Arial" w:eastAsia="Arial" w:hAnsi="Arial"/>
          <w:sz w:val="16"/>
          <w:szCs w:val="16"/>
          <w:color w:val="auto"/>
        </w:rPr>
        <w:t xml:space="preserve">. Except in the case of notices and other communications expressly permitted to be given by telephone (and except as provided in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54" w:lineRule="exact"/>
        <w:rPr>
          <w:sz w:val="20"/>
          <w:szCs w:val="20"/>
          <w:color w:val="auto"/>
        </w:rPr>
      </w:pPr>
    </w:p>
    <w:p>
      <w:pPr>
        <w:ind w:left="660" w:firstLine="645"/>
        <w:spacing w:after="0" w:line="277" w:lineRule="auto"/>
        <w:tabs>
          <w:tab w:leader="none" w:pos="177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if to the Borrower or the Administrative Agent, to the address, telecopier number, electronic mail address or telephone number specified for such Person on </w:t>
      </w:r>
      <w:r>
        <w:rPr>
          <w:rFonts w:ascii="Arial" w:cs="Arial" w:eastAsia="Arial" w:hAnsi="Arial"/>
          <w:sz w:val="18"/>
          <w:szCs w:val="18"/>
          <w:u w:val="single" w:color="auto"/>
          <w:color w:val="auto"/>
        </w:rPr>
        <w:t>Schedule 10.02</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if to any other Lender, to the address, telecopier number, electronic mail address or telephone number specified in its Administrative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Questionnaire.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shall be effective as provided in such </w:t>
      </w:r>
      <w:r>
        <w:rPr>
          <w:rFonts w:ascii="Arial" w:cs="Arial" w:eastAsia="Arial" w:hAnsi="Arial"/>
          <w:sz w:val="18"/>
          <w:szCs w:val="18"/>
          <w:u w:val="single" w:color="auto"/>
          <w:color w:val="auto"/>
        </w:rPr>
        <w:t>subsection (b)</w:t>
      </w:r>
      <w:r>
        <w:rPr>
          <w:rFonts w:ascii="Arial" w:cs="Arial" w:eastAsia="Arial" w:hAnsi="Arial"/>
          <w:sz w:val="18"/>
          <w:szCs w:val="18"/>
          <w:color w:val="auto"/>
        </w:rPr>
        <w:t>.</w:t>
      </w:r>
    </w:p>
    <w:p>
      <w:pPr>
        <w:spacing w:after="0" w:line="188" w:lineRule="exact"/>
        <w:rPr>
          <w:sz w:val="20"/>
          <w:szCs w:val="20"/>
          <w:color w:val="auto"/>
        </w:rPr>
      </w:pPr>
    </w:p>
    <w:p>
      <w:pPr>
        <w:jc w:val="both"/>
        <w:ind w:firstLine="656"/>
        <w:spacing w:after="0" w:line="255" w:lineRule="auto"/>
        <w:tabs>
          <w:tab w:leader="none" w:pos="1119"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and hereunder may be delivered or furnished by electronic communication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65" w:lineRule="exact"/>
        <w:rPr>
          <w:sz w:val="20"/>
          <w:szCs w:val="20"/>
          <w:color w:val="auto"/>
        </w:rPr>
      </w:pPr>
    </w:p>
    <w:p>
      <w:pPr>
        <w:jc w:val="both"/>
        <w:ind w:firstLine="656"/>
        <w:spacing w:after="0" w:line="269" w:lineRule="auto"/>
        <w:tabs>
          <w:tab w:leader="none" w:pos="1068"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The Platform</w:t>
      </w:r>
      <w:r>
        <w:rPr>
          <w:rFonts w:ascii="Arial" w:cs="Arial" w:eastAsia="Arial" w:hAnsi="Arial"/>
          <w:sz w:val="17"/>
          <w:szCs w:val="17"/>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Agent Party have any liability to the Borrower, any Lender or any other Person for indirect, special, incidental, consequential or punitive damages (as opposed to direct or actual damages).</w:t>
      </w:r>
    </w:p>
    <w:p>
      <w:pPr>
        <w:spacing w:after="0" w:line="179" w:lineRule="exact"/>
        <w:rPr>
          <w:rFonts w:ascii="Arial" w:cs="Arial" w:eastAsia="Arial" w:hAnsi="Arial"/>
          <w:sz w:val="17"/>
          <w:szCs w:val="17"/>
          <w:color w:val="auto"/>
        </w:rPr>
      </w:pPr>
    </w:p>
    <w:p>
      <w:pPr>
        <w:jc w:val="both"/>
        <w:ind w:firstLine="656"/>
        <w:spacing w:after="0" w:line="271" w:lineRule="auto"/>
        <w:tabs>
          <w:tab w:leader="none" w:pos="1119"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Change of Address, Etc</w:t>
      </w:r>
      <w:r>
        <w:rPr>
          <w:rFonts w:ascii="Arial" w:cs="Arial" w:eastAsia="Arial" w:hAnsi="Arial"/>
          <w:sz w:val="17"/>
          <w:szCs w:val="17"/>
          <w:color w:val="auto"/>
        </w:rPr>
        <w:t>. Each of the Borrower and the Administrative Agent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4" w:right="239" w:bottom="1440" w:gutter="0" w:footer="0" w:header="0"/>
        </w:sectPr>
      </w:pPr>
    </w:p>
    <w:bookmarkStart w:id="113" w:name="page114"/>
    <w:bookmarkEnd w:id="113"/>
    <w:p>
      <w:pPr>
        <w:jc w:val="both"/>
        <w:spacing w:after="0" w:line="264" w:lineRule="auto"/>
        <w:rPr>
          <w:sz w:val="20"/>
          <w:szCs w:val="20"/>
          <w:color w:val="auto"/>
        </w:rPr>
      </w:pPr>
      <w:r>
        <w:rPr>
          <w:rFonts w:ascii="Arial" w:cs="Arial" w:eastAsia="Arial" w:hAnsi="Arial"/>
          <w:sz w:val="18"/>
          <w:szCs w:val="18"/>
          <w:color w:val="auto"/>
        </w:rPr>
        <w:t>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81" w:lineRule="exact"/>
        <w:rPr>
          <w:sz w:val="20"/>
          <w:szCs w:val="20"/>
          <w:color w:val="auto"/>
        </w:rPr>
      </w:pPr>
    </w:p>
    <w:p>
      <w:pPr>
        <w:jc w:val="both"/>
        <w:ind w:firstLine="656"/>
        <w:spacing w:after="0" w:line="255" w:lineRule="auto"/>
        <w:tabs>
          <w:tab w:leader="none" w:pos="1068"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and Lenders</w:t>
      </w:r>
      <w:r>
        <w:rPr>
          <w:rFonts w:ascii="Arial" w:cs="Arial" w:eastAsia="Arial" w:hAnsi="Arial"/>
          <w:sz w:val="18"/>
          <w:szCs w:val="18"/>
          <w:color w:val="auto"/>
        </w:rPr>
        <w:t>. The Administrative Agent and the Lenders shall be entitled to rely and act upon any notices (including telephonic Committed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b w:val="1"/>
          <w:bCs w:val="1"/>
          <w:i w:val="1"/>
          <w:iCs w:val="1"/>
          <w:color w:val="auto"/>
        </w:rPr>
        <w:t>No Waiver; Cumulative Remedies; Enforcement</w:t>
      </w:r>
      <w:r>
        <w:rPr>
          <w:rFonts w:ascii="Arial" w:cs="Arial" w:eastAsia="Arial" w:hAnsi="Arial"/>
          <w:sz w:val="18"/>
          <w:szCs w:val="18"/>
          <w:color w:val="auto"/>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for the benefit of all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or (c) any Lender from filing proofs of claim or appearing and filing pleadings on its own behalf during the pendency of a proceeding relative to any Loan Party under any Debtor Relief Law;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and (ii) in addition to the matters set forth in clauses (b) and (c) of the preceding proviso and subject to </w:t>
      </w:r>
      <w:r>
        <w:rPr>
          <w:rFonts w:ascii="Arial" w:cs="Arial" w:eastAsia="Arial" w:hAnsi="Arial"/>
          <w:sz w:val="17"/>
          <w:szCs w:val="17"/>
          <w:u w:val="single" w:color="auto"/>
          <w:color w:val="auto"/>
        </w:rPr>
        <w:t>Section 2.11</w:t>
      </w:r>
      <w:r>
        <w:rPr>
          <w:rFonts w:ascii="Arial" w:cs="Arial" w:eastAsia="Arial" w:hAnsi="Arial"/>
          <w:sz w:val="17"/>
          <w:szCs w:val="17"/>
          <w:color w:val="auto"/>
        </w:rPr>
        <w:t>, any Lender may, with the consent of the Required Lenders, enforce any rights and remedies available to it and as authorized by the Required Lenders.</w:t>
      </w:r>
    </w:p>
    <w:p>
      <w:pPr>
        <w:spacing w:after="0" w:line="183"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 xml:space="preserve">10.04 </w:t>
      </w:r>
      <w:r>
        <w:rPr>
          <w:rFonts w:ascii="Arial" w:cs="Arial" w:eastAsia="Arial" w:hAnsi="Arial"/>
          <w:sz w:val="17"/>
          <w:szCs w:val="17"/>
          <w:b w:val="1"/>
          <w:bCs w:val="1"/>
          <w:i w:val="1"/>
          <w:iCs w:val="1"/>
          <w:color w:val="auto"/>
        </w:rPr>
        <w:t>Expenses; Indemnity; Damage Waiver</w:t>
      </w:r>
      <w:r>
        <w:rPr>
          <w:rFonts w:ascii="Arial" w:cs="Arial" w:eastAsia="Arial" w:hAnsi="Arial"/>
          <w:sz w:val="17"/>
          <w:szCs w:val="17"/>
          <w:color w:val="auto"/>
        </w:rPr>
        <w:t xml:space="preserve">. (h) </w:t>
      </w:r>
      <w:r>
        <w:rPr>
          <w:rFonts w:ascii="Arial" w:cs="Arial" w:eastAsia="Arial" w:hAnsi="Arial"/>
          <w:sz w:val="17"/>
          <w:szCs w:val="17"/>
          <w:u w:val="single" w:color="auto"/>
          <w:color w:val="auto"/>
        </w:rPr>
        <w:t>Costs and Expenses</w:t>
      </w:r>
      <w:r>
        <w:rPr>
          <w:rFonts w:ascii="Arial" w:cs="Arial" w:eastAsia="Arial" w:hAnsi="Arial"/>
          <w:sz w:val="17"/>
          <w:szCs w:val="17"/>
          <w:color w:val="auto"/>
        </w:rPr>
        <w:t>. The Borrower shall pay (i) all reasonable out-of-pocket expenses incurred by the Administrative Agent, Arrangers and their respective Affiliates (including the reasonable fees, charges and disbursements of a single lead counsel and local counsels (limited to one local counsel in each jurisdiction) for the Administrative Agent and the Arrangers),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reasonable out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pocket expenses incurred by the Administrative Agent or any Lender (including the reasonable fees, charges and disbursements of any counsel for the Administrative Agent or any Lender), and shall pay all reasonable fees and time charges for attorneys who may be employees of the Administrative Agent or any Lender, in connection with the enforcement or protection of its rights (A) in connection with this Agreement and the other Loan Documents, including its rights under this Section, or (B) in connection with Loans made hereunder, including all such out-of-pocket expenses incurred during any workout, restructuring or negotiations in respect of such Loans.</w:t>
      </w:r>
    </w:p>
    <w:p>
      <w:pPr>
        <w:spacing w:after="0" w:line="202" w:lineRule="exact"/>
        <w:rPr>
          <w:sz w:val="20"/>
          <w:szCs w:val="20"/>
          <w:color w:val="auto"/>
        </w:rPr>
      </w:pPr>
    </w:p>
    <w:p>
      <w:pPr>
        <w:jc w:val="both"/>
        <w:ind w:firstLine="656"/>
        <w:spacing w:after="0" w:line="288" w:lineRule="auto"/>
        <w:tabs>
          <w:tab w:leader="none" w:pos="1173"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the Administrative Agent (and any sub-agent thereof), Arrangers, the Syndication Agents, the Book Manager,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(ii) any actual or alleged presence or release of Hazardous Materials on or from any property owned or operated by the Borrower or any of its Subsidiaries, or any Environmental Liability related in any way to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4" w:right="239" w:bottom="1440" w:gutter="0" w:footer="0" w:header="0"/>
        </w:sectPr>
      </w:pPr>
    </w:p>
    <w:bookmarkStart w:id="114" w:name="page115"/>
    <w:bookmarkEnd w:id="114"/>
    <w:p>
      <w:pPr>
        <w:jc w:val="both"/>
        <w:spacing w:after="0" w:line="291" w:lineRule="auto"/>
        <w:rPr>
          <w:sz w:val="20"/>
          <w:szCs w:val="20"/>
          <w:color w:val="auto"/>
        </w:rPr>
      </w:pPr>
      <w:r>
        <w:rPr>
          <w:rFonts w:ascii="Arial" w:cs="Arial" w:eastAsia="Arial" w:hAnsi="Arial"/>
          <w:sz w:val="16"/>
          <w:szCs w:val="16"/>
          <w:color w:val="auto"/>
        </w:rPr>
        <w:t xml:space="preserve">Borrower or any of its Subsidiaries, or (iii) any actual or prospective claim, litigation, investigation or proceeding relating to any of the foregoing, whether based on contract, tort or any other theory, whether brought by a third party or by the Borrower or any other Loan Party or any other Indemnitee,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or any other 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w:t>
      </w:r>
    </w:p>
    <w:p>
      <w:pPr>
        <w:spacing w:after="0" w:line="167" w:lineRule="exact"/>
        <w:rPr>
          <w:sz w:val="20"/>
          <w:szCs w:val="20"/>
          <w:color w:val="auto"/>
        </w:rPr>
      </w:pPr>
    </w:p>
    <w:p>
      <w:pPr>
        <w:jc w:val="both"/>
        <w:ind w:firstLine="656"/>
        <w:spacing w:after="0" w:line="218" w:lineRule="exact"/>
        <w:tabs>
          <w:tab w:leader="none" w:pos="1055"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Borrower for any reason fails to indefeasibly pay any amount required under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to be paid by it to the Administrative Agent (or any sub-agent thereof) or any Related Party of any of the foregoing, each Lender severally agrees to pay to the Administrative Agent (or any such sub</w:t>
      </w:r>
      <w:r>
        <w:rPr>
          <w:rFonts w:ascii="MS PGothic" w:cs="MS PGothic" w:eastAsia="MS PGothic" w:hAnsi="MS PGothic"/>
          <w:sz w:val="16"/>
          <w:szCs w:val="16"/>
          <w:color w:val="auto"/>
        </w:rPr>
        <w:t>‑</w:t>
      </w:r>
      <w:r>
        <w:rPr>
          <w:rFonts w:ascii="Arial" w:cs="Arial" w:eastAsia="Arial" w:hAnsi="Arial"/>
          <w:sz w:val="16"/>
          <w:szCs w:val="16"/>
          <w:color w:val="auto"/>
        </w:rPr>
        <w:t xml:space="preserve">agent) or such Related Party, as the case may be, such Lender's Applicable Percentage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such sub-agent) in its capacity as such, or against any Related Party of any of the foregoing acting for the Administrative Agent (or any such sub</w:t>
      </w:r>
      <w:r>
        <w:rPr>
          <w:rFonts w:ascii="MS PGothic" w:cs="MS PGothic" w:eastAsia="MS PGothic" w:hAnsi="MS PGothic"/>
          <w:sz w:val="16"/>
          <w:szCs w:val="16"/>
          <w:color w:val="auto"/>
        </w:rPr>
        <w:t>‑</w:t>
      </w:r>
      <w:r>
        <w:rPr>
          <w:rFonts w:ascii="Arial" w:cs="Arial" w:eastAsia="Arial" w:hAnsi="Arial"/>
          <w:sz w:val="16"/>
          <w:szCs w:val="16"/>
          <w:color w:val="auto"/>
        </w:rPr>
        <w:t xml:space="preserve">agent) in connection with such capacity. The obligations of the Lenders under this </w:t>
      </w:r>
      <w:r>
        <w:rPr>
          <w:rFonts w:ascii="Arial" w:cs="Arial" w:eastAsia="Arial" w:hAnsi="Arial"/>
          <w:sz w:val="16"/>
          <w:szCs w:val="16"/>
          <w:u w:val="single" w:color="auto"/>
          <w:color w:val="auto"/>
        </w:rPr>
        <w:t>subsection (c)</w:t>
      </w:r>
      <w:r>
        <w:rPr>
          <w:rFonts w:ascii="Arial" w:cs="Arial" w:eastAsia="Arial" w:hAnsi="Arial"/>
          <w:sz w:val="16"/>
          <w:szCs w:val="16"/>
          <w:color w:val="auto"/>
        </w:rPr>
        <w:t xml:space="preserve"> are subject to the provisions of </w:t>
      </w:r>
      <w:r>
        <w:rPr>
          <w:rFonts w:ascii="Arial" w:cs="Arial" w:eastAsia="Arial" w:hAnsi="Arial"/>
          <w:sz w:val="16"/>
          <w:szCs w:val="16"/>
          <w:u w:val="single" w:color="auto"/>
          <w:color w:val="auto"/>
        </w:rPr>
        <w:t>Section 2.10(d)</w:t>
      </w:r>
      <w:r>
        <w:rPr>
          <w:rFonts w:ascii="Arial" w:cs="Arial" w:eastAsia="Arial" w:hAnsi="Arial"/>
          <w:sz w:val="16"/>
          <w:szCs w:val="16"/>
          <w:color w:val="auto"/>
        </w:rPr>
        <w:t>.</w:t>
      </w:r>
    </w:p>
    <w:p>
      <w:pPr>
        <w:spacing w:after="0" w:line="204" w:lineRule="exact"/>
        <w:rPr>
          <w:rFonts w:ascii="Arial" w:cs="Arial" w:eastAsia="Arial" w:hAnsi="Arial"/>
          <w:sz w:val="16"/>
          <w:szCs w:val="16"/>
          <w:color w:val="auto"/>
        </w:rPr>
      </w:pPr>
    </w:p>
    <w:p>
      <w:pPr>
        <w:jc w:val="both"/>
        <w:ind w:firstLine="656"/>
        <w:spacing w:after="0" w:line="271" w:lineRule="auto"/>
        <w:tabs>
          <w:tab w:leader="none" w:pos="1038"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 Etc</w:t>
      </w:r>
      <w:r>
        <w:rPr>
          <w:rFonts w:ascii="Arial" w:cs="Arial" w:eastAsia="Arial" w:hAnsi="Arial"/>
          <w:sz w:val="17"/>
          <w:szCs w:val="17"/>
          <w:color w:val="auto"/>
        </w:rPr>
        <w:t xml:space="preserve">. To the fullest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78" w:lineRule="exact"/>
        <w:rPr>
          <w:rFonts w:ascii="Arial" w:cs="Arial" w:eastAsia="Arial" w:hAnsi="Arial"/>
          <w:sz w:val="17"/>
          <w:szCs w:val="17"/>
          <w:color w:val="auto"/>
        </w:rPr>
      </w:pPr>
    </w:p>
    <w:p>
      <w:pPr>
        <w:ind w:left="1040" w:hanging="384"/>
        <w:spacing w:after="0"/>
        <w:tabs>
          <w:tab w:leader="none" w:pos="104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225" w:lineRule="exact"/>
        <w:rPr>
          <w:rFonts w:ascii="Arial" w:cs="Arial" w:eastAsia="Arial" w:hAnsi="Arial"/>
          <w:sz w:val="18"/>
          <w:szCs w:val="18"/>
          <w:color w:val="auto"/>
        </w:rPr>
      </w:pPr>
    </w:p>
    <w:p>
      <w:pPr>
        <w:ind w:right="20" w:firstLine="656"/>
        <w:spacing w:after="0" w:line="277" w:lineRule="auto"/>
        <w:tabs>
          <w:tab w:leader="none" w:pos="113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agreements in this Section shall survive the resignation of the Administrative Agent, the replacement of any Lender, the termination of the Aggregate Commitments and the repayment, satisfaction or discharge of all the other Obligations.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not apply with respect to Taxes, which shall be governed solely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10.05 </w:t>
      </w:r>
      <w:r>
        <w:rPr>
          <w:rFonts w:ascii="Arial" w:cs="Arial" w:eastAsia="Arial" w:hAnsi="Arial"/>
          <w:sz w:val="16"/>
          <w:szCs w:val="16"/>
          <w:b w:val="1"/>
          <w:bCs w:val="1"/>
          <w:i w:val="1"/>
          <w:iCs w:val="1"/>
          <w:color w:val="auto"/>
        </w:rPr>
        <w:t>Payments Set Aside</w:t>
      </w:r>
      <w:r>
        <w:rPr>
          <w:rFonts w:ascii="Arial" w:cs="Arial" w:eastAsia="Arial" w:hAnsi="Arial"/>
          <w:sz w:val="16"/>
          <w:szCs w:val="16"/>
          <w:color w:val="auto"/>
        </w:rPr>
        <w:t>.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under clause (b) of the preceding sentence shall survive the payment in full of the Obligations and the termination of this Agreement.</w:t>
      </w:r>
    </w:p>
    <w:p>
      <w:pPr>
        <w:spacing w:after="0" w:line="16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10.06 </w:t>
      </w:r>
      <w:r>
        <w:rPr>
          <w:rFonts w:ascii="Arial" w:cs="Arial" w:eastAsia="Arial" w:hAnsi="Arial"/>
          <w:sz w:val="16"/>
          <w:szCs w:val="16"/>
          <w:b w:val="1"/>
          <w:bCs w:val="1"/>
          <w:i w:val="1"/>
          <w:iCs w:val="1"/>
          <w:color w:val="auto"/>
        </w:rPr>
        <w:t>Successors and Assigns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6"/>
          <w:szCs w:val="16"/>
          <w:u w:val="single" w:color="auto"/>
          <w:color w:val="auto"/>
        </w:rPr>
        <w:t>Section 10.06(b)</w:t>
      </w:r>
      <w:r>
        <w:rPr>
          <w:rFonts w:ascii="Arial" w:cs="Arial" w:eastAsia="Arial" w:hAnsi="Arial"/>
          <w:sz w:val="16"/>
          <w:szCs w:val="16"/>
          <w:color w:val="auto"/>
        </w:rPr>
        <w:t xml:space="preserve">, (ii) by way of participation in accordance with the provisions of </w:t>
      </w:r>
      <w:r>
        <w:rPr>
          <w:rFonts w:ascii="Arial" w:cs="Arial" w:eastAsia="Arial" w:hAnsi="Arial"/>
          <w:sz w:val="16"/>
          <w:szCs w:val="16"/>
          <w:u w:val="single" w:color="auto"/>
          <w:color w:val="auto"/>
        </w:rPr>
        <w:t>Section 10.06(d)</w:t>
      </w:r>
      <w:r>
        <w:rPr>
          <w:rFonts w:ascii="Arial" w:cs="Arial" w:eastAsia="Arial" w:hAnsi="Arial"/>
          <w:sz w:val="16"/>
          <w:szCs w:val="16"/>
          <w:color w:val="auto"/>
        </w:rPr>
        <w:t>, or (iii) by way of pledge or assignment of a security interest subject to the restrictions 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4" w:right="239" w:bottom="1440" w:gutter="0" w:footer="0" w:header="0"/>
        </w:sectPr>
      </w:pPr>
    </w:p>
    <w:bookmarkStart w:id="115" w:name="page116"/>
    <w:bookmarkEnd w:id="115"/>
    <w:p>
      <w:pPr>
        <w:jc w:val="both"/>
        <w:spacing w:after="0" w:line="279" w:lineRule="auto"/>
        <w:rPr>
          <w:sz w:val="20"/>
          <w:szCs w:val="20"/>
          <w:color w:val="auto"/>
        </w:rPr>
      </w:pPr>
      <w:r>
        <w:rPr>
          <w:rFonts w:ascii="Arial" w:cs="Arial" w:eastAsia="Arial" w:hAnsi="Arial"/>
          <w:sz w:val="17"/>
          <w:szCs w:val="17"/>
          <w:u w:val="single" w:color="auto"/>
          <w:color w:val="auto"/>
        </w:rPr>
        <w:t>Section 10.06(f)</w:t>
      </w:r>
      <w:r>
        <w:rPr>
          <w:rFonts w:ascii="Arial" w:cs="Arial" w:eastAsia="Arial" w:hAnsi="Arial"/>
          <w:sz w:val="17"/>
          <w:szCs w:val="17"/>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7"/>
          <w:szCs w:val="17"/>
          <w:u w:val="single" w:color="auto"/>
          <w:color w:val="auto"/>
        </w:rPr>
        <w:t>subsection (d)</w:t>
      </w:r>
      <w:r>
        <w:rPr>
          <w:rFonts w:ascii="Arial" w:cs="Arial" w:eastAsia="Arial" w:hAnsi="Arial"/>
          <w:sz w:val="17"/>
          <w:szCs w:val="17"/>
          <w:color w:val="auto"/>
        </w:rPr>
        <w:t xml:space="preserve"> of this Section and, to the extent expressly contemplated hereby, the Related Parties of each of the Administrative Agent and the Lenders) any legal or equitable right, remedy or claim under or by reason of this Agreement.</w:t>
      </w:r>
    </w:p>
    <w:p>
      <w:pPr>
        <w:spacing w:after="0" w:line="171" w:lineRule="exact"/>
        <w:rPr>
          <w:sz w:val="20"/>
          <w:szCs w:val="20"/>
          <w:color w:val="auto"/>
        </w:rPr>
      </w:pPr>
    </w:p>
    <w:p>
      <w:pPr>
        <w:jc w:val="both"/>
        <w:ind w:firstLine="656"/>
        <w:spacing w:after="0" w:line="271" w:lineRule="auto"/>
        <w:tabs>
          <w:tab w:leader="none" w:pos="1065"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Assignments by Lenders</w:t>
      </w:r>
      <w:r>
        <w:rPr>
          <w:rFonts w:ascii="Arial" w:cs="Arial" w:eastAsia="Arial" w:hAnsi="Arial"/>
          <w:sz w:val="17"/>
          <w:szCs w:val="17"/>
          <w:color w:val="auto"/>
        </w:rPr>
        <w:t xml:space="preserve">. Any Lender may at any time assign to one or more assignees all or a portion of its rights and obligations under this Agreement (including all or a portion of its Loans at the time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a Default under </w:t>
      </w:r>
      <w:r>
        <w:rPr>
          <w:rFonts w:ascii="Arial" w:cs="Arial" w:eastAsia="Arial" w:hAnsi="Arial"/>
          <w:sz w:val="17"/>
          <w:szCs w:val="17"/>
          <w:u w:val="single" w:color="auto"/>
          <w:color w:val="auto"/>
        </w:rPr>
        <w:t>Sections 8.01(a)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8.01(f)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8.01(g)</w:t>
      </w:r>
      <w:r>
        <w:rPr>
          <w:rFonts w:ascii="Arial" w:cs="Arial" w:eastAsia="Arial" w:hAnsi="Arial"/>
          <w:sz w:val="17"/>
          <w:szCs w:val="17"/>
          <w:color w:val="auto"/>
        </w:rPr>
        <w:t xml:space="preserve"> has occurred and is continuing, Lenders shall not assign any Loan to any entity whose primary business is in direct competition with the Borrower (and which has been identified in the letter from the Borrower to the Arrangers, dated as of February 15, 2013, a copy of which has been received by the Administrative Agent and is available for inspection upon request by any Lender), it being agreed that any sale or assignment of any Loan to any financial institution that owns any such competitor shall not be prohibited under this sentence, and the Borrower shall receive notice of any such assignment and any such assignee shall be subject to additional restrictions on access to confidential information reasonably required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such permitted assignment shall be subject to the following conditions:</w:t>
      </w:r>
    </w:p>
    <w:p>
      <w:pPr>
        <w:spacing w:after="0" w:line="178" w:lineRule="exact"/>
        <w:rPr>
          <w:rFonts w:ascii="Arial" w:cs="Arial" w:eastAsia="Arial" w:hAnsi="Arial"/>
          <w:sz w:val="17"/>
          <w:szCs w:val="17"/>
          <w:color w:val="auto"/>
        </w:rPr>
      </w:pPr>
    </w:p>
    <w:p>
      <w:pPr>
        <w:ind w:left="1660" w:hanging="355"/>
        <w:spacing w:after="0"/>
        <w:tabs>
          <w:tab w:leader="none" w:pos="1660"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653"/>
        <w:spacing w:after="0" w:line="264" w:lineRule="auto"/>
        <w:tabs>
          <w:tab w:leader="none" w:pos="2428" w:val="left"/>
        </w:tabs>
        <w:numPr>
          <w:ilvl w:val="2"/>
          <w:numId w:val="118"/>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Loans at the time owing to it under such Facility or in the case of an assignment to a Lender, an Affiliate of a Lender or an Approved Fund, no minimum amount need be assigned; and</w:t>
      </w:r>
    </w:p>
    <w:p>
      <w:pPr>
        <w:spacing w:after="0" w:line="181" w:lineRule="exact"/>
        <w:rPr>
          <w:rFonts w:ascii="Arial" w:cs="Arial" w:eastAsia="Arial" w:hAnsi="Arial"/>
          <w:sz w:val="18"/>
          <w:szCs w:val="18"/>
          <w:color w:val="auto"/>
        </w:rPr>
      </w:pPr>
    </w:p>
    <w:p>
      <w:pPr>
        <w:jc w:val="both"/>
        <w:ind w:left="1300" w:firstLine="653"/>
        <w:spacing w:after="0" w:line="270" w:lineRule="auto"/>
        <w:tabs>
          <w:tab w:leader="none" w:pos="2368" w:val="left"/>
        </w:tabs>
        <w:numPr>
          <w:ilvl w:val="2"/>
          <w:numId w:val="118"/>
        </w:numPr>
        <w:rPr>
          <w:rFonts w:ascii="Arial" w:cs="Arial" w:eastAsia="Arial" w:hAnsi="Arial"/>
          <w:sz w:val="17"/>
          <w:szCs w:val="17"/>
          <w:color w:val="auto"/>
        </w:rPr>
      </w:pPr>
      <w:r>
        <w:rPr>
          <w:rFonts w:ascii="Arial" w:cs="Arial" w:eastAsia="Arial" w:hAnsi="Arial"/>
          <w:sz w:val="17"/>
          <w:szCs w:val="17"/>
          <w:color w:val="auto"/>
        </w:rPr>
        <w:t xml:space="preserve">in any case not described in </w:t>
      </w:r>
      <w:r>
        <w:rPr>
          <w:rFonts w:ascii="Arial" w:cs="Arial" w:eastAsia="Arial" w:hAnsi="Arial"/>
          <w:sz w:val="17"/>
          <w:szCs w:val="17"/>
          <w:u w:val="single" w:color="auto"/>
          <w:color w:val="auto"/>
        </w:rPr>
        <w:t>subsection (b)(i)(A)</w:t>
      </w:r>
      <w:r>
        <w:rPr>
          <w:rFonts w:ascii="Arial" w:cs="Arial" w:eastAsia="Arial" w:hAnsi="Arial"/>
          <w:sz w:val="17"/>
          <w:szCs w:val="17"/>
          <w:color w:val="auto"/>
        </w:rPr>
        <w:t xml:space="preserve"> of this Section, the aggregate amount of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 unless each of the Administrative Agent and, so long as no Event of Default has occurred and is continuing, the Borrower otherwise consents (each such consent not to be unreasonably withheld or delayed; and, if the Borrower shall not respond within 5 Business Days of receipt of a request for consent, the Borrower shall be deemed to have consented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81" w:lineRule="exact"/>
        <w:rPr>
          <w:rFonts w:ascii="Arial" w:cs="Arial" w:eastAsia="Arial" w:hAnsi="Arial"/>
          <w:sz w:val="17"/>
          <w:szCs w:val="17"/>
          <w:color w:val="auto"/>
        </w:rPr>
      </w:pPr>
    </w:p>
    <w:p>
      <w:pPr>
        <w:jc w:val="both"/>
        <w:ind w:left="660" w:firstLine="645"/>
        <w:spacing w:after="0" w:line="264" w:lineRule="auto"/>
        <w:tabs>
          <w:tab w:leader="none" w:pos="1735"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Loans assigned, except that this clause (ii) shall not prohibit any Lender from assigning all or a portion of its rights and obligations among separate Facilities on a non-pro rata basis;</w:t>
      </w:r>
    </w:p>
    <w:p>
      <w:pPr>
        <w:spacing w:after="0" w:line="181" w:lineRule="exact"/>
        <w:rPr>
          <w:rFonts w:ascii="Arial" w:cs="Arial" w:eastAsia="Arial" w:hAnsi="Arial"/>
          <w:sz w:val="18"/>
          <w:szCs w:val="18"/>
          <w:color w:val="auto"/>
        </w:rPr>
      </w:pPr>
    </w:p>
    <w:p>
      <w:pPr>
        <w:ind w:left="660" w:firstLine="645"/>
        <w:spacing w:after="0" w:line="277" w:lineRule="auto"/>
        <w:tabs>
          <w:tab w:leader="none" w:pos="1826"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assignment except to the extent required by </w:t>
      </w:r>
      <w:r>
        <w:rPr>
          <w:rFonts w:ascii="Arial" w:cs="Arial" w:eastAsia="Arial" w:hAnsi="Arial"/>
          <w:sz w:val="18"/>
          <w:szCs w:val="18"/>
          <w:u w:val="single" w:color="auto"/>
          <w:color w:val="auto"/>
        </w:rPr>
        <w:t>subsection (b)(i)(B)</w:t>
      </w:r>
      <w:r>
        <w:rPr>
          <w:rFonts w:ascii="Arial" w:cs="Arial" w:eastAsia="Arial" w:hAnsi="Arial"/>
          <w:sz w:val="18"/>
          <w:szCs w:val="18"/>
          <w:color w:val="auto"/>
        </w:rPr>
        <w:t xml:space="preserve"> of this Section and, in addition:</w:t>
      </w:r>
    </w:p>
    <w:p>
      <w:pPr>
        <w:spacing w:after="0" w:line="170" w:lineRule="exact"/>
        <w:rPr>
          <w:rFonts w:ascii="Arial" w:cs="Arial" w:eastAsia="Arial" w:hAnsi="Arial"/>
          <w:sz w:val="18"/>
          <w:szCs w:val="18"/>
          <w:color w:val="auto"/>
        </w:rPr>
      </w:pPr>
    </w:p>
    <w:p>
      <w:pPr>
        <w:jc w:val="both"/>
        <w:ind w:left="1300" w:firstLine="653"/>
        <w:spacing w:after="0" w:line="259" w:lineRule="auto"/>
        <w:tabs>
          <w:tab w:leader="none" w:pos="238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the consent of the Borrower (such consent not to be unreasonably withheld or delayed; and, if the Borrower shall not respond within 5 Business Days of receipt of a request for consent, the Borrower shall be deemed to have consented to such assignment) shall be required unless (1) an Event of Default has occurred and is continuing at the time of such assignment or (2) such assignment is to a Lender, an Affiliate of a Lender or an Approved Fund; and</w:t>
      </w:r>
    </w:p>
    <w:p>
      <w:pPr>
        <w:spacing w:after="0" w:line="186" w:lineRule="exact"/>
        <w:rPr>
          <w:rFonts w:ascii="Arial" w:cs="Arial" w:eastAsia="Arial" w:hAnsi="Arial"/>
          <w:sz w:val="18"/>
          <w:szCs w:val="18"/>
          <w:color w:val="auto"/>
        </w:rPr>
      </w:pPr>
    </w:p>
    <w:p>
      <w:pPr>
        <w:ind w:left="1300" w:firstLine="653"/>
        <w:spacing w:after="0" w:line="277" w:lineRule="auto"/>
        <w:tabs>
          <w:tab w:leader="none" w:pos="2444" w:val="left"/>
        </w:tabs>
        <w:numPr>
          <w:ilvl w:val="2"/>
          <w:numId w:val="118"/>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any Loan to a Person that is not a Lender, an Affiliate of a Lender or an Approved Fund.</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789"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4" w:right="239" w:bottom="1440" w:gutter="0" w:footer="0" w:header="0"/>
        </w:sectPr>
      </w:pPr>
    </w:p>
    <w:bookmarkStart w:id="116" w:name="page117"/>
    <w:bookmarkEnd w:id="116"/>
    <w:p>
      <w:pPr>
        <w:jc w:val="both"/>
        <w:ind w:left="660" w:firstLine="645"/>
        <w:spacing w:after="0" w:line="276" w:lineRule="auto"/>
        <w:tabs>
          <w:tab w:leader="none" w:pos="1725"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No Assignment to Borrower</w:t>
      </w:r>
      <w:r>
        <w:rPr>
          <w:rFonts w:ascii="Arial" w:cs="Arial" w:eastAsia="Arial" w:hAnsi="Arial"/>
          <w:sz w:val="17"/>
          <w:szCs w:val="17"/>
          <w:color w:val="auto"/>
        </w:rPr>
        <w:t xml:space="preserve">. No such assignment shall be made to the Borrower or any of the Borrower's Affiliates or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each of Chicago Title Insurance Company, Fidelity National Title Insurance Company and Commonwealth Land Title Insurance Company shall constitute an Eligible Assignee but provided further that such Persons' voting rights as Lenders shall be limited to the lesser of the aggregate Loans held by such Persons or twenty percent of the total outstanding Loans, without giving effect to any Loans held by such Person in excess of twenty percent in calculating the Total Outstandings.</w:t>
      </w:r>
    </w:p>
    <w:p>
      <w:pPr>
        <w:spacing w:after="0" w:line="172" w:lineRule="exact"/>
        <w:rPr>
          <w:rFonts w:ascii="Arial" w:cs="Arial" w:eastAsia="Arial" w:hAnsi="Arial"/>
          <w:sz w:val="17"/>
          <w:szCs w:val="17"/>
          <w:color w:val="auto"/>
        </w:rPr>
      </w:pPr>
    </w:p>
    <w:p>
      <w:pPr>
        <w:ind w:left="1740" w:hanging="435"/>
        <w:spacing w:after="0"/>
        <w:tabs>
          <w:tab w:leader="none" w:pos="174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Subject to acceptance and recording thereof by the Administrative Agent pursuant to </w:t>
      </w:r>
      <w:r>
        <w:rPr>
          <w:rFonts w:ascii="Arial" w:cs="Arial" w:eastAsia="Arial" w:hAnsi="Arial"/>
          <w:sz w:val="16"/>
          <w:szCs w:val="16"/>
          <w:u w:val="single" w:color="auto"/>
          <w:color w:val="auto"/>
        </w:rPr>
        <w:t>subsection (c)</w:t>
      </w:r>
      <w:r>
        <w:rPr>
          <w:rFonts w:ascii="Arial" w:cs="Arial" w:eastAsia="Arial" w:hAnsi="Arial"/>
          <w:sz w:val="16"/>
          <w:szCs w:val="16"/>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 xml:space="preserve"> with respect to facts and circumstances occurring prior to the effective date of such assignment. Upon request, and the surrender by the assigning Lender of its Note,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Section 10.06(d)</w:t>
      </w:r>
      <w:r>
        <w:rPr>
          <w:rFonts w:ascii="Arial" w:cs="Arial" w:eastAsia="Arial" w:hAnsi="Arial"/>
          <w:sz w:val="16"/>
          <w:szCs w:val="16"/>
          <w:color w:val="auto"/>
        </w:rPr>
        <w:t>.</w:t>
      </w:r>
    </w:p>
    <w:p>
      <w:pPr>
        <w:spacing w:after="0" w:line="167" w:lineRule="exact"/>
        <w:rPr>
          <w:sz w:val="20"/>
          <w:szCs w:val="20"/>
          <w:color w:val="auto"/>
        </w:rPr>
      </w:pPr>
    </w:p>
    <w:p>
      <w:pPr>
        <w:jc w:val="both"/>
        <w:ind w:firstLine="656"/>
        <w:spacing w:after="0" w:line="293" w:lineRule="auto"/>
        <w:tabs>
          <w:tab w:leader="none" w:pos="1082"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an agent of the Borrower, shall maintain at the Administrative Agent's Office a copy of each Assignment and Assumption delivered to it and a register for the recordation of the names and addresses of the Lenders, and principal amounts of, and interest on, the Loans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64" w:lineRule="exact"/>
        <w:rPr>
          <w:rFonts w:ascii="Arial" w:cs="Arial" w:eastAsia="Arial" w:hAnsi="Arial"/>
          <w:sz w:val="16"/>
          <w:szCs w:val="16"/>
          <w:color w:val="auto"/>
        </w:rPr>
      </w:pPr>
    </w:p>
    <w:p>
      <w:pPr>
        <w:jc w:val="both"/>
        <w:ind w:firstLine="656"/>
        <w:spacing w:after="0" w:line="287" w:lineRule="auto"/>
        <w:tabs>
          <w:tab w:leader="none" w:pos="1052"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the Borrower or the Administrative Agent, sell participations to any Person (other than a natural person or the Borrower or any of the Borrower's Affiliates or Subsidiaries)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that affects such Participant. Subject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of this Section, the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Section 10.06(b)</w:t>
      </w:r>
      <w:r>
        <w:rPr>
          <w:rFonts w:ascii="Arial" w:cs="Arial" w:eastAsia="Arial" w:hAnsi="Arial"/>
          <w:sz w:val="16"/>
          <w:szCs w:val="16"/>
          <w:color w:val="auto"/>
        </w:rPr>
        <w:t xml:space="preserve">. To the extent permitted by law, each Participant also shall be entitled to the benefits of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agrees to be subject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as though it were a Lender.</w:t>
      </w:r>
    </w:p>
    <w:p>
      <w:pPr>
        <w:spacing w:after="0" w:line="168" w:lineRule="exact"/>
        <w:rPr>
          <w:rFonts w:ascii="Arial" w:cs="Arial" w:eastAsia="Arial" w:hAnsi="Arial"/>
          <w:sz w:val="16"/>
          <w:szCs w:val="16"/>
          <w:color w:val="auto"/>
        </w:rPr>
      </w:pPr>
    </w:p>
    <w:p>
      <w:pPr>
        <w:jc w:val="both"/>
        <w:ind w:firstLine="656"/>
        <w:spacing w:after="0" w:line="279" w:lineRule="auto"/>
        <w:tabs>
          <w:tab w:leader="none" w:pos="1095"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Limitations upon Participant Rights</w:t>
      </w:r>
      <w:r>
        <w:rPr>
          <w:rFonts w:ascii="Arial" w:cs="Arial" w:eastAsia="Arial" w:hAnsi="Arial"/>
          <w:sz w:val="17"/>
          <w:szCs w:val="17"/>
          <w:color w:val="auto"/>
        </w:rPr>
        <w:t xml:space="preserve">. A Participant shall not be entitled to receive any greater payment under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than the applicable Lender would have been entitled to receive with respect to the participation sold to such Participant. A Participant that would be a Foreign Lender if it were a Lender shall not be entitled to the benefits of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unless the Borrower is notified of the participation sold to such Participant and such Participant agrees, for the benefit of the Borrower, to comply with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as though it were a Lender.</w:t>
      </w:r>
    </w:p>
    <w:p>
      <w:pPr>
        <w:spacing w:after="0" w:line="171" w:lineRule="exact"/>
        <w:rPr>
          <w:rFonts w:ascii="Arial" w:cs="Arial" w:eastAsia="Arial" w:hAnsi="Arial"/>
          <w:sz w:val="17"/>
          <w:szCs w:val="17"/>
          <w:color w:val="auto"/>
        </w:rPr>
      </w:pPr>
    </w:p>
    <w:p>
      <w:pPr>
        <w:jc w:val="both"/>
        <w:ind w:firstLine="656"/>
        <w:spacing w:after="0" w:line="259" w:lineRule="auto"/>
        <w:tabs>
          <w:tab w:leader="none" w:pos="1089"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b w:val="1"/>
          <w:bCs w:val="1"/>
          <w:i w:val="1"/>
          <w:iCs w:val="1"/>
          <w:color w:val="auto"/>
        </w:rPr>
        <w:t>Treatment of Certain Information; Confidentiality</w:t>
      </w:r>
      <w:r>
        <w:rPr>
          <w:rFonts w:ascii="Arial" w:cs="Arial" w:eastAsia="Arial" w:hAnsi="Arial"/>
          <w:sz w:val="18"/>
          <w:szCs w:val="18"/>
          <w:color w:val="auto"/>
        </w:rPr>
        <w:t>. Each of the Administrative Agent and the Lenders agrees to maintain the confidentiality of the Information (as defined below), except that Information may be disclosed (a) to its Affiliates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4" w:right="239" w:bottom="1440" w:gutter="0" w:footer="0" w:header="0"/>
        </w:sectPr>
      </w:pPr>
    </w:p>
    <w:bookmarkStart w:id="117" w:name="page118"/>
    <w:bookmarkEnd w:id="117"/>
    <w:p>
      <w:pPr>
        <w:jc w:val="both"/>
        <w:spacing w:after="0" w:line="286" w:lineRule="auto"/>
        <w:rPr>
          <w:sz w:val="20"/>
          <w:szCs w:val="20"/>
          <w:color w:val="auto"/>
        </w:rPr>
      </w:pPr>
      <w:r>
        <w:rPr>
          <w:rFonts w:ascii="Arial" w:cs="Arial" w:eastAsia="Arial" w:hAnsi="Arial"/>
          <w:sz w:val="16"/>
          <w:szCs w:val="16"/>
          <w:color w:val="auto"/>
        </w:rPr>
        <w:t>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w:t>
      </w:r>
    </w:p>
    <w:p>
      <w:pPr>
        <w:spacing w:after="0" w:line="2" w:lineRule="exact"/>
        <w:rPr>
          <w:sz w:val="20"/>
          <w:szCs w:val="20"/>
          <w:color w:val="auto"/>
        </w:rPr>
      </w:pPr>
    </w:p>
    <w:p>
      <w:pPr>
        <w:jc w:val="both"/>
        <w:ind w:firstLine="8"/>
        <w:spacing w:after="0" w:line="269" w:lineRule="auto"/>
        <w:tabs>
          <w:tab w:leader="none" w:pos="264"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w:t>
      </w:r>
      <w:r>
        <w:rPr>
          <w:rFonts w:ascii="Arial" w:cs="Arial" w:eastAsia="Arial" w:hAnsi="Arial"/>
          <w:sz w:val="17"/>
          <w:szCs w:val="17"/>
          <w:u w:val="single" w:color="auto"/>
          <w:color w:val="auto"/>
        </w:rPr>
        <w:t>Section 2.12(c)</w:t>
      </w:r>
      <w:r>
        <w:rPr>
          <w:rFonts w:ascii="Arial" w:cs="Arial" w:eastAsia="Arial" w:hAnsi="Arial"/>
          <w:sz w:val="17"/>
          <w:szCs w:val="17"/>
          <w:color w:val="auto"/>
        </w:rPr>
        <w:t xml:space="preserve"> or (ii) any actual or prospective counterparty (or its advisors) to any swap or derivative transaction relating to the Borrower and its obligations, (g) with the consent of the Borrower or (h) to the extent such Information (i) becomes publicly available other than as a result of a breach of this Section or (ii) becomes available to the Administrative Agent, any Lender or any of their respective Affiliates on a nonconfidential basis from a source other than the Borrower.</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purposes of this Section, “</w:t>
      </w:r>
      <w:r>
        <w:rPr>
          <w:rFonts w:ascii="Arial" w:cs="Arial" w:eastAsia="Arial" w:hAnsi="Arial"/>
          <w:sz w:val="17"/>
          <w:szCs w:val="17"/>
          <w:u w:val="single" w:color="auto"/>
          <w:color w:val="auto"/>
        </w:rPr>
        <w:t>Information</w:t>
      </w:r>
      <w:r>
        <w:rPr>
          <w:rFonts w:ascii="Arial" w:cs="Arial" w:eastAsia="Arial" w:hAnsi="Arial"/>
          <w:sz w:val="17"/>
          <w:szCs w:val="17"/>
          <w:color w:val="auto"/>
        </w:rPr>
        <w:t>” means all information received from any Loan Party or any Subsidiary thereof relating to any Loan Party or any Subsidiary thereof or their respective businesses, other than any such information that is available to the Administrative Agent or any Lender on a nonconfidential basis prior to disclosure by any Loan Party or any Subsidiary thereof.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Each of the Administrative Agent and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10.08 </w:t>
      </w:r>
      <w:r>
        <w:rPr>
          <w:rFonts w:ascii="Arial" w:cs="Arial" w:eastAsia="Arial" w:hAnsi="Arial"/>
          <w:sz w:val="16"/>
          <w:szCs w:val="16"/>
          <w:b w:val="1"/>
          <w:bCs w:val="1"/>
          <w:i w:val="1"/>
          <w:iCs w:val="1"/>
          <w:color w:val="auto"/>
        </w:rPr>
        <w:t>Right of Setoff.</w:t>
      </w:r>
      <w:r>
        <w:rPr>
          <w:rFonts w:ascii="Arial" w:cs="Arial" w:eastAsia="Arial" w:hAnsi="Arial"/>
          <w:sz w:val="16"/>
          <w:szCs w:val="16"/>
          <w:color w:val="auto"/>
        </w:rPr>
        <w:t xml:space="preserve"> If an Event of Default shall have occurred and be continuing, each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or any other Loan Party against any and all of the obligations of the Borrower or such Loan Party now or hereafter existing under this Agreement or any other Loan Document to such Lender, irrespective of whether or not such Lender shall have made any demand under this Agreement or any other Loan Document and although such obligations of the Borrower or such Loan Party may be contingent or unmatured or are owed to a branch or office of such Lender different from the branch or office holding such deposit or obligated on such indebtedness. The rights of each Lender and their respective Affiliates under this Section are in addition to other rights and remedies (including other rights of setoff) that such Lender or its respective Affiliates may have. Each Lender agrees to notify the Borrower and the Administrative Agent promptly after any such setoff and application, provided that the failure to give such notice shall not affect the validity of such setoff and application.</w:t>
      </w:r>
    </w:p>
    <w:p>
      <w:pPr>
        <w:spacing w:after="0" w:line="1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10.09 </w:t>
      </w:r>
      <w:r>
        <w:rPr>
          <w:rFonts w:ascii="Arial" w:cs="Arial" w:eastAsia="Arial" w:hAnsi="Arial"/>
          <w:sz w:val="16"/>
          <w:szCs w:val="16"/>
          <w:b w:val="1"/>
          <w:bCs w:val="1"/>
          <w:i w:val="1"/>
          <w:iCs w:val="1"/>
          <w:color w:val="auto"/>
        </w:rPr>
        <w:t>Interest Rate Limitation</w:t>
      </w:r>
      <w:r>
        <w:rPr>
          <w:rFonts w:ascii="Arial" w:cs="Arial" w:eastAsia="Arial" w:hAnsi="Arial"/>
          <w:sz w:val="16"/>
          <w:szCs w:val="16"/>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b w:val="1"/>
          <w:bCs w:val="1"/>
          <w:i w:val="1"/>
          <w:iCs w:val="1"/>
          <w:color w:val="auto"/>
        </w:rPr>
        <w:t>Counterparts; Integration; Effectiveness</w:t>
      </w:r>
      <w:r>
        <w:rPr>
          <w:rFonts w:ascii="Arial" w:cs="Arial" w:eastAsia="Arial" w:hAnsi="Arial"/>
          <w:sz w:val="17"/>
          <w:szCs w:val="17"/>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 manually executed counterpart of this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84" w:right="239" w:bottom="1440" w:gutter="0" w:footer="0" w:header="0"/>
        </w:sectPr>
      </w:pPr>
    </w:p>
    <w:bookmarkStart w:id="118" w:name="page119"/>
    <w:bookmarkEnd w:id="118"/>
    <w:p>
      <w:pPr>
        <w:jc w:val="both"/>
        <w:ind w:firstLine="648"/>
        <w:spacing w:after="0" w:line="255"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b w:val="1"/>
          <w:bCs w:val="1"/>
          <w:i w:val="1"/>
          <w:iCs w:val="1"/>
          <w:color w:val="auto"/>
        </w:rPr>
        <w:t>Survival of Representations and Warranties</w:t>
      </w:r>
      <w:r>
        <w:rPr>
          <w:rFonts w:ascii="Arial" w:cs="Arial" w:eastAsia="Arial" w:hAnsi="Arial"/>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b w:val="1"/>
          <w:bCs w:val="1"/>
          <w:i w:val="1"/>
          <w:iCs w:val="1"/>
          <w:color w:val="auto"/>
        </w:rPr>
        <w:t>Replacement of Lenders</w:t>
      </w:r>
      <w:r>
        <w:rPr>
          <w:rFonts w:ascii="Arial" w:cs="Arial" w:eastAsia="Arial" w:hAnsi="Arial"/>
          <w:sz w:val="17"/>
          <w:szCs w:val="17"/>
          <w:color w:val="auto"/>
        </w:rPr>
        <w:t xml:space="preserve">. If any Lender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if the Borrower is required to pay any additional amount to any Lender or any Governmental Authority for the account of any Lender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if any Lender is a Defaulting Lender or if any Lender becomes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7"/>
          <w:szCs w:val="17"/>
          <w:u w:val="single" w:color="auto"/>
          <w:color w:val="auto"/>
        </w:rPr>
        <w:t>Section 10.06</w:t>
      </w:r>
      <w:r>
        <w:rPr>
          <w:rFonts w:ascii="Arial" w:cs="Arial" w:eastAsia="Arial" w:hAnsi="Arial"/>
          <w:sz w:val="17"/>
          <w:szCs w:val="17"/>
          <w:color w:val="auto"/>
        </w:rPr>
        <w:t>), all of its interests, rights and obligations under this Agreement and the related Loan Documents to an assignee that shall assume such obligations (which assignee may be another Lender, if a Lender accepts such assignment), provided that:</w:t>
      </w:r>
    </w:p>
    <w:p>
      <w:pPr>
        <w:spacing w:after="0" w:line="178" w:lineRule="exact"/>
        <w:rPr>
          <w:sz w:val="20"/>
          <w:szCs w:val="20"/>
          <w:color w:val="auto"/>
        </w:rPr>
      </w:pPr>
    </w:p>
    <w:p>
      <w:pPr>
        <w:ind w:left="1040" w:hanging="384"/>
        <w:spacing w:after="0"/>
        <w:tabs>
          <w:tab w:leader="none" w:pos="10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specified in </w:t>
      </w:r>
      <w:r>
        <w:rPr>
          <w:rFonts w:ascii="Arial" w:cs="Arial" w:eastAsia="Arial" w:hAnsi="Arial"/>
          <w:sz w:val="18"/>
          <w:szCs w:val="18"/>
          <w:u w:val="single" w:color="auto"/>
          <w:color w:val="auto"/>
        </w:rPr>
        <w:t>Section 10.06(b)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07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the outstanding principal of its Loans,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3.05</w:t>
      </w:r>
      <w:r>
        <w:rPr>
          <w:rFonts w:ascii="Arial" w:cs="Arial" w:eastAsia="Arial" w:hAnsi="Arial"/>
          <w:sz w:val="18"/>
          <w:szCs w:val="18"/>
          <w:color w:val="auto"/>
        </w:rPr>
        <w:t>) from the assignee (to the extent of such outstanding principal and accrued interest and fees) or the Borrower (in the case of all other amounts);</w:t>
      </w:r>
    </w:p>
    <w:p>
      <w:pPr>
        <w:spacing w:after="0" w:line="181" w:lineRule="exact"/>
        <w:rPr>
          <w:rFonts w:ascii="Arial" w:cs="Arial" w:eastAsia="Arial" w:hAnsi="Arial"/>
          <w:sz w:val="18"/>
          <w:szCs w:val="18"/>
          <w:color w:val="auto"/>
        </w:rPr>
      </w:pPr>
    </w:p>
    <w:p>
      <w:pPr>
        <w:ind w:right="20" w:firstLine="656"/>
        <w:spacing w:after="0" w:line="277" w:lineRule="auto"/>
        <w:tabs>
          <w:tab w:leader="none" w:pos="107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 and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Any Lender being replaced pursuant to this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shall (i) execute and deliver an Assignment and Assumption with respect to such Lender's outstanding Loans and (ii) deliver any Notes evidencing such Loans to the Administrative Agent or Borrower. Pursuant to such Assignment and Assumption,</w:t>
      </w:r>
    </w:p>
    <w:p>
      <w:pPr>
        <w:jc w:val="both"/>
        <w:ind w:firstLine="8"/>
        <w:spacing w:after="0" w:line="268" w:lineRule="auto"/>
        <w:tabs>
          <w:tab w:leader="none" w:pos="30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assignee Lender shall acquire all or a portion, as the case may be, of the assigning Lender's outstanding Loans, (B) all obligations of the Borrower owing to the assigning Lender relating to the Loans so assigned shall be paid in full as referred to above concurrently with such Assignment and Assumption and (C) upon such payment, the assignee Lender shall become a Lender hereunder and the assigning Lender shall cease to constitute a Lender hereunder with respect to such assigned Loans, except with respect to indemnification provisions under this Agreement, which shall survive as to such assigning Lender. In connection with any such replacement, if any Lender proposed to be replaced does not execute and deliver to the Administrative Agent a duly executed Assignment and Assumption reflecting such replacement within a reasonable time (after giving consideration to the circumstances of such proposed replacement) after a request therefor from the Administrative Agent, then such Lender proposed to be replaced shall be deemed to have executed and delivered such Assignment and Assumption without any action on the part of such Lender.</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b w:val="1"/>
          <w:bCs w:val="1"/>
          <w:i w:val="1"/>
          <w:iCs w:val="1"/>
          <w:color w:val="auto"/>
        </w:rPr>
        <w:t>Governing Law; Jurisdiction; Etc.</w:t>
      </w:r>
      <w:r>
        <w:rPr>
          <w:rFonts w:ascii="Arial" w:cs="Arial" w:eastAsia="Arial" w:hAnsi="Arial"/>
          <w:sz w:val="18"/>
          <w:szCs w:val="18"/>
          <w:color w:val="auto"/>
        </w:rPr>
        <w:t xml:space="preserve"> (a) GOVERNING LAW. THIS AGREEMENT SHALL BE GOVERNED BY, AND CONSTRUED IN ACCORDANCE WITH, THE LAW OF THE STATE OF NEW YORK.</w:t>
      </w:r>
    </w:p>
    <w:p>
      <w:pPr>
        <w:spacing w:after="0" w:line="170" w:lineRule="exact"/>
        <w:rPr>
          <w:sz w:val="20"/>
          <w:szCs w:val="20"/>
          <w:color w:val="auto"/>
        </w:rPr>
      </w:pPr>
    </w:p>
    <w:p>
      <w:pPr>
        <w:jc w:val="both"/>
        <w:ind w:firstLine="656"/>
        <w:spacing w:after="0" w:line="259" w:lineRule="auto"/>
        <w:tabs>
          <w:tab w:leader="none" w:pos="1052"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THE BORROWER IRREVOCABLY AND UNCONDITIONALLY SUBMITS, FOR ITSELF AND ITS PROPERTY, TO THE NONEXCLUSIVE JURISDICTION OF THE COURTS OF THE STATE OF NEW YORK SITTING IN BOROUGH OF MANHATTAN AND OF THE UNITED STATES DISTRICT COURT OF THE SOUTHERN DISTRICT OF NEW YORK, AND ANY APPELLATE COURT FROM ANY THEREOF, IN ANY ACTION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84" w:right="239" w:bottom="1440" w:gutter="0" w:footer="0" w:header="0"/>
        </w:sectPr>
      </w:pPr>
    </w:p>
    <w:bookmarkStart w:id="119" w:name="page120"/>
    <w:bookmarkEnd w:id="119"/>
    <w:p>
      <w:pPr>
        <w:jc w:val="both"/>
        <w:spacing w:after="0" w:line="270" w:lineRule="auto"/>
        <w:rPr>
          <w:sz w:val="20"/>
          <w:szCs w:val="20"/>
          <w:color w:val="auto"/>
        </w:rPr>
      </w:pPr>
      <w:r>
        <w:rPr>
          <w:rFonts w:ascii="Arial" w:cs="Arial" w:eastAsia="Arial" w:hAnsi="Arial"/>
          <w:sz w:val="17"/>
          <w:szCs w:val="17"/>
          <w:color w:val="auto"/>
        </w:rPr>
        <w:t>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ITS PROPERTIES IN THE COURTS OF ANY JURISDICTION.</w:t>
      </w:r>
    </w:p>
    <w:p>
      <w:pPr>
        <w:spacing w:after="0" w:line="182" w:lineRule="exact"/>
        <w:rPr>
          <w:sz w:val="20"/>
          <w:szCs w:val="20"/>
          <w:color w:val="auto"/>
        </w:rPr>
      </w:pPr>
    </w:p>
    <w:p>
      <w:pPr>
        <w:jc w:val="both"/>
        <w:ind w:firstLine="656"/>
        <w:spacing w:after="0" w:line="255" w:lineRule="auto"/>
        <w:tabs>
          <w:tab w:leader="none" w:pos="1203"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xml:space="preserve">.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93" w:lineRule="exact"/>
        <w:rPr>
          <w:rFonts w:ascii="Arial" w:cs="Arial" w:eastAsia="Arial" w:hAnsi="Arial"/>
          <w:sz w:val="18"/>
          <w:szCs w:val="18"/>
          <w:color w:val="auto"/>
        </w:rPr>
      </w:pPr>
    </w:p>
    <w:p>
      <w:pPr>
        <w:jc w:val="both"/>
        <w:ind w:firstLine="656"/>
        <w:spacing w:after="0" w:line="264" w:lineRule="auto"/>
        <w:tabs>
          <w:tab w:leader="none" w:pos="1187"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10.02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10.15 </w:t>
      </w:r>
      <w:r>
        <w:rPr>
          <w:rFonts w:ascii="Arial" w:cs="Arial" w:eastAsia="Arial" w:hAnsi="Arial"/>
          <w:sz w:val="17"/>
          <w:szCs w:val="17"/>
          <w:b w:val="1"/>
          <w:bCs w:val="1"/>
          <w:i w:val="1"/>
          <w:iCs w:val="1"/>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b w:val="1"/>
          <w:bCs w:val="1"/>
          <w:i w:val="1"/>
          <w:iCs w:val="1"/>
          <w:color w:val="auto"/>
        </w:rPr>
        <w:t>No Advisory or Fiduciary Responsibility</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(i) (A) the arranging and other services regarding this Agreement provided by the Administrative Agent, the Arrangers, the Syndication Agents and the Book Manager, are arm's-length commercial transactions between the Borrower, the other Loan Parties and their respective Affiliates, on the one hand, and the Administrative Agent, the Arrangers, the Syndication Agents and the Book Manager, on the other hand, (B) each of the Borrower and the other Loan Parties has consulted its own legal, accounting, regulatory and tax advisors to the extent it has deemed appropriate, and (C) each of the Borrower and the other Loan Parties is capable of evaluating, and understands and accepts, the terms, risks and conditions of the transactions contemplated hereby and by the other Loan Documents; (ii) (A) each of the Administrative Agent, the Arrangers, the Syndication Agents and the Book Manager is and has been acting solely as a principal and, except as expressly agreed in writing by the relevant parties, has not been, is not, and will not be acting as an advisor, agent or fiduciary for the Borrower or the other Loan Parties or any of their respective Affiliates, or any other Person and (B) none of the Administrative Agent, the Arrangers, the Syndication Agents and the Book Manager has any obligation to the Borrower or the other Loan Parties or any of their respective Affiliates with respect to the transactions contemplated hereby except those obligations expressly set forth herein and in the other Loan Documents; and (iii) each of the Administrative Agent, the Arrangers, the Syndication Agents and the Book Manager and their respective Affiliates may be engaged in a broad range of transactions that involve interests that differ from those of the Borrower and the other Loan Parties and their respective Affiliates, and none of the Administrative Agent, the Arrangers, the Syndication Agents and the Book Manager has any obligation to disclose any of such interests to the Borrower and the other Loan Parties or and of their respective Affiliates. To the fullest extent permitted by law, the Borrower hereby waives and releases any claims that it may have against the Administrative Agent and each of the Arrangers, the Syndication Agents and the Book Manager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84" w:right="239" w:bottom="1440" w:gutter="0" w:footer="0" w:header="0"/>
        </w:sectPr>
      </w:pPr>
    </w:p>
    <w:bookmarkStart w:id="120" w:name="page121"/>
    <w:bookmarkEnd w:id="120"/>
    <w:p>
      <w:pPr>
        <w:jc w:val="both"/>
        <w:ind w:firstLine="648"/>
        <w:spacing w:after="0" w:line="255"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b w:val="1"/>
          <w:bCs w:val="1"/>
          <w:i w:val="1"/>
          <w:iCs w:val="1"/>
          <w:color w:val="auto"/>
        </w:rPr>
        <w:t>Electronic Execution of Assignments and Certain Other Documents</w:t>
      </w:r>
      <w:r>
        <w:rPr>
          <w:rFonts w:ascii="Arial" w:cs="Arial" w:eastAsia="Arial" w:hAnsi="Arial"/>
          <w:sz w:val="18"/>
          <w:szCs w:val="18"/>
          <w:color w:val="auto"/>
        </w:rPr>
        <w:t>.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10.18 </w:t>
      </w:r>
      <w:r>
        <w:rPr>
          <w:rFonts w:ascii="Arial" w:cs="Arial" w:eastAsia="Arial" w:hAnsi="Arial"/>
          <w:sz w:val="17"/>
          <w:szCs w:val="17"/>
          <w:b w:val="1"/>
          <w:bCs w:val="1"/>
          <w:i w:val="1"/>
          <w:iCs w:val="1"/>
          <w:color w:val="auto"/>
        </w:rPr>
        <w:t>Patriot Act</w:t>
      </w:r>
      <w:r>
        <w:rPr>
          <w:rFonts w:ascii="Arial" w:cs="Arial" w:eastAsia="Arial" w:hAnsi="Arial"/>
          <w:sz w:val="17"/>
          <w:szCs w:val="17"/>
          <w:color w:val="auto"/>
        </w:rPr>
        <w:t>. Each Lender that is subject to the PATRIOT Act (as hereinafter defined) and the Administrative Agent (for itself and not on behalf of any Lender) hereby notifies the Borrower that pursuant to the requirements of the USA PATRIOT Act (Title III of Pub. L. 107-56 (signed into law October 26, 2001)) (the “</w:t>
      </w:r>
      <w:r>
        <w:rPr>
          <w:rFonts w:ascii="Arial" w:cs="Arial" w:eastAsia="Arial" w:hAnsi="Arial"/>
          <w:sz w:val="17"/>
          <w:szCs w:val="17"/>
          <w:u w:val="single" w:color="auto"/>
          <w:color w:val="auto"/>
        </w:rPr>
        <w:t>PATRIOT Act</w:t>
      </w:r>
      <w:r>
        <w:rPr>
          <w:rFonts w:ascii="Arial" w:cs="Arial" w:eastAsia="Arial" w:hAnsi="Arial"/>
          <w:sz w:val="17"/>
          <w:szCs w:val="17"/>
          <w:color w:val="auto"/>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 anti-money laundering rules and regulations, including the PATRIOT Act.</w:t>
      </w:r>
    </w:p>
    <w:p>
      <w:pPr>
        <w:spacing w:after="0" w:line="178"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5"/>
          <w:szCs w:val="15"/>
          <w:b w:val="1"/>
          <w:bCs w:val="1"/>
          <w:i w:val="1"/>
          <w:iCs w:val="1"/>
          <w:color w:val="auto"/>
        </w:rPr>
        <w:t xml:space="preserve">Time of the Essence. </w:t>
      </w:r>
      <w:r>
        <w:rPr>
          <w:rFonts w:ascii="Arial" w:cs="Arial" w:eastAsia="Arial" w:hAnsi="Arial"/>
          <w:sz w:val="15"/>
          <w:szCs w:val="15"/>
          <w:color w:val="auto"/>
        </w:rPr>
        <w:t>Time is of the essence of the Loan Documents.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10.20 </w:t>
      </w:r>
      <w:r>
        <w:rPr>
          <w:rFonts w:ascii="Arial" w:cs="Arial" w:eastAsia="Arial" w:hAnsi="Arial"/>
          <w:sz w:val="17"/>
          <w:szCs w:val="17"/>
          <w:b w:val="1"/>
          <w:bCs w:val="1"/>
          <w:i w:val="1"/>
          <w:iCs w:val="1"/>
          <w:color w:val="auto"/>
        </w:rPr>
        <w:t>Intercreditor Agreement.</w:t>
      </w:r>
      <w:r>
        <w:rPr>
          <w:rFonts w:ascii="Arial" w:cs="Arial" w:eastAsia="Arial" w:hAnsi="Arial"/>
          <w:sz w:val="17"/>
          <w:szCs w:val="17"/>
          <w:color w:val="auto"/>
        </w:rPr>
        <w:t xml:space="preserve"> Notwithstanding anything herein to the contrary, the lien and security interest granted to the Administrative Agent pursuant to this Agreement and the other Loan Documents and the exercise of any right or remedy by the Administrative Agent hereunder or thereunder are subject to the provisions of the Intercreditor Agreement. In the event of any conflict between the terms of this Agreement (or any other Loan Document) and the Intercreditor Agreement, the terms of the Intercreditor Agreement shall govern and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84" w:right="239" w:bottom="1440" w:gutter="0" w:footer="0" w:header="0"/>
        </w:sectPr>
      </w:pPr>
    </w:p>
    <w:bookmarkStart w:id="121" w:name="page122"/>
    <w:bookmarkEnd w:id="121"/>
    <w:p>
      <w:pPr>
        <w:jc w:val="right"/>
        <w:ind w:right="40"/>
        <w:spacing w:after="0"/>
        <w:rPr>
          <w:sz w:val="20"/>
          <w:szCs w:val="20"/>
          <w:color w:val="auto"/>
        </w:rPr>
      </w:pPr>
      <w:r>
        <w:rPr>
          <w:rFonts w:ascii="Arial" w:cs="Arial" w:eastAsia="Arial" w:hAnsi="Arial"/>
          <w:sz w:val="21"/>
          <w:szCs w:val="21"/>
          <w:i w:val="1"/>
          <w:iCs w:val="1"/>
          <w:color w:val="auto"/>
        </w:rPr>
        <w:t xml:space="preserve">IN WITNESS WHEREOF, </w:t>
      </w:r>
      <w:r>
        <w:rPr>
          <w:rFonts w:ascii="Arial" w:cs="Arial" w:eastAsia="Arial" w:hAnsi="Arial"/>
          <w:sz w:val="21"/>
          <w:szCs w:val="21"/>
          <w:color w:val="auto"/>
        </w:rPr>
        <w:t>the parties hereto have caused this Agreement to be duly executed as of the date first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REMY INTERNATIONAL, INC., as Borrower</w:t>
      </w:r>
    </w:p>
    <w:p>
      <w:pPr>
        <w:spacing w:after="0" w:line="333" w:lineRule="exact"/>
        <w:rPr>
          <w:sz w:val="20"/>
          <w:szCs w:val="20"/>
          <w:color w:val="auto"/>
        </w:rPr>
      </w:pPr>
    </w:p>
    <w:tbl>
      <w:tblPr>
        <w:tblLayout w:type="fixed"/>
        <w:tblInd w:w="46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Pr>
          <w:p>
            <w:pPr>
              <w:ind w:left="20"/>
              <w:spacing w:after="0"/>
              <w:rPr>
                <w:sz w:val="20"/>
                <w:szCs w:val="20"/>
                <w:color w:val="auto"/>
              </w:rPr>
            </w:pPr>
            <w:r>
              <w:rPr>
                <w:rFonts w:ascii="Arial" w:cs="Arial" w:eastAsia="Arial" w:hAnsi="Arial"/>
                <w:sz w:val="18"/>
                <w:szCs w:val="18"/>
                <w:color w:val="auto"/>
              </w:rPr>
              <w:t>/s/ Fred Knechtel</w:t>
            </w:r>
          </w:p>
        </w:tc>
      </w:tr>
      <w:tr>
        <w:trPr>
          <w:trHeight w:val="27"/>
        </w:trPr>
        <w:tc>
          <w:tcPr>
            <w:tcW w:w="8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520" w:type="dxa"/>
            <w:vAlign w:val="bottom"/>
          </w:tcPr>
          <w:p>
            <w:pPr>
              <w:ind w:left="20"/>
              <w:spacing w:after="0"/>
              <w:rPr>
                <w:sz w:val="20"/>
                <w:szCs w:val="20"/>
                <w:color w:val="auto"/>
              </w:rPr>
            </w:pPr>
            <w:r>
              <w:rPr>
                <w:rFonts w:ascii="Arial" w:cs="Arial" w:eastAsia="Arial" w:hAnsi="Arial"/>
                <w:sz w:val="18"/>
                <w:szCs w:val="18"/>
                <w:color w:val="auto"/>
              </w:rPr>
              <w:t>Fred Knechtel</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BANK OF AMERICA, N.A., as Administrative Agent</w:t>
      </w:r>
    </w:p>
    <w:p>
      <w:pPr>
        <w:spacing w:after="0" w:line="333" w:lineRule="exact"/>
        <w:rPr>
          <w:sz w:val="20"/>
          <w:szCs w:val="20"/>
          <w:color w:val="auto"/>
        </w:rPr>
      </w:pPr>
    </w:p>
    <w:tbl>
      <w:tblPr>
        <w:tblLayout w:type="fixed"/>
        <w:tblInd w:w="46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Pr>
          <w:p>
            <w:pPr>
              <w:ind w:left="20"/>
              <w:spacing w:after="0"/>
              <w:rPr>
                <w:sz w:val="20"/>
                <w:szCs w:val="20"/>
                <w:color w:val="auto"/>
              </w:rPr>
            </w:pPr>
            <w:r>
              <w:rPr>
                <w:rFonts w:ascii="Arial" w:cs="Arial" w:eastAsia="Arial" w:hAnsi="Arial"/>
                <w:sz w:val="18"/>
                <w:szCs w:val="18"/>
                <w:color w:val="auto"/>
              </w:rPr>
              <w:t>/s/ Paley Chen</w:t>
            </w:r>
          </w:p>
        </w:tc>
      </w:tr>
      <w:tr>
        <w:trPr>
          <w:trHeight w:val="27"/>
        </w:trPr>
        <w:tc>
          <w:tcPr>
            <w:tcW w:w="8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520" w:type="dxa"/>
            <w:vAlign w:val="bottom"/>
          </w:tcPr>
          <w:p>
            <w:pPr>
              <w:ind w:left="20"/>
              <w:spacing w:after="0"/>
              <w:rPr>
                <w:sz w:val="20"/>
                <w:szCs w:val="20"/>
                <w:color w:val="auto"/>
              </w:rPr>
            </w:pPr>
            <w:r>
              <w:rPr>
                <w:rFonts w:ascii="Arial" w:cs="Arial" w:eastAsia="Arial" w:hAnsi="Arial"/>
                <w:sz w:val="18"/>
                <w:szCs w:val="18"/>
                <w:color w:val="auto"/>
              </w:rPr>
              <w:t>Paley Chen</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2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600" w:right="100"/>
        <w:spacing w:after="0" w:line="277" w:lineRule="auto"/>
        <w:rPr>
          <w:sz w:val="20"/>
          <w:szCs w:val="20"/>
          <w:color w:val="auto"/>
        </w:rPr>
      </w:pPr>
      <w:r>
        <w:rPr>
          <w:rFonts w:ascii="Arial" w:cs="Arial" w:eastAsia="Arial" w:hAnsi="Arial"/>
          <w:sz w:val="18"/>
          <w:szCs w:val="18"/>
          <w:color w:val="auto"/>
        </w:rPr>
        <w:t>MERRILL LYNCH, PIERCE, FENNER &amp; SMITH, INCORPORATED, as Joint Lead Arranger and Book Manager</w:t>
      </w:r>
    </w:p>
    <w:p>
      <w:pPr>
        <w:spacing w:after="0" w:line="279" w:lineRule="exact"/>
        <w:rPr>
          <w:sz w:val="20"/>
          <w:szCs w:val="20"/>
          <w:color w:val="auto"/>
        </w:rPr>
      </w:pPr>
    </w:p>
    <w:tbl>
      <w:tblPr>
        <w:tblLayout w:type="fixed"/>
        <w:tblInd w:w="46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Pr>
          <w:p>
            <w:pPr>
              <w:ind w:left="20"/>
              <w:spacing w:after="0"/>
              <w:rPr>
                <w:sz w:val="20"/>
                <w:szCs w:val="20"/>
                <w:color w:val="auto"/>
              </w:rPr>
            </w:pPr>
            <w:r>
              <w:rPr>
                <w:rFonts w:ascii="Arial" w:cs="Arial" w:eastAsia="Arial" w:hAnsi="Arial"/>
                <w:sz w:val="18"/>
                <w:szCs w:val="18"/>
                <w:color w:val="auto"/>
              </w:rPr>
              <w:t>/s/ Matthew Tugwell</w:t>
            </w:r>
          </w:p>
        </w:tc>
      </w:tr>
      <w:tr>
        <w:trPr>
          <w:trHeight w:val="27"/>
        </w:trPr>
        <w:tc>
          <w:tcPr>
            <w:tcW w:w="8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520" w:type="dxa"/>
            <w:vAlign w:val="bottom"/>
          </w:tcPr>
          <w:p>
            <w:pPr>
              <w:ind w:left="20"/>
              <w:spacing w:after="0"/>
              <w:rPr>
                <w:sz w:val="20"/>
                <w:szCs w:val="20"/>
                <w:color w:val="auto"/>
              </w:rPr>
            </w:pPr>
            <w:r>
              <w:rPr>
                <w:rFonts w:ascii="Arial" w:cs="Arial" w:eastAsia="Arial" w:hAnsi="Arial"/>
                <w:sz w:val="18"/>
                <w:szCs w:val="18"/>
                <w:color w:val="auto"/>
              </w:rPr>
              <w:t>Matthew Tugwell</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UBS SECURITIES LLC, as Joint Lead Arranger and Co-Syndication Agent</w:t>
      </w:r>
    </w:p>
    <w:p>
      <w:pPr>
        <w:spacing w:after="0" w:line="333" w:lineRule="exact"/>
        <w:rPr>
          <w:sz w:val="20"/>
          <w:szCs w:val="20"/>
          <w:color w:val="auto"/>
        </w:rPr>
      </w:pPr>
    </w:p>
    <w:tbl>
      <w:tblPr>
        <w:tblLayout w:type="fixed"/>
        <w:tblInd w:w="46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Pr>
          <w:p>
            <w:pPr>
              <w:ind w:left="20"/>
              <w:spacing w:after="0"/>
              <w:rPr>
                <w:sz w:val="20"/>
                <w:szCs w:val="20"/>
                <w:color w:val="auto"/>
              </w:rPr>
            </w:pPr>
            <w:r>
              <w:rPr>
                <w:rFonts w:ascii="Arial" w:cs="Arial" w:eastAsia="Arial" w:hAnsi="Arial"/>
                <w:sz w:val="18"/>
                <w:szCs w:val="18"/>
                <w:color w:val="auto"/>
              </w:rPr>
              <w:t>/s/ John C. Duggan</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520" w:type="dxa"/>
            <w:vAlign w:val="bottom"/>
          </w:tcPr>
          <w:p>
            <w:pPr>
              <w:ind w:left="20"/>
              <w:spacing w:after="0"/>
              <w:rPr>
                <w:sz w:val="20"/>
                <w:szCs w:val="20"/>
                <w:color w:val="auto"/>
              </w:rPr>
            </w:pPr>
            <w:r>
              <w:rPr>
                <w:rFonts w:ascii="Arial" w:cs="Arial" w:eastAsia="Arial" w:hAnsi="Arial"/>
                <w:sz w:val="18"/>
                <w:szCs w:val="18"/>
                <w:color w:val="auto"/>
              </w:rPr>
              <w:t>John C. Duggan</w:t>
            </w:r>
          </w:p>
        </w:tc>
        <w:tc>
          <w:tcPr>
            <w:tcW w:w="0" w:type="dxa"/>
            <w:vAlign w:val="bottom"/>
          </w:tcPr>
          <w:p>
            <w:pPr>
              <w:spacing w:after="0"/>
              <w:rPr>
                <w:sz w:val="1"/>
                <w:szCs w:val="1"/>
                <w:color w:val="auto"/>
              </w:rPr>
            </w:pPr>
          </w:p>
        </w:tc>
      </w:tr>
      <w:tr>
        <w:trPr>
          <w:trHeight w:val="256"/>
        </w:trPr>
        <w:tc>
          <w:tcPr>
            <w:tcW w:w="820" w:type="dxa"/>
            <w:vAlign w:val="bottom"/>
          </w:tcPr>
          <w:p>
            <w:pPr>
              <w:spacing w:after="0"/>
              <w:rPr>
                <w:sz w:val="22"/>
                <w:szCs w:val="22"/>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230"/>
        </w:trPr>
        <w:tc>
          <w:tcPr>
            <w:tcW w:w="82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20"/>
              <w:spacing w:after="0"/>
              <w:rPr>
                <w:sz w:val="20"/>
                <w:szCs w:val="20"/>
                <w:color w:val="auto"/>
              </w:rPr>
            </w:pPr>
            <w:r>
              <w:rPr>
                <w:rFonts w:ascii="Arial" w:cs="Arial" w:eastAsia="Arial" w:hAnsi="Arial"/>
                <w:sz w:val="18"/>
                <w:szCs w:val="18"/>
                <w:color w:val="auto"/>
              </w:rPr>
              <w:t>Leveraged Capital Markets</w:t>
            </w:r>
          </w:p>
        </w:tc>
        <w:tc>
          <w:tcPr>
            <w:tcW w:w="0" w:type="dxa"/>
            <w:vAlign w:val="bottom"/>
          </w:tcPr>
          <w:p>
            <w:pPr>
              <w:spacing w:after="0"/>
              <w:rPr>
                <w:sz w:val="1"/>
                <w:szCs w:val="1"/>
                <w:color w:val="auto"/>
              </w:rPr>
            </w:pPr>
          </w:p>
        </w:tc>
      </w:tr>
      <w:tr>
        <w:trPr>
          <w:trHeight w:val="81"/>
        </w:trPr>
        <w:tc>
          <w:tcPr>
            <w:tcW w:w="820" w:type="dxa"/>
            <w:vAlign w:val="bottom"/>
            <w:vMerge w:val="continue"/>
          </w:tcPr>
          <w:p>
            <w:pPr>
              <w:spacing w:after="0"/>
              <w:rPr>
                <w:sz w:val="7"/>
                <w:szCs w:val="7"/>
                <w:color w:val="auto"/>
              </w:rPr>
            </w:pPr>
          </w:p>
        </w:tc>
        <w:tc>
          <w:tcPr>
            <w:tcW w:w="5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tbl>
      <w:tblPr>
        <w:tblLayout w:type="fixed"/>
        <w:tblInd w:w="4600" w:type="dxa"/>
        <w:tblCellMar>
          <w:top w:w="0" w:type="dxa"/>
          <w:left w:w="0" w:type="dxa"/>
          <w:bottom w:w="0" w:type="dxa"/>
          <w:right w:w="0" w:type="dxa"/>
        </w:tblCellMar>
      </w:tblPr>
      <w:tr>
        <w:trPr>
          <w:trHeight w:val="25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Pr>
          <w:p>
            <w:pPr>
              <w:ind w:left="20"/>
              <w:spacing w:after="0"/>
              <w:rPr>
                <w:sz w:val="20"/>
                <w:szCs w:val="20"/>
                <w:color w:val="auto"/>
              </w:rPr>
            </w:pPr>
            <w:r>
              <w:rPr>
                <w:rFonts w:ascii="Arial" w:cs="Arial" w:eastAsia="Arial" w:hAnsi="Arial"/>
                <w:sz w:val="20"/>
                <w:szCs w:val="20"/>
                <w:color w:val="auto"/>
              </w:rPr>
              <w:t>/s/ Francisco Pinto-Leite</w:t>
            </w:r>
          </w:p>
        </w:tc>
      </w:tr>
      <w:tr>
        <w:trPr>
          <w:trHeight w:val="23"/>
        </w:trPr>
        <w:tc>
          <w:tcPr>
            <w:tcW w:w="8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54"/>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520" w:type="dxa"/>
            <w:vAlign w:val="bottom"/>
          </w:tcPr>
          <w:p>
            <w:pPr>
              <w:ind w:left="20"/>
              <w:spacing w:after="0"/>
              <w:rPr>
                <w:sz w:val="20"/>
                <w:szCs w:val="20"/>
                <w:color w:val="auto"/>
              </w:rPr>
            </w:pPr>
            <w:r>
              <w:rPr>
                <w:rFonts w:ascii="Arial" w:cs="Arial" w:eastAsia="Arial" w:hAnsi="Arial"/>
                <w:sz w:val="20"/>
                <w:szCs w:val="20"/>
                <w:color w:val="auto"/>
              </w:rPr>
              <w:t>Francisco Pinto-Leite</w:t>
            </w:r>
          </w:p>
        </w:tc>
      </w:tr>
      <w:tr>
        <w:trPr>
          <w:trHeight w:val="26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2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WELLS FARGO SECURITIES, LLC, as Joint Lead Arranger</w:t>
      </w:r>
    </w:p>
    <w:p>
      <w:pPr>
        <w:spacing w:after="0" w:line="333" w:lineRule="exact"/>
        <w:rPr>
          <w:sz w:val="20"/>
          <w:szCs w:val="20"/>
          <w:color w:val="auto"/>
        </w:rPr>
      </w:pPr>
    </w:p>
    <w:tbl>
      <w:tblPr>
        <w:tblLayout w:type="fixed"/>
        <w:tblInd w:w="46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Pr>
          <w:p>
            <w:pPr>
              <w:ind w:left="20"/>
              <w:spacing w:after="0"/>
              <w:rPr>
                <w:sz w:val="20"/>
                <w:szCs w:val="20"/>
                <w:color w:val="auto"/>
              </w:rPr>
            </w:pPr>
            <w:r>
              <w:rPr>
                <w:rFonts w:ascii="Arial" w:cs="Arial" w:eastAsia="Arial" w:hAnsi="Arial"/>
                <w:sz w:val="18"/>
                <w:szCs w:val="18"/>
                <w:color w:val="auto"/>
              </w:rPr>
              <w:t>/s/ Jacob Petkovich</w:t>
            </w:r>
          </w:p>
        </w:tc>
      </w:tr>
      <w:tr>
        <w:trPr>
          <w:trHeight w:val="27"/>
        </w:trPr>
        <w:tc>
          <w:tcPr>
            <w:tcW w:w="8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520" w:type="dxa"/>
            <w:vAlign w:val="bottom"/>
          </w:tcPr>
          <w:p>
            <w:pPr>
              <w:ind w:left="20"/>
              <w:spacing w:after="0"/>
              <w:rPr>
                <w:sz w:val="20"/>
                <w:szCs w:val="20"/>
                <w:color w:val="auto"/>
              </w:rPr>
            </w:pPr>
            <w:r>
              <w:rPr>
                <w:rFonts w:ascii="Arial" w:cs="Arial" w:eastAsia="Arial" w:hAnsi="Arial"/>
                <w:sz w:val="18"/>
                <w:szCs w:val="18"/>
                <w:color w:val="auto"/>
              </w:rPr>
              <w:t>Jacob Petkovich</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702"/>
        </w:trPr>
        <w:tc>
          <w:tcPr>
            <w:tcW w:w="820" w:type="dxa"/>
            <w:vAlign w:val="bottom"/>
          </w:tcPr>
          <w:p>
            <w:pPr>
              <w:spacing w:after="0"/>
              <w:rPr>
                <w:sz w:val="24"/>
                <w:szCs w:val="24"/>
                <w:color w:val="auto"/>
              </w:rPr>
            </w:pPr>
          </w:p>
        </w:tc>
        <w:tc>
          <w:tcPr>
            <w:tcW w:w="5520" w:type="dxa"/>
            <w:vAlign w:val="bottom"/>
          </w:tcPr>
          <w:p>
            <w:pPr>
              <w:jc w:val="right"/>
              <w:ind w:right="5050"/>
              <w:spacing w:after="0"/>
              <w:rPr>
                <w:sz w:val="20"/>
                <w:szCs w:val="20"/>
                <w:color w:val="auto"/>
              </w:rPr>
            </w:pPr>
            <w:r>
              <w:rPr>
                <w:rFonts w:ascii="Arial" w:cs="Arial" w:eastAsia="Arial" w:hAnsi="Arial"/>
                <w:sz w:val="18"/>
                <w:szCs w:val="18"/>
                <w:color w:val="auto"/>
              </w:rPr>
              <w:t>76</w:t>
            </w:r>
          </w:p>
        </w:tc>
      </w:tr>
    </w:tbl>
    <w:p>
      <w:pPr>
        <w:sectPr>
          <w:pgSz w:w="11900" w:h="16838" w:orient="portrait"/>
          <w:cols w:equalWidth="0" w:num="1">
            <w:col w:w="10940"/>
          </w:cols>
          <w:pgMar w:left="240" w:top="591" w:right="719" w:bottom="1440" w:gutter="0" w:footer="0" w:header="0"/>
        </w:sectPr>
      </w:pPr>
    </w:p>
    <w:bookmarkStart w:id="122" w:name="page123"/>
    <w:bookmarkEnd w:id="122"/>
    <w:p>
      <w:pPr>
        <w:ind w:left="3400" w:right="160"/>
        <w:spacing w:after="0" w:line="277" w:lineRule="auto"/>
        <w:rPr>
          <w:sz w:val="20"/>
          <w:szCs w:val="20"/>
          <w:color w:val="auto"/>
        </w:rPr>
      </w:pPr>
      <w:r>
        <w:rPr>
          <w:rFonts w:ascii="Arial" w:cs="Arial" w:eastAsia="Arial" w:hAnsi="Arial"/>
          <w:sz w:val="18"/>
          <w:szCs w:val="18"/>
          <w:color w:val="auto"/>
        </w:rPr>
        <w:t>DEUTSCHE BANK SECURITIES INC., as Joint Lead Arranger and Co-Syndication Agent</w:t>
      </w:r>
    </w:p>
    <w:p>
      <w:pPr>
        <w:spacing w:after="0" w:line="279" w:lineRule="exact"/>
        <w:rPr>
          <w:sz w:val="20"/>
          <w:szCs w:val="20"/>
          <w:color w:val="auto"/>
        </w:rPr>
      </w:pPr>
    </w:p>
    <w:tbl>
      <w:tblPr>
        <w:tblLayout w:type="fixed"/>
        <w:tblInd w:w="34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Pr>
          <w:p>
            <w:pPr>
              <w:ind w:left="20"/>
              <w:spacing w:after="0"/>
              <w:rPr>
                <w:sz w:val="20"/>
                <w:szCs w:val="20"/>
                <w:color w:val="auto"/>
              </w:rPr>
            </w:pPr>
            <w:r>
              <w:rPr>
                <w:rFonts w:ascii="Arial" w:cs="Arial" w:eastAsia="Arial" w:hAnsi="Arial"/>
                <w:sz w:val="18"/>
                <w:szCs w:val="18"/>
                <w:color w:val="auto"/>
              </w:rPr>
              <w:t>/s/ Frank Fazio</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520" w:type="dxa"/>
            <w:vAlign w:val="bottom"/>
          </w:tcPr>
          <w:p>
            <w:pPr>
              <w:ind w:left="20"/>
              <w:spacing w:after="0"/>
              <w:rPr>
                <w:sz w:val="20"/>
                <w:szCs w:val="20"/>
                <w:color w:val="auto"/>
              </w:rPr>
            </w:pPr>
            <w:r>
              <w:rPr>
                <w:rFonts w:ascii="Arial" w:cs="Arial" w:eastAsia="Arial" w:hAnsi="Arial"/>
                <w:sz w:val="18"/>
                <w:szCs w:val="18"/>
                <w:color w:val="auto"/>
              </w:rPr>
              <w:t>Frank Fazio</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648"/>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Pr>
          <w:p>
            <w:pPr>
              <w:ind w:left="20"/>
              <w:spacing w:after="0"/>
              <w:rPr>
                <w:sz w:val="20"/>
                <w:szCs w:val="20"/>
                <w:color w:val="auto"/>
              </w:rPr>
            </w:pPr>
            <w:r>
              <w:rPr>
                <w:rFonts w:ascii="Arial" w:cs="Arial" w:eastAsia="Arial" w:hAnsi="Arial"/>
                <w:sz w:val="18"/>
                <w:szCs w:val="18"/>
                <w:color w:val="auto"/>
              </w:rPr>
              <w:t>/s/ Edwin E. Roland</w:t>
            </w:r>
          </w:p>
        </w:tc>
        <w:tc>
          <w:tcPr>
            <w:tcW w:w="0" w:type="dxa"/>
            <w:vAlign w:val="bottom"/>
          </w:tcPr>
          <w:p>
            <w:pPr>
              <w:spacing w:after="0"/>
              <w:rPr>
                <w:sz w:val="1"/>
                <w:szCs w:val="1"/>
                <w:color w:val="auto"/>
              </w:rPr>
            </w:pPr>
          </w:p>
        </w:tc>
      </w:tr>
      <w:tr>
        <w:trPr>
          <w:trHeight w:val="27"/>
        </w:trPr>
        <w:tc>
          <w:tcPr>
            <w:tcW w:w="8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 w:type="dxa"/>
            <w:vAlign w:val="bottom"/>
            <w:vMerge w:val="continue"/>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Edwin E. Roland</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WELLS FARGO BANK, N.A., as Co-Syndication Agent</w:t>
      </w:r>
    </w:p>
    <w:p>
      <w:pPr>
        <w:spacing w:after="0" w:line="333" w:lineRule="exact"/>
        <w:rPr>
          <w:sz w:val="20"/>
          <w:szCs w:val="20"/>
          <w:color w:val="auto"/>
        </w:rPr>
      </w:pPr>
    </w:p>
    <w:tbl>
      <w:tblPr>
        <w:tblLayout w:type="fixed"/>
        <w:tblInd w:w="34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Pr>
          <w:p>
            <w:pPr>
              <w:ind w:left="20"/>
              <w:spacing w:after="0"/>
              <w:rPr>
                <w:sz w:val="20"/>
                <w:szCs w:val="20"/>
                <w:color w:val="auto"/>
              </w:rPr>
            </w:pPr>
            <w:r>
              <w:rPr>
                <w:rFonts w:ascii="Arial" w:cs="Arial" w:eastAsia="Arial" w:hAnsi="Arial"/>
                <w:sz w:val="18"/>
                <w:szCs w:val="18"/>
                <w:color w:val="auto"/>
              </w:rPr>
              <w:t>/s/ Jacob Petkovich</w:t>
            </w:r>
          </w:p>
        </w:tc>
      </w:tr>
      <w:tr>
        <w:trPr>
          <w:trHeight w:val="27"/>
        </w:trPr>
        <w:tc>
          <w:tcPr>
            <w:tcW w:w="8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520" w:type="dxa"/>
            <w:vAlign w:val="bottom"/>
          </w:tcPr>
          <w:p>
            <w:pPr>
              <w:ind w:left="20"/>
              <w:spacing w:after="0"/>
              <w:rPr>
                <w:sz w:val="20"/>
                <w:szCs w:val="20"/>
                <w:color w:val="auto"/>
              </w:rPr>
            </w:pPr>
            <w:r>
              <w:rPr>
                <w:rFonts w:ascii="Arial" w:cs="Arial" w:eastAsia="Arial" w:hAnsi="Arial"/>
                <w:sz w:val="18"/>
                <w:szCs w:val="18"/>
                <w:color w:val="auto"/>
              </w:rPr>
              <w:t>Jacob Petkovich</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BANK OF AMERICA, N.A., as a Lender:</w:t>
      </w:r>
    </w:p>
    <w:p>
      <w:pPr>
        <w:spacing w:after="0" w:line="345" w:lineRule="exact"/>
        <w:rPr>
          <w:sz w:val="20"/>
          <w:szCs w:val="20"/>
          <w:color w:val="auto"/>
        </w:rPr>
      </w:pPr>
    </w:p>
    <w:tbl>
      <w:tblPr>
        <w:tblLayout w:type="fixed"/>
        <w:tblInd w:w="34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Pr>
          <w:p>
            <w:pPr>
              <w:ind w:left="20"/>
              <w:spacing w:after="0"/>
              <w:rPr>
                <w:sz w:val="20"/>
                <w:szCs w:val="20"/>
                <w:color w:val="auto"/>
              </w:rPr>
            </w:pPr>
            <w:r>
              <w:rPr>
                <w:rFonts w:ascii="Arial" w:cs="Arial" w:eastAsia="Arial" w:hAnsi="Arial"/>
                <w:sz w:val="18"/>
                <w:szCs w:val="18"/>
                <w:color w:val="auto"/>
              </w:rPr>
              <w:t>/s/ Brian Lukehart</w:t>
            </w:r>
          </w:p>
        </w:tc>
      </w:tr>
      <w:tr>
        <w:trPr>
          <w:trHeight w:val="27"/>
        </w:trPr>
        <w:tc>
          <w:tcPr>
            <w:tcW w:w="8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520" w:type="dxa"/>
            <w:vAlign w:val="bottom"/>
          </w:tcPr>
          <w:p>
            <w:pPr>
              <w:ind w:left="20"/>
              <w:spacing w:after="0"/>
              <w:rPr>
                <w:sz w:val="20"/>
                <w:szCs w:val="20"/>
                <w:color w:val="auto"/>
              </w:rPr>
            </w:pPr>
            <w:r>
              <w:rPr>
                <w:rFonts w:ascii="Arial" w:cs="Arial" w:eastAsia="Arial" w:hAnsi="Arial"/>
                <w:sz w:val="18"/>
                <w:szCs w:val="18"/>
                <w:color w:val="auto"/>
              </w:rPr>
              <w:t>Brian Lukehart</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9740"/>
          </w:cols>
          <w:pgMar w:left="1440" w:top="963" w:right="7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CREDIT AGREEMENT</w:t>
      </w:r>
    </w:p>
    <w:p>
      <w:pPr>
        <w:spacing w:after="0" w:line="229"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THIS FIRST AMENDMENT TO CREDIT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is entered into as of March 5, 2013, by and among WELLS FARGO CAPITAL FINANCE, LLC, a Delaware limited liability company, as the arranger and administrative agent ("</w:t>
      </w:r>
      <w:r>
        <w:rPr>
          <w:rFonts w:ascii="Arial" w:cs="Arial" w:eastAsia="Arial" w:hAnsi="Arial"/>
          <w:sz w:val="17"/>
          <w:szCs w:val="17"/>
          <w:u w:val="single" w:color="auto"/>
          <w:color w:val="auto"/>
        </w:rPr>
        <w:t>Agent</w:t>
      </w:r>
      <w:r>
        <w:rPr>
          <w:rFonts w:ascii="Arial" w:cs="Arial" w:eastAsia="Arial" w:hAnsi="Arial"/>
          <w:sz w:val="17"/>
          <w:szCs w:val="17"/>
          <w:color w:val="auto"/>
        </w:rPr>
        <w:t>") for the Lenders (as defined in the Credit Agreement referred to below), the Lenders party hereto, REMY INTERNATIONAL, INC., a Delaware corporation ("</w:t>
      </w:r>
      <w:r>
        <w:rPr>
          <w:rFonts w:ascii="Arial" w:cs="Arial" w:eastAsia="Arial" w:hAnsi="Arial"/>
          <w:sz w:val="17"/>
          <w:szCs w:val="17"/>
          <w:u w:val="single" w:color="auto"/>
          <w:color w:val="auto"/>
        </w:rPr>
        <w:t>Remy International</w:t>
      </w:r>
      <w:r>
        <w:rPr>
          <w:rFonts w:ascii="Arial" w:cs="Arial" w:eastAsia="Arial" w:hAnsi="Arial"/>
          <w:sz w:val="17"/>
          <w:szCs w:val="17"/>
          <w:color w:val="auto"/>
        </w:rPr>
        <w:t>"), WESTERN REMAN INDUSTRIAL, INC., an Indiana corporation ("</w:t>
      </w:r>
      <w:r>
        <w:rPr>
          <w:rFonts w:ascii="Arial" w:cs="Arial" w:eastAsia="Arial" w:hAnsi="Arial"/>
          <w:sz w:val="17"/>
          <w:szCs w:val="17"/>
          <w:u w:val="single" w:color="auto"/>
          <w:color w:val="auto"/>
        </w:rPr>
        <w:t>Western Reman</w:t>
      </w:r>
      <w:r>
        <w:rPr>
          <w:rFonts w:ascii="Arial" w:cs="Arial" w:eastAsia="Arial" w:hAnsi="Arial"/>
          <w:sz w:val="17"/>
          <w:szCs w:val="17"/>
          <w:color w:val="auto"/>
        </w:rPr>
        <w:t>"), POWER INVESTMENTS, INC., an Indiana corporation ("</w:t>
      </w:r>
      <w:r>
        <w:rPr>
          <w:rFonts w:ascii="Arial" w:cs="Arial" w:eastAsia="Arial" w:hAnsi="Arial"/>
          <w:sz w:val="17"/>
          <w:szCs w:val="17"/>
          <w:u w:val="single" w:color="auto"/>
          <w:color w:val="auto"/>
        </w:rPr>
        <w:t>Power</w:t>
      </w:r>
      <w:r>
        <w:rPr>
          <w:rFonts w:ascii="Arial" w:cs="Arial" w:eastAsia="Arial" w:hAnsi="Arial"/>
          <w:sz w:val="17"/>
          <w:szCs w:val="17"/>
          <w:color w:val="auto"/>
        </w:rPr>
        <w:t xml:space="preserve"> </w:t>
      </w:r>
      <w:r>
        <w:rPr>
          <w:rFonts w:ascii="Arial" w:cs="Arial" w:eastAsia="Arial" w:hAnsi="Arial"/>
          <w:sz w:val="17"/>
          <w:szCs w:val="17"/>
          <w:u w:val="single" w:color="auto"/>
          <w:color w:val="auto"/>
        </w:rPr>
        <w:t>Investments</w:t>
      </w:r>
      <w:r>
        <w:rPr>
          <w:rFonts w:ascii="Arial" w:cs="Arial" w:eastAsia="Arial" w:hAnsi="Arial"/>
          <w:sz w:val="17"/>
          <w:szCs w:val="17"/>
          <w:color w:val="auto"/>
        </w:rPr>
        <w:t>"), REMY ELECTRIC MOTORS, L.L.C., a Virginia limited liability company ("</w:t>
      </w:r>
      <w:r>
        <w:rPr>
          <w:rFonts w:ascii="Arial" w:cs="Arial" w:eastAsia="Arial" w:hAnsi="Arial"/>
          <w:sz w:val="17"/>
          <w:szCs w:val="17"/>
          <w:u w:val="single" w:color="auto"/>
          <w:color w:val="auto"/>
        </w:rPr>
        <w:t>Remy Electric</w:t>
      </w:r>
      <w:r>
        <w:rPr>
          <w:rFonts w:ascii="Arial" w:cs="Arial" w:eastAsia="Arial" w:hAnsi="Arial"/>
          <w:sz w:val="17"/>
          <w:szCs w:val="17"/>
          <w:color w:val="auto"/>
        </w:rPr>
        <w:t>"), REMAN HOLDINGS, L.L.C., a Delaware limited liability company ("</w:t>
      </w:r>
      <w:r>
        <w:rPr>
          <w:rFonts w:ascii="Arial" w:cs="Arial" w:eastAsia="Arial" w:hAnsi="Arial"/>
          <w:sz w:val="17"/>
          <w:szCs w:val="17"/>
          <w:u w:val="single" w:color="auto"/>
          <w:color w:val="auto"/>
        </w:rPr>
        <w:t>Reman Holdings</w:t>
      </w:r>
      <w:r>
        <w:rPr>
          <w:rFonts w:ascii="Arial" w:cs="Arial" w:eastAsia="Arial" w:hAnsi="Arial"/>
          <w:sz w:val="17"/>
          <w:szCs w:val="17"/>
          <w:color w:val="auto"/>
        </w:rPr>
        <w:t>"), REMY INDIA HOLDINGS, INC., a Delaware corporation ("</w:t>
      </w:r>
      <w:r>
        <w:rPr>
          <w:rFonts w:ascii="Arial" w:cs="Arial" w:eastAsia="Arial" w:hAnsi="Arial"/>
          <w:sz w:val="17"/>
          <w:szCs w:val="17"/>
          <w:u w:val="single" w:color="auto"/>
          <w:color w:val="auto"/>
        </w:rPr>
        <w:t>Remy India</w:t>
      </w:r>
      <w:r>
        <w:rPr>
          <w:rFonts w:ascii="Arial" w:cs="Arial" w:eastAsia="Arial" w:hAnsi="Arial"/>
          <w:sz w:val="17"/>
          <w:szCs w:val="17"/>
          <w:color w:val="auto"/>
        </w:rPr>
        <w:t>"), REMY TECHNOLOGIES, L.L.C., a Delaware limited liability company ("</w:t>
      </w:r>
      <w:r>
        <w:rPr>
          <w:rFonts w:ascii="Arial" w:cs="Arial" w:eastAsia="Arial" w:hAnsi="Arial"/>
          <w:sz w:val="17"/>
          <w:szCs w:val="17"/>
          <w:u w:val="single" w:color="auto"/>
          <w:color w:val="auto"/>
        </w:rPr>
        <w:t>Remy Technologies</w:t>
      </w:r>
      <w:r>
        <w:rPr>
          <w:rFonts w:ascii="Arial" w:cs="Arial" w:eastAsia="Arial" w:hAnsi="Arial"/>
          <w:sz w:val="17"/>
          <w:szCs w:val="17"/>
          <w:color w:val="auto"/>
        </w:rPr>
        <w:t>"), REMY KOREA HOLDINGS, L.L.C., a Delaware limited liability company ("</w:t>
      </w:r>
      <w:r>
        <w:rPr>
          <w:rFonts w:ascii="Arial" w:cs="Arial" w:eastAsia="Arial" w:hAnsi="Arial"/>
          <w:sz w:val="17"/>
          <w:szCs w:val="17"/>
          <w:u w:val="single" w:color="auto"/>
          <w:color w:val="auto"/>
        </w:rPr>
        <w:t>Remy</w:t>
      </w:r>
      <w:r>
        <w:rPr>
          <w:rFonts w:ascii="Arial" w:cs="Arial" w:eastAsia="Arial" w:hAnsi="Arial"/>
          <w:sz w:val="17"/>
          <w:szCs w:val="17"/>
          <w:color w:val="auto"/>
        </w:rPr>
        <w:t xml:space="preserve"> </w:t>
      </w:r>
      <w:r>
        <w:rPr>
          <w:rFonts w:ascii="Arial" w:cs="Arial" w:eastAsia="Arial" w:hAnsi="Arial"/>
          <w:sz w:val="17"/>
          <w:szCs w:val="17"/>
          <w:u w:val="single" w:color="auto"/>
          <w:color w:val="auto"/>
        </w:rPr>
        <w:t>Korea</w:t>
      </w:r>
      <w:r>
        <w:rPr>
          <w:rFonts w:ascii="Arial" w:cs="Arial" w:eastAsia="Arial" w:hAnsi="Arial"/>
          <w:sz w:val="17"/>
          <w:szCs w:val="17"/>
          <w:color w:val="auto"/>
        </w:rPr>
        <w:t>"), REMY INC., a Delaware corporation ("</w:t>
      </w:r>
      <w:r>
        <w:rPr>
          <w:rFonts w:ascii="Arial" w:cs="Arial" w:eastAsia="Arial" w:hAnsi="Arial"/>
          <w:sz w:val="17"/>
          <w:szCs w:val="17"/>
          <w:u w:val="single" w:color="auto"/>
          <w:color w:val="auto"/>
        </w:rPr>
        <w:t>Remy Inc.</w:t>
      </w:r>
      <w:r>
        <w:rPr>
          <w:rFonts w:ascii="Arial" w:cs="Arial" w:eastAsia="Arial" w:hAnsi="Arial"/>
          <w:sz w:val="17"/>
          <w:szCs w:val="17"/>
          <w:color w:val="auto"/>
        </w:rPr>
        <w:t>"), REMY INTERNATIONAL HOLDINGS, INC., a Delaware corporation ("</w:t>
      </w:r>
      <w:r>
        <w:rPr>
          <w:rFonts w:ascii="Arial" w:cs="Arial" w:eastAsia="Arial" w:hAnsi="Arial"/>
          <w:sz w:val="17"/>
          <w:szCs w:val="17"/>
          <w:u w:val="single" w:color="auto"/>
          <w:color w:val="auto"/>
        </w:rPr>
        <w:t>Remy International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Holdings</w:t>
      </w:r>
      <w:r>
        <w:rPr>
          <w:rFonts w:ascii="Arial" w:cs="Arial" w:eastAsia="Arial" w:hAnsi="Arial"/>
          <w:sz w:val="17"/>
          <w:szCs w:val="17"/>
          <w:color w:val="auto"/>
        </w:rPr>
        <w:t>"), REMY POWER PRODUCTS, LLC, a Delaware limited liability company ("</w:t>
      </w:r>
      <w:r>
        <w:rPr>
          <w:rFonts w:ascii="Arial" w:cs="Arial" w:eastAsia="Arial" w:hAnsi="Arial"/>
          <w:sz w:val="17"/>
          <w:szCs w:val="17"/>
          <w:u w:val="single" w:color="auto"/>
          <w:color w:val="auto"/>
        </w:rPr>
        <w:t>Remy Power</w:t>
      </w:r>
      <w:r>
        <w:rPr>
          <w:rFonts w:ascii="Arial" w:cs="Arial" w:eastAsia="Arial" w:hAnsi="Arial"/>
          <w:sz w:val="17"/>
          <w:szCs w:val="17"/>
          <w:color w:val="auto"/>
        </w:rPr>
        <w:t>"), and WORLD WIDE AUTOMOTIVE, L.L.C., a Virginia limited liability company ("</w:t>
      </w:r>
      <w:r>
        <w:rPr>
          <w:rFonts w:ascii="Arial" w:cs="Arial" w:eastAsia="Arial" w:hAnsi="Arial"/>
          <w:sz w:val="17"/>
          <w:szCs w:val="17"/>
          <w:u w:val="single" w:color="auto"/>
          <w:color w:val="auto"/>
        </w:rPr>
        <w:t>World Wide Automotive</w:t>
      </w:r>
      <w:r>
        <w:rPr>
          <w:rFonts w:ascii="Arial" w:cs="Arial" w:eastAsia="Arial" w:hAnsi="Arial"/>
          <w:sz w:val="17"/>
          <w:szCs w:val="17"/>
          <w:color w:val="auto"/>
        </w:rPr>
        <w:t>"; together with Remy International, Western Reman, Power Investments, Remy Electric, Reman Holdings, Remy India, Remy Technologies, Remy Korea, Remy Inc., Remy International Holdings and Remy Power are referred to hereinafter each individually as a "</w:t>
      </w:r>
      <w:r>
        <w:rPr>
          <w:rFonts w:ascii="Arial" w:cs="Arial" w:eastAsia="Arial" w:hAnsi="Arial"/>
          <w:sz w:val="17"/>
          <w:szCs w:val="17"/>
          <w:u w:val="single" w:color="auto"/>
          <w:color w:val="auto"/>
        </w:rPr>
        <w:t>Borrower</w:t>
      </w:r>
      <w:r>
        <w:rPr>
          <w:rFonts w:ascii="Arial" w:cs="Arial" w:eastAsia="Arial" w:hAnsi="Arial"/>
          <w:sz w:val="17"/>
          <w:szCs w:val="17"/>
          <w:color w:val="auto"/>
        </w:rPr>
        <w:t>" and collectively, as "</w:t>
      </w:r>
      <w:r>
        <w:rPr>
          <w:rFonts w:ascii="Arial" w:cs="Arial" w:eastAsia="Arial" w:hAnsi="Arial"/>
          <w:sz w:val="17"/>
          <w:szCs w:val="17"/>
          <w:u w:val="single" w:color="auto"/>
          <w:color w:val="auto"/>
        </w:rPr>
        <w:t>Borrowers</w:t>
      </w:r>
      <w:r>
        <w:rPr>
          <w:rFonts w:ascii="Arial" w:cs="Arial" w:eastAsia="Arial" w:hAnsi="Arial"/>
          <w:sz w:val="17"/>
          <w:szCs w:val="17"/>
          <w:color w:val="auto"/>
        </w:rPr>
        <w:t>").</w:t>
      </w:r>
    </w:p>
    <w:p>
      <w:pPr>
        <w:spacing w:after="0" w:line="18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Borrowers, Agent, and Lenders are parties to that certain Credit Agreement dated as of December 17, 2010 (as amended, restated, modified or supplemented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and</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Borrowers have further requested that Agent and Lenders amend the Credit Agreement in certain respects as set forth herein, and Agent and Lenders have agreed to the foregoing, on the terms and conditions set forth herein.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NOW THEREFORE, in consideration of the premises and mutual agreements herein contained, the parties hereto agree as follows:</w:t>
      </w:r>
    </w:p>
    <w:p>
      <w:pPr>
        <w:spacing w:after="0" w:line="237" w:lineRule="exact"/>
        <w:rPr>
          <w:sz w:val="20"/>
          <w:szCs w:val="20"/>
          <w:color w:val="auto"/>
        </w:rPr>
      </w:pPr>
    </w:p>
    <w:p>
      <w:pPr>
        <w:ind w:firstLine="1305"/>
        <w:spacing w:after="0" w:line="277" w:lineRule="auto"/>
        <w:tabs>
          <w:tab w:leader="none" w:pos="1692"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Unless otherwise defined herein, capitalized terms used herein and not otherwise defined shall have the meanings ascribed to such terms in the Credit Agreement.</w:t>
      </w:r>
    </w:p>
    <w:p>
      <w:pPr>
        <w:spacing w:after="0" w:line="170" w:lineRule="exact"/>
        <w:rPr>
          <w:rFonts w:ascii="Arial" w:cs="Arial" w:eastAsia="Arial" w:hAnsi="Arial"/>
          <w:sz w:val="18"/>
          <w:szCs w:val="18"/>
          <w:color w:val="auto"/>
        </w:rPr>
      </w:pPr>
    </w:p>
    <w:p>
      <w:pPr>
        <w:ind w:firstLine="1305"/>
        <w:spacing w:after="0" w:line="308" w:lineRule="auto"/>
        <w:tabs>
          <w:tab w:leader="none" w:pos="1652"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Amendments to Credit Agreement</w:t>
      </w:r>
      <w:r>
        <w:rPr>
          <w:rFonts w:ascii="Arial" w:cs="Arial" w:eastAsia="Arial" w:hAnsi="Arial"/>
          <w:sz w:val="17"/>
          <w:szCs w:val="17"/>
          <w:color w:val="auto"/>
        </w:rPr>
        <w:t xml:space="preserve">. In reliance upon the representations and warranties of Borrower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below, and subject to the satisfaction of the conditions to effectiveness set forth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below, the Credit Agreement is hereby amended as follows:</w:t>
      </w:r>
    </w:p>
    <w:p>
      <w:pPr>
        <w:spacing w:after="0" w:line="147" w:lineRule="exact"/>
        <w:rPr>
          <w:sz w:val="20"/>
          <w:szCs w:val="20"/>
          <w:color w:val="auto"/>
        </w:rPr>
      </w:pPr>
    </w:p>
    <w:p>
      <w:pPr>
        <w:ind w:left="1680" w:hanging="375"/>
        <w:spacing w:after="0"/>
        <w:tabs>
          <w:tab w:leader="none" w:pos="16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Clause (b) of Section 2.10 of the Credit Agreement is hereby amended and restated in its entirety as follows:</w:t>
      </w:r>
    </w:p>
    <w:p>
      <w:pPr>
        <w:spacing w:after="0" w:line="225" w:lineRule="exact"/>
        <w:rPr>
          <w:rFonts w:ascii="Arial" w:cs="Arial" w:eastAsia="Arial" w:hAnsi="Arial"/>
          <w:sz w:val="18"/>
          <w:szCs w:val="18"/>
          <w:color w:val="auto"/>
        </w:rPr>
      </w:pPr>
    </w:p>
    <w:p>
      <w:pPr>
        <w:jc w:val="both"/>
        <w:ind w:left="1300" w:firstLine="1301"/>
        <w:spacing w:after="0" w:line="291" w:lineRule="auto"/>
        <w:tabs>
          <w:tab w:leader="none" w:pos="3005" w:val="left"/>
        </w:tabs>
        <w:numPr>
          <w:ilvl w:val="1"/>
          <w:numId w:val="127"/>
        </w:numPr>
        <w:rPr>
          <w:rFonts w:ascii="Arial" w:cs="Arial" w:eastAsia="Arial" w:hAnsi="Arial"/>
          <w:sz w:val="16"/>
          <w:szCs w:val="16"/>
          <w:color w:val="auto"/>
        </w:rPr>
      </w:pPr>
      <w:r>
        <w:rPr>
          <w:rFonts w:ascii="Arial" w:cs="Arial" w:eastAsia="Arial" w:hAnsi="Arial"/>
          <w:sz w:val="16"/>
          <w:szCs w:val="16"/>
          <w:color w:val="auto"/>
        </w:rPr>
        <w:t>for the ratable account of those Lenders with Revolver Commitments, on the first day of each month from and after the Closing Date up to the first day of the month prior to the Payoff Date and on the Payoff Date, an unused line fee in an amount equal to</w:t>
      </w:r>
    </w:p>
    <w:p>
      <w:pPr>
        <w:jc w:val="both"/>
        <w:ind w:left="1300"/>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.375% per annum times the result of (i) the aggregate amount of the Revolver Commitments, less (ii) the average Daily Balance of the Revolver Usage during the immediately preceding month (or portion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aggregate amount of the Revolver Commitments increases during any month, for purposes of clause (ii) above, (x) with respect to the portion of such month prior to such increase, the aggregate amount of the Revolver Commitments shall be the aggregate amount of the Revolver Commitments immediately prior to giving effect to such increase, and (y) with respect to the portion of such month after such increase, the aggregate amount of the Revolver Commitments shall be the aggregate amount of the Revolver Commitments immediately after giving effect to such increase.</w:t>
      </w:r>
    </w:p>
    <w:p>
      <w:pPr>
        <w:spacing w:after="0" w:line="164" w:lineRule="exact"/>
        <w:rPr>
          <w:rFonts w:ascii="Arial" w:cs="Arial" w:eastAsia="Arial" w:hAnsi="Arial"/>
          <w:sz w:val="16"/>
          <w:szCs w:val="16"/>
          <w:color w:val="auto"/>
        </w:rPr>
      </w:pPr>
    </w:p>
    <w:p>
      <w:pPr>
        <w:ind w:left="1700" w:hanging="395"/>
        <w:spacing w:after="0"/>
        <w:tabs>
          <w:tab w:leader="none" w:pos="17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first sentence of Section 3.3 of the Credit Agreement is hereby amended and restated in its entirety as follows:</w:t>
      </w:r>
    </w:p>
    <w:p>
      <w:pPr>
        <w:spacing w:after="0" w:line="221"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color w:val="auto"/>
        </w:rPr>
        <w:t xml:space="preserve">This Agreement shall continue in full force and effect for a term ending on September </w:t>
      </w:r>
      <w:r>
        <w:rPr>
          <w:rFonts w:ascii="Arial" w:cs="Arial" w:eastAsia="Arial" w:hAnsi="Arial"/>
          <w:sz w:val="18"/>
          <w:szCs w:val="18"/>
          <w:b w:val="1"/>
          <w:bCs w:val="1"/>
          <w:color w:val="auto"/>
        </w:rPr>
        <w:t>[5]</w:t>
      </w:r>
      <w:r>
        <w:rPr>
          <w:rFonts w:ascii="Arial" w:cs="Arial" w:eastAsia="Arial" w:hAnsi="Arial"/>
          <w:sz w:val="18"/>
          <w:szCs w:val="18"/>
          <w:color w:val="auto"/>
        </w:rPr>
        <w:t xml:space="preserve">, 2018;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date is not a Business Day, such term shall end on the next preceding Business Day (such Business Day, the "</w:t>
      </w:r>
      <w:r>
        <w:rPr>
          <w:rFonts w:ascii="Arial" w:cs="Arial" w:eastAsia="Arial" w:hAnsi="Arial"/>
          <w:sz w:val="18"/>
          <w:szCs w:val="18"/>
          <w:u w:val="single" w:color="auto"/>
          <w:color w:val="auto"/>
        </w:rPr>
        <w:t>Maturity Date</w:t>
      </w:r>
      <w:r>
        <w:rPr>
          <w:rFonts w:ascii="Arial" w:cs="Arial" w:eastAsia="Arial" w:hAnsi="Arial"/>
          <w:sz w:val="18"/>
          <w:szCs w:val="18"/>
          <w:color w:val="auto"/>
        </w:rPr>
        <w:t>").</w:t>
      </w:r>
    </w:p>
    <w:p>
      <w:pPr>
        <w:spacing w:after="0" w:line="166" w:lineRule="exact"/>
        <w:rPr>
          <w:sz w:val="20"/>
          <w:szCs w:val="20"/>
          <w:color w:val="auto"/>
        </w:rPr>
      </w:pPr>
    </w:p>
    <w:p>
      <w:pPr>
        <w:jc w:val="center"/>
        <w:ind w:left="5660" w:right="1440" w:hanging="4355"/>
        <w:spacing w:after="0" w:line="810" w:lineRule="auto"/>
        <w:tabs>
          <w:tab w:leader="none" w:pos="167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last sentence of Section 5.10 of the Credit Agreement is hereby amended and restated in its entirety as follows: 1</w:t>
      </w:r>
    </w:p>
    <w:p>
      <w:pPr>
        <w:sectPr>
          <w:pgSz w:w="11900" w:h="16838" w:orient="portrait"/>
          <w:cols w:equalWidth="0" w:num="1">
            <w:col w:w="11420"/>
          </w:cols>
          <w:pgMar w:left="240" w:top="580" w:right="239" w:bottom="1440" w:gutter="0" w:footer="0" w:header="0"/>
        </w:sectPr>
      </w:pPr>
    </w:p>
    <w:bookmarkStart w:id="124" w:name="page125"/>
    <w:bookmarkEnd w:id="124"/>
    <w:p>
      <w:pPr>
        <w:ind w:left="1300"/>
        <w:spacing w:after="0"/>
        <w:rPr>
          <w:sz w:val="20"/>
          <w:szCs w:val="20"/>
          <w:color w:val="auto"/>
        </w:rPr>
      </w:pPr>
      <w:r>
        <w:rPr>
          <w:rFonts w:ascii="Arial" w:cs="Arial" w:eastAsia="Arial" w:hAnsi="Arial"/>
          <w:sz w:val="18"/>
          <w:szCs w:val="18"/>
          <w:color w:val="auto"/>
        </w:rPr>
        <w:t>Agent shall perform no less than one field audit and one appraisal in any fiscal year.</w:t>
      </w:r>
    </w:p>
    <w:p>
      <w:pPr>
        <w:spacing w:after="0" w:line="225" w:lineRule="exact"/>
        <w:rPr>
          <w:sz w:val="20"/>
          <w:szCs w:val="20"/>
          <w:color w:val="auto"/>
        </w:rPr>
      </w:pPr>
    </w:p>
    <w:p>
      <w:pPr>
        <w:ind w:right="20" w:firstLine="1305"/>
        <w:spacing w:after="0" w:line="277" w:lineRule="auto"/>
        <w:tabs>
          <w:tab w:leader="none" w:pos="170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Clause (g) of Section 6.2 of the Credit Agreement is hereby amended by deleting the reference to "$20,000,000" therein and inserting "$40,000,000" in lieu thereof.</w:t>
      </w:r>
    </w:p>
    <w:p>
      <w:pPr>
        <w:spacing w:after="0" w:line="170" w:lineRule="exact"/>
        <w:rPr>
          <w:rFonts w:ascii="Arial" w:cs="Arial" w:eastAsia="Arial" w:hAnsi="Arial"/>
          <w:sz w:val="18"/>
          <w:szCs w:val="18"/>
          <w:color w:val="auto"/>
        </w:rPr>
      </w:pPr>
    </w:p>
    <w:p>
      <w:pPr>
        <w:ind w:firstLine="1305"/>
        <w:spacing w:after="0" w:line="277" w:lineRule="auto"/>
        <w:tabs>
          <w:tab w:leader="none" w:pos="169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Clause (k) of Section 6.2 of the Credit Agreement is hereby amended by deleting the reference to "$70,000,000" therein and inserting "$100,000,000" in lieu thereof.</w:t>
      </w:r>
    </w:p>
    <w:p>
      <w:pPr>
        <w:spacing w:after="0" w:line="170" w:lineRule="exact"/>
        <w:rPr>
          <w:rFonts w:ascii="Arial" w:cs="Arial" w:eastAsia="Arial" w:hAnsi="Arial"/>
          <w:sz w:val="18"/>
          <w:szCs w:val="18"/>
          <w:color w:val="auto"/>
        </w:rPr>
      </w:pPr>
    </w:p>
    <w:p>
      <w:pPr>
        <w:ind w:firstLine="1305"/>
        <w:spacing w:after="0" w:line="277" w:lineRule="auto"/>
        <w:tabs>
          <w:tab w:leader="none" w:pos="168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Clause (l) of Section 6.2 of the Credit Agreement is hereby amended by deleting the reference to "$12,000,000" therein and inserting "$24,000,000" in lieu thereof.</w:t>
      </w:r>
    </w:p>
    <w:p>
      <w:pPr>
        <w:spacing w:after="0" w:line="170" w:lineRule="exact"/>
        <w:rPr>
          <w:rFonts w:ascii="Arial" w:cs="Arial" w:eastAsia="Arial" w:hAnsi="Arial"/>
          <w:sz w:val="18"/>
          <w:szCs w:val="18"/>
          <w:color w:val="auto"/>
        </w:rPr>
      </w:pPr>
    </w:p>
    <w:p>
      <w:pPr>
        <w:ind w:left="1780" w:hanging="475"/>
        <w:spacing w:after="0"/>
        <w:tabs>
          <w:tab w:leader="none" w:pos="17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Clause (k) of Section 6.3 of the Credit Agreement is hereby amended by deleting each reference to "25%" therein and inserting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"17.5%" in lieu thereof</w:t>
      </w:r>
    </w:p>
    <w:p>
      <w:pPr>
        <w:spacing w:after="0" w:line="210" w:lineRule="exact"/>
        <w:rPr>
          <w:rFonts w:ascii="Arial" w:cs="Arial" w:eastAsia="Arial" w:hAnsi="Arial"/>
          <w:sz w:val="17"/>
          <w:szCs w:val="17"/>
          <w:color w:val="auto"/>
        </w:rPr>
      </w:pPr>
    </w:p>
    <w:p>
      <w:pPr>
        <w:ind w:left="1700" w:hanging="395"/>
        <w:spacing w:after="0"/>
        <w:tabs>
          <w:tab w:leader="none" w:pos="17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Clause (a) of Section 6.4 is hereby amended by inserting the following proviso at the end of such clause:</w:t>
      </w:r>
    </w:p>
    <w:p>
      <w:pPr>
        <w:spacing w:after="0" w:line="225"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 xml:space="preserve">provided, </w:t>
      </w:r>
      <w:r>
        <w:rPr>
          <w:rFonts w:ascii="Arial" w:cs="Arial" w:eastAsia="Arial" w:hAnsi="Arial"/>
          <w:sz w:val="18"/>
          <w:szCs w:val="18"/>
          <w:u w:val="single" w:color="auto"/>
          <w:color w:val="auto"/>
        </w:rPr>
        <w:t>further</w:t>
      </w:r>
      <w:r>
        <w:rPr>
          <w:rFonts w:ascii="Arial" w:cs="Arial" w:eastAsia="Arial" w:hAnsi="Arial"/>
          <w:sz w:val="18"/>
          <w:szCs w:val="18"/>
          <w:color w:val="auto"/>
        </w:rPr>
        <w:t>, any Subsidiary that is not a Loan Party may merge with and into another Subsidiary that is not a Loan Party in connection with a Corporate Restructuring, so long as if either such Subsidiary is a wholly-owned Subsidiary, the wholly-owned Subsidiary shall be continuing or surviving Person;</w:t>
      </w:r>
    </w:p>
    <w:p>
      <w:pPr>
        <w:spacing w:after="0" w:line="181" w:lineRule="exact"/>
        <w:rPr>
          <w:sz w:val="20"/>
          <w:szCs w:val="20"/>
          <w:color w:val="auto"/>
        </w:rPr>
      </w:pPr>
    </w:p>
    <w:p>
      <w:pPr>
        <w:ind w:left="1300"/>
        <w:spacing w:after="0"/>
        <w:tabs>
          <w:tab w:leader="none" w:pos="16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Clause (d) of Section 6.5 is hereby amended and restated in its entirety as follows:</w:t>
      </w:r>
    </w:p>
    <w:p>
      <w:pPr>
        <w:spacing w:after="0" w:line="225" w:lineRule="exact"/>
        <w:rPr>
          <w:sz w:val="20"/>
          <w:szCs w:val="20"/>
          <w:color w:val="auto"/>
        </w:rPr>
      </w:pPr>
    </w:p>
    <w:p>
      <w:pPr>
        <w:ind w:left="1300" w:firstLine="5"/>
        <w:spacing w:after="0" w:line="342" w:lineRule="auto"/>
        <w:tabs>
          <w:tab w:leader="none" w:pos="157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Dispositions of property by any Material Subsidiary to any Borrower or to a wholly-owned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in the connection with a Corporate Restructuring, if the transferor of such property is a Loan Party, the transferee thereof must be a Loan Party;</w:t>
      </w:r>
    </w:p>
    <w:p>
      <w:pPr>
        <w:spacing w:after="0" w:line="124" w:lineRule="exact"/>
        <w:rPr>
          <w:sz w:val="20"/>
          <w:szCs w:val="20"/>
          <w:color w:val="auto"/>
        </w:rPr>
      </w:pPr>
    </w:p>
    <w:p>
      <w:pPr>
        <w:ind w:left="1300"/>
        <w:spacing w:after="0"/>
        <w:tabs>
          <w:tab w:leader="none" w:pos="1640" w:val="left"/>
        </w:tabs>
        <w:rPr>
          <w:sz w:val="20"/>
          <w:szCs w:val="20"/>
          <w:color w:val="auto"/>
        </w:rPr>
      </w:pPr>
      <w:r>
        <w:rPr>
          <w:rFonts w:ascii="Arial" w:cs="Arial" w:eastAsia="Arial" w:hAnsi="Arial"/>
          <w:sz w:val="18"/>
          <w:szCs w:val="18"/>
          <w:color w:val="auto"/>
        </w:rPr>
        <w:t>(j)</w:t>
      </w:r>
      <w:r>
        <w:rPr>
          <w:sz w:val="20"/>
          <w:szCs w:val="20"/>
          <w:color w:val="auto"/>
        </w:rPr>
        <w:tab/>
      </w:r>
      <w:r>
        <w:rPr>
          <w:rFonts w:ascii="Arial" w:cs="Arial" w:eastAsia="Arial" w:hAnsi="Arial"/>
          <w:sz w:val="16"/>
          <w:szCs w:val="16"/>
          <w:color w:val="auto"/>
        </w:rPr>
        <w:t>The proviso at the end of Section 6.5 is hereby amended and restated in its entirety as follows:</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Disposition pursuant to this Section 6.5 (other than a Disposition permitted pursuant to Section 6.5(d) that is also completed in connection with a Corporate Restructuring) shall be for fair market value.</w:t>
      </w:r>
    </w:p>
    <w:p>
      <w:pPr>
        <w:spacing w:after="0" w:line="170"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auto"/>
        </w:rPr>
        <w:t>(k)</w:t>
      </w:r>
      <w:r>
        <w:rPr>
          <w:sz w:val="20"/>
          <w:szCs w:val="20"/>
          <w:color w:val="auto"/>
        </w:rPr>
        <w:tab/>
      </w:r>
      <w:r>
        <w:rPr>
          <w:rFonts w:ascii="Arial" w:cs="Arial" w:eastAsia="Arial" w:hAnsi="Arial"/>
          <w:sz w:val="16"/>
          <w:szCs w:val="16"/>
          <w:color w:val="auto"/>
        </w:rPr>
        <w:t>Clause (d) of Section 6.6 is hereby amended and restated in its entirety as follows:</w:t>
      </w:r>
    </w:p>
    <w:p>
      <w:pPr>
        <w:spacing w:after="0" w:line="225" w:lineRule="exact"/>
        <w:rPr>
          <w:sz w:val="20"/>
          <w:szCs w:val="20"/>
          <w:color w:val="auto"/>
        </w:rPr>
      </w:pPr>
    </w:p>
    <w:p>
      <w:pPr>
        <w:jc w:val="both"/>
        <w:ind w:left="1300" w:firstLine="5"/>
        <w:spacing w:after="0" w:line="267" w:lineRule="auto"/>
        <w:tabs>
          <w:tab w:leader="none" w:pos="153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Remy International may make Restricted Payments that are annual dividends to stockholders of Remy International in an aggregate amount not to exceed $35,000,000,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both before and after giving effect to each such Restricted Payment (x) Excess Availability exceeds the amount equal to 17.5% of the Maximum Revolver Amount, (y) the average daily Excess Availability for the 30 day period immediately preceding the making of such Restricted Payment (computed on a pro forma basis treating such Restricted Payment as being made on the first day of such period) exceeds the amount equal to 17.5% of the Maximum Revolver Amount, and (z) Borrowers shall be in pro forma compliance (determined on a pro forma basis as of the last day of the most recently ended month for which financial statements were required to have been delivered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with the financial covenants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which financial covenants shall be tested at such time regardless of whether a Covenant Testing Period is in effect and (ii) Remy International may make Restricted Payments (excluding Restricted Payments made pursuant to clause (i) above) in an aggregate amount not to exceed the Available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both before and after giving effect to each such Restricted Payment (w) Excess Availability exceeds the amount equal to 20% of the Maximum Revolver Amount, (x) the average daily Excess Availability for the 30 day period immediately preceding the making of such Restricted Payment (computed on a pro forma basis treating such Restricted Payment as being made on the first day of such period) exceeds the amount equal to 20% of the Maximum Revolver Amount, (y) Borrowers shall be in pro forma compliance with the financial covenants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which financial covenants shall be tested at such time regardless of whether a Covenant Testing Period is in effect and (z) the Consolidated Leverage Ratio does not exceed 3.50 to 1.00 (determined on a pro forma basis as of the last day of the most recently ended month for which financial statements were required to have been delivered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so long as both before and after giving effect to each such Restricted Payment, the Consolidated Leverage Ratio does not exceed 3.00 to 1.00 (determined on a pro forma basis as of the last day of the most recently ended month for which financial statements were required to have been delivered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then Restricted Payments permitted under this clause (ii) may exceed the Available Amount;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125" w:name="page126"/>
    <w:bookmarkEnd w:id="125"/>
    <w:p>
      <w:pPr>
        <w:ind w:left="1660" w:hanging="355"/>
        <w:spacing w:after="0"/>
        <w:tabs>
          <w:tab w:leader="none" w:pos="16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Section 15.11 of the Credit Agreement is hereby amended by deleting the reference to "Section 6.4" and inserting "Section 6.5" in lieu</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left="1300" w:right="80" w:firstLine="5"/>
        <w:spacing w:after="0" w:line="501" w:lineRule="auto"/>
        <w:tabs>
          <w:tab w:leader="none" w:pos="173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defined term "Available Amount" contained in Schedule 1.1 of the Credit Agreement is hereby amended and restated as follows: "</w:t>
      </w:r>
      <w:r>
        <w:rPr>
          <w:rFonts w:ascii="Arial" w:cs="Arial" w:eastAsia="Arial" w:hAnsi="Arial"/>
          <w:sz w:val="18"/>
          <w:szCs w:val="18"/>
          <w:u w:val="single" w:color="auto"/>
          <w:color w:val="auto"/>
        </w:rPr>
        <w:t>Available Amount</w:t>
      </w:r>
      <w:r>
        <w:rPr>
          <w:rFonts w:ascii="Arial" w:cs="Arial" w:eastAsia="Arial" w:hAnsi="Arial"/>
          <w:sz w:val="18"/>
          <w:szCs w:val="18"/>
          <w:color w:val="auto"/>
        </w:rPr>
        <w:t>" means, as at any date, the sum of, without duplication:</w:t>
      </w:r>
    </w:p>
    <w:p>
      <w:pPr>
        <w:ind w:left="1760" w:hanging="455"/>
        <w:spacing w:after="0"/>
        <w:tabs>
          <w:tab w:leader="none" w:pos="176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the aggregate cumulative amount, not less than zero, equal to 50% of (x) 100% minus the then applicable ECF Percentage times</w:t>
      </w:r>
    </w:p>
    <w:p>
      <w:pPr>
        <w:spacing w:after="0" w:line="46" w:lineRule="exact"/>
        <w:rPr>
          <w:rFonts w:ascii="Arial" w:cs="Arial" w:eastAsia="Arial" w:hAnsi="Arial"/>
          <w:sz w:val="16"/>
          <w:szCs w:val="16"/>
          <w:color w:val="auto"/>
        </w:rPr>
      </w:pPr>
    </w:p>
    <w:p>
      <w:pPr>
        <w:ind w:left="920" w:hanging="264"/>
        <w:spacing w:after="0"/>
        <w:tabs>
          <w:tab w:leader="none" w:pos="9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Excess Cash Flow for each fiscal year beginning with the fiscal year ending December 31, 2013;</w:t>
      </w:r>
    </w:p>
    <w:p>
      <w:pPr>
        <w:spacing w:after="0" w:line="210" w:lineRule="exact"/>
        <w:rPr>
          <w:rFonts w:ascii="Arial" w:cs="Arial" w:eastAsia="Arial" w:hAnsi="Arial"/>
          <w:sz w:val="18"/>
          <w:szCs w:val="18"/>
          <w:color w:val="auto"/>
        </w:rPr>
      </w:pPr>
    </w:p>
    <w:p>
      <w:pPr>
        <w:jc w:val="both"/>
        <w:ind w:left="660" w:firstLine="645"/>
        <w:spacing w:after="0" w:line="259" w:lineRule="auto"/>
        <w:tabs>
          <w:tab w:leader="none" w:pos="1761"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Net Cash Proceeds received after the First Amendment Closing Date and on or prior to such date from any equity issuance by Remy International (which is not Disqualified Capital Stock), excluding (i) any Net Cash Proceeds received from the Rights Offering (other than any Excess Rights Offering Proceeds) and (ii) any Net Cash Proceeds of an IPO used by Remy International or any other Loan Party to retire, redeem, repurchase or acquire any Equity Interests of Remy International or any other Loan Party;</w:t>
      </w:r>
    </w:p>
    <w:p>
      <w:pPr>
        <w:spacing w:after="0" w:line="186" w:lineRule="exact"/>
        <w:rPr>
          <w:rFonts w:ascii="Arial" w:cs="Arial" w:eastAsia="Arial" w:hAnsi="Arial"/>
          <w:sz w:val="18"/>
          <w:szCs w:val="18"/>
          <w:color w:val="auto"/>
        </w:rPr>
      </w:pPr>
    </w:p>
    <w:p>
      <w:pPr>
        <w:jc w:val="both"/>
        <w:ind w:left="660" w:firstLine="645"/>
        <w:spacing w:after="0" w:line="264" w:lineRule="auto"/>
        <w:tabs>
          <w:tab w:leader="none" w:pos="173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 amount equal to any returns (including dividends, interest, distributions, returns of principal, profits on sale, repayments, income and similar amounts) actually received in cash and Cash Equivalents by any Loan Party in respect of any Investments made with the proceeds of the Available Amount; and</w:t>
      </w:r>
    </w:p>
    <w:p>
      <w:pPr>
        <w:spacing w:after="0" w:line="181" w:lineRule="exact"/>
        <w:rPr>
          <w:rFonts w:ascii="Arial" w:cs="Arial" w:eastAsia="Arial" w:hAnsi="Arial"/>
          <w:sz w:val="18"/>
          <w:szCs w:val="18"/>
          <w:color w:val="auto"/>
        </w:rPr>
      </w:pPr>
    </w:p>
    <w:p>
      <w:pPr>
        <w:ind w:left="660" w:right="20" w:firstLine="645"/>
        <w:spacing w:after="0" w:line="308" w:lineRule="auto"/>
        <w:tabs>
          <w:tab w:leader="none" w:pos="1739" w:val="left"/>
        </w:tabs>
        <w:numPr>
          <w:ilvl w:val="1"/>
          <w:numId w:val="135"/>
        </w:numPr>
        <w:rPr>
          <w:rFonts w:ascii="Arial" w:cs="Arial" w:eastAsia="Arial" w:hAnsi="Arial"/>
          <w:sz w:val="17"/>
          <w:szCs w:val="17"/>
          <w:color w:val="auto"/>
        </w:rPr>
      </w:pPr>
      <w:r>
        <w:rPr>
          <w:rFonts w:ascii="Arial" w:cs="Arial" w:eastAsia="Arial" w:hAnsi="Arial"/>
          <w:sz w:val="17"/>
          <w:szCs w:val="17"/>
          <w:color w:val="auto"/>
        </w:rPr>
        <w:t>the aggregate amount actually received in cash or Cash Equivalents by any Loan Party in connection with the sale, transfer or other disposition of its ownership interest in any Foreign Subsidiary, in each case, to the extent of the Investment in such Foreign Subsidiary;</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in each case, that has not been previously applied pursuant to </w:t>
      </w:r>
      <w:r>
        <w:rPr>
          <w:rFonts w:ascii="Arial" w:cs="Arial" w:eastAsia="Arial" w:hAnsi="Arial"/>
          <w:sz w:val="18"/>
          <w:szCs w:val="18"/>
          <w:u w:val="single" w:color="auto"/>
          <w:color w:val="auto"/>
        </w:rPr>
        <w:t>Section 6.3(k)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6.6(d)</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firstLine="1305"/>
        <w:spacing w:after="0" w:line="277" w:lineRule="auto"/>
        <w:tabs>
          <w:tab w:leader="none" w:pos="17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table set forth in the defined term "Base Rate Margin" contained in Schedule 1.1 of the Credit Agreement is hereby amended and restated in its entirety as follows:</w:t>
      </w:r>
    </w:p>
    <w:p>
      <w:pPr>
        <w:spacing w:after="0" w:line="300" w:lineRule="exact"/>
        <w:rPr>
          <w:sz w:val="20"/>
          <w:szCs w:val="20"/>
          <w:color w:val="auto"/>
        </w:rPr>
      </w:pPr>
    </w:p>
    <w:tbl>
      <w:tblPr>
        <w:tblLayout w:type="fixed"/>
        <w:tblInd w:w="390" w:type="dxa"/>
        <w:tblCellMar>
          <w:top w:w="0" w:type="dxa"/>
          <w:left w:w="0" w:type="dxa"/>
          <w:bottom w:w="0" w:type="dxa"/>
          <w:right w:w="0" w:type="dxa"/>
        </w:tblCellMar>
      </w:tblPr>
      <w:tr>
        <w:trPr>
          <w:trHeight w:val="216"/>
        </w:trPr>
        <w:tc>
          <w:tcPr>
            <w:tcW w:w="1740" w:type="dxa"/>
            <w:vAlign w:val="bottom"/>
            <w:tcBorders>
              <w:top w:val="single" w:sz="8" w:color="00000A"/>
              <w:left w:val="single" w:sz="8" w:color="00000A"/>
              <w:right w:val="single" w:sz="8" w:color="00000A"/>
            </w:tcBorders>
            <w:gridSpan w:val="3"/>
          </w:tcPr>
          <w:p>
            <w:pPr>
              <w:jc w:val="center"/>
              <w:ind w:right="20"/>
              <w:spacing w:after="0"/>
              <w:rPr>
                <w:sz w:val="20"/>
                <w:szCs w:val="20"/>
                <w:color w:val="auto"/>
              </w:rPr>
            </w:pPr>
            <w:r>
              <w:rPr>
                <w:rFonts w:ascii="Arial" w:cs="Arial" w:eastAsia="Arial" w:hAnsi="Arial"/>
                <w:sz w:val="18"/>
                <w:szCs w:val="18"/>
                <w:color w:val="auto"/>
                <w:w w:val="92"/>
              </w:rPr>
              <w:t>Level</w:t>
            </w:r>
          </w:p>
        </w:tc>
        <w:tc>
          <w:tcPr>
            <w:tcW w:w="6080" w:type="dxa"/>
            <w:vAlign w:val="bottom"/>
            <w:tcBorders>
              <w:top w:val="single" w:sz="8" w:color="00000A"/>
              <w:right w:val="single" w:sz="8" w:color="00000A"/>
            </w:tcBorders>
            <w:gridSpan w:val="3"/>
          </w:tcPr>
          <w:p>
            <w:pPr>
              <w:ind w:left="1360"/>
              <w:spacing w:after="0"/>
              <w:rPr>
                <w:sz w:val="20"/>
                <w:szCs w:val="20"/>
                <w:color w:val="auto"/>
              </w:rPr>
            </w:pPr>
            <w:r>
              <w:rPr>
                <w:rFonts w:ascii="Arial" w:cs="Arial" w:eastAsia="Arial" w:hAnsi="Arial"/>
                <w:sz w:val="18"/>
                <w:szCs w:val="18"/>
                <w:color w:val="auto"/>
              </w:rPr>
              <w:t>Monthly Average Excess Availability Amount</w:t>
            </w:r>
          </w:p>
        </w:tc>
        <w:tc>
          <w:tcPr>
            <w:tcW w:w="760" w:type="dxa"/>
            <w:vAlign w:val="bottom"/>
            <w:tcBorders>
              <w:top w:val="single" w:sz="8" w:color="00000A"/>
            </w:tcBorders>
          </w:tcPr>
          <w:p>
            <w:pPr>
              <w:spacing w:after="0"/>
              <w:rPr>
                <w:sz w:val="18"/>
                <w:szCs w:val="18"/>
                <w:color w:val="auto"/>
              </w:rPr>
            </w:pPr>
          </w:p>
        </w:tc>
        <w:tc>
          <w:tcPr>
            <w:tcW w:w="2120" w:type="dxa"/>
            <w:vAlign w:val="bottom"/>
            <w:tcBorders>
              <w:top w:val="single" w:sz="8" w:color="00000A"/>
              <w:right w:val="single" w:sz="8" w:color="00000A"/>
            </w:tcBorders>
            <w:gridSpan w:val="2"/>
          </w:tcPr>
          <w:p>
            <w:pPr>
              <w:jc w:val="center"/>
              <w:ind w:right="820"/>
              <w:spacing w:after="0"/>
              <w:rPr>
                <w:sz w:val="20"/>
                <w:szCs w:val="20"/>
                <w:color w:val="auto"/>
              </w:rPr>
            </w:pPr>
            <w:r>
              <w:rPr>
                <w:rFonts w:ascii="Arial" w:cs="Arial" w:eastAsia="Arial" w:hAnsi="Arial"/>
                <w:sz w:val="18"/>
                <w:szCs w:val="18"/>
                <w:color w:val="auto"/>
                <w:w w:val="90"/>
              </w:rPr>
              <w:t>Base Rate Margin</w:t>
            </w:r>
          </w:p>
        </w:tc>
      </w:tr>
      <w:tr>
        <w:trPr>
          <w:trHeight w:val="48"/>
        </w:trPr>
        <w:tc>
          <w:tcPr>
            <w:tcW w:w="660" w:type="dxa"/>
            <w:vAlign w:val="bottom"/>
            <w:tcBorders>
              <w:left w:val="single" w:sz="8" w:color="00000A"/>
              <w:bottom w:val="single" w:sz="8" w:color="00000A"/>
            </w:tcBorders>
          </w:tcPr>
          <w:p>
            <w:pPr>
              <w:spacing w:after="0"/>
              <w:rPr>
                <w:sz w:val="4"/>
                <w:szCs w:val="4"/>
                <w:color w:val="auto"/>
              </w:rPr>
            </w:pPr>
          </w:p>
        </w:tc>
        <w:tc>
          <w:tcPr>
            <w:tcW w:w="400" w:type="dxa"/>
            <w:vAlign w:val="bottom"/>
            <w:tcBorders>
              <w:top w:val="single" w:sz="8" w:color="auto"/>
              <w:bottom w:val="single" w:sz="8" w:color="00000A"/>
            </w:tcBorders>
          </w:tcPr>
          <w:p>
            <w:pPr>
              <w:spacing w:after="0"/>
              <w:rPr>
                <w:sz w:val="4"/>
                <w:szCs w:val="4"/>
                <w:color w:val="auto"/>
              </w:rPr>
            </w:pPr>
          </w:p>
        </w:tc>
        <w:tc>
          <w:tcPr>
            <w:tcW w:w="680" w:type="dxa"/>
            <w:vAlign w:val="bottom"/>
            <w:tcBorders>
              <w:bottom w:val="single" w:sz="8" w:color="00000A"/>
              <w:right w:val="single" w:sz="8" w:color="00000A"/>
            </w:tcBorders>
          </w:tcPr>
          <w:p>
            <w:pPr>
              <w:spacing w:after="0"/>
              <w:rPr>
                <w:sz w:val="4"/>
                <w:szCs w:val="4"/>
                <w:color w:val="auto"/>
              </w:rPr>
            </w:pPr>
          </w:p>
        </w:tc>
        <w:tc>
          <w:tcPr>
            <w:tcW w:w="1360" w:type="dxa"/>
            <w:vAlign w:val="bottom"/>
            <w:tcBorders>
              <w:bottom w:val="single" w:sz="8" w:color="00000A"/>
            </w:tcBorders>
          </w:tcPr>
          <w:p>
            <w:pPr>
              <w:spacing w:after="0"/>
              <w:rPr>
                <w:sz w:val="4"/>
                <w:szCs w:val="4"/>
                <w:color w:val="auto"/>
              </w:rPr>
            </w:pPr>
          </w:p>
        </w:tc>
        <w:tc>
          <w:tcPr>
            <w:tcW w:w="3320" w:type="dxa"/>
            <w:vAlign w:val="bottom"/>
            <w:tcBorders>
              <w:top w:val="single" w:sz="8" w:color="auto"/>
              <w:bottom w:val="single" w:sz="8" w:color="00000A"/>
            </w:tcBorders>
          </w:tcPr>
          <w:p>
            <w:pPr>
              <w:spacing w:after="0"/>
              <w:rPr>
                <w:sz w:val="4"/>
                <w:szCs w:val="4"/>
                <w:color w:val="auto"/>
              </w:rPr>
            </w:pPr>
          </w:p>
        </w:tc>
        <w:tc>
          <w:tcPr>
            <w:tcW w:w="1400" w:type="dxa"/>
            <w:vAlign w:val="bottom"/>
            <w:tcBorders>
              <w:bottom w:val="single" w:sz="8" w:color="00000A"/>
              <w:right w:val="single" w:sz="8" w:color="00000A"/>
            </w:tcBorders>
          </w:tcPr>
          <w:p>
            <w:pPr>
              <w:spacing w:after="0"/>
              <w:rPr>
                <w:sz w:val="4"/>
                <w:szCs w:val="4"/>
                <w:color w:val="auto"/>
              </w:rPr>
            </w:pPr>
          </w:p>
        </w:tc>
        <w:tc>
          <w:tcPr>
            <w:tcW w:w="760" w:type="dxa"/>
            <w:vAlign w:val="bottom"/>
            <w:tcBorders>
              <w:bottom w:val="single" w:sz="8" w:color="00000A"/>
            </w:tcBorders>
          </w:tcPr>
          <w:p>
            <w:pPr>
              <w:spacing w:after="0"/>
              <w:rPr>
                <w:sz w:val="4"/>
                <w:szCs w:val="4"/>
                <w:color w:val="auto"/>
              </w:rPr>
            </w:pPr>
          </w:p>
        </w:tc>
        <w:tc>
          <w:tcPr>
            <w:tcW w:w="1300" w:type="dxa"/>
            <w:vAlign w:val="bottom"/>
            <w:tcBorders>
              <w:top w:val="single" w:sz="8" w:color="auto"/>
              <w:bottom w:val="single" w:sz="8" w:color="00000A"/>
            </w:tcBorders>
          </w:tcPr>
          <w:p>
            <w:pPr>
              <w:spacing w:after="0"/>
              <w:rPr>
                <w:sz w:val="4"/>
                <w:szCs w:val="4"/>
                <w:color w:val="auto"/>
              </w:rPr>
            </w:pPr>
          </w:p>
        </w:tc>
        <w:tc>
          <w:tcPr>
            <w:tcW w:w="820" w:type="dxa"/>
            <w:vAlign w:val="bottom"/>
            <w:tcBorders>
              <w:bottom w:val="single" w:sz="8" w:color="00000A"/>
              <w:right w:val="single" w:sz="8" w:color="00000A"/>
            </w:tcBorders>
          </w:tcPr>
          <w:p>
            <w:pPr>
              <w:spacing w:after="0"/>
              <w:rPr>
                <w:sz w:val="4"/>
                <w:szCs w:val="4"/>
                <w:color w:val="auto"/>
              </w:rPr>
            </w:pPr>
          </w:p>
        </w:tc>
      </w:tr>
      <w:tr>
        <w:trPr>
          <w:trHeight w:val="222"/>
        </w:trPr>
        <w:tc>
          <w:tcPr>
            <w:tcW w:w="660" w:type="dxa"/>
            <w:vAlign w:val="bottom"/>
            <w:tcBorders>
              <w:left w:val="single" w:sz="8" w:color="00000A"/>
            </w:tcBorders>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right w:val="single" w:sz="8" w:color="00000A"/>
            </w:tcBorders>
          </w:tcPr>
          <w:p>
            <w:pPr>
              <w:spacing w:after="0"/>
              <w:rPr>
                <w:sz w:val="19"/>
                <w:szCs w:val="19"/>
                <w:color w:val="auto"/>
              </w:rPr>
            </w:pPr>
          </w:p>
        </w:tc>
        <w:tc>
          <w:tcPr>
            <w:tcW w:w="608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rPr>
              <w:t>If the Monthly Average Excess Availability Amount is less than 33⅓% of the</w:t>
            </w: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20" w:type="dxa"/>
            <w:vAlign w:val="bottom"/>
            <w:tcBorders>
              <w:right w:val="single" w:sz="8" w:color="00000A"/>
            </w:tcBorders>
          </w:tcPr>
          <w:p>
            <w:pPr>
              <w:spacing w:after="0"/>
              <w:rPr>
                <w:sz w:val="19"/>
                <w:szCs w:val="19"/>
                <w:color w:val="auto"/>
              </w:rPr>
            </w:pPr>
          </w:p>
        </w:tc>
      </w:tr>
      <w:tr>
        <w:trPr>
          <w:trHeight w:val="230"/>
        </w:trPr>
        <w:tc>
          <w:tcPr>
            <w:tcW w:w="660" w:type="dxa"/>
            <w:vAlign w:val="bottom"/>
            <w:tcBorders>
              <w:left w:val="single" w:sz="8" w:color="00000A"/>
            </w:tcBorders>
          </w:tcPr>
          <w:p>
            <w:pPr>
              <w:spacing w:after="0"/>
              <w:rPr>
                <w:sz w:val="20"/>
                <w:szCs w:val="20"/>
                <w:color w:val="auto"/>
              </w:rPr>
            </w:pPr>
          </w:p>
        </w:tc>
        <w:tc>
          <w:tcPr>
            <w:tcW w:w="1080" w:type="dxa"/>
            <w:vAlign w:val="bottom"/>
            <w:tcBorders>
              <w:right w:val="single" w:sz="8" w:color="00000A"/>
            </w:tcBorders>
            <w:gridSpan w:val="2"/>
          </w:tcPr>
          <w:p>
            <w:pPr>
              <w:jc w:val="center"/>
              <w:ind w:right="660"/>
              <w:spacing w:after="0"/>
              <w:rPr>
                <w:sz w:val="20"/>
                <w:szCs w:val="20"/>
                <w:color w:val="auto"/>
              </w:rPr>
            </w:pPr>
            <w:r>
              <w:rPr>
                <w:rFonts w:ascii="Arial" w:cs="Arial" w:eastAsia="Arial" w:hAnsi="Arial"/>
                <w:sz w:val="18"/>
                <w:szCs w:val="18"/>
                <w:color w:val="auto"/>
              </w:rPr>
              <w:t>I</w:t>
            </w:r>
          </w:p>
        </w:tc>
        <w:tc>
          <w:tcPr>
            <w:tcW w:w="608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rPr>
              <w:t>Maximum Revolver Amount</w:t>
            </w:r>
          </w:p>
        </w:tc>
        <w:tc>
          <w:tcPr>
            <w:tcW w:w="2880" w:type="dxa"/>
            <w:vAlign w:val="bottom"/>
            <w:tcBorders>
              <w:right w:val="single" w:sz="8" w:color="00000A"/>
            </w:tcBorders>
            <w:gridSpan w:val="3"/>
          </w:tcPr>
          <w:p>
            <w:pPr>
              <w:jc w:val="center"/>
              <w:ind w:right="60"/>
              <w:spacing w:after="0"/>
              <w:rPr>
                <w:sz w:val="20"/>
                <w:szCs w:val="20"/>
                <w:color w:val="auto"/>
              </w:rPr>
            </w:pPr>
            <w:r>
              <w:rPr>
                <w:rFonts w:ascii="Arial" w:cs="Arial" w:eastAsia="Arial" w:hAnsi="Arial"/>
                <w:sz w:val="18"/>
                <w:szCs w:val="18"/>
                <w:color w:val="auto"/>
                <w:w w:val="88"/>
              </w:rPr>
              <w:t>1.00 percentage points</w:t>
            </w:r>
          </w:p>
        </w:tc>
      </w:tr>
      <w:tr>
        <w:trPr>
          <w:trHeight w:val="27"/>
        </w:trPr>
        <w:tc>
          <w:tcPr>
            <w:tcW w:w="660" w:type="dxa"/>
            <w:vAlign w:val="bottom"/>
            <w:tcBorders>
              <w:left w:val="single" w:sz="8" w:color="00000A"/>
              <w:bottom w:val="single" w:sz="8" w:color="00000A"/>
            </w:tcBorders>
          </w:tcPr>
          <w:p>
            <w:pPr>
              <w:spacing w:after="0"/>
              <w:rPr>
                <w:sz w:val="2"/>
                <w:szCs w:val="2"/>
                <w:color w:val="auto"/>
              </w:rPr>
            </w:pPr>
          </w:p>
        </w:tc>
        <w:tc>
          <w:tcPr>
            <w:tcW w:w="400" w:type="dxa"/>
            <w:vAlign w:val="bottom"/>
            <w:tcBorders>
              <w:bottom w:val="single" w:sz="8" w:color="00000A"/>
            </w:tcBorders>
          </w:tcPr>
          <w:p>
            <w:pPr>
              <w:spacing w:after="0"/>
              <w:rPr>
                <w:sz w:val="2"/>
                <w:szCs w:val="2"/>
                <w:color w:val="auto"/>
              </w:rPr>
            </w:pPr>
          </w:p>
        </w:tc>
        <w:tc>
          <w:tcPr>
            <w:tcW w:w="68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300" w:type="dxa"/>
            <w:vAlign w:val="bottom"/>
            <w:tcBorders>
              <w:bottom w:val="single" w:sz="8" w:color="00000A"/>
            </w:tcBorders>
          </w:tcPr>
          <w:p>
            <w:pPr>
              <w:spacing w:after="0"/>
              <w:rPr>
                <w:sz w:val="2"/>
                <w:szCs w:val="2"/>
                <w:color w:val="auto"/>
              </w:rPr>
            </w:pPr>
          </w:p>
        </w:tc>
        <w:tc>
          <w:tcPr>
            <w:tcW w:w="820" w:type="dxa"/>
            <w:vAlign w:val="bottom"/>
            <w:tcBorders>
              <w:bottom w:val="single" w:sz="8" w:color="00000A"/>
              <w:right w:val="single" w:sz="8" w:color="00000A"/>
            </w:tcBorders>
          </w:tcPr>
          <w:p>
            <w:pPr>
              <w:spacing w:after="0"/>
              <w:rPr>
                <w:sz w:val="2"/>
                <w:szCs w:val="2"/>
                <w:color w:val="auto"/>
              </w:rPr>
            </w:pPr>
          </w:p>
        </w:tc>
      </w:tr>
      <w:tr>
        <w:trPr>
          <w:trHeight w:val="190"/>
        </w:trPr>
        <w:tc>
          <w:tcPr>
            <w:tcW w:w="660" w:type="dxa"/>
            <w:vAlign w:val="bottom"/>
            <w:tcBorders>
              <w:left w:val="single" w:sz="8" w:color="00000A"/>
            </w:tcBorders>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Borders>
              <w:right w:val="single" w:sz="8" w:color="00000A"/>
            </w:tcBorders>
          </w:tcPr>
          <w:p>
            <w:pPr>
              <w:spacing w:after="0"/>
              <w:rPr>
                <w:sz w:val="16"/>
                <w:szCs w:val="16"/>
                <w:color w:val="auto"/>
              </w:rPr>
            </w:pPr>
          </w:p>
        </w:tc>
        <w:tc>
          <w:tcPr>
            <w:tcW w:w="6080" w:type="dxa"/>
            <w:vAlign w:val="bottom"/>
            <w:tcBorders>
              <w:right w:val="single" w:sz="8" w:color="00000A"/>
            </w:tcBorders>
            <w:gridSpan w:val="3"/>
          </w:tcPr>
          <w:p>
            <w:pPr>
              <w:ind w:left="20"/>
              <w:spacing w:after="0" w:line="189" w:lineRule="exact"/>
              <w:rPr>
                <w:sz w:val="20"/>
                <w:szCs w:val="20"/>
                <w:color w:val="auto"/>
              </w:rPr>
            </w:pPr>
            <w:r>
              <w:rPr>
                <w:rFonts w:ascii="Arial" w:cs="Arial" w:eastAsia="Arial" w:hAnsi="Arial"/>
                <w:sz w:val="18"/>
                <w:szCs w:val="18"/>
                <w:color w:val="auto"/>
                <w:w w:val="98"/>
              </w:rPr>
              <w:t>If the Monthly Average Excess Availability Amount is greater than or equal to</w:t>
            </w:r>
          </w:p>
        </w:tc>
        <w:tc>
          <w:tcPr>
            <w:tcW w:w="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20" w:type="dxa"/>
            <w:vAlign w:val="bottom"/>
            <w:tcBorders>
              <w:right w:val="single" w:sz="8" w:color="00000A"/>
            </w:tcBorders>
          </w:tcPr>
          <w:p>
            <w:pPr>
              <w:spacing w:after="0"/>
              <w:rPr>
                <w:sz w:val="16"/>
                <w:szCs w:val="16"/>
                <w:color w:val="auto"/>
              </w:rPr>
            </w:pPr>
          </w:p>
        </w:tc>
      </w:tr>
      <w:tr>
        <w:trPr>
          <w:trHeight w:val="249"/>
        </w:trPr>
        <w:tc>
          <w:tcPr>
            <w:tcW w:w="660" w:type="dxa"/>
            <w:vAlign w:val="bottom"/>
            <w:tcBorders>
              <w:left w:val="single" w:sz="8" w:color="00000A"/>
            </w:tcBorders>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Borders>
              <w:right w:val="single" w:sz="8" w:color="00000A"/>
            </w:tcBorders>
          </w:tcPr>
          <w:p>
            <w:pPr>
              <w:spacing w:after="0"/>
              <w:rPr>
                <w:sz w:val="21"/>
                <w:szCs w:val="21"/>
                <w:color w:val="auto"/>
              </w:rPr>
            </w:pPr>
          </w:p>
        </w:tc>
        <w:tc>
          <w:tcPr>
            <w:tcW w:w="608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w w:val="95"/>
              </w:rPr>
              <w:t>33⅓% of the Maximum Revolver Amount and less than 66⅔% of the Maximum</w:t>
            </w:r>
          </w:p>
        </w:tc>
        <w:tc>
          <w:tcPr>
            <w:tcW w:w="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20" w:type="dxa"/>
            <w:vAlign w:val="bottom"/>
            <w:tcBorders>
              <w:right w:val="single" w:sz="8" w:color="00000A"/>
            </w:tcBorders>
          </w:tcPr>
          <w:p>
            <w:pPr>
              <w:spacing w:after="0"/>
              <w:rPr>
                <w:sz w:val="21"/>
                <w:szCs w:val="21"/>
                <w:color w:val="auto"/>
              </w:rPr>
            </w:pPr>
          </w:p>
        </w:tc>
      </w:tr>
      <w:tr>
        <w:trPr>
          <w:trHeight w:val="230"/>
        </w:trPr>
        <w:tc>
          <w:tcPr>
            <w:tcW w:w="660" w:type="dxa"/>
            <w:vAlign w:val="bottom"/>
            <w:tcBorders>
              <w:left w:val="single" w:sz="8" w:color="00000A"/>
            </w:tcBorders>
          </w:tcPr>
          <w:p>
            <w:pPr>
              <w:spacing w:after="0"/>
              <w:rPr>
                <w:sz w:val="20"/>
                <w:szCs w:val="20"/>
                <w:color w:val="auto"/>
              </w:rPr>
            </w:pPr>
          </w:p>
        </w:tc>
        <w:tc>
          <w:tcPr>
            <w:tcW w:w="1080" w:type="dxa"/>
            <w:vAlign w:val="bottom"/>
            <w:tcBorders>
              <w:right w:val="single" w:sz="8" w:color="00000A"/>
            </w:tcBorders>
            <w:gridSpan w:val="2"/>
          </w:tcPr>
          <w:p>
            <w:pPr>
              <w:jc w:val="center"/>
              <w:ind w:right="680"/>
              <w:spacing w:after="0"/>
              <w:rPr>
                <w:sz w:val="20"/>
                <w:szCs w:val="20"/>
                <w:color w:val="auto"/>
              </w:rPr>
            </w:pPr>
            <w:r>
              <w:rPr>
                <w:rFonts w:ascii="Arial" w:cs="Arial" w:eastAsia="Arial" w:hAnsi="Arial"/>
                <w:sz w:val="18"/>
                <w:szCs w:val="18"/>
                <w:color w:val="auto"/>
              </w:rPr>
              <w:t>II</w:t>
            </w:r>
          </w:p>
        </w:tc>
        <w:tc>
          <w:tcPr>
            <w:tcW w:w="608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rPr>
              <w:t>Revolver Amount</w:t>
            </w:r>
          </w:p>
        </w:tc>
        <w:tc>
          <w:tcPr>
            <w:tcW w:w="2880" w:type="dxa"/>
            <w:vAlign w:val="bottom"/>
            <w:tcBorders>
              <w:right w:val="single" w:sz="8" w:color="00000A"/>
            </w:tcBorders>
            <w:gridSpan w:val="3"/>
          </w:tcPr>
          <w:p>
            <w:pPr>
              <w:jc w:val="center"/>
              <w:ind w:right="60"/>
              <w:spacing w:after="0"/>
              <w:rPr>
                <w:sz w:val="20"/>
                <w:szCs w:val="20"/>
                <w:color w:val="auto"/>
              </w:rPr>
            </w:pPr>
            <w:r>
              <w:rPr>
                <w:rFonts w:ascii="Arial" w:cs="Arial" w:eastAsia="Arial" w:hAnsi="Arial"/>
                <w:sz w:val="18"/>
                <w:szCs w:val="18"/>
                <w:color w:val="auto"/>
                <w:w w:val="88"/>
              </w:rPr>
              <w:t>0.75 percentage points</w:t>
            </w:r>
          </w:p>
        </w:tc>
      </w:tr>
      <w:tr>
        <w:trPr>
          <w:trHeight w:val="27"/>
        </w:trPr>
        <w:tc>
          <w:tcPr>
            <w:tcW w:w="660" w:type="dxa"/>
            <w:vAlign w:val="bottom"/>
            <w:tcBorders>
              <w:left w:val="single" w:sz="8" w:color="00000A"/>
              <w:bottom w:val="single" w:sz="8" w:color="00000A"/>
            </w:tcBorders>
          </w:tcPr>
          <w:p>
            <w:pPr>
              <w:spacing w:after="0"/>
              <w:rPr>
                <w:sz w:val="2"/>
                <w:szCs w:val="2"/>
                <w:color w:val="auto"/>
              </w:rPr>
            </w:pPr>
          </w:p>
        </w:tc>
        <w:tc>
          <w:tcPr>
            <w:tcW w:w="400" w:type="dxa"/>
            <w:vAlign w:val="bottom"/>
            <w:tcBorders>
              <w:bottom w:val="single" w:sz="8" w:color="00000A"/>
            </w:tcBorders>
          </w:tcPr>
          <w:p>
            <w:pPr>
              <w:spacing w:after="0"/>
              <w:rPr>
                <w:sz w:val="2"/>
                <w:szCs w:val="2"/>
                <w:color w:val="auto"/>
              </w:rPr>
            </w:pPr>
          </w:p>
        </w:tc>
        <w:tc>
          <w:tcPr>
            <w:tcW w:w="68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300" w:type="dxa"/>
            <w:vAlign w:val="bottom"/>
            <w:tcBorders>
              <w:bottom w:val="single" w:sz="8" w:color="00000A"/>
            </w:tcBorders>
          </w:tcPr>
          <w:p>
            <w:pPr>
              <w:spacing w:after="0"/>
              <w:rPr>
                <w:sz w:val="2"/>
                <w:szCs w:val="2"/>
                <w:color w:val="auto"/>
              </w:rPr>
            </w:pPr>
          </w:p>
        </w:tc>
        <w:tc>
          <w:tcPr>
            <w:tcW w:w="820" w:type="dxa"/>
            <w:vAlign w:val="bottom"/>
            <w:tcBorders>
              <w:bottom w:val="single" w:sz="8" w:color="00000A"/>
              <w:right w:val="single" w:sz="8" w:color="00000A"/>
            </w:tcBorders>
          </w:tcPr>
          <w:p>
            <w:pPr>
              <w:spacing w:after="0"/>
              <w:rPr>
                <w:sz w:val="2"/>
                <w:szCs w:val="2"/>
                <w:color w:val="auto"/>
              </w:rPr>
            </w:pPr>
          </w:p>
        </w:tc>
      </w:tr>
      <w:tr>
        <w:trPr>
          <w:trHeight w:val="190"/>
        </w:trPr>
        <w:tc>
          <w:tcPr>
            <w:tcW w:w="660" w:type="dxa"/>
            <w:vAlign w:val="bottom"/>
            <w:tcBorders>
              <w:left w:val="single" w:sz="8" w:color="00000A"/>
            </w:tcBorders>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Borders>
              <w:right w:val="single" w:sz="8" w:color="00000A"/>
            </w:tcBorders>
          </w:tcPr>
          <w:p>
            <w:pPr>
              <w:spacing w:after="0"/>
              <w:rPr>
                <w:sz w:val="16"/>
                <w:szCs w:val="16"/>
                <w:color w:val="auto"/>
              </w:rPr>
            </w:pPr>
          </w:p>
        </w:tc>
        <w:tc>
          <w:tcPr>
            <w:tcW w:w="6080" w:type="dxa"/>
            <w:vAlign w:val="bottom"/>
            <w:tcBorders>
              <w:right w:val="single" w:sz="8" w:color="00000A"/>
            </w:tcBorders>
            <w:gridSpan w:val="3"/>
          </w:tcPr>
          <w:p>
            <w:pPr>
              <w:ind w:left="20"/>
              <w:spacing w:after="0" w:line="189" w:lineRule="exact"/>
              <w:rPr>
                <w:sz w:val="20"/>
                <w:szCs w:val="20"/>
                <w:color w:val="auto"/>
              </w:rPr>
            </w:pPr>
            <w:r>
              <w:rPr>
                <w:rFonts w:ascii="Arial" w:cs="Arial" w:eastAsia="Arial" w:hAnsi="Arial"/>
                <w:sz w:val="18"/>
                <w:szCs w:val="18"/>
                <w:color w:val="auto"/>
                <w:w w:val="98"/>
              </w:rPr>
              <w:t>If the Monthly Average Excess Availability Amount is greater than or equal to</w:t>
            </w:r>
          </w:p>
        </w:tc>
        <w:tc>
          <w:tcPr>
            <w:tcW w:w="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20" w:type="dxa"/>
            <w:vAlign w:val="bottom"/>
            <w:tcBorders>
              <w:right w:val="single" w:sz="8" w:color="00000A"/>
            </w:tcBorders>
          </w:tcPr>
          <w:p>
            <w:pPr>
              <w:spacing w:after="0"/>
              <w:rPr>
                <w:sz w:val="16"/>
                <w:szCs w:val="16"/>
                <w:color w:val="auto"/>
              </w:rPr>
            </w:pPr>
          </w:p>
        </w:tc>
      </w:tr>
      <w:tr>
        <w:trPr>
          <w:trHeight w:val="287"/>
        </w:trPr>
        <w:tc>
          <w:tcPr>
            <w:tcW w:w="660" w:type="dxa"/>
            <w:vAlign w:val="bottom"/>
            <w:tcBorders>
              <w:left w:val="single" w:sz="8" w:color="00000A"/>
              <w:bottom w:val="single" w:sz="8" w:color="00000A"/>
            </w:tcBorders>
          </w:tcPr>
          <w:p>
            <w:pPr>
              <w:spacing w:after="0"/>
              <w:rPr>
                <w:sz w:val="24"/>
                <w:szCs w:val="24"/>
                <w:color w:val="auto"/>
              </w:rPr>
            </w:pPr>
          </w:p>
        </w:tc>
        <w:tc>
          <w:tcPr>
            <w:tcW w:w="1080" w:type="dxa"/>
            <w:vAlign w:val="bottom"/>
            <w:tcBorders>
              <w:bottom w:val="single" w:sz="8" w:color="00000A"/>
              <w:right w:val="single" w:sz="8" w:color="00000A"/>
            </w:tcBorders>
            <w:gridSpan w:val="2"/>
          </w:tcPr>
          <w:p>
            <w:pPr>
              <w:jc w:val="center"/>
              <w:ind w:right="660"/>
              <w:spacing w:after="0"/>
              <w:rPr>
                <w:sz w:val="20"/>
                <w:szCs w:val="20"/>
                <w:color w:val="auto"/>
              </w:rPr>
            </w:pPr>
            <w:r>
              <w:rPr>
                <w:rFonts w:ascii="Arial" w:cs="Arial" w:eastAsia="Arial" w:hAnsi="Arial"/>
                <w:sz w:val="18"/>
                <w:szCs w:val="18"/>
                <w:color w:val="auto"/>
              </w:rPr>
              <w:t>III</w:t>
            </w:r>
          </w:p>
        </w:tc>
        <w:tc>
          <w:tcPr>
            <w:tcW w:w="6080" w:type="dxa"/>
            <w:vAlign w:val="bottom"/>
            <w:tcBorders>
              <w:bottom w:val="single" w:sz="8" w:color="00000A"/>
              <w:right w:val="single" w:sz="8" w:color="00000A"/>
            </w:tcBorders>
            <w:gridSpan w:val="3"/>
          </w:tcPr>
          <w:p>
            <w:pPr>
              <w:ind w:left="20"/>
              <w:spacing w:after="0"/>
              <w:rPr>
                <w:sz w:val="20"/>
                <w:szCs w:val="20"/>
                <w:color w:val="auto"/>
              </w:rPr>
            </w:pPr>
            <w:r>
              <w:rPr>
                <w:rFonts w:ascii="Arial" w:cs="Arial" w:eastAsia="Arial" w:hAnsi="Arial"/>
                <w:sz w:val="18"/>
                <w:szCs w:val="18"/>
                <w:color w:val="auto"/>
              </w:rPr>
              <w:t>66⅔% of the Maximum Revolver Amount</w:t>
            </w:r>
          </w:p>
        </w:tc>
        <w:tc>
          <w:tcPr>
            <w:tcW w:w="2880" w:type="dxa"/>
            <w:vAlign w:val="bottom"/>
            <w:tcBorders>
              <w:bottom w:val="single" w:sz="8" w:color="00000A"/>
              <w:right w:val="single" w:sz="8" w:color="00000A"/>
            </w:tcBorders>
            <w:gridSpan w:val="3"/>
          </w:tcPr>
          <w:p>
            <w:pPr>
              <w:jc w:val="center"/>
              <w:ind w:right="60"/>
              <w:spacing w:after="0"/>
              <w:rPr>
                <w:sz w:val="20"/>
                <w:szCs w:val="20"/>
                <w:color w:val="auto"/>
              </w:rPr>
            </w:pPr>
            <w:r>
              <w:rPr>
                <w:rFonts w:ascii="Arial" w:cs="Arial" w:eastAsia="Arial" w:hAnsi="Arial"/>
                <w:sz w:val="18"/>
                <w:szCs w:val="18"/>
                <w:color w:val="auto"/>
                <w:w w:val="88"/>
              </w:rPr>
              <w:t>0.50 percentage points</w:t>
            </w:r>
          </w:p>
        </w:tc>
      </w:tr>
    </w:tbl>
    <w:p>
      <w:pPr>
        <w:spacing w:after="0" w:line="200" w:lineRule="exact"/>
        <w:rPr>
          <w:sz w:val="20"/>
          <w:szCs w:val="20"/>
          <w:color w:val="auto"/>
        </w:rPr>
      </w:pPr>
    </w:p>
    <w:p>
      <w:pPr>
        <w:spacing w:after="0" w:line="258" w:lineRule="exact"/>
        <w:rPr>
          <w:sz w:val="20"/>
          <w:szCs w:val="20"/>
          <w:color w:val="auto"/>
        </w:rPr>
      </w:pPr>
    </w:p>
    <w:p>
      <w:pPr>
        <w:ind w:left="1700" w:hanging="395"/>
        <w:spacing w:after="0"/>
        <w:tabs>
          <w:tab w:leader="none" w:pos="17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defined term "Covenant Testing Period" contained in Schedule 1.1 of the Credit Agreement is hereby amended and restated in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entirety as follows:</w:t>
      </w:r>
    </w:p>
    <w:p>
      <w:pPr>
        <w:spacing w:after="0" w:line="211"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Covenant Testing Period</w:t>
      </w:r>
      <w:r>
        <w:rPr>
          <w:rFonts w:ascii="Arial" w:cs="Arial" w:eastAsia="Arial" w:hAnsi="Arial"/>
          <w:sz w:val="17"/>
          <w:szCs w:val="17"/>
          <w:color w:val="auto"/>
        </w:rPr>
        <w:t>" means, a period commencing on the date Excess Availability is less than the amount equal to 12.5% of the Maximum Revolver Amount as in effect on such date and ending on the date that Borrowers have maintained Excess Availability of not less than the amount equal to 12.5% of the Maximum Revolver Amount as in effect on the applicable date of determination for 90 consecutive days.</w:t>
      </w:r>
    </w:p>
    <w:p>
      <w:pPr>
        <w:spacing w:after="0" w:line="166" w:lineRule="exact"/>
        <w:rPr>
          <w:sz w:val="20"/>
          <w:szCs w:val="20"/>
          <w:color w:val="auto"/>
        </w:rPr>
      </w:pPr>
    </w:p>
    <w:p>
      <w:pPr>
        <w:ind w:left="1740" w:hanging="435"/>
        <w:spacing w:after="0"/>
        <w:tabs>
          <w:tab w:leader="none" w:pos="17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defined term "Fee Letter" contained in Schedule 1.1 of the Credit Agreement is hereby amended and restated in its entirety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that certain fee letter, dated as of the Closing Date, among Borrowers and Agent, in form and substance reasonably satisfactory to Agent and as amended, restated, supplemented or otherwise modified.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126" w:name="page127"/>
    <w:bookmarkEnd w:id="126"/>
    <w:p>
      <w:pPr>
        <w:ind w:left="1780" w:hanging="475"/>
        <w:spacing w:after="0"/>
        <w:tabs>
          <w:tab w:leader="none" w:pos="17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defined term "Foreign Subsidiary" contained in Schedule 1.1 of the Credit Agreement is hereby amended and restated in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entirety as follows:</w:t>
      </w:r>
    </w:p>
    <w:p>
      <w:pPr>
        <w:spacing w:after="0" w:line="211" w:lineRule="exact"/>
        <w:rPr>
          <w:sz w:val="20"/>
          <w:szCs w:val="20"/>
          <w:color w:val="auto"/>
        </w:rPr>
      </w:pPr>
    </w:p>
    <w:p>
      <w:pPr>
        <w:ind w:left="66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of any Borrower that is not organized under the laws of the United States, any State thereof or the District of Columbia.</w:t>
      </w:r>
    </w:p>
    <w:p>
      <w:pPr>
        <w:spacing w:after="0" w:line="170" w:lineRule="exact"/>
        <w:rPr>
          <w:sz w:val="20"/>
          <w:szCs w:val="20"/>
          <w:color w:val="auto"/>
        </w:rPr>
      </w:pPr>
    </w:p>
    <w:p>
      <w:pPr>
        <w:ind w:firstLine="1305"/>
        <w:spacing w:after="0" w:line="277" w:lineRule="auto"/>
        <w:tabs>
          <w:tab w:leader="none" w:pos="169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table set forth in the defined term "LIBOR Rate Margin" contained in Schedule 1.1 of the Credit Agreement is hereby amended and restated in its entirety as follows:</w:t>
      </w:r>
    </w:p>
    <w:p>
      <w:pPr>
        <w:spacing w:after="0" w:line="300" w:lineRule="exact"/>
        <w:rPr>
          <w:sz w:val="20"/>
          <w:szCs w:val="20"/>
          <w:color w:val="auto"/>
        </w:rPr>
      </w:pPr>
    </w:p>
    <w:tbl>
      <w:tblPr>
        <w:tblLayout w:type="fixed"/>
        <w:tblInd w:w="390" w:type="dxa"/>
        <w:tblCellMar>
          <w:top w:w="0" w:type="dxa"/>
          <w:left w:w="0" w:type="dxa"/>
          <w:bottom w:w="0" w:type="dxa"/>
          <w:right w:w="0" w:type="dxa"/>
        </w:tblCellMar>
      </w:tblPr>
      <w:tr>
        <w:trPr>
          <w:trHeight w:val="216"/>
        </w:trPr>
        <w:tc>
          <w:tcPr>
            <w:tcW w:w="1740" w:type="dxa"/>
            <w:vAlign w:val="bottom"/>
            <w:tcBorders>
              <w:top w:val="single" w:sz="8" w:color="00000A"/>
              <w:left w:val="single" w:sz="8" w:color="00000A"/>
              <w:right w:val="single" w:sz="8" w:color="00000A"/>
            </w:tcBorders>
            <w:gridSpan w:val="3"/>
          </w:tcPr>
          <w:p>
            <w:pPr>
              <w:jc w:val="center"/>
              <w:ind w:right="20"/>
              <w:spacing w:after="0"/>
              <w:rPr>
                <w:sz w:val="20"/>
                <w:szCs w:val="20"/>
                <w:color w:val="auto"/>
              </w:rPr>
            </w:pPr>
            <w:r>
              <w:rPr>
                <w:rFonts w:ascii="Arial" w:cs="Arial" w:eastAsia="Arial" w:hAnsi="Arial"/>
                <w:sz w:val="18"/>
                <w:szCs w:val="18"/>
                <w:color w:val="auto"/>
                <w:w w:val="92"/>
              </w:rPr>
              <w:t>Level</w:t>
            </w:r>
          </w:p>
        </w:tc>
        <w:tc>
          <w:tcPr>
            <w:tcW w:w="6080" w:type="dxa"/>
            <w:vAlign w:val="bottom"/>
            <w:tcBorders>
              <w:top w:val="single" w:sz="8" w:color="00000A"/>
              <w:right w:val="single" w:sz="8" w:color="00000A"/>
            </w:tcBorders>
            <w:gridSpan w:val="3"/>
          </w:tcPr>
          <w:p>
            <w:pPr>
              <w:ind w:left="1360"/>
              <w:spacing w:after="0"/>
              <w:rPr>
                <w:sz w:val="20"/>
                <w:szCs w:val="20"/>
                <w:color w:val="auto"/>
              </w:rPr>
            </w:pPr>
            <w:r>
              <w:rPr>
                <w:rFonts w:ascii="Arial" w:cs="Arial" w:eastAsia="Arial" w:hAnsi="Arial"/>
                <w:sz w:val="18"/>
                <w:szCs w:val="18"/>
                <w:color w:val="auto"/>
              </w:rPr>
              <w:t>Monthly Average Excess Availability Amount</w:t>
            </w:r>
          </w:p>
        </w:tc>
        <w:tc>
          <w:tcPr>
            <w:tcW w:w="680" w:type="dxa"/>
            <w:vAlign w:val="bottom"/>
            <w:tcBorders>
              <w:top w:val="single" w:sz="8" w:color="00000A"/>
            </w:tcBorders>
          </w:tcPr>
          <w:p>
            <w:pPr>
              <w:spacing w:after="0"/>
              <w:rPr>
                <w:sz w:val="18"/>
                <w:szCs w:val="18"/>
                <w:color w:val="auto"/>
              </w:rPr>
            </w:pPr>
          </w:p>
        </w:tc>
        <w:tc>
          <w:tcPr>
            <w:tcW w:w="2200" w:type="dxa"/>
            <w:vAlign w:val="bottom"/>
            <w:tcBorders>
              <w:top w:val="single" w:sz="8" w:color="00000A"/>
              <w:right w:val="single" w:sz="8" w:color="00000A"/>
            </w:tcBorders>
            <w:gridSpan w:val="2"/>
          </w:tcPr>
          <w:p>
            <w:pPr>
              <w:jc w:val="center"/>
              <w:ind w:right="720"/>
              <w:spacing w:after="0"/>
              <w:rPr>
                <w:sz w:val="20"/>
                <w:szCs w:val="20"/>
                <w:color w:val="auto"/>
              </w:rPr>
            </w:pPr>
            <w:r>
              <w:rPr>
                <w:rFonts w:ascii="Arial" w:cs="Arial" w:eastAsia="Arial" w:hAnsi="Arial"/>
                <w:sz w:val="18"/>
                <w:szCs w:val="18"/>
                <w:color w:val="auto"/>
                <w:w w:val="94"/>
              </w:rPr>
              <w:t>LIBOR Rate Margin</w:t>
            </w:r>
          </w:p>
        </w:tc>
      </w:tr>
      <w:tr>
        <w:trPr>
          <w:trHeight w:val="48"/>
        </w:trPr>
        <w:tc>
          <w:tcPr>
            <w:tcW w:w="660" w:type="dxa"/>
            <w:vAlign w:val="bottom"/>
            <w:tcBorders>
              <w:left w:val="single" w:sz="8" w:color="00000A"/>
              <w:bottom w:val="single" w:sz="8" w:color="00000A"/>
            </w:tcBorders>
          </w:tcPr>
          <w:p>
            <w:pPr>
              <w:spacing w:after="0"/>
              <w:rPr>
                <w:sz w:val="4"/>
                <w:szCs w:val="4"/>
                <w:color w:val="auto"/>
              </w:rPr>
            </w:pPr>
          </w:p>
        </w:tc>
        <w:tc>
          <w:tcPr>
            <w:tcW w:w="400" w:type="dxa"/>
            <w:vAlign w:val="bottom"/>
            <w:tcBorders>
              <w:top w:val="single" w:sz="8" w:color="auto"/>
              <w:bottom w:val="single" w:sz="8" w:color="00000A"/>
            </w:tcBorders>
          </w:tcPr>
          <w:p>
            <w:pPr>
              <w:spacing w:after="0"/>
              <w:rPr>
                <w:sz w:val="4"/>
                <w:szCs w:val="4"/>
                <w:color w:val="auto"/>
              </w:rPr>
            </w:pPr>
          </w:p>
        </w:tc>
        <w:tc>
          <w:tcPr>
            <w:tcW w:w="680" w:type="dxa"/>
            <w:vAlign w:val="bottom"/>
            <w:tcBorders>
              <w:bottom w:val="single" w:sz="8" w:color="00000A"/>
              <w:right w:val="single" w:sz="8" w:color="00000A"/>
            </w:tcBorders>
          </w:tcPr>
          <w:p>
            <w:pPr>
              <w:spacing w:after="0"/>
              <w:rPr>
                <w:sz w:val="4"/>
                <w:szCs w:val="4"/>
                <w:color w:val="auto"/>
              </w:rPr>
            </w:pPr>
          </w:p>
        </w:tc>
        <w:tc>
          <w:tcPr>
            <w:tcW w:w="1360" w:type="dxa"/>
            <w:vAlign w:val="bottom"/>
            <w:tcBorders>
              <w:bottom w:val="single" w:sz="8" w:color="00000A"/>
            </w:tcBorders>
          </w:tcPr>
          <w:p>
            <w:pPr>
              <w:spacing w:after="0"/>
              <w:rPr>
                <w:sz w:val="4"/>
                <w:szCs w:val="4"/>
                <w:color w:val="auto"/>
              </w:rPr>
            </w:pPr>
          </w:p>
        </w:tc>
        <w:tc>
          <w:tcPr>
            <w:tcW w:w="3320" w:type="dxa"/>
            <w:vAlign w:val="bottom"/>
            <w:tcBorders>
              <w:top w:val="single" w:sz="8" w:color="auto"/>
              <w:bottom w:val="single" w:sz="8" w:color="00000A"/>
            </w:tcBorders>
          </w:tcPr>
          <w:p>
            <w:pPr>
              <w:spacing w:after="0"/>
              <w:rPr>
                <w:sz w:val="4"/>
                <w:szCs w:val="4"/>
                <w:color w:val="auto"/>
              </w:rPr>
            </w:pPr>
          </w:p>
        </w:tc>
        <w:tc>
          <w:tcPr>
            <w:tcW w:w="1400" w:type="dxa"/>
            <w:vAlign w:val="bottom"/>
            <w:tcBorders>
              <w:bottom w:val="single" w:sz="8" w:color="00000A"/>
              <w:right w:val="single" w:sz="8" w:color="00000A"/>
            </w:tcBorders>
          </w:tcPr>
          <w:p>
            <w:pPr>
              <w:spacing w:after="0"/>
              <w:rPr>
                <w:sz w:val="4"/>
                <w:szCs w:val="4"/>
                <w:color w:val="auto"/>
              </w:rPr>
            </w:pPr>
          </w:p>
        </w:tc>
        <w:tc>
          <w:tcPr>
            <w:tcW w:w="680" w:type="dxa"/>
            <w:vAlign w:val="bottom"/>
            <w:tcBorders>
              <w:bottom w:val="single" w:sz="8" w:color="00000A"/>
            </w:tcBorders>
          </w:tcPr>
          <w:p>
            <w:pPr>
              <w:spacing w:after="0"/>
              <w:rPr>
                <w:sz w:val="4"/>
                <w:szCs w:val="4"/>
                <w:color w:val="auto"/>
              </w:rPr>
            </w:pPr>
          </w:p>
        </w:tc>
        <w:tc>
          <w:tcPr>
            <w:tcW w:w="1480" w:type="dxa"/>
            <w:vAlign w:val="bottom"/>
            <w:tcBorders>
              <w:top w:val="single" w:sz="8" w:color="auto"/>
              <w:bottom w:val="single" w:sz="8" w:color="00000A"/>
            </w:tcBorders>
          </w:tcPr>
          <w:p>
            <w:pPr>
              <w:spacing w:after="0"/>
              <w:rPr>
                <w:sz w:val="4"/>
                <w:szCs w:val="4"/>
                <w:color w:val="auto"/>
              </w:rPr>
            </w:pPr>
          </w:p>
        </w:tc>
        <w:tc>
          <w:tcPr>
            <w:tcW w:w="720" w:type="dxa"/>
            <w:vAlign w:val="bottom"/>
            <w:tcBorders>
              <w:bottom w:val="single" w:sz="8" w:color="00000A"/>
              <w:right w:val="single" w:sz="8" w:color="00000A"/>
            </w:tcBorders>
          </w:tcPr>
          <w:p>
            <w:pPr>
              <w:spacing w:after="0"/>
              <w:rPr>
                <w:sz w:val="4"/>
                <w:szCs w:val="4"/>
                <w:color w:val="auto"/>
              </w:rPr>
            </w:pPr>
          </w:p>
        </w:tc>
      </w:tr>
      <w:tr>
        <w:trPr>
          <w:trHeight w:val="222"/>
        </w:trPr>
        <w:tc>
          <w:tcPr>
            <w:tcW w:w="660" w:type="dxa"/>
            <w:vAlign w:val="bottom"/>
            <w:tcBorders>
              <w:left w:val="single" w:sz="8" w:color="00000A"/>
            </w:tcBorders>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right w:val="single" w:sz="8" w:color="00000A"/>
            </w:tcBorders>
          </w:tcPr>
          <w:p>
            <w:pPr>
              <w:spacing w:after="0"/>
              <w:rPr>
                <w:sz w:val="19"/>
                <w:szCs w:val="19"/>
                <w:color w:val="auto"/>
              </w:rPr>
            </w:pPr>
          </w:p>
        </w:tc>
        <w:tc>
          <w:tcPr>
            <w:tcW w:w="608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rPr>
              <w:t>If the Monthly Average Excess Availability Amount is less than 33⅓% of the</w:t>
            </w:r>
          </w:p>
        </w:tc>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20" w:type="dxa"/>
            <w:vAlign w:val="bottom"/>
            <w:tcBorders>
              <w:right w:val="single" w:sz="8" w:color="00000A"/>
            </w:tcBorders>
          </w:tcPr>
          <w:p>
            <w:pPr>
              <w:spacing w:after="0"/>
              <w:rPr>
                <w:sz w:val="19"/>
                <w:szCs w:val="19"/>
                <w:color w:val="auto"/>
              </w:rPr>
            </w:pPr>
          </w:p>
        </w:tc>
      </w:tr>
      <w:tr>
        <w:trPr>
          <w:trHeight w:val="230"/>
        </w:trPr>
        <w:tc>
          <w:tcPr>
            <w:tcW w:w="660" w:type="dxa"/>
            <w:vAlign w:val="bottom"/>
            <w:tcBorders>
              <w:left w:val="single" w:sz="8" w:color="00000A"/>
            </w:tcBorders>
          </w:tcPr>
          <w:p>
            <w:pPr>
              <w:spacing w:after="0"/>
              <w:rPr>
                <w:sz w:val="20"/>
                <w:szCs w:val="20"/>
                <w:color w:val="auto"/>
              </w:rPr>
            </w:pPr>
          </w:p>
        </w:tc>
        <w:tc>
          <w:tcPr>
            <w:tcW w:w="1080" w:type="dxa"/>
            <w:vAlign w:val="bottom"/>
            <w:tcBorders>
              <w:right w:val="single" w:sz="8" w:color="00000A"/>
            </w:tcBorders>
            <w:gridSpan w:val="2"/>
          </w:tcPr>
          <w:p>
            <w:pPr>
              <w:jc w:val="center"/>
              <w:ind w:right="660"/>
              <w:spacing w:after="0"/>
              <w:rPr>
                <w:sz w:val="20"/>
                <w:szCs w:val="20"/>
                <w:color w:val="auto"/>
              </w:rPr>
            </w:pPr>
            <w:r>
              <w:rPr>
                <w:rFonts w:ascii="Arial" w:cs="Arial" w:eastAsia="Arial" w:hAnsi="Arial"/>
                <w:sz w:val="18"/>
                <w:szCs w:val="18"/>
                <w:color w:val="auto"/>
              </w:rPr>
              <w:t>I</w:t>
            </w:r>
          </w:p>
        </w:tc>
        <w:tc>
          <w:tcPr>
            <w:tcW w:w="608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rPr>
              <w:t>Maximum Revolver Amount</w:t>
            </w:r>
          </w:p>
        </w:tc>
        <w:tc>
          <w:tcPr>
            <w:tcW w:w="2880" w:type="dxa"/>
            <w:vAlign w:val="bottom"/>
            <w:tcBorders>
              <w:right w:val="single" w:sz="8" w:color="00000A"/>
            </w:tcBorders>
            <w:gridSpan w:val="3"/>
          </w:tcPr>
          <w:p>
            <w:pPr>
              <w:jc w:val="center"/>
              <w:ind w:right="60"/>
              <w:spacing w:after="0"/>
              <w:rPr>
                <w:sz w:val="20"/>
                <w:szCs w:val="20"/>
                <w:color w:val="auto"/>
              </w:rPr>
            </w:pPr>
            <w:r>
              <w:rPr>
                <w:rFonts w:ascii="Arial" w:cs="Arial" w:eastAsia="Arial" w:hAnsi="Arial"/>
                <w:sz w:val="18"/>
                <w:szCs w:val="18"/>
                <w:color w:val="auto"/>
                <w:w w:val="88"/>
              </w:rPr>
              <w:t>2.00 percentage points</w:t>
            </w:r>
          </w:p>
        </w:tc>
      </w:tr>
      <w:tr>
        <w:trPr>
          <w:trHeight w:val="27"/>
        </w:trPr>
        <w:tc>
          <w:tcPr>
            <w:tcW w:w="660" w:type="dxa"/>
            <w:vAlign w:val="bottom"/>
            <w:tcBorders>
              <w:left w:val="single" w:sz="8" w:color="00000A"/>
              <w:bottom w:val="single" w:sz="8" w:color="00000A"/>
            </w:tcBorders>
          </w:tcPr>
          <w:p>
            <w:pPr>
              <w:spacing w:after="0"/>
              <w:rPr>
                <w:sz w:val="2"/>
                <w:szCs w:val="2"/>
                <w:color w:val="auto"/>
              </w:rPr>
            </w:pPr>
          </w:p>
        </w:tc>
        <w:tc>
          <w:tcPr>
            <w:tcW w:w="400" w:type="dxa"/>
            <w:vAlign w:val="bottom"/>
            <w:tcBorders>
              <w:bottom w:val="single" w:sz="8" w:color="00000A"/>
            </w:tcBorders>
          </w:tcPr>
          <w:p>
            <w:pPr>
              <w:spacing w:after="0"/>
              <w:rPr>
                <w:sz w:val="2"/>
                <w:szCs w:val="2"/>
                <w:color w:val="auto"/>
              </w:rPr>
            </w:pPr>
          </w:p>
        </w:tc>
        <w:tc>
          <w:tcPr>
            <w:tcW w:w="68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1480" w:type="dxa"/>
            <w:vAlign w:val="bottom"/>
            <w:tcBorders>
              <w:bottom w:val="single" w:sz="8" w:color="00000A"/>
            </w:tcBorders>
          </w:tcPr>
          <w:p>
            <w:pPr>
              <w:spacing w:after="0"/>
              <w:rPr>
                <w:sz w:val="2"/>
                <w:szCs w:val="2"/>
                <w:color w:val="auto"/>
              </w:rPr>
            </w:pPr>
          </w:p>
        </w:tc>
        <w:tc>
          <w:tcPr>
            <w:tcW w:w="720" w:type="dxa"/>
            <w:vAlign w:val="bottom"/>
            <w:tcBorders>
              <w:bottom w:val="single" w:sz="8" w:color="00000A"/>
              <w:right w:val="single" w:sz="8" w:color="00000A"/>
            </w:tcBorders>
          </w:tcPr>
          <w:p>
            <w:pPr>
              <w:spacing w:after="0"/>
              <w:rPr>
                <w:sz w:val="2"/>
                <w:szCs w:val="2"/>
                <w:color w:val="auto"/>
              </w:rPr>
            </w:pPr>
          </w:p>
        </w:tc>
      </w:tr>
      <w:tr>
        <w:trPr>
          <w:trHeight w:val="190"/>
        </w:trPr>
        <w:tc>
          <w:tcPr>
            <w:tcW w:w="660" w:type="dxa"/>
            <w:vAlign w:val="bottom"/>
            <w:tcBorders>
              <w:left w:val="single" w:sz="8" w:color="00000A"/>
            </w:tcBorders>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Borders>
              <w:right w:val="single" w:sz="8" w:color="00000A"/>
            </w:tcBorders>
          </w:tcPr>
          <w:p>
            <w:pPr>
              <w:spacing w:after="0"/>
              <w:rPr>
                <w:sz w:val="16"/>
                <w:szCs w:val="16"/>
                <w:color w:val="auto"/>
              </w:rPr>
            </w:pPr>
          </w:p>
        </w:tc>
        <w:tc>
          <w:tcPr>
            <w:tcW w:w="6080" w:type="dxa"/>
            <w:vAlign w:val="bottom"/>
            <w:tcBorders>
              <w:right w:val="single" w:sz="8" w:color="00000A"/>
            </w:tcBorders>
            <w:gridSpan w:val="3"/>
          </w:tcPr>
          <w:p>
            <w:pPr>
              <w:ind w:left="20"/>
              <w:spacing w:after="0" w:line="189" w:lineRule="exact"/>
              <w:rPr>
                <w:sz w:val="20"/>
                <w:szCs w:val="20"/>
                <w:color w:val="auto"/>
              </w:rPr>
            </w:pPr>
            <w:r>
              <w:rPr>
                <w:rFonts w:ascii="Arial" w:cs="Arial" w:eastAsia="Arial" w:hAnsi="Arial"/>
                <w:sz w:val="18"/>
                <w:szCs w:val="18"/>
                <w:color w:val="auto"/>
                <w:w w:val="98"/>
              </w:rPr>
              <w:t>If the Monthly Average Excess Availability Amount is greater than or equal to</w:t>
            </w:r>
          </w:p>
        </w:tc>
        <w:tc>
          <w:tcPr>
            <w:tcW w:w="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20" w:type="dxa"/>
            <w:vAlign w:val="bottom"/>
            <w:tcBorders>
              <w:right w:val="single" w:sz="8" w:color="00000A"/>
            </w:tcBorders>
          </w:tcPr>
          <w:p>
            <w:pPr>
              <w:spacing w:after="0"/>
              <w:rPr>
                <w:sz w:val="16"/>
                <w:szCs w:val="16"/>
                <w:color w:val="auto"/>
              </w:rPr>
            </w:pPr>
          </w:p>
        </w:tc>
      </w:tr>
      <w:tr>
        <w:trPr>
          <w:trHeight w:val="249"/>
        </w:trPr>
        <w:tc>
          <w:tcPr>
            <w:tcW w:w="660" w:type="dxa"/>
            <w:vAlign w:val="bottom"/>
            <w:tcBorders>
              <w:left w:val="single" w:sz="8" w:color="00000A"/>
            </w:tcBorders>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Borders>
              <w:right w:val="single" w:sz="8" w:color="00000A"/>
            </w:tcBorders>
          </w:tcPr>
          <w:p>
            <w:pPr>
              <w:spacing w:after="0"/>
              <w:rPr>
                <w:sz w:val="21"/>
                <w:szCs w:val="21"/>
                <w:color w:val="auto"/>
              </w:rPr>
            </w:pPr>
          </w:p>
        </w:tc>
        <w:tc>
          <w:tcPr>
            <w:tcW w:w="608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w w:val="95"/>
              </w:rPr>
              <w:t>33⅓% of the Maximum Revolver Amount and less than 66⅔% of the Maximum</w:t>
            </w:r>
          </w:p>
        </w:tc>
        <w:tc>
          <w:tcPr>
            <w:tcW w:w="6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20" w:type="dxa"/>
            <w:vAlign w:val="bottom"/>
            <w:tcBorders>
              <w:right w:val="single" w:sz="8" w:color="00000A"/>
            </w:tcBorders>
          </w:tcPr>
          <w:p>
            <w:pPr>
              <w:spacing w:after="0"/>
              <w:rPr>
                <w:sz w:val="21"/>
                <w:szCs w:val="21"/>
                <w:color w:val="auto"/>
              </w:rPr>
            </w:pPr>
          </w:p>
        </w:tc>
      </w:tr>
      <w:tr>
        <w:trPr>
          <w:trHeight w:val="230"/>
        </w:trPr>
        <w:tc>
          <w:tcPr>
            <w:tcW w:w="660" w:type="dxa"/>
            <w:vAlign w:val="bottom"/>
            <w:tcBorders>
              <w:left w:val="single" w:sz="8" w:color="00000A"/>
            </w:tcBorders>
          </w:tcPr>
          <w:p>
            <w:pPr>
              <w:spacing w:after="0"/>
              <w:rPr>
                <w:sz w:val="20"/>
                <w:szCs w:val="20"/>
                <w:color w:val="auto"/>
              </w:rPr>
            </w:pPr>
          </w:p>
        </w:tc>
        <w:tc>
          <w:tcPr>
            <w:tcW w:w="1080" w:type="dxa"/>
            <w:vAlign w:val="bottom"/>
            <w:tcBorders>
              <w:right w:val="single" w:sz="8" w:color="00000A"/>
            </w:tcBorders>
            <w:gridSpan w:val="2"/>
          </w:tcPr>
          <w:p>
            <w:pPr>
              <w:jc w:val="center"/>
              <w:ind w:right="680"/>
              <w:spacing w:after="0"/>
              <w:rPr>
                <w:sz w:val="20"/>
                <w:szCs w:val="20"/>
                <w:color w:val="auto"/>
              </w:rPr>
            </w:pPr>
            <w:r>
              <w:rPr>
                <w:rFonts w:ascii="Arial" w:cs="Arial" w:eastAsia="Arial" w:hAnsi="Arial"/>
                <w:sz w:val="18"/>
                <w:szCs w:val="18"/>
                <w:color w:val="auto"/>
              </w:rPr>
              <w:t>II</w:t>
            </w:r>
          </w:p>
        </w:tc>
        <w:tc>
          <w:tcPr>
            <w:tcW w:w="608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rPr>
              <w:t>Revolver Amount</w:t>
            </w:r>
          </w:p>
        </w:tc>
        <w:tc>
          <w:tcPr>
            <w:tcW w:w="2880" w:type="dxa"/>
            <w:vAlign w:val="bottom"/>
            <w:tcBorders>
              <w:right w:val="single" w:sz="8" w:color="00000A"/>
            </w:tcBorders>
            <w:gridSpan w:val="3"/>
          </w:tcPr>
          <w:p>
            <w:pPr>
              <w:jc w:val="center"/>
              <w:ind w:right="60"/>
              <w:spacing w:after="0"/>
              <w:rPr>
                <w:sz w:val="20"/>
                <w:szCs w:val="20"/>
                <w:color w:val="auto"/>
              </w:rPr>
            </w:pPr>
            <w:r>
              <w:rPr>
                <w:rFonts w:ascii="Arial" w:cs="Arial" w:eastAsia="Arial" w:hAnsi="Arial"/>
                <w:sz w:val="18"/>
                <w:szCs w:val="18"/>
                <w:color w:val="auto"/>
                <w:w w:val="88"/>
              </w:rPr>
              <w:t>1.75 percentage points</w:t>
            </w:r>
          </w:p>
        </w:tc>
      </w:tr>
      <w:tr>
        <w:trPr>
          <w:trHeight w:val="27"/>
        </w:trPr>
        <w:tc>
          <w:tcPr>
            <w:tcW w:w="660" w:type="dxa"/>
            <w:vAlign w:val="bottom"/>
            <w:tcBorders>
              <w:left w:val="single" w:sz="8" w:color="00000A"/>
              <w:bottom w:val="single" w:sz="8" w:color="00000A"/>
            </w:tcBorders>
          </w:tcPr>
          <w:p>
            <w:pPr>
              <w:spacing w:after="0"/>
              <w:rPr>
                <w:sz w:val="2"/>
                <w:szCs w:val="2"/>
                <w:color w:val="auto"/>
              </w:rPr>
            </w:pPr>
          </w:p>
        </w:tc>
        <w:tc>
          <w:tcPr>
            <w:tcW w:w="400" w:type="dxa"/>
            <w:vAlign w:val="bottom"/>
            <w:tcBorders>
              <w:bottom w:val="single" w:sz="8" w:color="00000A"/>
            </w:tcBorders>
          </w:tcPr>
          <w:p>
            <w:pPr>
              <w:spacing w:after="0"/>
              <w:rPr>
                <w:sz w:val="2"/>
                <w:szCs w:val="2"/>
                <w:color w:val="auto"/>
              </w:rPr>
            </w:pPr>
          </w:p>
        </w:tc>
        <w:tc>
          <w:tcPr>
            <w:tcW w:w="68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1480" w:type="dxa"/>
            <w:vAlign w:val="bottom"/>
            <w:tcBorders>
              <w:bottom w:val="single" w:sz="8" w:color="00000A"/>
            </w:tcBorders>
          </w:tcPr>
          <w:p>
            <w:pPr>
              <w:spacing w:after="0"/>
              <w:rPr>
                <w:sz w:val="2"/>
                <w:szCs w:val="2"/>
                <w:color w:val="auto"/>
              </w:rPr>
            </w:pPr>
          </w:p>
        </w:tc>
        <w:tc>
          <w:tcPr>
            <w:tcW w:w="720" w:type="dxa"/>
            <w:vAlign w:val="bottom"/>
            <w:tcBorders>
              <w:bottom w:val="single" w:sz="8" w:color="00000A"/>
              <w:right w:val="single" w:sz="8" w:color="00000A"/>
            </w:tcBorders>
          </w:tcPr>
          <w:p>
            <w:pPr>
              <w:spacing w:after="0"/>
              <w:rPr>
                <w:sz w:val="2"/>
                <w:szCs w:val="2"/>
                <w:color w:val="auto"/>
              </w:rPr>
            </w:pPr>
          </w:p>
        </w:tc>
      </w:tr>
      <w:tr>
        <w:trPr>
          <w:trHeight w:val="190"/>
        </w:trPr>
        <w:tc>
          <w:tcPr>
            <w:tcW w:w="660" w:type="dxa"/>
            <w:vAlign w:val="bottom"/>
            <w:tcBorders>
              <w:left w:val="single" w:sz="8" w:color="00000A"/>
            </w:tcBorders>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Borders>
              <w:right w:val="single" w:sz="8" w:color="00000A"/>
            </w:tcBorders>
          </w:tcPr>
          <w:p>
            <w:pPr>
              <w:spacing w:after="0"/>
              <w:rPr>
                <w:sz w:val="16"/>
                <w:szCs w:val="16"/>
                <w:color w:val="auto"/>
              </w:rPr>
            </w:pPr>
          </w:p>
        </w:tc>
        <w:tc>
          <w:tcPr>
            <w:tcW w:w="6080" w:type="dxa"/>
            <w:vAlign w:val="bottom"/>
            <w:tcBorders>
              <w:right w:val="single" w:sz="8" w:color="00000A"/>
            </w:tcBorders>
            <w:gridSpan w:val="3"/>
          </w:tcPr>
          <w:p>
            <w:pPr>
              <w:ind w:left="20"/>
              <w:spacing w:after="0" w:line="189" w:lineRule="exact"/>
              <w:rPr>
                <w:sz w:val="20"/>
                <w:szCs w:val="20"/>
                <w:color w:val="auto"/>
              </w:rPr>
            </w:pPr>
            <w:r>
              <w:rPr>
                <w:rFonts w:ascii="Arial" w:cs="Arial" w:eastAsia="Arial" w:hAnsi="Arial"/>
                <w:sz w:val="18"/>
                <w:szCs w:val="18"/>
                <w:color w:val="auto"/>
                <w:w w:val="98"/>
              </w:rPr>
              <w:t>If the Monthly Average Excess Availability Amount is greater than or equal to</w:t>
            </w:r>
          </w:p>
        </w:tc>
        <w:tc>
          <w:tcPr>
            <w:tcW w:w="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20" w:type="dxa"/>
            <w:vAlign w:val="bottom"/>
            <w:tcBorders>
              <w:right w:val="single" w:sz="8" w:color="00000A"/>
            </w:tcBorders>
          </w:tcPr>
          <w:p>
            <w:pPr>
              <w:spacing w:after="0"/>
              <w:rPr>
                <w:sz w:val="16"/>
                <w:szCs w:val="16"/>
                <w:color w:val="auto"/>
              </w:rPr>
            </w:pPr>
          </w:p>
        </w:tc>
      </w:tr>
      <w:tr>
        <w:trPr>
          <w:trHeight w:val="287"/>
        </w:trPr>
        <w:tc>
          <w:tcPr>
            <w:tcW w:w="660" w:type="dxa"/>
            <w:vAlign w:val="bottom"/>
            <w:tcBorders>
              <w:left w:val="single" w:sz="8" w:color="00000A"/>
              <w:bottom w:val="single" w:sz="8" w:color="00000A"/>
            </w:tcBorders>
          </w:tcPr>
          <w:p>
            <w:pPr>
              <w:spacing w:after="0"/>
              <w:rPr>
                <w:sz w:val="24"/>
                <w:szCs w:val="24"/>
                <w:color w:val="auto"/>
              </w:rPr>
            </w:pPr>
          </w:p>
        </w:tc>
        <w:tc>
          <w:tcPr>
            <w:tcW w:w="1080" w:type="dxa"/>
            <w:vAlign w:val="bottom"/>
            <w:tcBorders>
              <w:bottom w:val="single" w:sz="8" w:color="00000A"/>
              <w:right w:val="single" w:sz="8" w:color="00000A"/>
            </w:tcBorders>
            <w:gridSpan w:val="2"/>
          </w:tcPr>
          <w:p>
            <w:pPr>
              <w:jc w:val="center"/>
              <w:ind w:right="660"/>
              <w:spacing w:after="0"/>
              <w:rPr>
                <w:sz w:val="20"/>
                <w:szCs w:val="20"/>
                <w:color w:val="auto"/>
              </w:rPr>
            </w:pPr>
            <w:r>
              <w:rPr>
                <w:rFonts w:ascii="Arial" w:cs="Arial" w:eastAsia="Arial" w:hAnsi="Arial"/>
                <w:sz w:val="18"/>
                <w:szCs w:val="18"/>
                <w:color w:val="auto"/>
              </w:rPr>
              <w:t>III</w:t>
            </w:r>
          </w:p>
        </w:tc>
        <w:tc>
          <w:tcPr>
            <w:tcW w:w="6080" w:type="dxa"/>
            <w:vAlign w:val="bottom"/>
            <w:tcBorders>
              <w:bottom w:val="single" w:sz="8" w:color="00000A"/>
              <w:right w:val="single" w:sz="8" w:color="00000A"/>
            </w:tcBorders>
            <w:gridSpan w:val="3"/>
          </w:tcPr>
          <w:p>
            <w:pPr>
              <w:ind w:left="20"/>
              <w:spacing w:after="0"/>
              <w:rPr>
                <w:sz w:val="20"/>
                <w:szCs w:val="20"/>
                <w:color w:val="auto"/>
              </w:rPr>
            </w:pPr>
            <w:r>
              <w:rPr>
                <w:rFonts w:ascii="Arial" w:cs="Arial" w:eastAsia="Arial" w:hAnsi="Arial"/>
                <w:sz w:val="18"/>
                <w:szCs w:val="18"/>
                <w:color w:val="auto"/>
              </w:rPr>
              <w:t>66⅔% of the Maximum Revolver Amount</w:t>
            </w:r>
          </w:p>
        </w:tc>
        <w:tc>
          <w:tcPr>
            <w:tcW w:w="2880" w:type="dxa"/>
            <w:vAlign w:val="bottom"/>
            <w:tcBorders>
              <w:bottom w:val="single" w:sz="8" w:color="00000A"/>
              <w:right w:val="single" w:sz="8" w:color="00000A"/>
            </w:tcBorders>
            <w:gridSpan w:val="3"/>
          </w:tcPr>
          <w:p>
            <w:pPr>
              <w:jc w:val="center"/>
              <w:ind w:right="60"/>
              <w:spacing w:after="0"/>
              <w:rPr>
                <w:sz w:val="20"/>
                <w:szCs w:val="20"/>
                <w:color w:val="auto"/>
              </w:rPr>
            </w:pPr>
            <w:r>
              <w:rPr>
                <w:rFonts w:ascii="Arial" w:cs="Arial" w:eastAsia="Arial" w:hAnsi="Arial"/>
                <w:sz w:val="18"/>
                <w:szCs w:val="18"/>
                <w:color w:val="auto"/>
                <w:w w:val="88"/>
              </w:rPr>
              <w:t>1.50 percentage points</w:t>
            </w:r>
          </w:p>
        </w:tc>
      </w:tr>
    </w:tbl>
    <w:p>
      <w:pPr>
        <w:spacing w:after="0" w:line="200" w:lineRule="exact"/>
        <w:rPr>
          <w:sz w:val="20"/>
          <w:szCs w:val="20"/>
          <w:color w:val="auto"/>
        </w:rPr>
      </w:pPr>
    </w:p>
    <w:p>
      <w:pPr>
        <w:spacing w:after="0" w:line="258" w:lineRule="exact"/>
        <w:rPr>
          <w:sz w:val="20"/>
          <w:szCs w:val="20"/>
          <w:color w:val="auto"/>
        </w:rPr>
      </w:pPr>
    </w:p>
    <w:p>
      <w:pPr>
        <w:ind w:left="1680" w:hanging="375"/>
        <w:spacing w:after="0"/>
        <w:tabs>
          <w:tab w:leader="none" w:pos="16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defined term "Material Contract" contained in Schedule 1.1 of the Credit Agreement is hereby amended and restated in its entirety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11"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Contract</w:t>
      </w:r>
      <w:r>
        <w:rPr>
          <w:rFonts w:ascii="Arial" w:cs="Arial" w:eastAsia="Arial" w:hAnsi="Arial"/>
          <w:sz w:val="16"/>
          <w:szCs w:val="16"/>
          <w:color w:val="auto"/>
        </w:rPr>
        <w:t xml:space="preserve">" means, with respect to any Person, (i) each of the agreements listed on </w:t>
      </w:r>
      <w:r>
        <w:rPr>
          <w:rFonts w:ascii="Arial" w:cs="Arial" w:eastAsia="Arial" w:hAnsi="Arial"/>
          <w:sz w:val="16"/>
          <w:szCs w:val="16"/>
          <w:u w:val="single" w:color="auto"/>
          <w:color w:val="auto"/>
        </w:rPr>
        <w:t>Schedule 4.26</w:t>
      </w:r>
      <w:r>
        <w:rPr>
          <w:rFonts w:ascii="Arial" w:cs="Arial" w:eastAsia="Arial" w:hAnsi="Arial"/>
          <w:sz w:val="16"/>
          <w:szCs w:val="16"/>
          <w:color w:val="auto"/>
        </w:rPr>
        <w:t xml:space="preserve"> and (ii) any other agreement the expiration or termination (other than as a result of the expiration at the end of its normal term) of which would reasonably be expected to result in a Material Adverse Effect, and (iii) any other agreement of similar business impact to the agreements listed on </w:t>
      </w:r>
      <w:r>
        <w:rPr>
          <w:rFonts w:ascii="Arial" w:cs="Arial" w:eastAsia="Arial" w:hAnsi="Arial"/>
          <w:sz w:val="16"/>
          <w:szCs w:val="16"/>
          <w:u w:val="single" w:color="auto"/>
          <w:color w:val="auto"/>
        </w:rPr>
        <w:t>Schedule 4.26</w:t>
      </w:r>
      <w:r>
        <w:rPr>
          <w:rFonts w:ascii="Arial" w:cs="Arial" w:eastAsia="Arial" w:hAnsi="Arial"/>
          <w:sz w:val="16"/>
          <w:szCs w:val="16"/>
          <w:color w:val="auto"/>
        </w:rPr>
        <w:t xml:space="preserve"> on the Closing Date.</w:t>
      </w:r>
    </w:p>
    <w:p>
      <w:pPr>
        <w:spacing w:after="0" w:line="147" w:lineRule="exact"/>
        <w:rPr>
          <w:sz w:val="20"/>
          <w:szCs w:val="20"/>
          <w:color w:val="auto"/>
        </w:rPr>
      </w:pPr>
    </w:p>
    <w:p>
      <w:pPr>
        <w:ind w:left="1660" w:hanging="355"/>
        <w:spacing w:after="0"/>
        <w:tabs>
          <w:tab w:leader="none" w:pos="16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defined term "Term Loan Credit Agreement" contained in Schedule 1.1 of the Credit Agreement is hereby amended and restated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its entirety as follows:</w:t>
      </w:r>
    </w:p>
    <w:p>
      <w:pPr>
        <w:spacing w:after="0" w:line="21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Credit Agreement</w:t>
      </w:r>
      <w:r>
        <w:rPr>
          <w:rFonts w:ascii="Arial" w:cs="Arial" w:eastAsia="Arial" w:hAnsi="Arial"/>
          <w:sz w:val="18"/>
          <w:szCs w:val="18"/>
          <w:color w:val="auto"/>
        </w:rPr>
        <w:t>" means that certain Amended and Restated Term B Loan Credit Agreement dated of the First Amendment Closing Date among Remy International, the Term Loan Agent and the other lenders party thereto.</w:t>
      </w:r>
    </w:p>
    <w:p>
      <w:pPr>
        <w:spacing w:after="0" w:line="170" w:lineRule="exact"/>
        <w:rPr>
          <w:sz w:val="20"/>
          <w:szCs w:val="20"/>
          <w:color w:val="auto"/>
        </w:rPr>
      </w:pPr>
    </w:p>
    <w:p>
      <w:pPr>
        <w:ind w:left="1700" w:hanging="395"/>
        <w:spacing w:after="0"/>
        <w:tabs>
          <w:tab w:leader="none" w:pos="17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defined term "Term Loan Indebtedness" contained in Schedule 1.1 of the Credit Agreement is hereby amended and restated in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entirety as follows:</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Indebtedness</w:t>
      </w:r>
      <w:r>
        <w:rPr>
          <w:rFonts w:ascii="Arial" w:cs="Arial" w:eastAsia="Arial" w:hAnsi="Arial"/>
          <w:sz w:val="18"/>
          <w:szCs w:val="18"/>
          <w:color w:val="auto"/>
        </w:rPr>
        <w:t>" means the Indebtedness of Remy International under the Term Loan Indebtedness Documents in the original principal amount of $300,000,000 subject to the Intercreditor Agreement together with the increases to principal, if any, as permitted pursuant to the Intercreditor Agreement.</w:t>
      </w:r>
    </w:p>
    <w:p>
      <w:pPr>
        <w:spacing w:after="0" w:line="181" w:lineRule="exact"/>
        <w:rPr>
          <w:sz w:val="20"/>
          <w:szCs w:val="20"/>
          <w:color w:val="auto"/>
        </w:rPr>
      </w:pPr>
    </w:p>
    <w:p>
      <w:pPr>
        <w:ind w:right="20" w:firstLine="1305"/>
        <w:spacing w:after="0" w:line="277" w:lineRule="auto"/>
        <w:tabs>
          <w:tab w:leader="none" w:pos="168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defined terms "Corporate Restructuring", "First Amendment Closing Date", "Locomotive Business" and "Material Subsidiary" are each hereby added to Schedule 1.1 of the Credit Agreement in the appropriate alphabetical order as follows:</w:t>
      </w:r>
    </w:p>
    <w:p>
      <w:pPr>
        <w:spacing w:after="0" w:line="170"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Restructuring</w:t>
      </w:r>
      <w:r>
        <w:rPr>
          <w:rFonts w:ascii="Arial" w:cs="Arial" w:eastAsia="Arial" w:hAnsi="Arial"/>
          <w:sz w:val="18"/>
          <w:szCs w:val="18"/>
          <w:color w:val="auto"/>
        </w:rPr>
        <w:t>" means the disposition of Equity Interests by a Loan Party or other Material Subsidiary of an Immaterial Subsidiary to a wholly-owned Subsidiary that is not a Loan Party so long as (i) the effect of such disposition could not reasonably be expected to be materially adverse to the interests of the Lenders, (ii) Borrower provided Agent with written notice at least fifteen (15) Business Days (or a shorter period of time acceptable to Agent) prior to the anticipated closing date of such disposition, and (iii) Agent has provided prior written consent to such disposition.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 Closing Date</w:t>
      </w:r>
      <w:r>
        <w:rPr>
          <w:rFonts w:ascii="Arial" w:cs="Arial" w:eastAsia="Arial" w:hAnsi="Arial"/>
          <w:sz w:val="18"/>
          <w:szCs w:val="18"/>
          <w:color w:val="auto"/>
        </w:rPr>
        <w:t>" means March 5, 2013.</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Locomotive Business</w:t>
      </w:r>
      <w:r>
        <w:rPr>
          <w:rFonts w:ascii="Arial" w:cs="Arial" w:eastAsia="Arial" w:hAnsi="Arial"/>
          <w:sz w:val="18"/>
          <w:szCs w:val="18"/>
          <w:color w:val="auto"/>
        </w:rPr>
        <w:t>" means the remanufacturing of engine components for the locomotive, marine and other industries, conducted by Western Reman Industrial, Inc.</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any Subsidiary of a Borrower that is not an Immaterial Subsidiary.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127" w:name="page128"/>
    <w:bookmarkEnd w:id="127"/>
    <w:p>
      <w:pPr>
        <w:jc w:val="center"/>
        <w:ind w:right="-59"/>
        <w:spacing w:after="0"/>
        <w:tabs>
          <w:tab w:leader="none" w:pos="160" w:val="left"/>
        </w:tabs>
        <w:rPr>
          <w:sz w:val="20"/>
          <w:szCs w:val="20"/>
          <w:color w:val="auto"/>
        </w:rPr>
      </w:pPr>
      <w:r>
        <w:rPr>
          <w:rFonts w:ascii="Arial" w:cs="Arial" w:eastAsia="Arial" w:hAnsi="Arial"/>
          <w:sz w:val="18"/>
          <w:szCs w:val="18"/>
          <w:color w:val="auto"/>
        </w:rPr>
        <w:t>(w)</w:t>
      </w:r>
      <w:r>
        <w:rPr>
          <w:sz w:val="20"/>
          <w:szCs w:val="20"/>
          <w:color w:val="auto"/>
        </w:rPr>
        <w:tab/>
      </w:r>
      <w:r>
        <w:rPr>
          <w:rFonts w:ascii="Arial" w:cs="Arial" w:eastAsia="Arial" w:hAnsi="Arial"/>
          <w:sz w:val="16"/>
          <w:szCs w:val="16"/>
          <w:color w:val="auto"/>
        </w:rPr>
        <w:t>Line number 25 of Schedule 4.8(b) of the Credit Agreement is hereby amended and restated in its entirety as follows:</w:t>
      </w:r>
    </w:p>
    <w:p>
      <w:pPr>
        <w:spacing w:after="0" w:line="355"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280" w:type="dxa"/>
            <w:vAlign w:val="bottom"/>
            <w:tcBorders>
              <w:top w:val="single" w:sz="8" w:color="00000A"/>
              <w:left w:val="single" w:sz="8" w:color="00000A"/>
              <w:right w:val="single" w:sz="8" w:color="00000A"/>
            </w:tcBorders>
          </w:tcPr>
          <w:p>
            <w:pPr>
              <w:jc w:val="right"/>
              <w:ind w:right="930"/>
              <w:spacing w:after="0"/>
              <w:rPr>
                <w:sz w:val="20"/>
                <w:szCs w:val="20"/>
                <w:color w:val="auto"/>
              </w:rPr>
            </w:pPr>
            <w:r>
              <w:rPr>
                <w:rFonts w:ascii="Arial" w:cs="Arial" w:eastAsia="Arial" w:hAnsi="Arial"/>
                <w:sz w:val="18"/>
                <w:szCs w:val="18"/>
                <w:color w:val="auto"/>
                <w:w w:val="95"/>
              </w:rPr>
              <w:t>25.</w:t>
            </w:r>
          </w:p>
        </w:tc>
        <w:tc>
          <w:tcPr>
            <w:tcW w:w="1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Remy Power</w:t>
            </w:r>
          </w:p>
        </w:tc>
        <w:tc>
          <w:tcPr>
            <w:tcW w:w="1260" w:type="dxa"/>
            <w:vAlign w:val="bottom"/>
            <w:tcBorders>
              <w:top w:val="single" w:sz="8" w:color="00000A"/>
              <w:right w:val="single" w:sz="8" w:color="00000A"/>
            </w:tcBorders>
          </w:tcPr>
          <w:p>
            <w:pPr>
              <w:ind w:left="500"/>
              <w:spacing w:after="0"/>
              <w:rPr>
                <w:sz w:val="20"/>
                <w:szCs w:val="20"/>
                <w:color w:val="auto"/>
              </w:rPr>
            </w:pPr>
            <w:r>
              <w:rPr>
                <w:rFonts w:ascii="Arial" w:cs="Arial" w:eastAsia="Arial" w:hAnsi="Arial"/>
                <w:sz w:val="18"/>
                <w:szCs w:val="18"/>
                <w:color w:val="auto"/>
              </w:rPr>
              <w:t>DE</w:t>
            </w:r>
          </w:p>
        </w:tc>
        <w:tc>
          <w:tcPr>
            <w:tcW w:w="25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O'Reilly Automotive, Inc.</w:t>
            </w:r>
          </w:p>
        </w:tc>
        <w:tc>
          <w:tcPr>
            <w:tcW w:w="1140" w:type="dxa"/>
            <w:vAlign w:val="bottom"/>
            <w:tcBorders>
              <w:top w:val="single" w:sz="8" w:color="00000A"/>
              <w:right w:val="single" w:sz="8" w:color="00000A"/>
            </w:tcBorders>
          </w:tcPr>
          <w:p>
            <w:pPr>
              <w:jc w:val="right"/>
              <w:ind w:right="390"/>
              <w:spacing w:after="0"/>
              <w:rPr>
                <w:sz w:val="20"/>
                <w:szCs w:val="20"/>
                <w:color w:val="auto"/>
              </w:rPr>
            </w:pPr>
            <w:r>
              <w:rPr>
                <w:rFonts w:ascii="Arial" w:cs="Arial" w:eastAsia="Arial" w:hAnsi="Arial"/>
                <w:sz w:val="18"/>
                <w:szCs w:val="18"/>
                <w:color w:val="auto"/>
                <w:w w:val="91"/>
              </w:rPr>
              <w:t>4/7/2009</w:t>
            </w:r>
          </w:p>
        </w:tc>
        <w:tc>
          <w:tcPr>
            <w:tcW w:w="1340" w:type="dxa"/>
            <w:vAlign w:val="bottom"/>
            <w:tcBorders>
              <w:top w:val="single" w:sz="8" w:color="00000A"/>
              <w:right w:val="single" w:sz="8" w:color="00000A"/>
            </w:tcBorders>
          </w:tcPr>
          <w:p>
            <w:pPr>
              <w:jc w:val="right"/>
              <w:ind w:right="210"/>
              <w:spacing w:after="0"/>
              <w:rPr>
                <w:sz w:val="20"/>
                <w:szCs w:val="20"/>
                <w:color w:val="auto"/>
              </w:rPr>
            </w:pPr>
            <w:r>
              <w:rPr>
                <w:rFonts w:ascii="Arial" w:cs="Arial" w:eastAsia="Arial" w:hAnsi="Arial"/>
                <w:sz w:val="18"/>
                <w:szCs w:val="18"/>
                <w:color w:val="auto"/>
                <w:w w:val="88"/>
              </w:rPr>
              <w:t>2009 1106845</w:t>
            </w:r>
          </w:p>
        </w:tc>
        <w:tc>
          <w:tcPr>
            <w:tcW w:w="21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Accounts with respect to</w:t>
            </w:r>
          </w:p>
        </w:tc>
      </w:tr>
      <w:tr>
        <w:trPr>
          <w:trHeight w:val="216"/>
        </w:trPr>
        <w:tc>
          <w:tcPr>
            <w:tcW w:w="1280" w:type="dxa"/>
            <w:vAlign w:val="bottom"/>
            <w:tcBorders>
              <w:left w:val="single" w:sz="8" w:color="00000A"/>
              <w:right w:val="single" w:sz="8" w:color="00000A"/>
            </w:tcBorders>
          </w:tcPr>
          <w:p>
            <w:pPr>
              <w:spacing w:after="0"/>
              <w:rPr>
                <w:sz w:val="18"/>
                <w:szCs w:val="18"/>
                <w:color w:val="auto"/>
              </w:rPr>
            </w:pPr>
          </w:p>
        </w:tc>
        <w:tc>
          <w:tcPr>
            <w:tcW w:w="17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Products, LLC (f/k/a</w:t>
            </w:r>
          </w:p>
        </w:tc>
        <w:tc>
          <w:tcPr>
            <w:tcW w:w="1260" w:type="dxa"/>
            <w:vAlign w:val="bottom"/>
            <w:tcBorders>
              <w:right w:val="single" w:sz="8" w:color="00000A"/>
            </w:tcBorders>
          </w:tcPr>
          <w:p>
            <w:pPr>
              <w:spacing w:after="0"/>
              <w:rPr>
                <w:sz w:val="18"/>
                <w:szCs w:val="18"/>
                <w:color w:val="auto"/>
              </w:rPr>
            </w:pPr>
          </w:p>
        </w:tc>
        <w:tc>
          <w:tcPr>
            <w:tcW w:w="2500" w:type="dxa"/>
            <w:vAlign w:val="bottom"/>
            <w:tcBorders>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340" w:type="dxa"/>
            <w:vAlign w:val="bottom"/>
            <w:tcBorders>
              <w:right w:val="single" w:sz="8" w:color="00000A"/>
            </w:tcBorders>
          </w:tcPr>
          <w:p>
            <w:pPr>
              <w:spacing w:after="0"/>
              <w:rPr>
                <w:sz w:val="18"/>
                <w:szCs w:val="18"/>
                <w:color w:val="auto"/>
              </w:rPr>
            </w:pPr>
          </w:p>
        </w:tc>
        <w:tc>
          <w:tcPr>
            <w:tcW w:w="21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which O'Reilly Automotive,</w:t>
            </w:r>
          </w:p>
        </w:tc>
      </w:tr>
      <w:tr>
        <w:trPr>
          <w:trHeight w:val="216"/>
        </w:trPr>
        <w:tc>
          <w:tcPr>
            <w:tcW w:w="1280" w:type="dxa"/>
            <w:vAlign w:val="bottom"/>
            <w:tcBorders>
              <w:left w:val="single" w:sz="8" w:color="00000A"/>
              <w:right w:val="single" w:sz="8" w:color="00000A"/>
            </w:tcBorders>
          </w:tcPr>
          <w:p>
            <w:pPr>
              <w:spacing w:after="0"/>
              <w:rPr>
                <w:sz w:val="18"/>
                <w:szCs w:val="18"/>
                <w:color w:val="auto"/>
              </w:rPr>
            </w:pPr>
          </w:p>
        </w:tc>
        <w:tc>
          <w:tcPr>
            <w:tcW w:w="17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 Parts Company)</w:t>
            </w:r>
          </w:p>
        </w:tc>
        <w:tc>
          <w:tcPr>
            <w:tcW w:w="1260" w:type="dxa"/>
            <w:vAlign w:val="bottom"/>
            <w:tcBorders>
              <w:right w:val="single" w:sz="8" w:color="00000A"/>
            </w:tcBorders>
          </w:tcPr>
          <w:p>
            <w:pPr>
              <w:spacing w:after="0"/>
              <w:rPr>
                <w:sz w:val="18"/>
                <w:szCs w:val="18"/>
                <w:color w:val="auto"/>
              </w:rPr>
            </w:pPr>
          </w:p>
        </w:tc>
        <w:tc>
          <w:tcPr>
            <w:tcW w:w="2500" w:type="dxa"/>
            <w:vAlign w:val="bottom"/>
            <w:tcBorders>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340" w:type="dxa"/>
            <w:vAlign w:val="bottom"/>
            <w:tcBorders>
              <w:right w:val="single" w:sz="8" w:color="00000A"/>
            </w:tcBorders>
          </w:tcPr>
          <w:p>
            <w:pPr>
              <w:spacing w:after="0"/>
              <w:rPr>
                <w:sz w:val="18"/>
                <w:szCs w:val="18"/>
                <w:color w:val="auto"/>
              </w:rPr>
            </w:pPr>
          </w:p>
        </w:tc>
        <w:tc>
          <w:tcPr>
            <w:tcW w:w="21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Inc. is the Account Debtor</w:t>
            </w:r>
          </w:p>
        </w:tc>
      </w:tr>
      <w:tr>
        <w:trPr>
          <w:trHeight w:val="216"/>
        </w:trPr>
        <w:tc>
          <w:tcPr>
            <w:tcW w:w="1280" w:type="dxa"/>
            <w:vAlign w:val="bottom"/>
            <w:tcBorders>
              <w:left w:val="single" w:sz="8" w:color="00000A"/>
              <w:right w:val="single" w:sz="8" w:color="00000A"/>
            </w:tcBorders>
          </w:tcPr>
          <w:p>
            <w:pPr>
              <w:spacing w:after="0"/>
              <w:rPr>
                <w:sz w:val="18"/>
                <w:szCs w:val="18"/>
                <w:color w:val="auto"/>
              </w:rPr>
            </w:pPr>
          </w:p>
        </w:tc>
        <w:tc>
          <w:tcPr>
            <w:tcW w:w="1700" w:type="dxa"/>
            <w:vAlign w:val="bottom"/>
            <w:tcBorders>
              <w:right w:val="single" w:sz="8" w:color="00000A"/>
            </w:tcBorders>
          </w:tcPr>
          <w:p>
            <w:pPr>
              <w:spacing w:after="0"/>
              <w:rPr>
                <w:sz w:val="18"/>
                <w:szCs w:val="18"/>
                <w:color w:val="auto"/>
              </w:rPr>
            </w:pPr>
          </w:p>
        </w:tc>
        <w:tc>
          <w:tcPr>
            <w:tcW w:w="1260" w:type="dxa"/>
            <w:vAlign w:val="bottom"/>
            <w:tcBorders>
              <w:right w:val="single" w:sz="8" w:color="00000A"/>
            </w:tcBorders>
          </w:tcPr>
          <w:p>
            <w:pPr>
              <w:spacing w:after="0"/>
              <w:rPr>
                <w:sz w:val="18"/>
                <w:szCs w:val="18"/>
                <w:color w:val="auto"/>
              </w:rPr>
            </w:pPr>
          </w:p>
        </w:tc>
        <w:tc>
          <w:tcPr>
            <w:tcW w:w="2500" w:type="dxa"/>
            <w:vAlign w:val="bottom"/>
            <w:tcBorders>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340" w:type="dxa"/>
            <w:vAlign w:val="bottom"/>
            <w:tcBorders>
              <w:right w:val="single" w:sz="8" w:color="00000A"/>
            </w:tcBorders>
          </w:tcPr>
          <w:p>
            <w:pPr>
              <w:spacing w:after="0"/>
              <w:rPr>
                <w:sz w:val="18"/>
                <w:szCs w:val="18"/>
                <w:color w:val="auto"/>
              </w:rPr>
            </w:pPr>
          </w:p>
        </w:tc>
        <w:tc>
          <w:tcPr>
            <w:tcW w:w="21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9"/>
              </w:rPr>
              <w:t>owing to Remy Power and</w:t>
            </w:r>
          </w:p>
        </w:tc>
      </w:tr>
      <w:tr>
        <w:trPr>
          <w:trHeight w:val="216"/>
        </w:trPr>
        <w:tc>
          <w:tcPr>
            <w:tcW w:w="1280" w:type="dxa"/>
            <w:vAlign w:val="bottom"/>
            <w:tcBorders>
              <w:left w:val="single" w:sz="8" w:color="00000A"/>
              <w:right w:val="single" w:sz="8" w:color="00000A"/>
            </w:tcBorders>
          </w:tcPr>
          <w:p>
            <w:pPr>
              <w:spacing w:after="0"/>
              <w:rPr>
                <w:sz w:val="18"/>
                <w:szCs w:val="18"/>
                <w:color w:val="auto"/>
              </w:rPr>
            </w:pPr>
          </w:p>
        </w:tc>
        <w:tc>
          <w:tcPr>
            <w:tcW w:w="1700" w:type="dxa"/>
            <w:vAlign w:val="bottom"/>
            <w:tcBorders>
              <w:right w:val="single" w:sz="8" w:color="00000A"/>
            </w:tcBorders>
          </w:tcPr>
          <w:p>
            <w:pPr>
              <w:spacing w:after="0"/>
              <w:rPr>
                <w:sz w:val="18"/>
                <w:szCs w:val="18"/>
                <w:color w:val="auto"/>
              </w:rPr>
            </w:pPr>
          </w:p>
        </w:tc>
        <w:tc>
          <w:tcPr>
            <w:tcW w:w="1260" w:type="dxa"/>
            <w:vAlign w:val="bottom"/>
            <w:tcBorders>
              <w:right w:val="single" w:sz="8" w:color="00000A"/>
            </w:tcBorders>
          </w:tcPr>
          <w:p>
            <w:pPr>
              <w:spacing w:after="0"/>
              <w:rPr>
                <w:sz w:val="18"/>
                <w:szCs w:val="18"/>
                <w:color w:val="auto"/>
              </w:rPr>
            </w:pPr>
          </w:p>
        </w:tc>
        <w:tc>
          <w:tcPr>
            <w:tcW w:w="2500" w:type="dxa"/>
            <w:vAlign w:val="bottom"/>
            <w:tcBorders>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340" w:type="dxa"/>
            <w:vAlign w:val="bottom"/>
            <w:tcBorders>
              <w:right w:val="single" w:sz="8" w:color="00000A"/>
            </w:tcBorders>
          </w:tcPr>
          <w:p>
            <w:pPr>
              <w:spacing w:after="0"/>
              <w:rPr>
                <w:sz w:val="18"/>
                <w:szCs w:val="18"/>
                <w:color w:val="auto"/>
              </w:rPr>
            </w:pPr>
          </w:p>
        </w:tc>
        <w:tc>
          <w:tcPr>
            <w:tcW w:w="21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Inventory of Remy Power</w:t>
            </w:r>
          </w:p>
        </w:tc>
      </w:tr>
      <w:tr>
        <w:trPr>
          <w:trHeight w:val="216"/>
        </w:trPr>
        <w:tc>
          <w:tcPr>
            <w:tcW w:w="1280" w:type="dxa"/>
            <w:vAlign w:val="bottom"/>
            <w:tcBorders>
              <w:left w:val="single" w:sz="8" w:color="00000A"/>
              <w:right w:val="single" w:sz="8" w:color="00000A"/>
            </w:tcBorders>
          </w:tcPr>
          <w:p>
            <w:pPr>
              <w:spacing w:after="0"/>
              <w:rPr>
                <w:sz w:val="18"/>
                <w:szCs w:val="18"/>
                <w:color w:val="auto"/>
              </w:rPr>
            </w:pPr>
          </w:p>
        </w:tc>
        <w:tc>
          <w:tcPr>
            <w:tcW w:w="1700" w:type="dxa"/>
            <w:vAlign w:val="bottom"/>
            <w:tcBorders>
              <w:right w:val="single" w:sz="8" w:color="00000A"/>
            </w:tcBorders>
          </w:tcPr>
          <w:p>
            <w:pPr>
              <w:spacing w:after="0"/>
              <w:rPr>
                <w:sz w:val="18"/>
                <w:szCs w:val="18"/>
                <w:color w:val="auto"/>
              </w:rPr>
            </w:pPr>
          </w:p>
        </w:tc>
        <w:tc>
          <w:tcPr>
            <w:tcW w:w="1260" w:type="dxa"/>
            <w:vAlign w:val="bottom"/>
            <w:tcBorders>
              <w:right w:val="single" w:sz="8" w:color="00000A"/>
            </w:tcBorders>
          </w:tcPr>
          <w:p>
            <w:pPr>
              <w:spacing w:after="0"/>
              <w:rPr>
                <w:sz w:val="18"/>
                <w:szCs w:val="18"/>
                <w:color w:val="auto"/>
              </w:rPr>
            </w:pPr>
          </w:p>
        </w:tc>
        <w:tc>
          <w:tcPr>
            <w:tcW w:w="2500" w:type="dxa"/>
            <w:vAlign w:val="bottom"/>
            <w:tcBorders>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340" w:type="dxa"/>
            <w:vAlign w:val="bottom"/>
            <w:tcBorders>
              <w:right w:val="single" w:sz="8" w:color="00000A"/>
            </w:tcBorders>
          </w:tcPr>
          <w:p>
            <w:pPr>
              <w:spacing w:after="0"/>
              <w:rPr>
                <w:sz w:val="18"/>
                <w:szCs w:val="18"/>
                <w:color w:val="auto"/>
              </w:rPr>
            </w:pPr>
          </w:p>
        </w:tc>
        <w:tc>
          <w:tcPr>
            <w:tcW w:w="21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that is in-transit to O'Reilly</w:t>
            </w:r>
          </w:p>
        </w:tc>
      </w:tr>
      <w:tr>
        <w:trPr>
          <w:trHeight w:val="216"/>
        </w:trPr>
        <w:tc>
          <w:tcPr>
            <w:tcW w:w="1280" w:type="dxa"/>
            <w:vAlign w:val="bottom"/>
            <w:tcBorders>
              <w:left w:val="single" w:sz="8" w:color="00000A"/>
              <w:right w:val="single" w:sz="8" w:color="00000A"/>
            </w:tcBorders>
          </w:tcPr>
          <w:p>
            <w:pPr>
              <w:spacing w:after="0"/>
              <w:rPr>
                <w:sz w:val="18"/>
                <w:szCs w:val="18"/>
                <w:color w:val="auto"/>
              </w:rPr>
            </w:pPr>
          </w:p>
        </w:tc>
        <w:tc>
          <w:tcPr>
            <w:tcW w:w="1700" w:type="dxa"/>
            <w:vAlign w:val="bottom"/>
            <w:tcBorders>
              <w:right w:val="single" w:sz="8" w:color="00000A"/>
            </w:tcBorders>
          </w:tcPr>
          <w:p>
            <w:pPr>
              <w:spacing w:after="0"/>
              <w:rPr>
                <w:sz w:val="18"/>
                <w:szCs w:val="18"/>
                <w:color w:val="auto"/>
              </w:rPr>
            </w:pPr>
          </w:p>
        </w:tc>
        <w:tc>
          <w:tcPr>
            <w:tcW w:w="1260" w:type="dxa"/>
            <w:vAlign w:val="bottom"/>
            <w:tcBorders>
              <w:right w:val="single" w:sz="8" w:color="00000A"/>
            </w:tcBorders>
          </w:tcPr>
          <w:p>
            <w:pPr>
              <w:spacing w:after="0"/>
              <w:rPr>
                <w:sz w:val="18"/>
                <w:szCs w:val="18"/>
                <w:color w:val="auto"/>
              </w:rPr>
            </w:pPr>
          </w:p>
        </w:tc>
        <w:tc>
          <w:tcPr>
            <w:tcW w:w="2500" w:type="dxa"/>
            <w:vAlign w:val="bottom"/>
            <w:tcBorders>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340" w:type="dxa"/>
            <w:vAlign w:val="bottom"/>
            <w:tcBorders>
              <w:right w:val="single" w:sz="8" w:color="00000A"/>
            </w:tcBorders>
          </w:tcPr>
          <w:p>
            <w:pPr>
              <w:spacing w:after="0"/>
              <w:rPr>
                <w:sz w:val="18"/>
                <w:szCs w:val="18"/>
                <w:color w:val="auto"/>
              </w:rPr>
            </w:pPr>
          </w:p>
        </w:tc>
        <w:tc>
          <w:tcPr>
            <w:tcW w:w="21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Automotive, Inc. or located</w:t>
            </w:r>
          </w:p>
        </w:tc>
      </w:tr>
      <w:tr>
        <w:trPr>
          <w:trHeight w:val="216"/>
        </w:trPr>
        <w:tc>
          <w:tcPr>
            <w:tcW w:w="1280" w:type="dxa"/>
            <w:vAlign w:val="bottom"/>
            <w:tcBorders>
              <w:left w:val="single" w:sz="8" w:color="00000A"/>
              <w:right w:val="single" w:sz="8" w:color="00000A"/>
            </w:tcBorders>
          </w:tcPr>
          <w:p>
            <w:pPr>
              <w:spacing w:after="0"/>
              <w:rPr>
                <w:sz w:val="18"/>
                <w:szCs w:val="18"/>
                <w:color w:val="auto"/>
              </w:rPr>
            </w:pPr>
          </w:p>
        </w:tc>
        <w:tc>
          <w:tcPr>
            <w:tcW w:w="1700" w:type="dxa"/>
            <w:vAlign w:val="bottom"/>
            <w:tcBorders>
              <w:right w:val="single" w:sz="8" w:color="00000A"/>
            </w:tcBorders>
          </w:tcPr>
          <w:p>
            <w:pPr>
              <w:spacing w:after="0"/>
              <w:rPr>
                <w:sz w:val="18"/>
                <w:szCs w:val="18"/>
                <w:color w:val="auto"/>
              </w:rPr>
            </w:pPr>
          </w:p>
        </w:tc>
        <w:tc>
          <w:tcPr>
            <w:tcW w:w="1260" w:type="dxa"/>
            <w:vAlign w:val="bottom"/>
            <w:tcBorders>
              <w:right w:val="single" w:sz="8" w:color="00000A"/>
            </w:tcBorders>
          </w:tcPr>
          <w:p>
            <w:pPr>
              <w:spacing w:after="0"/>
              <w:rPr>
                <w:sz w:val="18"/>
                <w:szCs w:val="18"/>
                <w:color w:val="auto"/>
              </w:rPr>
            </w:pPr>
          </w:p>
        </w:tc>
        <w:tc>
          <w:tcPr>
            <w:tcW w:w="2500" w:type="dxa"/>
            <w:vAlign w:val="bottom"/>
            <w:tcBorders>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340" w:type="dxa"/>
            <w:vAlign w:val="bottom"/>
            <w:tcBorders>
              <w:right w:val="single" w:sz="8" w:color="00000A"/>
            </w:tcBorders>
          </w:tcPr>
          <w:p>
            <w:pPr>
              <w:spacing w:after="0"/>
              <w:rPr>
                <w:sz w:val="18"/>
                <w:szCs w:val="18"/>
                <w:color w:val="auto"/>
              </w:rPr>
            </w:pPr>
          </w:p>
        </w:tc>
        <w:tc>
          <w:tcPr>
            <w:tcW w:w="21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at a location owned or</w:t>
            </w:r>
          </w:p>
        </w:tc>
      </w:tr>
      <w:tr>
        <w:trPr>
          <w:trHeight w:val="216"/>
        </w:trPr>
        <w:tc>
          <w:tcPr>
            <w:tcW w:w="1280" w:type="dxa"/>
            <w:vAlign w:val="bottom"/>
            <w:tcBorders>
              <w:left w:val="single" w:sz="8" w:color="00000A"/>
              <w:right w:val="single" w:sz="8" w:color="00000A"/>
            </w:tcBorders>
          </w:tcPr>
          <w:p>
            <w:pPr>
              <w:spacing w:after="0"/>
              <w:rPr>
                <w:sz w:val="18"/>
                <w:szCs w:val="18"/>
                <w:color w:val="auto"/>
              </w:rPr>
            </w:pPr>
          </w:p>
        </w:tc>
        <w:tc>
          <w:tcPr>
            <w:tcW w:w="1700" w:type="dxa"/>
            <w:vAlign w:val="bottom"/>
            <w:tcBorders>
              <w:right w:val="single" w:sz="8" w:color="00000A"/>
            </w:tcBorders>
          </w:tcPr>
          <w:p>
            <w:pPr>
              <w:spacing w:after="0"/>
              <w:rPr>
                <w:sz w:val="18"/>
                <w:szCs w:val="18"/>
                <w:color w:val="auto"/>
              </w:rPr>
            </w:pPr>
          </w:p>
        </w:tc>
        <w:tc>
          <w:tcPr>
            <w:tcW w:w="1260" w:type="dxa"/>
            <w:vAlign w:val="bottom"/>
            <w:tcBorders>
              <w:right w:val="single" w:sz="8" w:color="00000A"/>
            </w:tcBorders>
          </w:tcPr>
          <w:p>
            <w:pPr>
              <w:spacing w:after="0"/>
              <w:rPr>
                <w:sz w:val="18"/>
                <w:szCs w:val="18"/>
                <w:color w:val="auto"/>
              </w:rPr>
            </w:pPr>
          </w:p>
        </w:tc>
        <w:tc>
          <w:tcPr>
            <w:tcW w:w="2500" w:type="dxa"/>
            <w:vAlign w:val="bottom"/>
            <w:tcBorders>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340" w:type="dxa"/>
            <w:vAlign w:val="bottom"/>
            <w:tcBorders>
              <w:right w:val="single" w:sz="8" w:color="00000A"/>
            </w:tcBorders>
          </w:tcPr>
          <w:p>
            <w:pPr>
              <w:spacing w:after="0"/>
              <w:rPr>
                <w:sz w:val="18"/>
                <w:szCs w:val="18"/>
                <w:color w:val="auto"/>
              </w:rPr>
            </w:pPr>
          </w:p>
        </w:tc>
        <w:tc>
          <w:tcPr>
            <w:tcW w:w="21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operated by O'Reilly</w:t>
            </w:r>
          </w:p>
        </w:tc>
      </w:tr>
      <w:tr>
        <w:trPr>
          <w:trHeight w:val="216"/>
        </w:trPr>
        <w:tc>
          <w:tcPr>
            <w:tcW w:w="1280" w:type="dxa"/>
            <w:vAlign w:val="bottom"/>
            <w:tcBorders>
              <w:left w:val="single" w:sz="8" w:color="00000A"/>
              <w:right w:val="single" w:sz="8" w:color="00000A"/>
            </w:tcBorders>
          </w:tcPr>
          <w:p>
            <w:pPr>
              <w:spacing w:after="0"/>
              <w:rPr>
                <w:sz w:val="18"/>
                <w:szCs w:val="18"/>
                <w:color w:val="auto"/>
              </w:rPr>
            </w:pPr>
          </w:p>
        </w:tc>
        <w:tc>
          <w:tcPr>
            <w:tcW w:w="1700" w:type="dxa"/>
            <w:vAlign w:val="bottom"/>
            <w:tcBorders>
              <w:right w:val="single" w:sz="8" w:color="00000A"/>
            </w:tcBorders>
          </w:tcPr>
          <w:p>
            <w:pPr>
              <w:spacing w:after="0"/>
              <w:rPr>
                <w:sz w:val="18"/>
                <w:szCs w:val="18"/>
                <w:color w:val="auto"/>
              </w:rPr>
            </w:pPr>
          </w:p>
        </w:tc>
        <w:tc>
          <w:tcPr>
            <w:tcW w:w="1260" w:type="dxa"/>
            <w:vAlign w:val="bottom"/>
            <w:tcBorders>
              <w:right w:val="single" w:sz="8" w:color="00000A"/>
            </w:tcBorders>
          </w:tcPr>
          <w:p>
            <w:pPr>
              <w:spacing w:after="0"/>
              <w:rPr>
                <w:sz w:val="18"/>
                <w:szCs w:val="18"/>
                <w:color w:val="auto"/>
              </w:rPr>
            </w:pPr>
          </w:p>
        </w:tc>
        <w:tc>
          <w:tcPr>
            <w:tcW w:w="2500" w:type="dxa"/>
            <w:vAlign w:val="bottom"/>
            <w:tcBorders>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340" w:type="dxa"/>
            <w:vAlign w:val="bottom"/>
            <w:tcBorders>
              <w:right w:val="single" w:sz="8" w:color="00000A"/>
            </w:tcBorders>
          </w:tcPr>
          <w:p>
            <w:pPr>
              <w:spacing w:after="0"/>
              <w:rPr>
                <w:sz w:val="18"/>
                <w:szCs w:val="18"/>
                <w:color w:val="auto"/>
              </w:rPr>
            </w:pPr>
          </w:p>
        </w:tc>
        <w:tc>
          <w:tcPr>
            <w:tcW w:w="21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Automotive, Inc. with</w:t>
            </w:r>
          </w:p>
        </w:tc>
      </w:tr>
      <w:tr>
        <w:trPr>
          <w:trHeight w:val="216"/>
        </w:trPr>
        <w:tc>
          <w:tcPr>
            <w:tcW w:w="1280" w:type="dxa"/>
            <w:vAlign w:val="bottom"/>
            <w:tcBorders>
              <w:left w:val="single" w:sz="8" w:color="00000A"/>
              <w:right w:val="single" w:sz="8" w:color="00000A"/>
            </w:tcBorders>
          </w:tcPr>
          <w:p>
            <w:pPr>
              <w:spacing w:after="0"/>
              <w:rPr>
                <w:sz w:val="18"/>
                <w:szCs w:val="18"/>
                <w:color w:val="auto"/>
              </w:rPr>
            </w:pPr>
          </w:p>
        </w:tc>
        <w:tc>
          <w:tcPr>
            <w:tcW w:w="1700" w:type="dxa"/>
            <w:vAlign w:val="bottom"/>
            <w:tcBorders>
              <w:right w:val="single" w:sz="8" w:color="00000A"/>
            </w:tcBorders>
          </w:tcPr>
          <w:p>
            <w:pPr>
              <w:spacing w:after="0"/>
              <w:rPr>
                <w:sz w:val="18"/>
                <w:szCs w:val="18"/>
                <w:color w:val="auto"/>
              </w:rPr>
            </w:pPr>
          </w:p>
        </w:tc>
        <w:tc>
          <w:tcPr>
            <w:tcW w:w="1260" w:type="dxa"/>
            <w:vAlign w:val="bottom"/>
            <w:tcBorders>
              <w:right w:val="single" w:sz="8" w:color="00000A"/>
            </w:tcBorders>
          </w:tcPr>
          <w:p>
            <w:pPr>
              <w:spacing w:after="0"/>
              <w:rPr>
                <w:sz w:val="18"/>
                <w:szCs w:val="18"/>
                <w:color w:val="auto"/>
              </w:rPr>
            </w:pPr>
          </w:p>
        </w:tc>
        <w:tc>
          <w:tcPr>
            <w:tcW w:w="2500" w:type="dxa"/>
            <w:vAlign w:val="bottom"/>
            <w:tcBorders>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340" w:type="dxa"/>
            <w:vAlign w:val="bottom"/>
            <w:tcBorders>
              <w:right w:val="single" w:sz="8" w:color="00000A"/>
            </w:tcBorders>
          </w:tcPr>
          <w:p>
            <w:pPr>
              <w:spacing w:after="0"/>
              <w:rPr>
                <w:sz w:val="18"/>
                <w:szCs w:val="18"/>
                <w:color w:val="auto"/>
              </w:rPr>
            </w:pPr>
          </w:p>
        </w:tc>
        <w:tc>
          <w:tcPr>
            <w:tcW w:w="21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2"/>
              </w:rPr>
              <w:t>respect to which title to such</w:t>
            </w:r>
          </w:p>
        </w:tc>
      </w:tr>
      <w:tr>
        <w:trPr>
          <w:trHeight w:val="216"/>
        </w:trPr>
        <w:tc>
          <w:tcPr>
            <w:tcW w:w="1280" w:type="dxa"/>
            <w:vAlign w:val="bottom"/>
            <w:tcBorders>
              <w:left w:val="single" w:sz="8" w:color="00000A"/>
              <w:right w:val="single" w:sz="8" w:color="00000A"/>
            </w:tcBorders>
          </w:tcPr>
          <w:p>
            <w:pPr>
              <w:spacing w:after="0"/>
              <w:rPr>
                <w:sz w:val="18"/>
                <w:szCs w:val="18"/>
                <w:color w:val="auto"/>
              </w:rPr>
            </w:pPr>
          </w:p>
        </w:tc>
        <w:tc>
          <w:tcPr>
            <w:tcW w:w="1700" w:type="dxa"/>
            <w:vAlign w:val="bottom"/>
            <w:tcBorders>
              <w:right w:val="single" w:sz="8" w:color="00000A"/>
            </w:tcBorders>
          </w:tcPr>
          <w:p>
            <w:pPr>
              <w:spacing w:after="0"/>
              <w:rPr>
                <w:sz w:val="18"/>
                <w:szCs w:val="18"/>
                <w:color w:val="auto"/>
              </w:rPr>
            </w:pPr>
          </w:p>
        </w:tc>
        <w:tc>
          <w:tcPr>
            <w:tcW w:w="1260" w:type="dxa"/>
            <w:vAlign w:val="bottom"/>
            <w:tcBorders>
              <w:right w:val="single" w:sz="8" w:color="00000A"/>
            </w:tcBorders>
          </w:tcPr>
          <w:p>
            <w:pPr>
              <w:spacing w:after="0"/>
              <w:rPr>
                <w:sz w:val="18"/>
                <w:szCs w:val="18"/>
                <w:color w:val="auto"/>
              </w:rPr>
            </w:pPr>
          </w:p>
        </w:tc>
        <w:tc>
          <w:tcPr>
            <w:tcW w:w="2500" w:type="dxa"/>
            <w:vAlign w:val="bottom"/>
            <w:tcBorders>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340" w:type="dxa"/>
            <w:vAlign w:val="bottom"/>
            <w:tcBorders>
              <w:right w:val="single" w:sz="8" w:color="00000A"/>
            </w:tcBorders>
          </w:tcPr>
          <w:p>
            <w:pPr>
              <w:spacing w:after="0"/>
              <w:rPr>
                <w:sz w:val="18"/>
                <w:szCs w:val="18"/>
                <w:color w:val="auto"/>
              </w:rPr>
            </w:pPr>
          </w:p>
        </w:tc>
        <w:tc>
          <w:tcPr>
            <w:tcW w:w="21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1"/>
              </w:rPr>
              <w:t>Inventory has not yet passed</w:t>
            </w:r>
          </w:p>
        </w:tc>
      </w:tr>
      <w:tr>
        <w:trPr>
          <w:trHeight w:val="230"/>
        </w:trPr>
        <w:tc>
          <w:tcPr>
            <w:tcW w:w="1280" w:type="dxa"/>
            <w:vAlign w:val="bottom"/>
            <w:tcBorders>
              <w:left w:val="single" w:sz="8" w:color="00000A"/>
              <w:right w:val="single" w:sz="8" w:color="00000A"/>
            </w:tcBorders>
          </w:tcPr>
          <w:p>
            <w:pPr>
              <w:spacing w:after="0"/>
              <w:rPr>
                <w:sz w:val="20"/>
                <w:szCs w:val="20"/>
                <w:color w:val="auto"/>
              </w:rPr>
            </w:pPr>
          </w:p>
        </w:tc>
        <w:tc>
          <w:tcPr>
            <w:tcW w:w="1700" w:type="dxa"/>
            <w:vAlign w:val="bottom"/>
            <w:tcBorders>
              <w:right w:val="single" w:sz="8" w:color="00000A"/>
            </w:tcBorders>
          </w:tcPr>
          <w:p>
            <w:pPr>
              <w:spacing w:after="0"/>
              <w:rPr>
                <w:sz w:val="20"/>
                <w:szCs w:val="20"/>
                <w:color w:val="auto"/>
              </w:rPr>
            </w:pPr>
          </w:p>
        </w:tc>
        <w:tc>
          <w:tcPr>
            <w:tcW w:w="1260" w:type="dxa"/>
            <w:vAlign w:val="bottom"/>
            <w:tcBorders>
              <w:right w:val="single" w:sz="8" w:color="00000A"/>
            </w:tcBorders>
          </w:tcPr>
          <w:p>
            <w:pPr>
              <w:spacing w:after="0"/>
              <w:rPr>
                <w:sz w:val="20"/>
                <w:szCs w:val="20"/>
                <w:color w:val="auto"/>
              </w:rPr>
            </w:pPr>
          </w:p>
        </w:tc>
        <w:tc>
          <w:tcPr>
            <w:tcW w:w="2500" w:type="dxa"/>
            <w:vAlign w:val="bottom"/>
            <w:tcBorders>
              <w:right w:val="single" w:sz="8" w:color="00000A"/>
            </w:tcBorders>
          </w:tcPr>
          <w:p>
            <w:pPr>
              <w:spacing w:after="0"/>
              <w:rPr>
                <w:sz w:val="20"/>
                <w:szCs w:val="20"/>
                <w:color w:val="auto"/>
              </w:rPr>
            </w:pPr>
          </w:p>
        </w:tc>
        <w:tc>
          <w:tcPr>
            <w:tcW w:w="1140" w:type="dxa"/>
            <w:vAlign w:val="bottom"/>
            <w:tcBorders>
              <w:right w:val="single" w:sz="8" w:color="00000A"/>
            </w:tcBorders>
          </w:tcPr>
          <w:p>
            <w:pPr>
              <w:spacing w:after="0"/>
              <w:rPr>
                <w:sz w:val="20"/>
                <w:szCs w:val="20"/>
                <w:color w:val="auto"/>
              </w:rPr>
            </w:pPr>
          </w:p>
        </w:tc>
        <w:tc>
          <w:tcPr>
            <w:tcW w:w="1340" w:type="dxa"/>
            <w:vAlign w:val="bottom"/>
            <w:tcBorders>
              <w:right w:val="single" w:sz="8" w:color="00000A"/>
            </w:tcBorders>
          </w:tcPr>
          <w:p>
            <w:pPr>
              <w:spacing w:after="0"/>
              <w:rPr>
                <w:sz w:val="20"/>
                <w:szCs w:val="20"/>
                <w:color w:val="auto"/>
              </w:rPr>
            </w:pPr>
          </w:p>
        </w:tc>
        <w:tc>
          <w:tcPr>
            <w:tcW w:w="21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7"/>
              </w:rPr>
              <w:t>to O'Reilly Automotive, Inc.</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1340" w:type="dxa"/>
            <w:vAlign w:val="bottom"/>
            <w:tcBorders>
              <w:bottom w:val="single" w:sz="8" w:color="00000A"/>
              <w:right w:val="single" w:sz="8" w:color="00000A"/>
            </w:tcBorders>
          </w:tcPr>
          <w:p>
            <w:pPr>
              <w:spacing w:after="0"/>
              <w:rPr>
                <w:sz w:val="2"/>
                <w:szCs w:val="2"/>
                <w:color w:val="auto"/>
              </w:rPr>
            </w:pPr>
          </w:p>
        </w:tc>
        <w:tc>
          <w:tcPr>
            <w:tcW w:w="2160" w:type="dxa"/>
            <w:vAlign w:val="bottom"/>
            <w:tcBorders>
              <w:bottom w:val="single" w:sz="8" w:color="00000A"/>
              <w:right w:val="single" w:sz="8" w:color="00000A"/>
            </w:tcBorders>
          </w:tcPr>
          <w:p>
            <w:pPr>
              <w:spacing w:after="0"/>
              <w:rPr>
                <w:sz w:val="2"/>
                <w:szCs w:val="2"/>
                <w:color w:val="auto"/>
              </w:rPr>
            </w:pPr>
          </w:p>
        </w:tc>
      </w:tr>
    </w:tbl>
    <w:p>
      <w:pPr>
        <w:spacing w:after="0" w:line="202" w:lineRule="exact"/>
        <w:rPr>
          <w:sz w:val="20"/>
          <w:szCs w:val="20"/>
          <w:color w:val="auto"/>
        </w:rPr>
      </w:pPr>
    </w:p>
    <w:p>
      <w:pPr>
        <w:ind w:left="1260"/>
        <w:spacing w:after="0"/>
        <w:tabs>
          <w:tab w:leader="none" w:pos="164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The first line of the table set forth in Schedule 5.1 of the Credit Agreement is hereby amended and restated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238125</wp:posOffset>
            </wp:positionV>
            <wp:extent cx="6800850" cy="1869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0850" cy="1869440"/>
                    </a:xfrm>
                    <a:prstGeom prst="rect">
                      <a:avLst/>
                    </a:prstGeom>
                    <a:noFill/>
                  </pic:spPr>
                </pic:pic>
              </a:graphicData>
            </a:graphic>
          </wp:anchor>
        </w:drawing>
      </w:r>
    </w:p>
    <w:p>
      <w:pPr>
        <w:sectPr>
          <w:pgSz w:w="11900" w:h="16838" w:orient="portrait"/>
          <w:cols w:equalWidth="0" w:num="1">
            <w:col w:w="11360"/>
          </w:cols>
          <w:pgMar w:left="280" w:top="584" w:right="25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400"/>
        <w:spacing w:after="0" w:line="286" w:lineRule="auto"/>
        <w:rPr>
          <w:sz w:val="20"/>
          <w:szCs w:val="20"/>
          <w:color w:val="auto"/>
        </w:rPr>
      </w:pPr>
      <w:r>
        <w:rPr>
          <w:rFonts w:ascii="Arial" w:cs="Arial" w:eastAsia="Arial" w:hAnsi="Arial"/>
          <w:sz w:val="16"/>
          <w:szCs w:val="16"/>
          <w:color w:val="auto"/>
        </w:rPr>
        <w:t>as soon as available, but in any event within 45 days after the end of each fiscal quarter during each of Borrowers' fiscal years; but within 30 days (45 days in the case of a month that is the end of one of Borrowers' fiscal quarters) after the end of each month during any period beginning upon the occurrence and continuance of an Event of Default or on any date that Excess Availability does not exceed an amount equal to 20% of the Maximum Revolver Amount and ending on the date that both no Event of Default exists and Excess Availability exceeds an amount equal to 20% of the Maximum Revolver Amount for 60 consecutive days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(a)an unaudited consolidated balance sheet, income statement, and statement of cash flow covering Borrowers' and their Subsidiaries' operations during such period,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 Compliance Certificate.</w:t>
      </w:r>
    </w:p>
    <w:p>
      <w:pPr>
        <w:spacing w:after="0" w:line="2303" w:lineRule="exact"/>
        <w:rPr>
          <w:sz w:val="20"/>
          <w:szCs w:val="20"/>
          <w:color w:val="auto"/>
        </w:rPr>
      </w:pPr>
    </w:p>
    <w:p>
      <w:pPr>
        <w:sectPr>
          <w:pgSz w:w="11900" w:h="16838" w:orient="portrait"/>
          <w:cols w:equalWidth="0" w:num="2">
            <w:col w:w="4120" w:space="100"/>
            <w:col w:w="7140"/>
          </w:cols>
          <w:pgMar w:left="280" w:top="584" w:right="259" w:bottom="1440" w:gutter="0" w:footer="0" w:header="0"/>
          <w:type w:val="continuous"/>
        </w:sectPr>
      </w:pPr>
    </w:p>
    <w:p>
      <w:pPr>
        <w:spacing w:after="0" w:line="42" w:lineRule="exact"/>
        <w:rPr>
          <w:sz w:val="20"/>
          <w:szCs w:val="20"/>
          <w:color w:val="auto"/>
        </w:rPr>
      </w:pPr>
    </w:p>
    <w:p>
      <w:pPr>
        <w:ind w:left="5620" w:right="200" w:hanging="4355"/>
        <w:spacing w:after="0" w:line="810" w:lineRule="auto"/>
        <w:tabs>
          <w:tab w:leader="none" w:pos="164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first line of the table set forth in Schedule 5.2 of the Credit Agreement is hereby amended and restated in its entirety as follows: 5</w:t>
      </w:r>
    </w:p>
    <w:p>
      <w:pPr>
        <w:sectPr>
          <w:pgSz w:w="11900" w:h="16838" w:orient="portrait"/>
          <w:cols w:equalWidth="0" w:num="1">
            <w:col w:w="11360"/>
          </w:cols>
          <w:pgMar w:left="280" w:top="584" w:right="259" w:bottom="1440" w:gutter="0" w:footer="0" w:header="0"/>
          <w:type w:val="continuous"/>
        </w:sectPr>
      </w:pPr>
    </w:p>
    <w:bookmarkStart w:id="128" w:name="page129"/>
    <w:bookmarkEnd w:id="128"/>
    <w:p>
      <w:pPr>
        <w:ind w:left="440"/>
        <w:spacing w:after="0" w:line="286" w:lineRule="auto"/>
        <w:rPr>
          <w:sz w:val="20"/>
          <w:szCs w:val="20"/>
          <w:color w:val="auto"/>
        </w:rPr>
      </w:pPr>
      <w:r>
        <w:rPr>
          <w:rFonts w:ascii="Arial" w:cs="Arial" w:eastAsia="Arial" w:hAnsi="Arial"/>
          <w:sz w:val="16"/>
          <w:szCs w:val="16"/>
          <w:color w:val="auto"/>
        </w:rPr>
        <w:t>Monthly (no later than the 10th Business Day of each month); but weekly during any period beginning upon the occurrence and continuance of an Event of Default or on any date that Excess Availability does not exceed an amount equal to 15% of the Maximum Revolver Amount and ending on the date that both no Event of Default exists and Excess Availability exceeds an amount equal to 15% of the Maximum Revolver Amount for 30 consecutive days</w:t>
      </w:r>
    </w:p>
    <w:p>
      <w:pPr>
        <w:spacing w:after="0" w:line="20" w:lineRule="exact"/>
        <w:rPr>
          <w:sz w:val="20"/>
          <w:szCs w:val="20"/>
          <w:color w:val="auto"/>
        </w:rPr>
      </w:pPr>
      <w:r>
        <w:rPr>
          <w:sz w:val="20"/>
          <w:szCs w:val="20"/>
          <w:color w:val="auto"/>
        </w:rPr>
        <w:br w:type="column"/>
      </w:r>
    </w:p>
    <w:p>
      <w:pPr>
        <w:ind w:left="242" w:hanging="242"/>
        <w:spacing w:after="0"/>
        <w:tabs>
          <w:tab w:leader="none" w:pos="24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Borrowing Base Certificate,</w:t>
      </w:r>
    </w:p>
    <w:p>
      <w:pPr>
        <w:spacing w:after="0" w:line="117" w:lineRule="exact"/>
        <w:rPr>
          <w:rFonts w:ascii="Arial" w:cs="Arial" w:eastAsia="Arial" w:hAnsi="Arial"/>
          <w:sz w:val="18"/>
          <w:szCs w:val="18"/>
          <w:color w:val="auto"/>
        </w:rPr>
      </w:pPr>
    </w:p>
    <w:p>
      <w:pPr>
        <w:jc w:val="both"/>
        <w:ind w:left="2" w:right="420" w:hanging="2"/>
        <w:spacing w:after="0" w:line="264" w:lineRule="auto"/>
        <w:tabs>
          <w:tab w:leader="none" w:pos="2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detailed aging, by total, of each Loan Party's Accounts, together with a reconciliation and supporting documentation for any reconciling items noted (delivered electronically in an acceptable format, if Borrowers have implemented electronic reporting),</w:t>
      </w:r>
    </w:p>
    <w:p>
      <w:pPr>
        <w:spacing w:after="0" w:line="73" w:lineRule="exact"/>
        <w:rPr>
          <w:rFonts w:ascii="Arial" w:cs="Arial" w:eastAsia="Arial" w:hAnsi="Arial"/>
          <w:sz w:val="18"/>
          <w:szCs w:val="18"/>
          <w:color w:val="auto"/>
        </w:rPr>
      </w:pPr>
    </w:p>
    <w:p>
      <w:pPr>
        <w:ind w:left="2" w:right="420" w:hanging="2"/>
        <w:spacing w:after="0" w:line="277" w:lineRule="auto"/>
        <w:tabs>
          <w:tab w:leader="none" w:pos="24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detailed calculation of those Accounts that are not eligible for the Borrowing Base, if Borrowers have not implemented electronic reporting,</w:t>
      </w:r>
    </w:p>
    <w:p>
      <w:pPr>
        <w:spacing w:after="0" w:line="62" w:lineRule="exact"/>
        <w:rPr>
          <w:rFonts w:ascii="Arial" w:cs="Arial" w:eastAsia="Arial" w:hAnsi="Arial"/>
          <w:sz w:val="18"/>
          <w:szCs w:val="18"/>
          <w:color w:val="auto"/>
        </w:rPr>
      </w:pPr>
    </w:p>
    <w:p>
      <w:pPr>
        <w:jc w:val="both"/>
        <w:ind w:left="2" w:right="420" w:hanging="2"/>
        <w:spacing w:after="0" w:line="264" w:lineRule="auto"/>
        <w:tabs>
          <w:tab w:leader="none" w:pos="2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detailed Inventory system/perpetual report together with a reconciliation to each Loan Party's general ledger accounts (delivered electronically in an acceptable format, if Borrowers have implemented electronic reporting),</w:t>
      </w:r>
    </w:p>
    <w:p>
      <w:pPr>
        <w:spacing w:after="0" w:line="73" w:lineRule="exact"/>
        <w:rPr>
          <w:rFonts w:ascii="Arial" w:cs="Arial" w:eastAsia="Arial" w:hAnsi="Arial"/>
          <w:sz w:val="18"/>
          <w:szCs w:val="18"/>
          <w:color w:val="auto"/>
        </w:rPr>
      </w:pPr>
    </w:p>
    <w:p>
      <w:pPr>
        <w:ind w:left="2" w:right="420" w:hanging="2"/>
        <w:spacing w:after="0" w:line="277" w:lineRule="auto"/>
        <w:tabs>
          <w:tab w:leader="none" w:pos="24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detailed calculation of Inventory categories that are not eligible for the Borrowing Base, if Borrowers have not implemented electronic reporting,</w:t>
      </w:r>
    </w:p>
    <w:p>
      <w:pPr>
        <w:spacing w:after="0" w:line="62" w:lineRule="exact"/>
        <w:rPr>
          <w:rFonts w:ascii="Arial" w:cs="Arial" w:eastAsia="Arial" w:hAnsi="Arial"/>
          <w:sz w:val="18"/>
          <w:szCs w:val="18"/>
          <w:color w:val="auto"/>
        </w:rPr>
      </w:pPr>
    </w:p>
    <w:p>
      <w:pPr>
        <w:jc w:val="both"/>
        <w:ind w:left="2" w:right="420" w:hanging="2"/>
        <w:spacing w:after="0" w:line="264" w:lineRule="auto"/>
        <w:tabs>
          <w:tab w:leader="none" w:pos="25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summary aging, by vendor, of each Loan Party's accounts payable and any book overdraft (delivered electronically in an acceptable format, if Borrowers have implemented electronic reporting) and an aging, by vendor, of any held checks,</w:t>
      </w:r>
    </w:p>
    <w:p>
      <w:pPr>
        <w:spacing w:after="0" w:line="73" w:lineRule="exact"/>
        <w:rPr>
          <w:rFonts w:ascii="Arial" w:cs="Arial" w:eastAsia="Arial" w:hAnsi="Arial"/>
          <w:sz w:val="18"/>
          <w:szCs w:val="18"/>
          <w:color w:val="auto"/>
        </w:rPr>
      </w:pPr>
    </w:p>
    <w:p>
      <w:pPr>
        <w:ind w:left="2" w:right="420" w:hanging="2"/>
        <w:spacing w:after="0" w:line="277" w:lineRule="auto"/>
        <w:tabs>
          <w:tab w:leader="none" w:pos="25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monthly Account roll-forward, in a format acceptable to Agent in its discretion, tied to the beginning and ending account receivable balances of each Loan Party's general ledger, and</w:t>
      </w:r>
    </w:p>
    <w:p>
      <w:pPr>
        <w:spacing w:after="0" w:line="62" w:lineRule="exact"/>
        <w:rPr>
          <w:rFonts w:ascii="Arial" w:cs="Arial" w:eastAsia="Arial" w:hAnsi="Arial"/>
          <w:sz w:val="18"/>
          <w:szCs w:val="18"/>
          <w:color w:val="auto"/>
        </w:rPr>
      </w:pPr>
    </w:p>
    <w:p>
      <w:pPr>
        <w:jc w:val="both"/>
        <w:ind w:left="2" w:right="420" w:hanging="2"/>
        <w:spacing w:after="0" w:line="264" w:lineRule="auto"/>
        <w:tabs>
          <w:tab w:leader="none" w:pos="2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Inventory system/perpetual reports specifying the cost of each Loan Party's Inventory, by category, with additional detail (delivered electronically in an acceptable format, if Borrowers have implemented electronic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-1590040</wp:posOffset>
            </wp:positionH>
            <wp:positionV relativeFrom="paragraph">
              <wp:posOffset>-3142615</wp:posOffset>
            </wp:positionV>
            <wp:extent cx="6800850" cy="32416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0850" cy="32416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00" w:space="78"/>
            <w:col w:w="8542"/>
          </w:cols>
          <w:pgMar w:left="240" w:top="787" w:right="2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both"/>
        <w:ind w:firstLine="1305"/>
        <w:spacing w:after="0" w:line="259" w:lineRule="auto"/>
        <w:tabs>
          <w:tab w:leader="none" w:pos="1638"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Continuing Effect</w:t>
      </w:r>
      <w:r>
        <w:rPr>
          <w:rFonts w:ascii="Arial" w:cs="Arial" w:eastAsia="Arial" w:hAnsi="Arial"/>
          <w:sz w:val="18"/>
          <w:szCs w:val="18"/>
          <w:color w:val="auto"/>
        </w:rPr>
        <w:t xml:space="preserve">. Except as expressly set forth in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w:t>
      </w:r>
      <w:r>
        <w:rPr>
          <w:rFonts w:ascii="Arial" w:cs="Arial" w:eastAsia="Arial" w:hAnsi="Arial"/>
          <w:sz w:val="18"/>
          <w:szCs w:val="18"/>
          <w:color w:val="auto"/>
        </w:rPr>
        <w:t xml:space="preserve"> of this Amendment, nothing in this Amendment shall constitute a modification or alteration of the terms, conditions or covenants of the Credit Agreement or any other Loan Document, or a waiver of any other terms or provisions thereof, and the Credit Agreement and the other Loan Documents shall remain unchanged and shall continue in full force and effect, in each case as amended hereby.</w:t>
      </w:r>
    </w:p>
    <w:p>
      <w:pPr>
        <w:spacing w:after="0" w:line="186" w:lineRule="exact"/>
        <w:rPr>
          <w:rFonts w:ascii="Arial" w:cs="Arial" w:eastAsia="Arial" w:hAnsi="Arial"/>
          <w:sz w:val="18"/>
          <w:szCs w:val="18"/>
          <w:color w:val="auto"/>
        </w:rPr>
      </w:pPr>
    </w:p>
    <w:p>
      <w:pPr>
        <w:jc w:val="both"/>
        <w:ind w:firstLine="1305"/>
        <w:spacing w:after="0" w:line="255" w:lineRule="auto"/>
        <w:tabs>
          <w:tab w:leader="none" w:pos="1638"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Reaffirmation and Confirmation</w:t>
      </w:r>
      <w:r>
        <w:rPr>
          <w:rFonts w:ascii="Arial" w:cs="Arial" w:eastAsia="Arial" w:hAnsi="Arial"/>
          <w:sz w:val="18"/>
          <w:szCs w:val="18"/>
          <w:color w:val="auto"/>
        </w:rPr>
        <w:t>. Each Borrower hereby ratifies, affirms, acknowledges and agrees that the Credit Agreement and the other Loan Documents to which it is a party represent the valid, enforceable and collectible obligations of such Borrower, and further acknowledges that there are no existing claims, defenses, personal or otherwise, or rights of setoff whatsoever with respect to the Credit Agreement or any other Loan Document. Each Borrower hereby agrees that this Amendment in no way acts as a release or relinquishment of the Liens and rights securing payments of the Obligations, except as expressly set forth herein. The Liens and rights securing payment of the Obligations are hereby ratified and confirmed by each Borrower in all respects.</w:t>
      </w:r>
    </w:p>
    <w:p>
      <w:pPr>
        <w:spacing w:after="0" w:line="193" w:lineRule="exact"/>
        <w:rPr>
          <w:rFonts w:ascii="Arial" w:cs="Arial" w:eastAsia="Arial" w:hAnsi="Arial"/>
          <w:sz w:val="18"/>
          <w:szCs w:val="18"/>
          <w:color w:val="auto"/>
        </w:rPr>
      </w:pPr>
    </w:p>
    <w:p>
      <w:pPr>
        <w:ind w:left="1760" w:hanging="455"/>
        <w:spacing w:after="0"/>
        <w:tabs>
          <w:tab w:leader="none" w:pos="1760"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Conditions to Effectiveness</w:t>
      </w:r>
      <w:r>
        <w:rPr>
          <w:rFonts w:ascii="Arial" w:cs="Arial" w:eastAsia="Arial" w:hAnsi="Arial"/>
          <w:sz w:val="17"/>
          <w:szCs w:val="17"/>
          <w:color w:val="auto"/>
        </w:rPr>
        <w:t>. This Amendment shall become effective upon the satisfaction of each of the following conditions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precedent:</w:t>
      </w:r>
    </w:p>
    <w:p>
      <w:pPr>
        <w:spacing w:after="0" w:line="211" w:lineRule="exact"/>
        <w:rPr>
          <w:sz w:val="20"/>
          <w:szCs w:val="20"/>
          <w:color w:val="auto"/>
        </w:rPr>
      </w:pPr>
    </w:p>
    <w:p>
      <w:pPr>
        <w:jc w:val="both"/>
        <w:ind w:firstLine="1305"/>
        <w:spacing w:after="0" w:line="286" w:lineRule="auto"/>
        <w:tabs>
          <w:tab w:leader="none" w:pos="1687"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Agent shall have received a copy of this Amendment executed and delivered by Agent, Lenders and Borrowers (with five (5) original copies of this Amendment to follow within two (2) Business Days after the date hereof) together with each of the additional documents, instruments and agreements listed on the Closing Checklist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each in form and substance reasonably satisfactory to Agent;</w:t>
      </w:r>
    </w:p>
    <w:p>
      <w:pPr>
        <w:spacing w:after="0" w:line="165" w:lineRule="exact"/>
        <w:rPr>
          <w:rFonts w:ascii="Arial" w:cs="Arial" w:eastAsia="Arial" w:hAnsi="Arial"/>
          <w:sz w:val="17"/>
          <w:szCs w:val="17"/>
          <w:color w:val="auto"/>
        </w:rPr>
      </w:pPr>
    </w:p>
    <w:p>
      <w:pPr>
        <w:ind w:firstLine="1305"/>
        <w:spacing w:after="0" w:line="308" w:lineRule="auto"/>
        <w:tabs>
          <w:tab w:leader="none" w:pos="1696" w:val="left"/>
        </w:tabs>
        <w:numPr>
          <w:ilvl w:val="0"/>
          <w:numId w:val="148"/>
        </w:numPr>
        <w:rPr>
          <w:rFonts w:ascii="Arial" w:cs="Arial" w:eastAsia="Arial" w:hAnsi="Arial"/>
          <w:sz w:val="17"/>
          <w:szCs w:val="17"/>
          <w:color w:val="auto"/>
        </w:rPr>
      </w:pPr>
      <w:r>
        <w:rPr>
          <w:rFonts w:ascii="Arial" w:cs="Arial" w:eastAsia="Arial" w:hAnsi="Arial"/>
          <w:sz w:val="17"/>
          <w:szCs w:val="17"/>
          <w:color w:val="auto"/>
        </w:rPr>
        <w:t>Borrowers shall have paid all fees, costs and expenses due and payable as of the date hereof under the Credit Agreement and the other Loan Documents, including without limitation fees set forth in the Fee Letter, as amended and restated on the date hereof;</w:t>
      </w:r>
    </w:p>
    <w:p>
      <w:pPr>
        <w:spacing w:after="0" w:line="146" w:lineRule="exact"/>
        <w:rPr>
          <w:rFonts w:ascii="Arial" w:cs="Arial" w:eastAsia="Arial" w:hAnsi="Arial"/>
          <w:sz w:val="17"/>
          <w:szCs w:val="17"/>
          <w:color w:val="auto"/>
        </w:rPr>
      </w:pPr>
    </w:p>
    <w:p>
      <w:pPr>
        <w:ind w:left="1680" w:hanging="375"/>
        <w:spacing w:after="0"/>
        <w:tabs>
          <w:tab w:leader="none" w:pos="16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Excess Availability as of the date hereof shall be equal to or greater than $25,000,000; and</w:t>
      </w:r>
    </w:p>
    <w:p>
      <w:pPr>
        <w:spacing w:after="0" w:line="225" w:lineRule="exact"/>
        <w:rPr>
          <w:rFonts w:ascii="Arial" w:cs="Arial" w:eastAsia="Arial" w:hAnsi="Arial"/>
          <w:sz w:val="18"/>
          <w:szCs w:val="18"/>
          <w:color w:val="auto"/>
        </w:rPr>
      </w:pPr>
    </w:p>
    <w:p>
      <w:pPr>
        <w:ind w:left="1720" w:hanging="415"/>
        <w:spacing w:after="0"/>
        <w:tabs>
          <w:tab w:leader="none" w:pos="17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no Default or Event of Default shall have occurred and be continuing on the date hereof or as of the date of the effectiveness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Amendment.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87" w:right="239" w:bottom="1440" w:gutter="0" w:footer="0" w:header="0"/>
          <w:type w:val="continuous"/>
        </w:sectPr>
      </w:pPr>
    </w:p>
    <w:bookmarkStart w:id="129" w:name="page130"/>
    <w:bookmarkEnd w:id="129"/>
    <w:p>
      <w:pPr>
        <w:ind w:right="20" w:firstLine="1305"/>
        <w:spacing w:after="0" w:line="277" w:lineRule="auto"/>
        <w:tabs>
          <w:tab w:leader="none" w:pos="1625"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In order to induce Agent and Lenders to enter into this Amendment, each Borrower hereby represents and warrants to Agent and Lenders that:</w:t>
      </w:r>
    </w:p>
    <w:p>
      <w:pPr>
        <w:spacing w:after="0" w:line="170" w:lineRule="exact"/>
        <w:rPr>
          <w:sz w:val="20"/>
          <w:szCs w:val="20"/>
          <w:color w:val="auto"/>
        </w:rPr>
      </w:pPr>
    </w:p>
    <w:p>
      <w:pPr>
        <w:jc w:val="both"/>
        <w:ind w:firstLine="1305"/>
        <w:spacing w:after="0" w:line="273" w:lineRule="auto"/>
        <w:tabs>
          <w:tab w:leader="none" w:pos="1693"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after giving effect to this Amendment, all representations and warranties contained in the Loan Documents to which such Borrower is a party are true, correct and complete in all material respects (except that such materiality qualifier shall not be applicable to any representations and warranties that already are qualified or modified by materiality in the text thereof) on and as of the date of this Amendment, as though made on and as of such date (except to the extent that such representations and warranties relate solely to an earlier date, in which case such representations and warranties shall be true, correct and complete in all material respects (except that such materiality qualifier shall not be applicable to any representations and warranties that already are qualified or modified by materiality in the text thereof) on and as of such earlier date);</w:t>
      </w:r>
    </w:p>
    <w:p>
      <w:pPr>
        <w:spacing w:after="0" w:line="178" w:lineRule="exact"/>
        <w:rPr>
          <w:rFonts w:ascii="Arial" w:cs="Arial" w:eastAsia="Arial" w:hAnsi="Arial"/>
          <w:sz w:val="17"/>
          <w:szCs w:val="17"/>
          <w:color w:val="auto"/>
        </w:rPr>
      </w:pPr>
    </w:p>
    <w:p>
      <w:pPr>
        <w:ind w:left="1700" w:hanging="395"/>
        <w:spacing w:after="0"/>
        <w:tabs>
          <w:tab w:leader="none" w:pos="17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and</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72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this Amendment and the Loan Documents, as amended hereby, constitute legal, valid and binding obligations of such Borrower and are enforceable against such Borrower in accordance with their respective terms, except as enforcement may be limited by equitable principles or by bankruptcy, insolvency, reorganization, moratorium or similar laws relating to or limiting creditors' rights generally.</w:t>
      </w:r>
    </w:p>
    <w:p>
      <w:pPr>
        <w:spacing w:after="0" w:line="181" w:lineRule="exact"/>
        <w:rPr>
          <w:sz w:val="20"/>
          <w:szCs w:val="20"/>
          <w:color w:val="auto"/>
        </w:rPr>
      </w:pPr>
    </w:p>
    <w:p>
      <w:pPr>
        <w:ind w:left="1620" w:hanging="315"/>
        <w:spacing w:after="0"/>
        <w:tabs>
          <w:tab w:leader="none" w:pos="162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59" w:lineRule="auto"/>
        <w:tabs>
          <w:tab w:leader="none" w:pos="1744"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Each Borrower agrees to pay on demand all reasonable costs and expenses of Agent and Lenders (including reasonable attorneys' fees) incurred in connection with the preparation, negotiation, execution, delivery and administration of this Amendment and all other instruments or documents provided for herein or delivered or to be delivered hereunder or in connection herewith. All obligations provided herein shall survive any termination of this Amendment and the Credit Agreement as amended hereby.</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74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Choice of Law and Venue; Jury Trial Waiver; Reference Provision</w:t>
      </w:r>
      <w:r>
        <w:rPr>
          <w:rFonts w:ascii="Arial" w:cs="Arial" w:eastAsia="Arial" w:hAnsi="Arial"/>
          <w:sz w:val="18"/>
          <w:szCs w:val="18"/>
          <w:color w:val="auto"/>
        </w:rPr>
        <w:t>. Without limiting the applicability of any other provision of the Credit Agreement or any other Loan Document, the terms and provisions set forth in Section 12 of the Credit Agreement are expressly incorporated herein by reference.</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73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and by the parties hereto on the same or separate counterparts, and each such counterpart, when executed and delivered, shall be deemed to be an original, but all such counterparts shall together constitute but one and the same Amendment.</w:t>
      </w:r>
    </w:p>
    <w:p>
      <w:pPr>
        <w:spacing w:after="0" w:line="181" w:lineRule="exact"/>
        <w:rPr>
          <w:sz w:val="20"/>
          <w:szCs w:val="20"/>
          <w:color w:val="auto"/>
        </w:rPr>
      </w:pPr>
    </w:p>
    <w:p>
      <w:pPr>
        <w:ind w:left="1620" w:hanging="315"/>
        <w:spacing w:after="0"/>
        <w:tabs>
          <w:tab w:leader="none" w:pos="162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17" w:lineRule="exact"/>
        <w:tabs>
          <w:tab w:leader="none" w:pos="170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In consideration of the agreements of Agent and Lenders contained herein and for other good and valuable consideration, the receipt and sufficiency of which is hereby acknowledged, each Borrower, on behalf of itself and its successors, assigns, and other legal representatives, to the extent permitted by applicable law, hereby absolutely, unconditionally and irrevocably releases, remises and forever discharges Agent and Lenders, and their successors and assigns, and their present and former shareholders, affiliates, subsidiaries, divisions, predecessors, directors, officers, attorneys, employees, agents and other representatives (Agent, each Lender and all such other Persons being hereinafter referred to collectively as the "</w:t>
      </w:r>
      <w:r>
        <w:rPr>
          <w:rFonts w:ascii="Arial" w:cs="Arial" w:eastAsia="Arial" w:hAnsi="Arial"/>
          <w:sz w:val="16"/>
          <w:szCs w:val="16"/>
          <w:u w:val="single" w:color="auto"/>
          <w:color w:val="auto"/>
        </w:rPr>
        <w:t>Releasees</w:t>
      </w:r>
      <w:r>
        <w:rPr>
          <w:rFonts w:ascii="Arial" w:cs="Arial" w:eastAsia="Arial" w:hAnsi="Arial"/>
          <w:sz w:val="16"/>
          <w:szCs w:val="16"/>
          <w:color w:val="auto"/>
        </w:rPr>
        <w:t>" and individually as a "</w:t>
      </w:r>
      <w:r>
        <w:rPr>
          <w:rFonts w:ascii="Arial" w:cs="Arial" w:eastAsia="Arial" w:hAnsi="Arial"/>
          <w:sz w:val="16"/>
          <w:szCs w:val="16"/>
          <w:u w:val="single" w:color="auto"/>
          <w:color w:val="auto"/>
        </w:rPr>
        <w:t>Releasee</w:t>
      </w:r>
      <w:r>
        <w:rPr>
          <w:rFonts w:ascii="Arial" w:cs="Arial" w:eastAsia="Arial" w:hAnsi="Arial"/>
          <w:sz w:val="16"/>
          <w:szCs w:val="16"/>
          <w:color w:val="auto"/>
        </w:rPr>
        <w:t>"), of and from all demands, actions, causes of action, suits, controversies, damages and any and all other claims, counterclaims, defenses, rights of set</w:t>
      </w:r>
      <w:r>
        <w:rPr>
          <w:rFonts w:ascii="MS PGothic" w:cs="MS PGothic" w:eastAsia="MS PGothic" w:hAnsi="MS PGothic"/>
          <w:sz w:val="16"/>
          <w:szCs w:val="16"/>
          <w:color w:val="auto"/>
        </w:rPr>
        <w:t>‑</w:t>
      </w:r>
      <w:r>
        <w:rPr>
          <w:rFonts w:ascii="Arial" w:cs="Arial" w:eastAsia="Arial" w:hAnsi="Arial"/>
          <w:sz w:val="16"/>
          <w:szCs w:val="16"/>
          <w:color w:val="auto"/>
        </w:rPr>
        <w:t>off, demands and liabilities whatsoever (individually, a "</w:t>
      </w:r>
      <w:r>
        <w:rPr>
          <w:rFonts w:ascii="Arial" w:cs="Arial" w:eastAsia="Arial" w:hAnsi="Arial"/>
          <w:sz w:val="16"/>
          <w:szCs w:val="16"/>
          <w:u w:val="single" w:color="auto"/>
          <w:color w:val="auto"/>
        </w:rPr>
        <w:t>Claim</w:t>
      </w:r>
      <w:r>
        <w:rPr>
          <w:rFonts w:ascii="Arial" w:cs="Arial" w:eastAsia="Arial" w:hAnsi="Arial"/>
          <w:sz w:val="16"/>
          <w:szCs w:val="16"/>
          <w:color w:val="auto"/>
        </w:rPr>
        <w:t>" and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of every name and nature, known or unknown, suspected or unsuspected, both at law and in equity, which such Borrower or any of its successors, assigns, or other legal representatives may now or hereafter own, hold, have or claim to have against the Releasees or any of them for, upon, or by reason of any circumstance, action, cause or thing whatsoever which arises at any time on or prior to the day and date of this Amendment for or on account of, or in relation to, or in any way in connection with any of the Credit Agreement, or any of the other Loan Documents or transactions thereunder or related thereto.</w:t>
      </w:r>
    </w:p>
    <w:p>
      <w:pPr>
        <w:spacing w:after="0" w:line="206" w:lineRule="exact"/>
        <w:rPr>
          <w:rFonts w:ascii="Arial" w:cs="Arial" w:eastAsia="Arial" w:hAnsi="Arial"/>
          <w:sz w:val="16"/>
          <w:szCs w:val="16"/>
          <w:color w:val="auto"/>
        </w:rPr>
      </w:pPr>
    </w:p>
    <w:p>
      <w:pPr>
        <w:jc w:val="both"/>
        <w:ind w:firstLine="1305"/>
        <w:spacing w:after="0" w:line="264" w:lineRule="auto"/>
        <w:tabs>
          <w:tab w:leader="none" w:pos="171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Each 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w:t>
      </w:r>
    </w:p>
    <w:p>
      <w:pPr>
        <w:spacing w:after="0" w:line="181" w:lineRule="exact"/>
        <w:rPr>
          <w:rFonts w:ascii="Arial" w:cs="Arial" w:eastAsia="Arial" w:hAnsi="Arial"/>
          <w:sz w:val="18"/>
          <w:szCs w:val="18"/>
          <w:color w:val="auto"/>
        </w:rPr>
      </w:pPr>
    </w:p>
    <w:p>
      <w:pPr>
        <w:ind w:right="20" w:firstLine="1305"/>
        <w:spacing w:after="0" w:line="277" w:lineRule="auto"/>
        <w:tabs>
          <w:tab w:leader="none" w:pos="170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Each Borrower agrees that no fact, event, circumstance, evidence or transaction which could now be asserted or which may hereafter be discovered shall affect in any manner the final, absolute and unconditional nature of the release set forth above.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30" w:name="page131"/>
    <w:bookmarkEnd w:id="130"/>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by their respective officers thereunto duly authorized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REMY INTERNATIONAL, INC.</w:t>
      </w:r>
      <w:r>
        <w:rPr>
          <w:rFonts w:ascii="Arial" w:cs="Arial" w:eastAsia="Arial" w:hAnsi="Arial"/>
          <w:sz w:val="18"/>
          <w:szCs w:val="18"/>
          <w:color w:val="auto"/>
        </w:rPr>
        <w:t>, a Delaware corporation</w:t>
      </w:r>
    </w:p>
    <w:p>
      <w:pPr>
        <w:spacing w:after="0" w:line="351" w:lineRule="exact"/>
        <w:rPr>
          <w:sz w:val="20"/>
          <w:szCs w:val="20"/>
          <w:color w:val="auto"/>
        </w:rPr>
      </w:pPr>
    </w:p>
    <w:tbl>
      <w:tblPr>
        <w:tblLayout w:type="fixed"/>
        <w:tblInd w:w="46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Pr>
          <w:p>
            <w:pPr>
              <w:ind w:left="20"/>
              <w:spacing w:after="0"/>
              <w:rPr>
                <w:sz w:val="20"/>
                <w:szCs w:val="20"/>
                <w:color w:val="auto"/>
              </w:rPr>
            </w:pPr>
            <w:r>
              <w:rPr>
                <w:rFonts w:ascii="Arial" w:cs="Arial" w:eastAsia="Arial" w:hAnsi="Arial"/>
                <w:sz w:val="18"/>
                <w:szCs w:val="18"/>
                <w:color w:val="auto"/>
              </w:rPr>
              <w:t>/s/ Fred Knechtel</w:t>
            </w:r>
          </w:p>
        </w:tc>
      </w:tr>
      <w:tr>
        <w:trPr>
          <w:trHeight w:val="27"/>
        </w:trPr>
        <w:tc>
          <w:tcPr>
            <w:tcW w:w="8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520" w:type="dxa"/>
            <w:vAlign w:val="bottom"/>
          </w:tcPr>
          <w:p>
            <w:pPr>
              <w:ind w:left="20"/>
              <w:spacing w:after="0"/>
              <w:rPr>
                <w:sz w:val="20"/>
                <w:szCs w:val="20"/>
                <w:color w:val="auto"/>
              </w:rPr>
            </w:pPr>
            <w:r>
              <w:rPr>
                <w:rFonts w:ascii="Arial" w:cs="Arial" w:eastAsia="Arial" w:hAnsi="Arial"/>
                <w:sz w:val="18"/>
                <w:szCs w:val="18"/>
                <w:color w:val="auto"/>
              </w:rPr>
              <w:t>Fred Knechtel</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WESTERN REMAN INDUSTRIAL, INC</w:t>
      </w:r>
      <w:r>
        <w:rPr>
          <w:rFonts w:ascii="Arial" w:cs="Arial" w:eastAsia="Arial" w:hAnsi="Arial"/>
          <w:sz w:val="18"/>
          <w:szCs w:val="18"/>
          <w:color w:val="auto"/>
        </w:rPr>
        <w:t>., an Indiana corporation</w:t>
      </w:r>
    </w:p>
    <w:p>
      <w:pPr>
        <w:spacing w:after="0" w:line="351" w:lineRule="exact"/>
        <w:rPr>
          <w:sz w:val="20"/>
          <w:szCs w:val="20"/>
          <w:color w:val="auto"/>
        </w:rPr>
      </w:pPr>
    </w:p>
    <w:tbl>
      <w:tblPr>
        <w:tblLayout w:type="fixed"/>
        <w:tblInd w:w="46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Pr>
          <w:p>
            <w:pPr>
              <w:ind w:left="20"/>
              <w:spacing w:after="0"/>
              <w:rPr>
                <w:sz w:val="20"/>
                <w:szCs w:val="20"/>
                <w:color w:val="auto"/>
              </w:rPr>
            </w:pPr>
            <w:r>
              <w:rPr>
                <w:rFonts w:ascii="Arial" w:cs="Arial" w:eastAsia="Arial" w:hAnsi="Arial"/>
                <w:sz w:val="18"/>
                <w:szCs w:val="18"/>
                <w:color w:val="auto"/>
              </w:rPr>
              <w:t>/s/ Fred Knechtel</w:t>
            </w:r>
          </w:p>
        </w:tc>
      </w:tr>
      <w:tr>
        <w:trPr>
          <w:trHeight w:val="27"/>
        </w:trPr>
        <w:tc>
          <w:tcPr>
            <w:tcW w:w="8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520" w:type="dxa"/>
            <w:vAlign w:val="bottom"/>
          </w:tcPr>
          <w:p>
            <w:pPr>
              <w:ind w:left="20"/>
              <w:spacing w:after="0"/>
              <w:rPr>
                <w:sz w:val="20"/>
                <w:szCs w:val="20"/>
                <w:color w:val="auto"/>
              </w:rPr>
            </w:pPr>
            <w:r>
              <w:rPr>
                <w:rFonts w:ascii="Arial" w:cs="Arial" w:eastAsia="Arial" w:hAnsi="Arial"/>
                <w:sz w:val="18"/>
                <w:szCs w:val="18"/>
                <w:color w:val="auto"/>
              </w:rPr>
              <w:t>Fred Knechtel</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POWER INVESTMENTS, INC.</w:t>
      </w:r>
      <w:r>
        <w:rPr>
          <w:rFonts w:ascii="Arial" w:cs="Arial" w:eastAsia="Arial" w:hAnsi="Arial"/>
          <w:sz w:val="18"/>
          <w:szCs w:val="18"/>
          <w:color w:val="auto"/>
        </w:rPr>
        <w:t>, an Indiana corporation</w:t>
      </w:r>
    </w:p>
    <w:p>
      <w:pPr>
        <w:spacing w:after="0" w:line="351" w:lineRule="exact"/>
        <w:rPr>
          <w:sz w:val="20"/>
          <w:szCs w:val="20"/>
          <w:color w:val="auto"/>
        </w:rPr>
      </w:pPr>
    </w:p>
    <w:tbl>
      <w:tblPr>
        <w:tblLayout w:type="fixed"/>
        <w:tblInd w:w="46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Pr>
          <w:p>
            <w:pPr>
              <w:ind w:left="20"/>
              <w:spacing w:after="0"/>
              <w:rPr>
                <w:sz w:val="20"/>
                <w:szCs w:val="20"/>
                <w:color w:val="auto"/>
              </w:rPr>
            </w:pPr>
            <w:r>
              <w:rPr>
                <w:rFonts w:ascii="Arial" w:cs="Arial" w:eastAsia="Arial" w:hAnsi="Arial"/>
                <w:sz w:val="18"/>
                <w:szCs w:val="18"/>
                <w:color w:val="auto"/>
              </w:rPr>
              <w:t>/s/ Fred Knechtel</w:t>
            </w:r>
          </w:p>
        </w:tc>
      </w:tr>
      <w:tr>
        <w:trPr>
          <w:trHeight w:val="27"/>
        </w:trPr>
        <w:tc>
          <w:tcPr>
            <w:tcW w:w="8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520" w:type="dxa"/>
            <w:vAlign w:val="bottom"/>
          </w:tcPr>
          <w:p>
            <w:pPr>
              <w:ind w:left="20"/>
              <w:spacing w:after="0"/>
              <w:rPr>
                <w:sz w:val="20"/>
                <w:szCs w:val="20"/>
                <w:color w:val="auto"/>
              </w:rPr>
            </w:pPr>
            <w:r>
              <w:rPr>
                <w:rFonts w:ascii="Arial" w:cs="Arial" w:eastAsia="Arial" w:hAnsi="Arial"/>
                <w:sz w:val="18"/>
                <w:szCs w:val="18"/>
                <w:color w:val="auto"/>
              </w:rPr>
              <w:t>Fred Knechtel</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REMY ELECTRIC MOTORS, L.L.C</w:t>
      </w:r>
      <w:r>
        <w:rPr>
          <w:rFonts w:ascii="Arial" w:cs="Arial" w:eastAsia="Arial" w:hAnsi="Arial"/>
          <w:sz w:val="18"/>
          <w:szCs w:val="18"/>
          <w:color w:val="auto"/>
        </w:rPr>
        <w:t>., a Virginia limited liability company</w:t>
      </w:r>
    </w:p>
    <w:p>
      <w:pPr>
        <w:spacing w:after="0" w:line="351" w:lineRule="exact"/>
        <w:rPr>
          <w:sz w:val="20"/>
          <w:szCs w:val="20"/>
          <w:color w:val="auto"/>
        </w:rPr>
      </w:pPr>
    </w:p>
    <w:tbl>
      <w:tblPr>
        <w:tblLayout w:type="fixed"/>
        <w:tblInd w:w="46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Pr>
          <w:p>
            <w:pPr>
              <w:ind w:left="20"/>
              <w:spacing w:after="0"/>
              <w:rPr>
                <w:sz w:val="20"/>
                <w:szCs w:val="20"/>
                <w:color w:val="auto"/>
              </w:rPr>
            </w:pPr>
            <w:r>
              <w:rPr>
                <w:rFonts w:ascii="Arial" w:cs="Arial" w:eastAsia="Arial" w:hAnsi="Arial"/>
                <w:sz w:val="18"/>
                <w:szCs w:val="18"/>
                <w:color w:val="auto"/>
              </w:rPr>
              <w:t>/s/ Fred Knechtel</w:t>
            </w:r>
          </w:p>
        </w:tc>
      </w:tr>
      <w:tr>
        <w:trPr>
          <w:trHeight w:val="27"/>
        </w:trPr>
        <w:tc>
          <w:tcPr>
            <w:tcW w:w="8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520" w:type="dxa"/>
            <w:vAlign w:val="bottom"/>
          </w:tcPr>
          <w:p>
            <w:pPr>
              <w:ind w:left="20"/>
              <w:spacing w:after="0"/>
              <w:rPr>
                <w:sz w:val="20"/>
                <w:szCs w:val="20"/>
                <w:color w:val="auto"/>
              </w:rPr>
            </w:pPr>
            <w:r>
              <w:rPr>
                <w:rFonts w:ascii="Arial" w:cs="Arial" w:eastAsia="Arial" w:hAnsi="Arial"/>
                <w:sz w:val="18"/>
                <w:szCs w:val="18"/>
                <w:color w:val="auto"/>
              </w:rPr>
              <w:t>Fred Knechtel</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REMAN HOLDINGS, L.L.C.</w:t>
      </w:r>
      <w:r>
        <w:rPr>
          <w:rFonts w:ascii="Arial" w:cs="Arial" w:eastAsia="Arial" w:hAnsi="Arial"/>
          <w:sz w:val="18"/>
          <w:szCs w:val="18"/>
          <w:color w:val="auto"/>
        </w:rPr>
        <w:t>, a Delaware limited liability company</w:t>
      </w:r>
    </w:p>
    <w:p>
      <w:pPr>
        <w:spacing w:after="0" w:line="351" w:lineRule="exact"/>
        <w:rPr>
          <w:sz w:val="20"/>
          <w:szCs w:val="20"/>
          <w:color w:val="auto"/>
        </w:rPr>
      </w:pPr>
    </w:p>
    <w:tbl>
      <w:tblPr>
        <w:tblLayout w:type="fixed"/>
        <w:tblInd w:w="46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Pr>
          <w:p>
            <w:pPr>
              <w:ind w:left="20"/>
              <w:spacing w:after="0"/>
              <w:rPr>
                <w:sz w:val="20"/>
                <w:szCs w:val="20"/>
                <w:color w:val="auto"/>
              </w:rPr>
            </w:pPr>
            <w:r>
              <w:rPr>
                <w:rFonts w:ascii="Arial" w:cs="Arial" w:eastAsia="Arial" w:hAnsi="Arial"/>
                <w:sz w:val="18"/>
                <w:szCs w:val="18"/>
                <w:color w:val="auto"/>
              </w:rPr>
              <w:t>/s/ Fred Knechtel</w:t>
            </w:r>
          </w:p>
        </w:tc>
      </w:tr>
      <w:tr>
        <w:trPr>
          <w:trHeight w:val="27"/>
        </w:trPr>
        <w:tc>
          <w:tcPr>
            <w:tcW w:w="8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520" w:type="dxa"/>
            <w:vAlign w:val="bottom"/>
          </w:tcPr>
          <w:p>
            <w:pPr>
              <w:ind w:left="20"/>
              <w:spacing w:after="0"/>
              <w:rPr>
                <w:sz w:val="20"/>
                <w:szCs w:val="20"/>
                <w:color w:val="auto"/>
              </w:rPr>
            </w:pPr>
            <w:r>
              <w:rPr>
                <w:rFonts w:ascii="Arial" w:cs="Arial" w:eastAsia="Arial" w:hAnsi="Arial"/>
                <w:sz w:val="18"/>
                <w:szCs w:val="18"/>
                <w:color w:val="auto"/>
              </w:rPr>
              <w:t>Fred Knechtel</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918"/>
        </w:trPr>
        <w:tc>
          <w:tcPr>
            <w:tcW w:w="820" w:type="dxa"/>
            <w:vAlign w:val="bottom"/>
          </w:tcPr>
          <w:p>
            <w:pPr>
              <w:spacing w:after="0"/>
              <w:rPr>
                <w:sz w:val="24"/>
                <w:szCs w:val="24"/>
                <w:color w:val="auto"/>
              </w:rPr>
            </w:pPr>
          </w:p>
        </w:tc>
        <w:tc>
          <w:tcPr>
            <w:tcW w:w="5520" w:type="dxa"/>
            <w:vAlign w:val="bottom"/>
          </w:tcPr>
          <w:p>
            <w:pPr>
              <w:jc w:val="right"/>
              <w:ind w:right="509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584" w:right="239" w:bottom="1440" w:gutter="0" w:footer="0" w:header="0"/>
        </w:sectPr>
      </w:pPr>
    </w:p>
    <w:bookmarkStart w:id="131" w:name="page132"/>
    <w:bookmarkEnd w:id="131"/>
    <w:p>
      <w:pPr>
        <w:ind w:left="3400"/>
        <w:spacing w:after="0"/>
        <w:rPr>
          <w:sz w:val="20"/>
          <w:szCs w:val="20"/>
          <w:color w:val="auto"/>
        </w:rPr>
      </w:pPr>
      <w:r>
        <w:rPr>
          <w:rFonts w:ascii="Arial" w:cs="Arial" w:eastAsia="Arial" w:hAnsi="Arial"/>
          <w:sz w:val="18"/>
          <w:szCs w:val="18"/>
          <w:b w:val="1"/>
          <w:bCs w:val="1"/>
          <w:color w:val="auto"/>
        </w:rPr>
        <w:t>REMY INDIA HOLDINGS, INC.</w:t>
      </w:r>
      <w:r>
        <w:rPr>
          <w:rFonts w:ascii="Arial" w:cs="Arial" w:eastAsia="Arial" w:hAnsi="Arial"/>
          <w:sz w:val="18"/>
          <w:szCs w:val="18"/>
          <w:color w:val="auto"/>
        </w:rPr>
        <w:t>, a Delaware corporation</w:t>
      </w:r>
    </w:p>
    <w:p>
      <w:pPr>
        <w:spacing w:after="0" w:line="351" w:lineRule="exact"/>
        <w:rPr>
          <w:sz w:val="20"/>
          <w:szCs w:val="20"/>
          <w:color w:val="auto"/>
        </w:rPr>
      </w:pPr>
    </w:p>
    <w:tbl>
      <w:tblPr>
        <w:tblLayout w:type="fixed"/>
        <w:tblInd w:w="34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Pr>
          <w:p>
            <w:pPr>
              <w:ind w:left="20"/>
              <w:spacing w:after="0"/>
              <w:rPr>
                <w:sz w:val="20"/>
                <w:szCs w:val="20"/>
                <w:color w:val="auto"/>
              </w:rPr>
            </w:pPr>
            <w:r>
              <w:rPr>
                <w:rFonts w:ascii="Arial" w:cs="Arial" w:eastAsia="Arial" w:hAnsi="Arial"/>
                <w:sz w:val="18"/>
                <w:szCs w:val="18"/>
                <w:color w:val="auto"/>
              </w:rPr>
              <w:t>/s/ Fred Knechtel</w:t>
            </w:r>
          </w:p>
        </w:tc>
      </w:tr>
      <w:tr>
        <w:trPr>
          <w:trHeight w:val="27"/>
        </w:trPr>
        <w:tc>
          <w:tcPr>
            <w:tcW w:w="8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520" w:type="dxa"/>
            <w:vAlign w:val="bottom"/>
          </w:tcPr>
          <w:p>
            <w:pPr>
              <w:ind w:left="20"/>
              <w:spacing w:after="0"/>
              <w:rPr>
                <w:sz w:val="20"/>
                <w:szCs w:val="20"/>
                <w:color w:val="auto"/>
              </w:rPr>
            </w:pPr>
            <w:r>
              <w:rPr>
                <w:rFonts w:ascii="Arial" w:cs="Arial" w:eastAsia="Arial" w:hAnsi="Arial"/>
                <w:sz w:val="18"/>
                <w:szCs w:val="18"/>
                <w:color w:val="auto"/>
              </w:rPr>
              <w:t>Fred Knechtel</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REMY TECHNOLOGIES, L.L.C.</w:t>
      </w:r>
      <w:r>
        <w:rPr>
          <w:rFonts w:ascii="Arial" w:cs="Arial" w:eastAsia="Arial" w:hAnsi="Arial"/>
          <w:sz w:val="18"/>
          <w:szCs w:val="18"/>
          <w:color w:val="auto"/>
        </w:rPr>
        <w:t>, a Delaware limited liability company</w:t>
      </w:r>
    </w:p>
    <w:p>
      <w:pPr>
        <w:spacing w:after="0" w:line="351" w:lineRule="exact"/>
        <w:rPr>
          <w:sz w:val="20"/>
          <w:szCs w:val="20"/>
          <w:color w:val="auto"/>
        </w:rPr>
      </w:pPr>
    </w:p>
    <w:tbl>
      <w:tblPr>
        <w:tblLayout w:type="fixed"/>
        <w:tblInd w:w="34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Pr>
          <w:p>
            <w:pPr>
              <w:ind w:left="20"/>
              <w:spacing w:after="0"/>
              <w:rPr>
                <w:sz w:val="20"/>
                <w:szCs w:val="20"/>
                <w:color w:val="auto"/>
              </w:rPr>
            </w:pPr>
            <w:r>
              <w:rPr>
                <w:rFonts w:ascii="Arial" w:cs="Arial" w:eastAsia="Arial" w:hAnsi="Arial"/>
                <w:sz w:val="18"/>
                <w:szCs w:val="18"/>
                <w:color w:val="auto"/>
              </w:rPr>
              <w:t>/s/ Fred Knechtel</w:t>
            </w:r>
          </w:p>
        </w:tc>
      </w:tr>
      <w:tr>
        <w:trPr>
          <w:trHeight w:val="27"/>
        </w:trPr>
        <w:tc>
          <w:tcPr>
            <w:tcW w:w="8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520" w:type="dxa"/>
            <w:vAlign w:val="bottom"/>
          </w:tcPr>
          <w:p>
            <w:pPr>
              <w:ind w:left="20"/>
              <w:spacing w:after="0"/>
              <w:rPr>
                <w:sz w:val="20"/>
                <w:szCs w:val="20"/>
                <w:color w:val="auto"/>
              </w:rPr>
            </w:pPr>
            <w:r>
              <w:rPr>
                <w:rFonts w:ascii="Arial" w:cs="Arial" w:eastAsia="Arial" w:hAnsi="Arial"/>
                <w:sz w:val="18"/>
                <w:szCs w:val="18"/>
                <w:color w:val="auto"/>
              </w:rPr>
              <w:t>Fred Knechtel</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REMY KOREA HOLDINGS, L.L.C.</w:t>
      </w:r>
      <w:r>
        <w:rPr>
          <w:rFonts w:ascii="Arial" w:cs="Arial" w:eastAsia="Arial" w:hAnsi="Arial"/>
          <w:sz w:val="18"/>
          <w:szCs w:val="18"/>
          <w:color w:val="auto"/>
        </w:rPr>
        <w:t>, a Delaware limited liability company</w:t>
      </w:r>
    </w:p>
    <w:p>
      <w:pPr>
        <w:spacing w:after="0" w:line="351" w:lineRule="exact"/>
        <w:rPr>
          <w:sz w:val="20"/>
          <w:szCs w:val="20"/>
          <w:color w:val="auto"/>
        </w:rPr>
      </w:pPr>
    </w:p>
    <w:tbl>
      <w:tblPr>
        <w:tblLayout w:type="fixed"/>
        <w:tblInd w:w="34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Pr>
          <w:p>
            <w:pPr>
              <w:ind w:left="20"/>
              <w:spacing w:after="0"/>
              <w:rPr>
                <w:sz w:val="20"/>
                <w:szCs w:val="20"/>
                <w:color w:val="auto"/>
              </w:rPr>
            </w:pPr>
            <w:r>
              <w:rPr>
                <w:rFonts w:ascii="Arial" w:cs="Arial" w:eastAsia="Arial" w:hAnsi="Arial"/>
                <w:sz w:val="18"/>
                <w:szCs w:val="18"/>
                <w:color w:val="auto"/>
              </w:rPr>
              <w:t>/s/ Fred Knechtel</w:t>
            </w:r>
          </w:p>
        </w:tc>
      </w:tr>
      <w:tr>
        <w:trPr>
          <w:trHeight w:val="27"/>
        </w:trPr>
        <w:tc>
          <w:tcPr>
            <w:tcW w:w="8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520" w:type="dxa"/>
            <w:vAlign w:val="bottom"/>
          </w:tcPr>
          <w:p>
            <w:pPr>
              <w:ind w:left="20"/>
              <w:spacing w:after="0"/>
              <w:rPr>
                <w:sz w:val="20"/>
                <w:szCs w:val="20"/>
                <w:color w:val="auto"/>
              </w:rPr>
            </w:pPr>
            <w:r>
              <w:rPr>
                <w:rFonts w:ascii="Arial" w:cs="Arial" w:eastAsia="Arial" w:hAnsi="Arial"/>
                <w:sz w:val="18"/>
                <w:szCs w:val="18"/>
                <w:color w:val="auto"/>
              </w:rPr>
              <w:t>Fred Knechtel</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REMY INC.</w:t>
      </w:r>
      <w:r>
        <w:rPr>
          <w:rFonts w:ascii="Arial" w:cs="Arial" w:eastAsia="Arial" w:hAnsi="Arial"/>
          <w:sz w:val="17"/>
          <w:szCs w:val="17"/>
          <w:color w:val="auto"/>
        </w:rPr>
        <w:t>, a Delaware corporation</w:t>
      </w:r>
    </w:p>
    <w:p>
      <w:pPr>
        <w:spacing w:after="0" w:line="362" w:lineRule="exact"/>
        <w:rPr>
          <w:sz w:val="20"/>
          <w:szCs w:val="20"/>
          <w:color w:val="auto"/>
        </w:rPr>
      </w:pPr>
    </w:p>
    <w:tbl>
      <w:tblPr>
        <w:tblLayout w:type="fixed"/>
        <w:tblInd w:w="34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Pr>
          <w:p>
            <w:pPr>
              <w:ind w:left="20"/>
              <w:spacing w:after="0"/>
              <w:rPr>
                <w:sz w:val="20"/>
                <w:szCs w:val="20"/>
                <w:color w:val="auto"/>
              </w:rPr>
            </w:pPr>
            <w:r>
              <w:rPr>
                <w:rFonts w:ascii="Arial" w:cs="Arial" w:eastAsia="Arial" w:hAnsi="Arial"/>
                <w:sz w:val="18"/>
                <w:szCs w:val="18"/>
                <w:color w:val="auto"/>
              </w:rPr>
              <w:t>/s/ Fred Knechtel</w:t>
            </w:r>
          </w:p>
        </w:tc>
      </w:tr>
      <w:tr>
        <w:trPr>
          <w:trHeight w:val="27"/>
        </w:trPr>
        <w:tc>
          <w:tcPr>
            <w:tcW w:w="8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520" w:type="dxa"/>
            <w:vAlign w:val="bottom"/>
          </w:tcPr>
          <w:p>
            <w:pPr>
              <w:ind w:left="20"/>
              <w:spacing w:after="0"/>
              <w:rPr>
                <w:sz w:val="20"/>
                <w:szCs w:val="20"/>
                <w:color w:val="auto"/>
              </w:rPr>
            </w:pPr>
            <w:r>
              <w:rPr>
                <w:rFonts w:ascii="Arial" w:cs="Arial" w:eastAsia="Arial" w:hAnsi="Arial"/>
                <w:sz w:val="18"/>
                <w:szCs w:val="18"/>
                <w:color w:val="auto"/>
              </w:rPr>
              <w:t>Fred Knechtel</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REMY INTERNATIONAL HOLDINGS, INC.</w:t>
      </w:r>
      <w:r>
        <w:rPr>
          <w:rFonts w:ascii="Arial" w:cs="Arial" w:eastAsia="Arial" w:hAnsi="Arial"/>
          <w:sz w:val="18"/>
          <w:szCs w:val="18"/>
          <w:color w:val="auto"/>
        </w:rPr>
        <w:t>, a Delaware corporation</w:t>
      </w:r>
    </w:p>
    <w:p>
      <w:pPr>
        <w:spacing w:after="0" w:line="351" w:lineRule="exact"/>
        <w:rPr>
          <w:sz w:val="20"/>
          <w:szCs w:val="20"/>
          <w:color w:val="auto"/>
        </w:rPr>
      </w:pPr>
    </w:p>
    <w:tbl>
      <w:tblPr>
        <w:tblLayout w:type="fixed"/>
        <w:tblInd w:w="34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Pr>
          <w:p>
            <w:pPr>
              <w:ind w:left="20"/>
              <w:spacing w:after="0"/>
              <w:rPr>
                <w:sz w:val="20"/>
                <w:szCs w:val="20"/>
                <w:color w:val="auto"/>
              </w:rPr>
            </w:pPr>
            <w:r>
              <w:rPr>
                <w:rFonts w:ascii="Arial" w:cs="Arial" w:eastAsia="Arial" w:hAnsi="Arial"/>
                <w:sz w:val="18"/>
                <w:szCs w:val="18"/>
                <w:color w:val="auto"/>
              </w:rPr>
              <w:t>/s/ Fred Knechtel</w:t>
            </w:r>
          </w:p>
        </w:tc>
      </w:tr>
      <w:tr>
        <w:trPr>
          <w:trHeight w:val="27"/>
        </w:trPr>
        <w:tc>
          <w:tcPr>
            <w:tcW w:w="8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520" w:type="dxa"/>
            <w:vAlign w:val="bottom"/>
          </w:tcPr>
          <w:p>
            <w:pPr>
              <w:ind w:left="20"/>
              <w:spacing w:after="0"/>
              <w:rPr>
                <w:sz w:val="20"/>
                <w:szCs w:val="20"/>
                <w:color w:val="auto"/>
              </w:rPr>
            </w:pPr>
            <w:r>
              <w:rPr>
                <w:rFonts w:ascii="Arial" w:cs="Arial" w:eastAsia="Arial" w:hAnsi="Arial"/>
                <w:sz w:val="18"/>
                <w:szCs w:val="18"/>
                <w:color w:val="auto"/>
              </w:rPr>
              <w:t>Fred Knechtel</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REMY POWER PRODUCTS, LLC, </w:t>
      </w:r>
      <w:r>
        <w:rPr>
          <w:rFonts w:ascii="Arial" w:cs="Arial" w:eastAsia="Arial" w:hAnsi="Arial"/>
          <w:sz w:val="18"/>
          <w:szCs w:val="18"/>
          <w:color w:val="auto"/>
        </w:rPr>
        <w:t>a Delaware limited liability company</w:t>
      </w:r>
    </w:p>
    <w:p>
      <w:pPr>
        <w:spacing w:after="0" w:line="351" w:lineRule="exact"/>
        <w:rPr>
          <w:sz w:val="20"/>
          <w:szCs w:val="20"/>
          <w:color w:val="auto"/>
        </w:rPr>
      </w:pPr>
    </w:p>
    <w:tbl>
      <w:tblPr>
        <w:tblLayout w:type="fixed"/>
        <w:tblInd w:w="34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Pr>
          <w:p>
            <w:pPr>
              <w:ind w:left="20"/>
              <w:spacing w:after="0"/>
              <w:rPr>
                <w:sz w:val="20"/>
                <w:szCs w:val="20"/>
                <w:color w:val="auto"/>
              </w:rPr>
            </w:pPr>
            <w:r>
              <w:rPr>
                <w:rFonts w:ascii="Arial" w:cs="Arial" w:eastAsia="Arial" w:hAnsi="Arial"/>
                <w:sz w:val="18"/>
                <w:szCs w:val="18"/>
                <w:color w:val="auto"/>
              </w:rPr>
              <w:t>/s/ Fred Knechtel</w:t>
            </w:r>
          </w:p>
        </w:tc>
      </w:tr>
      <w:tr>
        <w:trPr>
          <w:trHeight w:val="27"/>
        </w:trPr>
        <w:tc>
          <w:tcPr>
            <w:tcW w:w="8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520" w:type="dxa"/>
            <w:vAlign w:val="bottom"/>
          </w:tcPr>
          <w:p>
            <w:pPr>
              <w:ind w:left="20"/>
              <w:spacing w:after="0"/>
              <w:rPr>
                <w:sz w:val="20"/>
                <w:szCs w:val="20"/>
                <w:color w:val="auto"/>
              </w:rPr>
            </w:pPr>
            <w:r>
              <w:rPr>
                <w:rFonts w:ascii="Arial" w:cs="Arial" w:eastAsia="Arial" w:hAnsi="Arial"/>
                <w:sz w:val="18"/>
                <w:szCs w:val="18"/>
                <w:color w:val="auto"/>
              </w:rPr>
              <w:t>Fred Knechtel</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ectPr>
          <w:pgSz w:w="11900" w:h="16838" w:orient="portrait"/>
          <w:cols w:equalWidth="0" w:num="1">
            <w:col w:w="9740"/>
          </w:cols>
          <w:pgMar w:left="1440" w:top="958" w:right="719" w:bottom="1440" w:gutter="0" w:footer="0" w:header="0"/>
        </w:sectPr>
      </w:pPr>
    </w:p>
    <w:p>
      <w:pPr>
        <w:spacing w:after="0" w:line="56"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740"/>
          </w:cols>
          <w:pgMar w:left="1440" w:top="958" w:right="719" w:bottom="1440" w:gutter="0" w:footer="0" w:header="0"/>
          <w:type w:val="continuous"/>
        </w:sectPr>
      </w:pPr>
    </w:p>
    <w:bookmarkStart w:id="132" w:name="page133"/>
    <w:bookmarkEnd w:id="132"/>
    <w:p>
      <w:pPr>
        <w:ind w:left="3400"/>
        <w:spacing w:after="0"/>
        <w:rPr>
          <w:sz w:val="20"/>
          <w:szCs w:val="20"/>
          <w:color w:val="auto"/>
        </w:rPr>
      </w:pPr>
      <w:r>
        <w:rPr>
          <w:rFonts w:ascii="Arial" w:cs="Arial" w:eastAsia="Arial" w:hAnsi="Arial"/>
          <w:sz w:val="18"/>
          <w:szCs w:val="18"/>
          <w:b w:val="1"/>
          <w:bCs w:val="1"/>
          <w:color w:val="auto"/>
        </w:rPr>
        <w:t>WORLD WIDE AUTOMOTIVE, L.L.C.</w:t>
      </w:r>
      <w:r>
        <w:rPr>
          <w:rFonts w:ascii="Arial" w:cs="Arial" w:eastAsia="Arial" w:hAnsi="Arial"/>
          <w:sz w:val="18"/>
          <w:szCs w:val="18"/>
          <w:color w:val="auto"/>
        </w:rPr>
        <w:t>, a Virginia limited liability company</w:t>
      </w:r>
    </w:p>
    <w:p>
      <w:pPr>
        <w:spacing w:after="0" w:line="351" w:lineRule="exact"/>
        <w:rPr>
          <w:sz w:val="20"/>
          <w:szCs w:val="20"/>
          <w:color w:val="auto"/>
        </w:rPr>
      </w:pPr>
    </w:p>
    <w:tbl>
      <w:tblPr>
        <w:tblLayout w:type="fixed"/>
        <w:tblInd w:w="34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Pr>
          <w:p>
            <w:pPr>
              <w:ind w:left="20"/>
              <w:spacing w:after="0"/>
              <w:rPr>
                <w:sz w:val="20"/>
                <w:szCs w:val="20"/>
                <w:color w:val="auto"/>
              </w:rPr>
            </w:pPr>
            <w:r>
              <w:rPr>
                <w:rFonts w:ascii="Arial" w:cs="Arial" w:eastAsia="Arial" w:hAnsi="Arial"/>
                <w:sz w:val="18"/>
                <w:szCs w:val="18"/>
                <w:color w:val="auto"/>
              </w:rPr>
              <w:t>/s/ Fred Knechtel</w:t>
            </w:r>
          </w:p>
        </w:tc>
      </w:tr>
      <w:tr>
        <w:trPr>
          <w:trHeight w:val="27"/>
        </w:trPr>
        <w:tc>
          <w:tcPr>
            <w:tcW w:w="8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520" w:type="dxa"/>
            <w:vAlign w:val="bottom"/>
          </w:tcPr>
          <w:p>
            <w:pPr>
              <w:ind w:left="20"/>
              <w:spacing w:after="0"/>
              <w:rPr>
                <w:sz w:val="20"/>
                <w:szCs w:val="20"/>
                <w:color w:val="auto"/>
              </w:rPr>
            </w:pPr>
            <w:r>
              <w:rPr>
                <w:rFonts w:ascii="Arial" w:cs="Arial" w:eastAsia="Arial" w:hAnsi="Arial"/>
                <w:sz w:val="18"/>
                <w:szCs w:val="18"/>
                <w:color w:val="auto"/>
              </w:rPr>
              <w:t>Fred Knechtel</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WELLS FARGO CAPITAL FINANCE, LLC,</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 Delaware limited liability company, as Agent and as a Lender</w:t>
      </w:r>
    </w:p>
    <w:p>
      <w:pPr>
        <w:spacing w:after="0" w:line="346" w:lineRule="exact"/>
        <w:rPr>
          <w:sz w:val="20"/>
          <w:szCs w:val="20"/>
          <w:color w:val="auto"/>
        </w:rPr>
      </w:pPr>
    </w:p>
    <w:tbl>
      <w:tblPr>
        <w:tblLayout w:type="fixed"/>
        <w:tblInd w:w="34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Pr>
          <w:p>
            <w:pPr>
              <w:ind w:left="20"/>
              <w:spacing w:after="0"/>
              <w:rPr>
                <w:sz w:val="20"/>
                <w:szCs w:val="20"/>
                <w:color w:val="auto"/>
              </w:rPr>
            </w:pPr>
            <w:r>
              <w:rPr>
                <w:rFonts w:ascii="Arial" w:cs="Arial" w:eastAsia="Arial" w:hAnsi="Arial"/>
                <w:sz w:val="18"/>
                <w:szCs w:val="18"/>
                <w:color w:val="auto"/>
              </w:rPr>
              <w:t>/s/ Barry Felker</w:t>
            </w:r>
          </w:p>
        </w:tc>
      </w:tr>
      <w:tr>
        <w:trPr>
          <w:trHeight w:val="27"/>
        </w:trPr>
        <w:tc>
          <w:tcPr>
            <w:tcW w:w="8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520" w:type="dxa"/>
            <w:vAlign w:val="bottom"/>
          </w:tcPr>
          <w:p>
            <w:pPr>
              <w:ind w:left="20"/>
              <w:spacing w:after="0"/>
              <w:rPr>
                <w:sz w:val="20"/>
                <w:szCs w:val="20"/>
                <w:color w:val="auto"/>
              </w:rPr>
            </w:pPr>
            <w:r>
              <w:rPr>
                <w:rFonts w:ascii="Arial" w:cs="Arial" w:eastAsia="Arial" w:hAnsi="Arial"/>
                <w:sz w:val="18"/>
                <w:szCs w:val="18"/>
                <w:color w:val="auto"/>
              </w:rPr>
              <w:t>Barry Felker</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2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 national banking association, as a Lender</w:t>
      </w:r>
    </w:p>
    <w:p>
      <w:pPr>
        <w:spacing w:after="0" w:line="346" w:lineRule="exact"/>
        <w:rPr>
          <w:sz w:val="20"/>
          <w:szCs w:val="20"/>
          <w:color w:val="auto"/>
        </w:rPr>
      </w:pPr>
    </w:p>
    <w:tbl>
      <w:tblPr>
        <w:tblLayout w:type="fixed"/>
        <w:tblInd w:w="34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Pr>
          <w:p>
            <w:pPr>
              <w:ind w:left="20"/>
              <w:spacing w:after="0"/>
              <w:rPr>
                <w:sz w:val="20"/>
                <w:szCs w:val="20"/>
                <w:color w:val="auto"/>
              </w:rPr>
            </w:pPr>
            <w:r>
              <w:rPr>
                <w:rFonts w:ascii="Arial" w:cs="Arial" w:eastAsia="Arial" w:hAnsi="Arial"/>
                <w:sz w:val="18"/>
                <w:szCs w:val="18"/>
                <w:color w:val="auto"/>
              </w:rPr>
              <w:t>/s/ Thomas Brennan</w:t>
            </w:r>
          </w:p>
        </w:tc>
      </w:tr>
      <w:tr>
        <w:trPr>
          <w:trHeight w:val="27"/>
        </w:trPr>
        <w:tc>
          <w:tcPr>
            <w:tcW w:w="8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520" w:type="dxa"/>
            <w:vAlign w:val="bottom"/>
          </w:tcPr>
          <w:p>
            <w:pPr>
              <w:ind w:left="20"/>
              <w:spacing w:after="0"/>
              <w:rPr>
                <w:sz w:val="20"/>
                <w:szCs w:val="20"/>
                <w:color w:val="auto"/>
              </w:rPr>
            </w:pPr>
            <w:r>
              <w:rPr>
                <w:rFonts w:ascii="Arial" w:cs="Arial" w:eastAsia="Arial" w:hAnsi="Arial"/>
                <w:sz w:val="18"/>
                <w:szCs w:val="18"/>
                <w:color w:val="auto"/>
              </w:rPr>
              <w:t>Thomas Brennan</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740"/>
          </w:cols>
          <w:pgMar w:left="1440" w:top="1391" w:right="719" w:bottom="1440" w:gutter="0" w:footer="0" w:header="0"/>
        </w:sectPr>
      </w:pPr>
    </w:p>
    <w:bookmarkStart w:id="133" w:name="page134"/>
    <w:bookmarkEnd w:id="133"/>
    <w:p>
      <w:pPr>
        <w:jc w:val="right"/>
        <w:ind w:right="20"/>
        <w:spacing w:after="0"/>
        <w:rPr>
          <w:sz w:val="20"/>
          <w:szCs w:val="20"/>
          <w:color w:val="auto"/>
        </w:rPr>
      </w:pPr>
      <w:r>
        <w:rPr>
          <w:rFonts w:ascii="Arial" w:cs="Arial" w:eastAsia="Arial" w:hAnsi="Arial"/>
          <w:sz w:val="18"/>
          <w:szCs w:val="18"/>
          <w:b w:val="1"/>
          <w:bCs w:val="1"/>
          <w:color w:val="auto"/>
        </w:rPr>
        <w:t>Exhibit 10.3</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Fidelity National Financial, Inc.</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Notice of Long-Term Investment Success Performance Award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You (the “</w:t>
      </w:r>
      <w:r>
        <w:rPr>
          <w:rFonts w:ascii="Arial" w:cs="Arial" w:eastAsia="Arial" w:hAnsi="Arial"/>
          <w:sz w:val="17"/>
          <w:szCs w:val="17"/>
          <w:u w:val="single" w:color="auto"/>
          <w:color w:val="auto"/>
        </w:rPr>
        <w:t>Grantee</w:t>
      </w:r>
      <w:r>
        <w:rPr>
          <w:rFonts w:ascii="Arial" w:cs="Arial" w:eastAsia="Arial" w:hAnsi="Arial"/>
          <w:sz w:val="17"/>
          <w:szCs w:val="17"/>
          <w:color w:val="auto"/>
        </w:rPr>
        <w:t>”) have been granted the following Long-Term Investment Success Performance Award (the “</w:t>
      </w:r>
      <w:r>
        <w:rPr>
          <w:rFonts w:ascii="Arial" w:cs="Arial" w:eastAsia="Arial" w:hAnsi="Arial"/>
          <w:sz w:val="17"/>
          <w:szCs w:val="17"/>
          <w:u w:val="single" w:color="auto"/>
          <w:color w:val="auto"/>
        </w:rPr>
        <w:t>Award</w:t>
      </w:r>
      <w:r>
        <w:rPr>
          <w:rFonts w:ascii="Arial" w:cs="Arial" w:eastAsia="Arial" w:hAnsi="Arial"/>
          <w:sz w:val="17"/>
          <w:szCs w:val="17"/>
          <w:color w:val="auto"/>
        </w:rPr>
        <w:t>”) pursuant to the Amended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Restated Fidelity National Financial, Inc. 2005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Grantee:</w:t>
            </w:r>
          </w:p>
        </w:tc>
        <w:tc>
          <w:tcPr>
            <w:tcW w:w="5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Award Opportunity:</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appendix A</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Effective Date of Grant:</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March 19, 2013</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Vesting Conditions: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appendix A</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By your signature and the signature of the Company's representative below, you and Fidelity National Financial, Inc. (the “</w:t>
      </w:r>
      <w:r>
        <w:rPr>
          <w:rFonts w:ascii="Arial" w:cs="Arial" w:eastAsia="Arial" w:hAnsi="Arial"/>
          <w:sz w:val="17"/>
          <w:szCs w:val="17"/>
          <w:u w:val="single" w:color="auto"/>
          <w:color w:val="auto"/>
        </w:rPr>
        <w:t>Company</w:t>
      </w:r>
      <w:r>
        <w:rPr>
          <w:rFonts w:ascii="Arial" w:cs="Arial" w:eastAsia="Arial" w:hAnsi="Arial"/>
          <w:sz w:val="17"/>
          <w:szCs w:val="17"/>
          <w:color w:val="auto"/>
        </w:rPr>
        <w:t>”) agree and acknowledge that the Award is granted under and governed by the terms and conditions of the Plan, this Notice of Long-Term Investment Success Performance Award (including Appendix A, the “</w:t>
      </w:r>
      <w:r>
        <w:rPr>
          <w:rFonts w:ascii="Arial" w:cs="Arial" w:eastAsia="Arial" w:hAnsi="Arial"/>
          <w:sz w:val="17"/>
          <w:szCs w:val="17"/>
          <w:u w:val="single" w:color="auto"/>
          <w:color w:val="auto"/>
        </w:rPr>
        <w:t>Notice</w:t>
      </w:r>
      <w:r>
        <w:rPr>
          <w:rFonts w:ascii="Arial" w:cs="Arial" w:eastAsia="Arial" w:hAnsi="Arial"/>
          <w:sz w:val="17"/>
          <w:szCs w:val="17"/>
          <w:color w:val="auto"/>
        </w:rPr>
        <w:t>”) and the Long-Term Investment Success Performance Award Agreement (the “</w:t>
      </w:r>
      <w:r>
        <w:rPr>
          <w:rFonts w:ascii="Arial" w:cs="Arial" w:eastAsia="Arial" w:hAnsi="Arial"/>
          <w:sz w:val="17"/>
          <w:szCs w:val="17"/>
          <w:u w:val="single" w:color="auto"/>
          <w:color w:val="auto"/>
        </w:rPr>
        <w:t>Award Agreement</w:t>
      </w:r>
      <w:r>
        <w:rPr>
          <w:rFonts w:ascii="Arial" w:cs="Arial" w:eastAsia="Arial" w:hAnsi="Arial"/>
          <w:sz w:val="17"/>
          <w:szCs w:val="17"/>
          <w:color w:val="auto"/>
        </w:rPr>
        <w:t>”), which are incorporated herein by reference, and that you have been provided a copy of the Plan, the Notice and the Award Agreement.</w:t>
      </w: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40" w:type="dxa"/>
            <w:vAlign w:val="bottom"/>
          </w:tcPr>
          <w:p>
            <w:pPr>
              <w:jc w:val="right"/>
              <w:ind w:right="570"/>
              <w:spacing w:after="0"/>
              <w:rPr>
                <w:sz w:val="20"/>
                <w:szCs w:val="20"/>
                <w:color w:val="auto"/>
              </w:rPr>
            </w:pPr>
            <w:r>
              <w:rPr>
                <w:rFonts w:ascii="Arial" w:cs="Arial" w:eastAsia="Arial" w:hAnsi="Arial"/>
                <w:sz w:val="18"/>
                <w:szCs w:val="18"/>
                <w:b w:val="1"/>
                <w:bCs w:val="1"/>
                <w:color w:val="auto"/>
                <w:w w:val="89"/>
              </w:rPr>
              <w:t>Grantee:</w:t>
            </w:r>
          </w:p>
        </w:tc>
        <w:tc>
          <w:tcPr>
            <w:tcW w:w="2860" w:type="dxa"/>
            <w:vAlign w:val="bottom"/>
          </w:tcPr>
          <w:p>
            <w:pPr>
              <w:spacing w:after="0"/>
              <w:rPr>
                <w:sz w:val="20"/>
                <w:szCs w:val="20"/>
                <w:color w:val="auto"/>
              </w:rPr>
            </w:pPr>
          </w:p>
        </w:tc>
        <w:tc>
          <w:tcPr>
            <w:tcW w:w="7180" w:type="dxa"/>
            <w:vAlign w:val="bottom"/>
            <w:gridSpan w:val="2"/>
          </w:tcPr>
          <w:p>
            <w:pPr>
              <w:ind w:left="3120"/>
              <w:spacing w:after="0"/>
              <w:rPr>
                <w:sz w:val="20"/>
                <w:szCs w:val="20"/>
                <w:color w:val="auto"/>
              </w:rPr>
            </w:pPr>
            <w:r>
              <w:rPr>
                <w:rFonts w:ascii="Arial" w:cs="Arial" w:eastAsia="Arial" w:hAnsi="Arial"/>
                <w:sz w:val="18"/>
                <w:szCs w:val="18"/>
                <w:b w:val="1"/>
                <w:bCs w:val="1"/>
                <w:color w:val="auto"/>
              </w:rPr>
              <w:t>Fidelity National Financial, Inc.</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By:</w:t>
            </w:r>
          </w:p>
        </w:tc>
        <w:tc>
          <w:tcPr>
            <w:tcW w:w="2860" w:type="dxa"/>
            <w:vAlign w:val="bottom"/>
          </w:tcPr>
          <w:p>
            <w:pPr>
              <w:spacing w:after="0"/>
              <w:rPr>
                <w:sz w:val="23"/>
                <w:szCs w:val="23"/>
                <w:color w:val="auto"/>
              </w:rPr>
            </w:pPr>
          </w:p>
        </w:tc>
        <w:tc>
          <w:tcPr>
            <w:tcW w:w="7180" w:type="dxa"/>
            <w:vAlign w:val="bottom"/>
            <w:gridSpan w:val="2"/>
          </w:tcPr>
          <w:p>
            <w:pPr>
              <w:ind w:left="4040"/>
              <w:spacing w:after="0"/>
              <w:rPr>
                <w:sz w:val="20"/>
                <w:szCs w:val="20"/>
                <w:color w:val="auto"/>
              </w:rPr>
            </w:pPr>
            <w:r>
              <w:rPr>
                <w:rFonts w:ascii="Arial" w:cs="Arial" w:eastAsia="Arial" w:hAnsi="Arial"/>
                <w:sz w:val="18"/>
                <w:szCs w:val="18"/>
                <w:color w:val="auto"/>
              </w:rPr>
              <w:t>By:</w:t>
            </w:r>
          </w:p>
        </w:tc>
      </w:tr>
      <w:tr>
        <w:trPr>
          <w:trHeight w:val="27"/>
        </w:trPr>
        <w:tc>
          <w:tcPr>
            <w:tcW w:w="134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7"/>
        </w:trPr>
        <w:tc>
          <w:tcPr>
            <w:tcW w:w="1340" w:type="dxa"/>
            <w:vAlign w:val="bottom"/>
          </w:tcPr>
          <w:p>
            <w:pPr>
              <w:jc w:val="right"/>
              <w:spacing w:after="0"/>
              <w:rPr>
                <w:sz w:val="20"/>
                <w:szCs w:val="20"/>
                <w:color w:val="auto"/>
              </w:rPr>
            </w:pPr>
            <w:r>
              <w:rPr>
                <w:rFonts w:ascii="Arial" w:cs="Arial" w:eastAsia="Arial" w:hAnsi="Arial"/>
                <w:sz w:val="18"/>
                <w:szCs w:val="18"/>
                <w:color w:val="auto"/>
              </w:rPr>
              <w:t>Print Name:</w:t>
            </w:r>
          </w:p>
        </w:tc>
        <w:tc>
          <w:tcPr>
            <w:tcW w:w="2860" w:type="dxa"/>
            <w:vAlign w:val="bottom"/>
          </w:tcPr>
          <w:p>
            <w:pPr>
              <w:spacing w:after="0"/>
              <w:rPr>
                <w:sz w:val="20"/>
                <w:szCs w:val="20"/>
                <w:color w:val="auto"/>
              </w:rPr>
            </w:pPr>
          </w:p>
        </w:tc>
        <w:tc>
          <w:tcPr>
            <w:tcW w:w="7180" w:type="dxa"/>
            <w:vAlign w:val="bottom"/>
            <w:gridSpan w:val="2"/>
          </w:tcPr>
          <w:p>
            <w:pPr>
              <w:ind w:left="3420"/>
              <w:spacing w:after="0"/>
              <w:rPr>
                <w:sz w:val="20"/>
                <w:szCs w:val="20"/>
                <w:color w:val="auto"/>
              </w:rPr>
            </w:pPr>
            <w:r>
              <w:rPr>
                <w:rFonts w:ascii="Arial" w:cs="Arial" w:eastAsia="Arial" w:hAnsi="Arial"/>
                <w:sz w:val="18"/>
                <w:szCs w:val="18"/>
                <w:color w:val="auto"/>
              </w:rPr>
              <w:t>Print Name: George P. Scanlon</w:t>
            </w:r>
          </w:p>
        </w:tc>
      </w:tr>
      <w:tr>
        <w:trPr>
          <w:trHeight w:val="27"/>
        </w:trPr>
        <w:tc>
          <w:tcPr>
            <w:tcW w:w="134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7"/>
        </w:trPr>
        <w:tc>
          <w:tcPr>
            <w:tcW w:w="1340" w:type="dxa"/>
            <w:vAlign w:val="bottom"/>
          </w:tcPr>
          <w:p>
            <w:pPr>
              <w:jc w:val="right"/>
              <w:spacing w:after="0"/>
              <w:rPr>
                <w:sz w:val="20"/>
                <w:szCs w:val="20"/>
                <w:color w:val="auto"/>
              </w:rPr>
            </w:pPr>
            <w:r>
              <w:rPr>
                <w:rFonts w:ascii="Arial" w:cs="Arial" w:eastAsia="Arial" w:hAnsi="Arial"/>
                <w:sz w:val="18"/>
                <w:szCs w:val="18"/>
                <w:color w:val="auto"/>
              </w:rPr>
              <w:t>Date:</w:t>
            </w:r>
          </w:p>
        </w:tc>
        <w:tc>
          <w:tcPr>
            <w:tcW w:w="2860" w:type="dxa"/>
            <w:vAlign w:val="bottom"/>
          </w:tcPr>
          <w:p>
            <w:pPr>
              <w:ind w:left="40"/>
              <w:spacing w:after="0"/>
              <w:rPr>
                <w:sz w:val="20"/>
                <w:szCs w:val="20"/>
                <w:color w:val="auto"/>
              </w:rPr>
            </w:pPr>
            <w:r>
              <w:rPr>
                <w:rFonts w:ascii="Arial" w:cs="Arial" w:eastAsia="Arial" w:hAnsi="Arial"/>
                <w:sz w:val="18"/>
                <w:szCs w:val="18"/>
                <w:color w:val="auto"/>
              </w:rPr>
              <w:t>March 19, 2013</w:t>
            </w:r>
          </w:p>
        </w:tc>
        <w:tc>
          <w:tcPr>
            <w:tcW w:w="7180" w:type="dxa"/>
            <w:vAlign w:val="bottom"/>
            <w:gridSpan w:val="2"/>
          </w:tcPr>
          <w:p>
            <w:pPr>
              <w:ind w:left="4080"/>
              <w:spacing w:after="0"/>
              <w:rPr>
                <w:sz w:val="20"/>
                <w:szCs w:val="20"/>
                <w:color w:val="auto"/>
              </w:rPr>
            </w:pPr>
            <w:r>
              <w:rPr>
                <w:rFonts w:ascii="Arial" w:cs="Arial" w:eastAsia="Arial" w:hAnsi="Arial"/>
                <w:sz w:val="18"/>
                <w:szCs w:val="18"/>
                <w:color w:val="auto"/>
              </w:rPr>
              <w:t>Its: Chief Executive Officer</w:t>
            </w:r>
          </w:p>
        </w:tc>
      </w:tr>
      <w:tr>
        <w:trPr>
          <w:trHeight w:val="27"/>
        </w:trPr>
        <w:tc>
          <w:tcPr>
            <w:tcW w:w="134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7"/>
        </w:trPr>
        <w:tc>
          <w:tcPr>
            <w:tcW w:w="1340" w:type="dxa"/>
            <w:vAlign w:val="bottom"/>
          </w:tcPr>
          <w:p>
            <w:pPr>
              <w:jc w:val="right"/>
              <w:spacing w:after="0"/>
              <w:rPr>
                <w:sz w:val="20"/>
                <w:szCs w:val="20"/>
                <w:color w:val="auto"/>
              </w:rPr>
            </w:pPr>
            <w:r>
              <w:rPr>
                <w:rFonts w:ascii="Arial" w:cs="Arial" w:eastAsia="Arial" w:hAnsi="Arial"/>
                <w:sz w:val="18"/>
                <w:szCs w:val="18"/>
                <w:color w:val="auto"/>
              </w:rPr>
              <w:t>Address:</w:t>
            </w:r>
          </w:p>
        </w:tc>
        <w:tc>
          <w:tcPr>
            <w:tcW w:w="2860" w:type="dxa"/>
            <w:vAlign w:val="bottom"/>
          </w:tcPr>
          <w:p>
            <w:pPr>
              <w:ind w:left="40"/>
              <w:spacing w:after="0"/>
              <w:rPr>
                <w:sz w:val="20"/>
                <w:szCs w:val="20"/>
                <w:color w:val="auto"/>
              </w:rPr>
            </w:pPr>
            <w:r>
              <w:rPr>
                <w:rFonts w:ascii="Arial" w:cs="Arial" w:eastAsia="Arial" w:hAnsi="Arial"/>
                <w:sz w:val="18"/>
                <w:szCs w:val="18"/>
                <w:color w:val="auto"/>
              </w:rPr>
              <w:t>601 Riverside Avenue</w:t>
            </w:r>
          </w:p>
        </w:tc>
        <w:tc>
          <w:tcPr>
            <w:tcW w:w="434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7"/>
        </w:trPr>
        <w:tc>
          <w:tcPr>
            <w:tcW w:w="134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37"/>
        </w:trPr>
        <w:tc>
          <w:tcPr>
            <w:tcW w:w="1340" w:type="dxa"/>
            <w:vAlign w:val="bottom"/>
          </w:tcPr>
          <w:p>
            <w:pPr>
              <w:spacing w:after="0"/>
              <w:rPr>
                <w:sz w:val="20"/>
                <w:szCs w:val="20"/>
                <w:color w:val="auto"/>
              </w:rPr>
            </w:pPr>
          </w:p>
        </w:tc>
        <w:tc>
          <w:tcPr>
            <w:tcW w:w="2860" w:type="dxa"/>
            <w:vAlign w:val="bottom"/>
          </w:tcPr>
          <w:p>
            <w:pPr>
              <w:ind w:left="40"/>
              <w:spacing w:after="0"/>
              <w:rPr>
                <w:sz w:val="20"/>
                <w:szCs w:val="20"/>
                <w:color w:val="auto"/>
              </w:rPr>
            </w:pPr>
            <w:r>
              <w:rPr>
                <w:rFonts w:ascii="Arial" w:cs="Arial" w:eastAsia="Arial" w:hAnsi="Arial"/>
                <w:sz w:val="18"/>
                <w:szCs w:val="18"/>
                <w:color w:val="auto"/>
              </w:rPr>
              <w:t>Jacksonville, FL 32204</w:t>
            </w:r>
          </w:p>
        </w:tc>
        <w:tc>
          <w:tcPr>
            <w:tcW w:w="434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7"/>
        </w:trPr>
        <w:tc>
          <w:tcPr>
            <w:tcW w:w="134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c>
          <w:tcPr>
            <w:tcW w:w="2840" w:type="dxa"/>
            <w:vAlign w:val="bottom"/>
          </w:tcPr>
          <w:p>
            <w:pPr>
              <w:spacing w:after="0"/>
              <w:rPr>
                <w:sz w:val="2"/>
                <w:szCs w:val="2"/>
                <w:color w:val="auto"/>
              </w:rPr>
            </w:pPr>
          </w:p>
        </w:tc>
      </w:tr>
    </w:tbl>
    <w:p>
      <w:pPr>
        <w:sectPr>
          <w:pgSz w:w="11900" w:h="16838" w:orient="portrait"/>
          <w:cols w:equalWidth="0" w:num="1">
            <w:col w:w="11440"/>
          </w:cols>
          <w:pgMar w:left="240" w:top="580" w:right="219" w:bottom="1440" w:gutter="0" w:footer="0" w:header="0"/>
        </w:sectPr>
      </w:pPr>
    </w:p>
    <w:bookmarkStart w:id="134" w:name="page135"/>
    <w:bookmarkEnd w:id="134"/>
    <w:p>
      <w:pPr>
        <w:ind w:left="5260"/>
        <w:spacing w:after="0"/>
        <w:rPr>
          <w:sz w:val="20"/>
          <w:szCs w:val="20"/>
          <w:color w:val="auto"/>
        </w:rPr>
      </w:pPr>
      <w:r>
        <w:rPr>
          <w:rFonts w:ascii="Arial" w:cs="Arial" w:eastAsia="Arial" w:hAnsi="Arial"/>
          <w:sz w:val="18"/>
          <w:szCs w:val="18"/>
          <w:b w:val="1"/>
          <w:bCs w:val="1"/>
          <w:color w:val="auto"/>
        </w:rPr>
        <w:t>Appendix A</w:t>
      </w:r>
    </w:p>
    <w:p>
      <w:pPr>
        <w:spacing w:after="0" w:line="11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Overview and Purpose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Award</w:t>
      </w:r>
    </w:p>
    <w:p>
      <w:pPr>
        <w:spacing w:after="0" w:line="10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Award is a performance-based, cash incentive award that provides the Grantee the opportunity to share in the return on investment (calculated as described below, “</w:t>
      </w:r>
      <w:r>
        <w:rPr>
          <w:rFonts w:ascii="Arial" w:cs="Arial" w:eastAsia="Arial" w:hAnsi="Arial"/>
          <w:sz w:val="16"/>
          <w:szCs w:val="16"/>
          <w:u w:val="single" w:color="auto"/>
          <w:color w:val="auto"/>
        </w:rPr>
        <w:t>ROI</w:t>
      </w:r>
      <w:r>
        <w:rPr>
          <w:rFonts w:ascii="Arial" w:cs="Arial" w:eastAsia="Arial" w:hAnsi="Arial"/>
          <w:sz w:val="16"/>
          <w:szCs w:val="16"/>
          <w:color w:val="auto"/>
        </w:rPr>
        <w:t>”) recognized by the Company with respect to its interests in Remy International, Inc. (“</w:t>
      </w:r>
      <w:r>
        <w:rPr>
          <w:rFonts w:ascii="Arial" w:cs="Arial" w:eastAsia="Arial" w:hAnsi="Arial"/>
          <w:sz w:val="16"/>
          <w:szCs w:val="16"/>
          <w:u w:val="single" w:color="auto"/>
          <w:color w:val="auto"/>
        </w:rPr>
        <w:t>Remy</w:t>
      </w:r>
      <w:r>
        <w:rPr>
          <w:rFonts w:ascii="Arial" w:cs="Arial" w:eastAsia="Arial" w:hAnsi="Arial"/>
          <w:sz w:val="16"/>
          <w:szCs w:val="16"/>
          <w:color w:val="auto"/>
        </w:rPr>
        <w:t>”), American Blue Ribbon Holdings, LLC's Casual Dining division and the Company's Upscale Dining division (collectively, the “</w:t>
      </w:r>
      <w:r>
        <w:rPr>
          <w:rFonts w:ascii="Arial" w:cs="Arial" w:eastAsia="Arial" w:hAnsi="Arial"/>
          <w:sz w:val="16"/>
          <w:szCs w:val="16"/>
          <w:u w:val="single" w:color="auto"/>
          <w:color w:val="auto"/>
        </w:rPr>
        <w:t>Restaurant Group</w:t>
      </w:r>
      <w:r>
        <w:rPr>
          <w:rFonts w:ascii="Arial" w:cs="Arial" w:eastAsia="Arial" w:hAnsi="Arial"/>
          <w:sz w:val="16"/>
          <w:szCs w:val="16"/>
          <w:color w:val="auto"/>
        </w:rPr>
        <w:t>”) and the Ceridian Corporation (“</w:t>
      </w:r>
      <w:r>
        <w:rPr>
          <w:rFonts w:ascii="Arial" w:cs="Arial" w:eastAsia="Arial" w:hAnsi="Arial"/>
          <w:sz w:val="16"/>
          <w:szCs w:val="16"/>
          <w:u w:val="single" w:color="auto"/>
          <w:color w:val="auto"/>
        </w:rPr>
        <w:t>Ceridian</w:t>
      </w:r>
      <w:r>
        <w:rPr>
          <w:rFonts w:ascii="Arial" w:cs="Arial" w:eastAsia="Arial" w:hAnsi="Arial"/>
          <w:sz w:val="16"/>
          <w:szCs w:val="16"/>
          <w:color w:val="auto"/>
        </w:rPr>
        <w:t>”) (each an “</w:t>
      </w:r>
      <w:r>
        <w:rPr>
          <w:rFonts w:ascii="Arial" w:cs="Arial" w:eastAsia="Arial" w:hAnsi="Arial"/>
          <w:sz w:val="16"/>
          <w:szCs w:val="16"/>
          <w:u w:val="single" w:color="auto"/>
          <w:color w:val="auto"/>
        </w:rPr>
        <w:t>Investment</w:t>
      </w:r>
      <w:r>
        <w:rPr>
          <w:rFonts w:ascii="Arial" w:cs="Arial" w:eastAsia="Arial" w:hAnsi="Arial"/>
          <w:sz w:val="16"/>
          <w:szCs w:val="16"/>
          <w:color w:val="auto"/>
        </w:rPr>
        <w:t>” and, together, the “</w:t>
      </w:r>
      <w:r>
        <w:rPr>
          <w:rFonts w:ascii="Arial" w:cs="Arial" w:eastAsia="Arial" w:hAnsi="Arial"/>
          <w:sz w:val="16"/>
          <w:szCs w:val="16"/>
          <w:u w:val="single" w:color="auto"/>
          <w:color w:val="auto"/>
        </w:rPr>
        <w:t>Investments</w:t>
      </w:r>
      <w:r>
        <w:rPr>
          <w:rFonts w:ascii="Arial" w:cs="Arial" w:eastAsia="Arial" w:hAnsi="Arial"/>
          <w:sz w:val="16"/>
          <w:szCs w:val="16"/>
          <w:color w:val="auto"/>
        </w:rPr>
        <w:t>”) during the period beginning January 1, 2013 and ending December 31, 2016 (the “</w:t>
      </w:r>
      <w:r>
        <w:rPr>
          <w:rFonts w:ascii="Arial" w:cs="Arial" w:eastAsia="Arial" w:hAnsi="Arial"/>
          <w:sz w:val="16"/>
          <w:szCs w:val="16"/>
          <w:u w:val="single" w:color="auto"/>
          <w:color w:val="auto"/>
        </w:rPr>
        <w:t>Performance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Amounts will be earned under the Award only if (i) specified levels of ROI have been recognized by the Company with respect to the Investments,</w:t>
      </w:r>
    </w:p>
    <w:p>
      <w:pPr>
        <w:spacing w:after="0" w:line="2" w:lineRule="exact"/>
        <w:rPr>
          <w:sz w:val="20"/>
          <w:szCs w:val="20"/>
          <w:color w:val="auto"/>
        </w:rPr>
      </w:pPr>
    </w:p>
    <w:p>
      <w:pPr>
        <w:ind w:right="20" w:firstLine="8"/>
        <w:spacing w:after="0" w:line="261" w:lineRule="auto"/>
        <w:tabs>
          <w:tab w:leader="none" w:pos="27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Company has positive net earnings (“</w:t>
      </w:r>
      <w:r>
        <w:rPr>
          <w:rFonts w:ascii="Arial" w:cs="Arial" w:eastAsia="Arial" w:hAnsi="Arial"/>
          <w:sz w:val="18"/>
          <w:szCs w:val="18"/>
          <w:u w:val="single" w:color="auto"/>
          <w:color w:val="auto"/>
        </w:rPr>
        <w:t>Net Income</w:t>
      </w:r>
      <w:r>
        <w:rPr>
          <w:rFonts w:ascii="Arial" w:cs="Arial" w:eastAsia="Arial" w:hAnsi="Arial"/>
          <w:sz w:val="18"/>
          <w:szCs w:val="18"/>
          <w:color w:val="auto"/>
        </w:rPr>
        <w:t>”) during the applicable calendar year preceding payment under the Award, and (iii) the Grantee has satisfied applicable service-based vesting conditions.</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purpose of the Award is to help the Company maximize its ROI with respect to the Investments by aligning a portion of the Grantee's long-term incentive compensation with the Company's ROI relating to each Investment. The Award is also designed to help the Company generate Net Income and aid in retention of the Grantee by imposing Net Income and service-based vesting conditions on payments under the Award.</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portion of the Award relating to ROI is structured to replicate an 80/20 allocation (between the Company and an incentive pool that will be allocated among eligible employees) of the ROI recognized with respect to each Investment since January 1, 2013, provided the Company has recognized at least an 8% ROI (compounded annually) on the Investment since January 1, 2013 (“</w:t>
      </w:r>
      <w:r>
        <w:rPr>
          <w:rFonts w:ascii="Arial" w:cs="Arial" w:eastAsia="Arial" w:hAnsi="Arial"/>
          <w:sz w:val="18"/>
          <w:szCs w:val="18"/>
          <w:u w:val="single" w:color="auto"/>
          <w:color w:val="auto"/>
        </w:rPr>
        <w:t>Threshold ROI</w:t>
      </w:r>
      <w:r>
        <w:rPr>
          <w:rFonts w:ascii="Arial" w:cs="Arial" w:eastAsia="Arial" w:hAnsi="Arial"/>
          <w:sz w:val="18"/>
          <w:szCs w:val="18"/>
          <w:color w:val="auto"/>
        </w:rPr>
        <w:t>”). The Award applies a “catch-up” approach pursuant to which (i) all ROI in excess of Threshold ROI is allocated to the incentive pool until an 80/20 allocation of ROI is achieved and (ii) thereafter, any remaining ROI is allocated 80/20 between the Company and the incentive pool.</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ROI Calculation</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purposes of the Award, ROI means realized and unrealized pre-tax gain on the Investment during the relevant Measurement Period, which shall be based on (i) appreciation in the value of the Investment, as reflected in an annual third-party valuation of the Investment, and (ii) to the extent not otherwise reflected in the third-party valuation of the Investment, gain recognized in connection with (a) a sale to a third party of all or part of the Investment, (b) an initial public offering of stock of the Investment on an authorized securities exchange, (c) consolidation of the Investment as a subsidiary as a result of the Company's ownership being greater than 50%, (d) dividends paid to the Company with respect to the Investment and (e) any other realized gains or losses on the Investment, as reflected in the Company's annual report on Form 10-K. ROI shall be determined by the Committee based on the Company's return on its equity investment (cash and stock, but excluding debt). For purposes of computing ROI, the value of the Remy investment as of January 1, 2013 was $285,000,000, the value of the Restaurant Group investment as of January 1, 2013 was $245,000,000 and the value of the Ceridian investment as of January 1, 2013 was $548,000,000. For avoidance of doubt, ROI for this purpose shall be determined irrespective of cash gains calculated for the Company's Federal Form 1120 tax calculation and shall not include gain attributable to the Investment's income statement gain or loss. The Committee may, in its discretion, exclude from ROI any realized or recorded gain on the Investment to the extent it determines that inclusion of such gain would be inconsistent with the spirit and intent of the Award.</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purpose of the Award, Net Income shall mean net earnings as reflected in the Company's Consolidated Statements of Earnings in its annual report on Form 10-K, and shall be measured over the calendar year that ends coincident with the last day of each Measurement Period (each such calendar year, a “</w:t>
      </w:r>
      <w:r>
        <w:rPr>
          <w:rFonts w:ascii="Arial" w:cs="Arial" w:eastAsia="Arial" w:hAnsi="Arial"/>
          <w:sz w:val="16"/>
          <w:szCs w:val="16"/>
          <w:u w:val="single" w:color="auto"/>
          <w:color w:val="auto"/>
        </w:rPr>
        <w:t>Net</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Income Measurement Period</w:t>
      </w:r>
      <w:r>
        <w:rPr>
          <w:rFonts w:ascii="Arial" w:cs="Arial" w:eastAsia="Arial" w:hAnsi="Arial"/>
          <w:sz w:val="16"/>
          <w:szCs w:val="16"/>
          <w:color w:val="auto"/>
        </w:rPr>
        <w:t>”). For avoidance of doubt, Net Income for this purpose shall include net earnings attributable to non-controlling interests.</w:t>
      </w:r>
    </w:p>
    <w:p>
      <w:pPr>
        <w:spacing w:after="0" w:line="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conditions that must be satisfied for the Grantee to become entitled to payments under the Award, and the amount and timing of any such payments, are described below.</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ROI Performance Goal</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Provided Threshold ROI, the Service Condition (described below) and the Payment Condition (described below) is satisfied, amounts may be earned under the Award with respect to each of the following four measurement periods (each a “</w:t>
      </w:r>
      <w:r>
        <w:rPr>
          <w:rFonts w:ascii="Arial" w:cs="Arial" w:eastAsia="Arial" w:hAnsi="Arial"/>
          <w:sz w:val="16"/>
          <w:szCs w:val="16"/>
          <w:u w:val="single" w:color="auto"/>
          <w:color w:val="auto"/>
        </w:rPr>
        <w:t>Measurement Period</w:t>
      </w:r>
      <w:r>
        <w:rPr>
          <w:rFonts w:ascii="Arial" w:cs="Arial" w:eastAsia="Arial" w:hAnsi="Arial"/>
          <w:sz w:val="16"/>
          <w:szCs w:val="16"/>
          <w:color w:val="auto"/>
        </w:rPr>
        <w:t>” and, together, the “</w:t>
      </w:r>
      <w:r>
        <w:rPr>
          <w:rFonts w:ascii="Arial" w:cs="Arial" w:eastAsia="Arial" w:hAnsi="Arial"/>
          <w:sz w:val="16"/>
          <w:szCs w:val="16"/>
          <w:u w:val="single" w:color="auto"/>
          <w:color w:val="auto"/>
        </w:rPr>
        <w:t>Measurement Periods</w:t>
      </w:r>
      <w:r>
        <w:rPr>
          <w:rFonts w:ascii="Arial" w:cs="Arial" w:eastAsia="Arial" w:hAnsi="Arial"/>
          <w:sz w:val="16"/>
          <w:szCs w:val="16"/>
          <w:color w:val="auto"/>
        </w:rPr>
        <w:t>”):</w:t>
      </w:r>
    </w:p>
    <w:p>
      <w:pPr>
        <w:spacing w:after="0" w:line="16"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January 1, 2013 through December 31, 2013</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January 1, 2013 through December 31, 2014</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January 1, 2013 through December 31, 2015</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January 1, 2013 through December 31, 2016</w:t>
      </w:r>
    </w:p>
    <w:p>
      <w:pPr>
        <w:sectPr>
          <w:pgSz w:w="11900" w:h="16838" w:orient="portrait"/>
          <w:cols w:equalWidth="0" w:num="1">
            <w:col w:w="11420"/>
          </w:cols>
          <w:pgMar w:left="240" w:top="580" w:right="239" w:bottom="1440" w:gutter="0" w:footer="0" w:header="0"/>
        </w:sectPr>
      </w:pPr>
    </w:p>
    <w:bookmarkStart w:id="135" w:name="page136"/>
    <w:bookmarkEnd w:id="135"/>
    <w:p>
      <w:pPr>
        <w:jc w:val="both"/>
        <w:spacing w:after="0" w:line="259" w:lineRule="auto"/>
        <w:rPr>
          <w:sz w:val="20"/>
          <w:szCs w:val="20"/>
          <w:color w:val="auto"/>
        </w:rPr>
      </w:pPr>
      <w:r>
        <w:rPr>
          <w:rFonts w:ascii="Arial" w:cs="Arial" w:eastAsia="Arial" w:hAnsi="Arial"/>
          <w:sz w:val="18"/>
          <w:szCs w:val="18"/>
          <w:color w:val="auto"/>
        </w:rPr>
        <w:t>As soon as practicable following each Measurement Period, the Committee will determine, with respect to each Investment, whether the Company has recognized ROI in excess of Threshold ROI during the Measurement Period. If the Company has recognized ROI in excess of Threshold ROI during such Measurement Period, the Company will credit to a notional incentive pool established for the Investment (the “</w:t>
      </w:r>
      <w:r>
        <w:rPr>
          <w:rFonts w:ascii="Arial" w:cs="Arial" w:eastAsia="Arial" w:hAnsi="Arial"/>
          <w:sz w:val="18"/>
          <w:szCs w:val="18"/>
          <w:u w:val="single" w:color="auto"/>
          <w:color w:val="auto"/>
        </w:rPr>
        <w:t>ROI Incentive Pool</w:t>
      </w:r>
      <w:r>
        <w:rPr>
          <w:rFonts w:ascii="Arial" w:cs="Arial" w:eastAsia="Arial" w:hAnsi="Arial"/>
          <w:sz w:val="18"/>
          <w:szCs w:val="18"/>
          <w:color w:val="auto"/>
        </w:rPr>
        <w:t>”) an amount equal to A minus B, where</w:t>
      </w:r>
    </w:p>
    <w:p>
      <w:pPr>
        <w:spacing w:after="0" w:line="79" w:lineRule="exact"/>
        <w:rPr>
          <w:sz w:val="20"/>
          <w:szCs w:val="20"/>
          <w:color w:val="auto"/>
        </w:rPr>
      </w:pPr>
    </w:p>
    <w:p>
      <w:pPr>
        <w:ind w:left="1140" w:hanging="512"/>
        <w:spacing w:after="0" w:line="342" w:lineRule="auto"/>
        <w:tabs>
          <w:tab w:leader="none" w:pos="112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lesser of (i) all of the ROI recognized by the Company on the Investment through the end of the Measurement Period in excess of Threshold ROI or (ii) 20% of the total ROI recognized by the Company on the Investment through the end of the Measurement Period; and</w:t>
      </w:r>
    </w:p>
    <w:p>
      <w:pPr>
        <w:spacing w:after="0" w:line="16" w:lineRule="exact"/>
        <w:rPr>
          <w:sz w:val="20"/>
          <w:szCs w:val="20"/>
          <w:color w:val="auto"/>
        </w:rPr>
      </w:pPr>
    </w:p>
    <w:p>
      <w:pPr>
        <w:ind w:left="620"/>
        <w:spacing w:after="0"/>
        <w:tabs>
          <w:tab w:leader="none" w:pos="112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any amount previously credited to the ROI Incentive Pool with respect to the Investment pursuant to this Award Agreement.</w:t>
      </w:r>
    </w:p>
    <w:p>
      <w:pPr>
        <w:spacing w:after="0" w:line="144"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Simultaneous with the crediting of the ROI Incentive Pool, the Company will also credit (separately with respect to each Investment) to a bookkeeping account in the Grantee's name (the “</w:t>
      </w:r>
      <w:r>
        <w:rPr>
          <w:rFonts w:ascii="Arial" w:cs="Arial" w:eastAsia="Arial" w:hAnsi="Arial"/>
          <w:sz w:val="16"/>
          <w:szCs w:val="16"/>
          <w:u w:val="single" w:color="auto"/>
          <w:color w:val="auto"/>
        </w:rPr>
        <w:t>Grantee's Award Account</w:t>
      </w:r>
      <w:r>
        <w:rPr>
          <w:rFonts w:ascii="Arial" w:cs="Arial" w:eastAsia="Arial" w:hAnsi="Arial"/>
          <w:sz w:val="16"/>
          <w:szCs w:val="16"/>
          <w:color w:val="auto"/>
        </w:rPr>
        <w:t>”) an amount equal to (i) []% of the amount credited to the ROI Incentive Pool with respect to the Investment</w:t>
      </w:r>
      <w:r>
        <w:rPr>
          <w:rFonts w:ascii="Arial" w:cs="Arial" w:eastAsia="Arial" w:hAnsi="Arial"/>
          <w:sz w:val="19"/>
          <w:szCs w:val="19"/>
          <w:color w:val="auto"/>
        </w:rPr>
        <w:t>,</w:t>
      </w:r>
      <w:r>
        <w:rPr>
          <w:rFonts w:ascii="Arial" w:cs="Arial" w:eastAsia="Arial" w:hAnsi="Arial"/>
          <w:sz w:val="16"/>
          <w:szCs w:val="16"/>
          <w:color w:val="auto"/>
        </w:rPr>
        <w:t xml:space="preserve"> less (ii) any amount credited to the “Grantee's Award Account” under the Award Agreement dated September 28, 2012, to the extent such credited amount is attributable to ROI relating to the same days included in the Measurement Period under this Award;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pursuant to Section 4.2 of the Plan, no more than $25,000,000 will be credited to the Grantee's Award Account pursuant to this Award;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Grantee's employment terminates during any Measurement Period(s) for a reason described in Section 2(a) of the Award Agreement, then only a prorated amount shall be credited to the Grantee's Award Account with respect to such Measurement Period(s). Such prorated amount shall be determined in accordance with Section 2(a) of the Award Agreement. Unless otherwise determined by the Committee, if, after the Effective Date of Grant, the Grantee receives any additional Long-Term Investment Success Performance Awards relating to one or more of the Investments and measuring ROI over one or more overlapping time periods, to avoid duplication, the amount(s) that would otherwise be credited with respect to such Investment(s) to the Grantee's award account under such additional award(s) will be reduced so that the Grantee does not receive a credit under more than one award for the same ROI. For purposes of the prior sentence, to the extent a measurement period in a subsequent award includes some, but not all, of the same days included in a Measurement Period under this Award (any such days not covered by both measurement periods, a “</w:t>
      </w:r>
      <w:r>
        <w:rPr>
          <w:rFonts w:ascii="Arial" w:cs="Arial" w:eastAsia="Arial" w:hAnsi="Arial"/>
          <w:sz w:val="16"/>
          <w:szCs w:val="16"/>
          <w:u w:val="single" w:color="auto"/>
          <w:color w:val="auto"/>
        </w:rPr>
        <w:t>Non-Overlapping Period</w:t>
      </w:r>
      <w:r>
        <w:rPr>
          <w:rFonts w:ascii="Arial" w:cs="Arial" w:eastAsia="Arial" w:hAnsi="Arial"/>
          <w:sz w:val="16"/>
          <w:szCs w:val="16"/>
          <w:color w:val="auto"/>
        </w:rPr>
        <w:t>”), no reduction to the amount credited under a subsequent award shall be made with respect to ROI attributable to the Non-Overlapping Period.</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Example 5 in Annex A contains an example that illustrates the offset for amounts credited to the Grantee's Award Account under the Award Agreement dated September 28, 2012.</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ROI Incentive Pool and the Grantee's Award Account are notional bookkeeping accounts only and are used solely to determine the amounts that may become payable to the Grantee and, in the case of the ROI Incentive Pool, all participating employees. Any rights arising under the Award are unfunded and unsecured and may not be transferred, alienated, assigned, pledged, hypothecated or encumbered, in any way. At any time prior to a Change in Control, the Committee may, in its discretion, reduce the amounts credited to the ROI Incentive Pool and/or the Grantee's Award Account. Reasons for such reduction may include, without limitation, realization upon the sale of an Investment of gain attributable to the Performance Period that is less than the ROI upon which a prior credit or payment was made under the Award.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w:t>
      </w:r>
    </w:p>
    <w:p>
      <w:pPr>
        <w:spacing w:after="0" w:line="12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If (i) the Grantee remains employed through the last day of the Measurement Period with respect to which an amount has been credited to the Grantee's Award Account or the Grantee's employment terminates for a reason described in Section 2(a) of the Award Agreement (the “</w:t>
      </w:r>
      <w:r>
        <w:rPr>
          <w:rFonts w:ascii="Arial" w:cs="Arial" w:eastAsia="Arial" w:hAnsi="Arial"/>
          <w:sz w:val="18"/>
          <w:szCs w:val="18"/>
          <w:u w:val="single" w:color="auto"/>
          <w:color w:val="auto"/>
        </w:rPr>
        <w:t>Service Condition</w:t>
      </w:r>
      <w:r>
        <w:rPr>
          <w:rFonts w:ascii="Arial" w:cs="Arial" w:eastAsia="Arial" w:hAnsi="Arial"/>
          <w:sz w:val="18"/>
          <w:szCs w:val="18"/>
          <w:color w:val="auto"/>
        </w:rPr>
        <w:t>”) and (ii) the Company's Net Income was positive during the Net Income Measurement Period ending coincident with the last day of the Measurement Period with respect to which an amount was credited to the Grantee's Award Account (the “</w:t>
      </w:r>
      <w:r>
        <w:rPr>
          <w:rFonts w:ascii="Arial" w:cs="Arial" w:eastAsia="Arial" w:hAnsi="Arial"/>
          <w:sz w:val="18"/>
          <w:szCs w:val="18"/>
          <w:u w:val="single" w:color="auto"/>
          <w:color w:val="auto"/>
        </w:rPr>
        <w:t>Payment Condition</w:t>
      </w:r>
      <w:r>
        <w:rPr>
          <w:rFonts w:ascii="Arial" w:cs="Arial" w:eastAsia="Arial" w:hAnsi="Arial"/>
          <w:sz w:val="18"/>
          <w:szCs w:val="18"/>
          <w:color w:val="auto"/>
        </w:rPr>
        <w:t>”), then, as soon as practicable in, but in no event later than March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the calendar year immediately following such Measurement Period, 100% of the amount credited to the Grantee's Award Account with respect to such Measurement Period shall be paid to the Grantee in a lump sum cash payment, less applicable tax withholdings. For avoidance of doubt, the Payment Condition will be satisfied if Net Income is positive during the applicable Net Income Measurement Period, whether or not Net Income has increased from the prior year.</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Banked Amounts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If the Service Condition has been satisfied, but the Payment Condition was not satisfied in the Net Income Measurement Period ending coincident with the last day of the Measurement Period with respect to which an amount was credited to the Grantee's Award Account, the amount credited to the Grantee's Award Account shall not be paid, but shall remain credited to the Grantee's Award Account (any such credited amount, a “</w:t>
      </w:r>
      <w:r>
        <w:rPr>
          <w:rFonts w:ascii="Arial" w:cs="Arial" w:eastAsia="Arial" w:hAnsi="Arial"/>
          <w:sz w:val="17"/>
          <w:szCs w:val="17"/>
          <w:u w:val="single" w:color="auto"/>
          <w:color w:val="auto"/>
        </w:rPr>
        <w:t>Banked Amount</w:t>
      </w:r>
      <w:r>
        <w:rPr>
          <w:rFonts w:ascii="Arial" w:cs="Arial" w:eastAsia="Arial" w:hAnsi="Arial"/>
          <w:sz w:val="17"/>
          <w:szCs w:val="17"/>
          <w:color w:val="auto"/>
        </w:rPr>
        <w:t>”). Any Banked Amount shall be paid to the Grantee if (and only if) the Payment Condition is satisfied in a subsequent Net Income Measurement Period. To the extent a Banked Amount becomes payable pursuant to the prior sentence, such Banked Amount shall be paid as soon as practicable in, but in no event later than March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the calendar year immediately following the Net Income Measurement Period in which the Payment Condition was satisfied. If there are no remaining Net Income Measurement Periods or if the Payment Condition is not satisfied in a remaining</w:t>
      </w:r>
    </w:p>
    <w:p>
      <w:pPr>
        <w:sectPr>
          <w:pgSz w:w="11900" w:h="16838" w:orient="portrait"/>
          <w:cols w:equalWidth="0" w:num="1">
            <w:col w:w="11420"/>
          </w:cols>
          <w:pgMar w:left="240" w:top="584" w:right="239" w:bottom="1440" w:gutter="0" w:footer="0" w:header="0"/>
        </w:sectPr>
      </w:pPr>
    </w:p>
    <w:bookmarkStart w:id="136" w:name="page137"/>
    <w:bookmarkEnd w:id="136"/>
    <w:p>
      <w:pPr>
        <w:jc w:val="both"/>
        <w:spacing w:after="0" w:line="286" w:lineRule="auto"/>
        <w:rPr>
          <w:sz w:val="20"/>
          <w:szCs w:val="20"/>
          <w:color w:val="auto"/>
        </w:rPr>
      </w:pPr>
      <w:r>
        <w:rPr>
          <w:rFonts w:ascii="Arial" w:cs="Arial" w:eastAsia="Arial" w:hAnsi="Arial"/>
          <w:sz w:val="17"/>
          <w:szCs w:val="17"/>
          <w:color w:val="auto"/>
        </w:rPr>
        <w:t>Net Income Measurement Period, the Banked Amounts shall be forfeited. At any time prior to a Change in Control, the Committee may, in its discretion, reduce a Grantee's Banked Amount. Reasons for such reduction may include, without limitation, realization upon the sale of an Investment of gain attributable to the Performance Period that is less than the ROI upon which a prior credit or payment was made under the Award.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Incentives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sum of the amounts paid or to be paid to the Grantee in a calendar year pursuant to this Award and the Award dated September 28, 2012 (in each case, whether relating to the Measurement Period ending on the last day of the prior calendar year or to any previously Banked Amounts) is greater than fifty (50%) percent of the Grantee's regular annual cash incentive relating to the prior calendar year, then, unless otherwise determined by the Committee, the Grantee's regular annual cash incentive shall be reduced by fifty (50%) percent. For avoidance of doubt, amounts banked during a calendar year shall not be deemed paid or to be paid in that calendar year. Notwithstanding anything contained in any other plan or agreement to the contrary, the Grantee shall not be permitted to defer under any elective nonqualified deferred compensation plan any regular annual cash incentive that could be reduced pursuant to the preceding sentence.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Investment Success Performance Award Agreement</w:t>
      </w:r>
    </w:p>
    <w:p>
      <w:pPr>
        <w:spacing w:after="0" w:line="126"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b w:val="1"/>
          <w:bCs w:val="1"/>
          <w:color w:val="auto"/>
        </w:rPr>
        <w:t>GRANT OF AWARD</w:t>
      </w:r>
    </w:p>
    <w:p>
      <w:pPr>
        <w:spacing w:after="0" w:line="158" w:lineRule="exact"/>
        <w:rPr>
          <w:sz w:val="20"/>
          <w:szCs w:val="20"/>
          <w:color w:val="auto"/>
        </w:rPr>
      </w:pPr>
    </w:p>
    <w:p>
      <w:pPr>
        <w:jc w:val="both"/>
        <w:ind w:firstLine="656"/>
        <w:spacing w:after="0" w:line="308" w:lineRule="auto"/>
        <w:tabs>
          <w:tab w:leader="none" w:pos="1496"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On the terms and conditions set forth in the Notice of Long-Term Investment Success Performance Award (including Appendix</w:t>
      </w:r>
      <w:r>
        <w:rPr>
          <w:rFonts w:ascii="Arial" w:cs="Arial" w:eastAsia="Arial" w:hAnsi="Arial"/>
          <w:sz w:val="18"/>
          <w:szCs w:val="18"/>
          <w:b w:val="1"/>
          <w:bCs w:val="1"/>
          <w:color w:val="auto"/>
        </w:rPr>
        <w:t xml:space="preserve"> </w:t>
      </w:r>
      <w:r>
        <w:rPr>
          <w:rFonts w:ascii="Arial" w:cs="Arial" w:eastAsia="Arial" w:hAnsi="Arial"/>
          <w:sz w:val="18"/>
          <w:szCs w:val="18"/>
          <w:color w:val="auto"/>
        </w:rPr>
        <w:t>A, the “</w:t>
      </w:r>
      <w:r>
        <w:rPr>
          <w:rFonts w:ascii="Arial" w:cs="Arial" w:eastAsia="Arial" w:hAnsi="Arial"/>
          <w:sz w:val="18"/>
          <w:szCs w:val="18"/>
          <w:u w:val="single" w:color="auto"/>
          <w:color w:val="auto"/>
        </w:rPr>
        <w:t>Notice</w:t>
      </w:r>
      <w:r>
        <w:rPr>
          <w:rFonts w:ascii="Arial" w:cs="Arial" w:eastAsia="Arial" w:hAnsi="Arial"/>
          <w:sz w:val="18"/>
          <w:szCs w:val="18"/>
          <w:color w:val="auto"/>
        </w:rPr>
        <w:t>”) and this Long-Term Investment Success Performance Award Agreement (the “</w:t>
      </w:r>
      <w:r>
        <w:rPr>
          <w:rFonts w:ascii="Arial" w:cs="Arial" w:eastAsia="Arial" w:hAnsi="Arial"/>
          <w:sz w:val="18"/>
          <w:szCs w:val="18"/>
          <w:u w:val="single" w:color="auto"/>
          <w:color w:val="auto"/>
        </w:rPr>
        <w:t>Award Agreement</w:t>
      </w:r>
      <w:r>
        <w:rPr>
          <w:rFonts w:ascii="Arial" w:cs="Arial" w:eastAsia="Arial" w:hAnsi="Arial"/>
          <w:sz w:val="18"/>
          <w:szCs w:val="18"/>
          <w:color w:val="auto"/>
        </w:rPr>
        <w:t>”), the Company grants to the Grantee on the Effective Date of Grant the Award set forth in the Notice. The Award represents the right to receive one or more cash payments in accordance with Appendix A if the conditions set forth in Appendix A and this Award Agreement are satisfied.</w:t>
      </w:r>
    </w:p>
    <w:p>
      <w:pPr>
        <w:spacing w:after="0" w:line="71" w:lineRule="exact"/>
        <w:rPr>
          <w:rFonts w:ascii="Arial" w:cs="Arial" w:eastAsia="Arial" w:hAnsi="Arial"/>
          <w:sz w:val="18"/>
          <w:szCs w:val="18"/>
          <w:color w:val="auto"/>
        </w:rPr>
      </w:pPr>
    </w:p>
    <w:p>
      <w:pPr>
        <w:jc w:val="both"/>
        <w:ind w:firstLine="656"/>
        <w:spacing w:after="0" w:line="308" w:lineRule="auto"/>
        <w:tabs>
          <w:tab w:leader="none" w:pos="1506"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 xml:space="preserve">Plan and Defined Terms. </w:t>
      </w:r>
      <w:r>
        <w:rPr>
          <w:rFonts w:ascii="Arial" w:cs="Arial" w:eastAsia="Arial" w:hAnsi="Arial"/>
          <w:sz w:val="18"/>
          <w:szCs w:val="18"/>
          <w:color w:val="auto"/>
        </w:rPr>
        <w:t>The Award is granted pursuant to the Plan, and shall be considered an “Other Award” for purposes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Except as expressly provided otherwise herein, all applicable terms, provisions, and conditions set forth in the Plan and not set forth herein are hereby incorporated by reference herein. All capitalized terms that are used in the Notice or this Award Agreement and not otherwise defined therein or herein shall have the meanings ascribed to them in the Plan.</w:t>
      </w:r>
    </w:p>
    <w:p>
      <w:pPr>
        <w:spacing w:after="0" w:line="72"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8"/>
          <w:szCs w:val="18"/>
          <w:b w:val="1"/>
          <w:bCs w:val="1"/>
          <w:color w:val="auto"/>
        </w:rPr>
        <w:t>TERMINATION OF EMPLOYMENT</w:t>
      </w:r>
    </w:p>
    <w:p>
      <w:pPr>
        <w:spacing w:after="0" w:line="158" w:lineRule="exact"/>
        <w:rPr>
          <w:sz w:val="20"/>
          <w:szCs w:val="20"/>
          <w:color w:val="auto"/>
        </w:rPr>
      </w:pPr>
    </w:p>
    <w:p>
      <w:pPr>
        <w:jc w:val="both"/>
        <w:ind w:firstLine="656"/>
        <w:spacing w:after="0" w:line="335" w:lineRule="auto"/>
        <w:tabs>
          <w:tab w:leader="none" w:pos="1496" w:val="left"/>
        </w:tabs>
        <w:numPr>
          <w:ilvl w:val="1"/>
          <w:numId w:val="157"/>
        </w:numPr>
        <w:rPr>
          <w:rFonts w:ascii="Arial" w:cs="Arial" w:eastAsia="Arial" w:hAnsi="Arial"/>
          <w:sz w:val="16"/>
          <w:szCs w:val="16"/>
          <w:color w:val="auto"/>
        </w:rPr>
      </w:pPr>
      <w:r>
        <w:rPr>
          <w:rFonts w:ascii="Arial" w:cs="Arial" w:eastAsia="Arial" w:hAnsi="Arial"/>
          <w:sz w:val="16"/>
          <w:szCs w:val="16"/>
          <w:b w:val="1"/>
          <w:bCs w:val="1"/>
          <w:color w:val="auto"/>
        </w:rPr>
        <w:t xml:space="preserve">Termination due to Death; by the Company due to Grantee's Disability or Without Cause; by the Grantee for Good Reason. </w:t>
      </w:r>
      <w:r>
        <w:rPr>
          <w:rFonts w:ascii="Arial" w:cs="Arial" w:eastAsia="Arial" w:hAnsi="Arial"/>
          <w:sz w:val="16"/>
          <w:szCs w:val="16"/>
          <w:color w:val="auto"/>
        </w:rPr>
        <w:t>If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Grantee's employment with the Company and all Subsidiaries is terminated (i) due to the Grantees' death, (ii) by the Company (and, if applicable, its Subsidiaries) due to the Grantee's Disability (as defined at the Effective Date of Grant in the Grantee's employment agreement with the Company) or without Cause (as defined at the Effective Date of Grant in the Grantee's employment agreement with the Company) or (iii) by the Grantee for Good Reason (as defined at the Effective Date of Grant in the Grantee's employment agreement with the Company), then the Grantee shall remain eligible to receive credits to, and payments from, the Grantee's Award Account if and when such credits and payments (if any) would have occurred had the Grantee's employment not terminated;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amounts credited (if any) with respect to any Measurement Period that has not ended as of the date of termination of employment shall be prorated by multiplying the full amount that would have been credited to the Grantee's Award Account based on actual ROI performance through the entire Measurement Period by a fraction, the numerator of which is the number of days the Grantee was employed during the Measurement Period (including the date of termination) and the denominator of which is the total number of days in the Measurement Period. For the avoidance of doubt,</w:t>
      </w:r>
    </w:p>
    <w:p>
      <w:pPr>
        <w:spacing w:after="0" w:line="1" w:lineRule="exact"/>
        <w:rPr>
          <w:rFonts w:ascii="Arial" w:cs="Arial" w:eastAsia="Arial" w:hAnsi="Arial"/>
          <w:sz w:val="16"/>
          <w:szCs w:val="16"/>
          <w:color w:val="auto"/>
        </w:rPr>
      </w:pPr>
    </w:p>
    <w:p>
      <w:pPr>
        <w:jc w:val="both"/>
        <w:ind w:firstLine="8"/>
        <w:spacing w:after="0" w:line="334" w:lineRule="auto"/>
        <w:tabs>
          <w:tab w:leader="none" w:pos="29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as would have been the case had the Grantee's employment not terminated, the Grantee shall only be entitled to receive a payment of an amount from the Grantee's Award Account in accordance with this Section 2(a) if the Payment Condition is satisfied in the applicable Net Income Measurement Period, (B) if the Grantee's employment termination described in this Section 2(a) occurs after the end of a Measurement Period, but prior to crediting of an amount with respect to such Measurement Period, any amount credited to the Grantee's Award Account with respect to such Measurement Period shall not be prorated and</w:t>
      </w:r>
    </w:p>
    <w:p>
      <w:pPr>
        <w:spacing w:after="0" w:line="2" w:lineRule="exact"/>
        <w:rPr>
          <w:rFonts w:ascii="Arial" w:cs="Arial" w:eastAsia="Arial" w:hAnsi="Arial"/>
          <w:sz w:val="16"/>
          <w:szCs w:val="16"/>
          <w:color w:val="auto"/>
        </w:rPr>
      </w:pPr>
    </w:p>
    <w:p>
      <w:pPr>
        <w:ind w:firstLine="8"/>
        <w:spacing w:after="0" w:line="324" w:lineRule="auto"/>
        <w:tabs>
          <w:tab w:leader="none" w:pos="31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any Banked Amount in the Grantee's Award Account that is attributable to a Measurement Period that ended prior to the date of the Grantee's employment termination described in this Section 2(a) becomes payable, such amount shall not be prorated.</w:t>
      </w:r>
    </w:p>
    <w:p>
      <w:pPr>
        <w:spacing w:after="0" w:line="58" w:lineRule="exact"/>
        <w:rPr>
          <w:rFonts w:ascii="Arial" w:cs="Arial" w:eastAsia="Arial" w:hAnsi="Arial"/>
          <w:sz w:val="18"/>
          <w:szCs w:val="18"/>
          <w:color w:val="auto"/>
        </w:rPr>
      </w:pPr>
    </w:p>
    <w:p>
      <w:pPr>
        <w:jc w:val="both"/>
        <w:ind w:firstLine="656"/>
        <w:spacing w:after="0" w:line="321" w:lineRule="auto"/>
        <w:tabs>
          <w:tab w:leader="none" w:pos="1506" w:val="left"/>
        </w:tabs>
        <w:numPr>
          <w:ilvl w:val="1"/>
          <w:numId w:val="159"/>
        </w:numPr>
        <w:rPr>
          <w:rFonts w:ascii="Arial" w:cs="Arial" w:eastAsia="Arial" w:hAnsi="Arial"/>
          <w:sz w:val="17"/>
          <w:szCs w:val="17"/>
          <w:color w:val="auto"/>
        </w:rPr>
      </w:pPr>
      <w:r>
        <w:rPr>
          <w:rFonts w:ascii="Arial" w:cs="Arial" w:eastAsia="Arial" w:hAnsi="Arial"/>
          <w:sz w:val="17"/>
          <w:szCs w:val="17"/>
          <w:b w:val="1"/>
          <w:bCs w:val="1"/>
          <w:color w:val="auto"/>
        </w:rPr>
        <w:t xml:space="preserve">Termination for Any Other Reason. </w:t>
      </w:r>
      <w:r>
        <w:rPr>
          <w:rFonts w:ascii="Arial" w:cs="Arial" w:eastAsia="Arial" w:hAnsi="Arial"/>
          <w:sz w:val="17"/>
          <w:szCs w:val="17"/>
          <w:color w:val="auto"/>
        </w:rPr>
        <w:t>If the Grantee terminates his employment without Good Reason (as defined at the Effective Date</w:t>
      </w:r>
      <w:r>
        <w:rPr>
          <w:rFonts w:ascii="Arial" w:cs="Arial" w:eastAsia="Arial" w:hAnsi="Arial"/>
          <w:sz w:val="17"/>
          <w:szCs w:val="17"/>
          <w:b w:val="1"/>
          <w:bCs w:val="1"/>
          <w:color w:val="auto"/>
        </w:rPr>
        <w:t xml:space="preserve"> </w:t>
      </w:r>
      <w:r>
        <w:rPr>
          <w:rFonts w:ascii="Arial" w:cs="Arial" w:eastAsia="Arial" w:hAnsi="Arial"/>
          <w:sz w:val="17"/>
          <w:szCs w:val="17"/>
          <w:color w:val="auto"/>
        </w:rPr>
        <w:t>of Grant in the Grantee's employment agreement with the Company), (i) the Service Condition shall not be deemed to have been satisfied with respect to any Measurement Period(s) that had not ended on or before the date of such termination of employment and no amounts shall be credited to the Grantee's Award Account or paid to the Grantee with respect to such Measurement Period(s), (ii) if the Grantee's employment termination occurs at or after the end of a Measurement Period, but prior to crediting of an amount with respect to such Measurement Period, any amount that would have been credited to the Grantee's Award Account with respect to such Measurement Period shall be so credited at the same time and in the same amount as would have occurred had the Grantee not terminated employment, (iii) with respect to any amount in the Grantee's Award Account as of the date of the Grantee's employment termination and any amount credited to the Grantee's Award Account pursuant</w:t>
      </w:r>
    </w:p>
    <w:p>
      <w:pPr>
        <w:sectPr>
          <w:pgSz w:w="11900" w:h="16838" w:orient="portrait"/>
          <w:cols w:equalWidth="0" w:num="1">
            <w:col w:w="11420"/>
          </w:cols>
          <w:pgMar w:left="240" w:top="584" w:right="239" w:bottom="1440" w:gutter="0" w:footer="0" w:header="0"/>
        </w:sectPr>
      </w:pPr>
    </w:p>
    <w:bookmarkStart w:id="137" w:name="page138"/>
    <w:bookmarkEnd w:id="137"/>
    <w:p>
      <w:pPr>
        <w:jc w:val="both"/>
        <w:spacing w:after="0" w:line="349" w:lineRule="auto"/>
        <w:rPr>
          <w:sz w:val="20"/>
          <w:szCs w:val="20"/>
          <w:color w:val="auto"/>
        </w:rPr>
      </w:pPr>
      <w:r>
        <w:rPr>
          <w:rFonts w:ascii="Arial" w:cs="Arial" w:eastAsia="Arial" w:hAnsi="Arial"/>
          <w:sz w:val="16"/>
          <w:szCs w:val="16"/>
          <w:color w:val="auto"/>
        </w:rPr>
        <w:t>to subsection (ii) of this Section 2(b), such amount(s) shall be paid if and only if the Payment Condition is satisfied over the most recent Net Income Measurement Period that ended on or before the date of the Grantee's termination of employment and (iv) except with respect to the Grantee's rights pursuant to this sentence, the Award shall immediately be forfeited and the Grantee shall not be entitled to any future credits or payments with respect to the Award. If the Grantee's employment is terminated by the Company for Cause, the Award shall immediately be forfeited and the Grantee shall not be entitled to any future credits or payments with respect to the Award (including, for the avoidance of doubt, any credits or payments described in the prior sentence).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Annex A contains examples of various termination scenarios.</w:t>
      </w:r>
    </w:p>
    <w:p>
      <w:pPr>
        <w:spacing w:after="0" w:line="140"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8"/>
          <w:szCs w:val="18"/>
          <w:b w:val="1"/>
          <w:bCs w:val="1"/>
          <w:color w:val="auto"/>
        </w:rPr>
        <w:t>CHANGE IN CONTROL</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Article 17 of the Plan shall not be applicable to the Award and a Change in Control shall not otherwise accelerate or affect the vesting, amount or timing of credits or payments under the Award.</w:t>
      </w:r>
    </w:p>
    <w:p>
      <w:pPr>
        <w:spacing w:after="0" w:line="85"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8"/>
          <w:szCs w:val="18"/>
          <w:b w:val="1"/>
          <w:bCs w:val="1"/>
          <w:color w:val="auto"/>
        </w:rPr>
        <w:t>MISCELLANEOUS PROVISIONS</w:t>
      </w:r>
    </w:p>
    <w:p>
      <w:pPr>
        <w:spacing w:after="0" w:line="158" w:lineRule="exact"/>
        <w:rPr>
          <w:sz w:val="20"/>
          <w:szCs w:val="20"/>
          <w:color w:val="auto"/>
        </w:rPr>
      </w:pPr>
    </w:p>
    <w:p>
      <w:pPr>
        <w:jc w:val="both"/>
        <w:ind w:firstLine="656"/>
        <w:spacing w:after="0" w:line="313" w:lineRule="auto"/>
        <w:tabs>
          <w:tab w:leader="none" w:pos="1496"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or any Subsidiary of the Company shall have the power and right to deduct or withhold, or require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to remit to the Company, an amount sufficient to satisfy any federal, state and local taxes (including the Grantee's FICA obligations) required by law to be withheld with respect to this Award.</w:t>
      </w:r>
    </w:p>
    <w:p>
      <w:pPr>
        <w:spacing w:after="0" w:line="68" w:lineRule="exact"/>
        <w:rPr>
          <w:rFonts w:ascii="Arial" w:cs="Arial" w:eastAsia="Arial" w:hAnsi="Arial"/>
          <w:sz w:val="18"/>
          <w:szCs w:val="18"/>
          <w:color w:val="auto"/>
        </w:rPr>
      </w:pPr>
    </w:p>
    <w:p>
      <w:pPr>
        <w:jc w:val="both"/>
        <w:ind w:firstLine="656"/>
        <w:spacing w:after="0" w:line="313" w:lineRule="auto"/>
        <w:tabs>
          <w:tab w:leader="none" w:pos="1506"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 xml:space="preserve">Ratification of Actions. </w:t>
      </w:r>
      <w:r>
        <w:rPr>
          <w:rFonts w:ascii="Arial" w:cs="Arial" w:eastAsia="Arial" w:hAnsi="Arial"/>
          <w:sz w:val="18"/>
          <w:szCs w:val="18"/>
          <w:color w:val="auto"/>
        </w:rPr>
        <w:t>By accepting this Award Agreement, the Grantee and each person claiming under or through the Grantee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conclusively deemed to have indicated the Grantee's acceptance and ratification of, and consent to, any action taken under the Plan, the Notice or this Award Agreement by the Company, the Board or the Committee.</w:t>
      </w:r>
    </w:p>
    <w:p>
      <w:pPr>
        <w:spacing w:after="0" w:line="68" w:lineRule="exact"/>
        <w:rPr>
          <w:rFonts w:ascii="Arial" w:cs="Arial" w:eastAsia="Arial" w:hAnsi="Arial"/>
          <w:sz w:val="18"/>
          <w:szCs w:val="18"/>
          <w:color w:val="auto"/>
        </w:rPr>
      </w:pPr>
    </w:p>
    <w:p>
      <w:pPr>
        <w:jc w:val="both"/>
        <w:ind w:firstLine="656"/>
        <w:spacing w:after="0" w:line="367" w:lineRule="auto"/>
        <w:tabs>
          <w:tab w:leader="none" w:pos="1496" w:val="left"/>
        </w:tabs>
        <w:numPr>
          <w:ilvl w:val="0"/>
          <w:numId w:val="160"/>
        </w:numPr>
        <w:rPr>
          <w:rFonts w:ascii="Arial" w:cs="Arial" w:eastAsia="Arial" w:hAnsi="Arial"/>
          <w:sz w:val="16"/>
          <w:szCs w:val="16"/>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Any notice required by the terms of this Award Agreement shall be given in writing and shall be deemed effective upon personal</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or upon 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33" w:lineRule="exact"/>
        <w:rPr>
          <w:rFonts w:ascii="Arial" w:cs="Arial" w:eastAsia="Arial" w:hAnsi="Arial"/>
          <w:sz w:val="16"/>
          <w:szCs w:val="16"/>
          <w:color w:val="auto"/>
        </w:rPr>
      </w:pPr>
    </w:p>
    <w:p>
      <w:pPr>
        <w:jc w:val="both"/>
        <w:ind w:firstLine="656"/>
        <w:spacing w:after="0" w:line="313" w:lineRule="auto"/>
        <w:tabs>
          <w:tab w:leader="none" w:pos="1506"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This Award Agreement and the Notice shall be governed by, and construed in accordance with, the laws of Florida,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any conflicts of law or choice of law rule or principle that might otherwise cause the Plan, this Award Agreement or the Notice to be governed by or construed in accordance with the substantive law of another jurisdiction.</w:t>
      </w:r>
    </w:p>
    <w:p>
      <w:pPr>
        <w:spacing w:after="0" w:line="68" w:lineRule="exact"/>
        <w:rPr>
          <w:rFonts w:ascii="Arial" w:cs="Arial" w:eastAsia="Arial" w:hAnsi="Arial"/>
          <w:sz w:val="18"/>
          <w:szCs w:val="18"/>
          <w:color w:val="auto"/>
        </w:rPr>
      </w:pPr>
    </w:p>
    <w:p>
      <w:pPr>
        <w:ind w:firstLine="656"/>
        <w:spacing w:after="0" w:line="329" w:lineRule="auto"/>
        <w:tabs>
          <w:tab w:leader="none" w:pos="1496"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 xml:space="preserve">Modification or Amendment. </w:t>
      </w:r>
      <w:r>
        <w:rPr>
          <w:rFonts w:ascii="Arial" w:cs="Arial" w:eastAsia="Arial" w:hAnsi="Arial"/>
          <w:sz w:val="18"/>
          <w:szCs w:val="18"/>
          <w:color w:val="auto"/>
        </w:rPr>
        <w:t>Except as otherwise provided in Section 4(k) of this Award Agreement, the Notice and this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may only be modified or amended by written agreement executed by the parties hereto.</w:t>
      </w:r>
    </w:p>
    <w:p>
      <w:pPr>
        <w:spacing w:after="0" w:line="53" w:lineRule="exact"/>
        <w:rPr>
          <w:rFonts w:ascii="Arial" w:cs="Arial" w:eastAsia="Arial" w:hAnsi="Arial"/>
          <w:sz w:val="18"/>
          <w:szCs w:val="18"/>
          <w:color w:val="auto"/>
        </w:rPr>
      </w:pPr>
    </w:p>
    <w:p>
      <w:pPr>
        <w:jc w:val="both"/>
        <w:ind w:firstLine="656"/>
        <w:spacing w:after="0" w:line="313" w:lineRule="auto"/>
        <w:tabs>
          <w:tab w:leader="none" w:pos="1476"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In the event any provision of this Award Agreement shall be held illegal or invalid for any reason, the illegality or invalidity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affect the remaining provisions of this Award Agreement, and this Award Agreement shall be construed and enforced as if such illegal or invalid provision had not been included.</w:t>
      </w:r>
    </w:p>
    <w:p>
      <w:pPr>
        <w:spacing w:after="0" w:line="68" w:lineRule="exact"/>
        <w:rPr>
          <w:rFonts w:ascii="Arial" w:cs="Arial" w:eastAsia="Arial" w:hAnsi="Arial"/>
          <w:sz w:val="18"/>
          <w:szCs w:val="18"/>
          <w:color w:val="auto"/>
        </w:rPr>
      </w:pPr>
    </w:p>
    <w:p>
      <w:pPr>
        <w:ind w:firstLine="656"/>
        <w:spacing w:after="0" w:line="329" w:lineRule="auto"/>
        <w:tabs>
          <w:tab w:leader="none" w:pos="1506"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Compensation under Other Arrangements</w:t>
      </w:r>
      <w:r>
        <w:rPr>
          <w:rFonts w:ascii="Arial" w:cs="Arial" w:eastAsia="Arial" w:hAnsi="Arial"/>
          <w:sz w:val="18"/>
          <w:szCs w:val="18"/>
          <w:color w:val="auto"/>
        </w:rPr>
        <w:t>. Amounts earned with respect to this Award shall not be included in any calculation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or change in control benefits or payments under any employment agreement or other compensatory arrangement.</w:t>
      </w:r>
    </w:p>
    <w:p>
      <w:pPr>
        <w:spacing w:after="0" w:line="53" w:lineRule="exact"/>
        <w:rPr>
          <w:rFonts w:ascii="Arial" w:cs="Arial" w:eastAsia="Arial" w:hAnsi="Arial"/>
          <w:sz w:val="18"/>
          <w:szCs w:val="18"/>
          <w:color w:val="auto"/>
        </w:rPr>
      </w:pPr>
    </w:p>
    <w:p>
      <w:pPr>
        <w:jc w:val="both"/>
        <w:ind w:firstLine="656"/>
        <w:spacing w:after="0" w:line="313" w:lineRule="auto"/>
        <w:tabs>
          <w:tab w:leader="none" w:pos="1506"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 xml:space="preserve">References to Plan and Headings. </w:t>
      </w:r>
      <w:r>
        <w:rPr>
          <w:rFonts w:ascii="Arial" w:cs="Arial" w:eastAsia="Arial" w:hAnsi="Arial"/>
          <w:sz w:val="18"/>
          <w:szCs w:val="18"/>
          <w:color w:val="auto"/>
        </w:rPr>
        <w:t>All references to the Plan shall be deemed references to the Plan as may be amended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Headings in the Notice and Award Agreement are for convenience and shall not in any way affect the meaning or interpretation of any of the provisions hereof.</w:t>
      </w:r>
    </w:p>
    <w:p>
      <w:pPr>
        <w:spacing w:after="0" w:line="68" w:lineRule="exact"/>
        <w:rPr>
          <w:rFonts w:ascii="Arial" w:cs="Arial" w:eastAsia="Arial" w:hAnsi="Arial"/>
          <w:sz w:val="18"/>
          <w:szCs w:val="18"/>
          <w:color w:val="auto"/>
        </w:rPr>
      </w:pPr>
    </w:p>
    <w:p>
      <w:pPr>
        <w:jc w:val="both"/>
        <w:ind w:right="20" w:firstLine="656"/>
        <w:spacing w:after="0" w:line="313" w:lineRule="auto"/>
        <w:tabs>
          <w:tab w:leader="none" w:pos="1466"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The Notice (including Appendix A) and this Award Agreement are the entire agreement between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Grantee relating to the subject matter thereof and hereof and supersede all prior agreements and understandings (including verbal agreements) between the Company and the Grantee relating to such subject matter.</w:t>
      </w:r>
    </w:p>
    <w:p>
      <w:pPr>
        <w:spacing w:after="0" w:line="68" w:lineRule="exact"/>
        <w:rPr>
          <w:rFonts w:ascii="Arial" w:cs="Arial" w:eastAsia="Arial" w:hAnsi="Arial"/>
          <w:sz w:val="18"/>
          <w:szCs w:val="18"/>
          <w:color w:val="auto"/>
        </w:rPr>
      </w:pPr>
    </w:p>
    <w:p>
      <w:pPr>
        <w:ind w:firstLine="656"/>
        <w:spacing w:after="0" w:line="329" w:lineRule="auto"/>
        <w:tabs>
          <w:tab w:leader="none" w:pos="1466"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 xml:space="preserve">Clawback. </w:t>
      </w:r>
      <w:r>
        <w:rPr>
          <w:rFonts w:ascii="Arial" w:cs="Arial" w:eastAsia="Arial" w:hAnsi="Arial"/>
          <w:sz w:val="18"/>
          <w:szCs w:val="18"/>
          <w:color w:val="auto"/>
        </w:rPr>
        <w:t>All amounts paid under this Award shall be subject to the Company's policy regarding clawback of incentive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as such policy may be amended from time to time.</w:t>
      </w:r>
    </w:p>
    <w:p>
      <w:pPr>
        <w:spacing w:after="0" w:line="53" w:lineRule="exact"/>
        <w:rPr>
          <w:rFonts w:ascii="Arial" w:cs="Arial" w:eastAsia="Arial" w:hAnsi="Arial"/>
          <w:sz w:val="18"/>
          <w:szCs w:val="18"/>
          <w:color w:val="auto"/>
        </w:rPr>
      </w:pPr>
    </w:p>
    <w:p>
      <w:pPr>
        <w:jc w:val="both"/>
        <w:ind w:firstLine="656"/>
        <w:spacing w:after="0" w:line="321" w:lineRule="auto"/>
        <w:tabs>
          <w:tab w:leader="none" w:pos="1506" w:val="left"/>
        </w:tabs>
        <w:numPr>
          <w:ilvl w:val="0"/>
          <w:numId w:val="160"/>
        </w:numPr>
        <w:rPr>
          <w:rFonts w:ascii="Arial" w:cs="Arial" w:eastAsia="Arial" w:hAnsi="Arial"/>
          <w:sz w:val="17"/>
          <w:szCs w:val="17"/>
          <w:color w:val="auto"/>
        </w:rPr>
      </w:pPr>
      <w:r>
        <w:rPr>
          <w:rFonts w:ascii="Arial" w:cs="Arial" w:eastAsia="Arial" w:hAnsi="Arial"/>
          <w:sz w:val="17"/>
          <w:szCs w:val="17"/>
          <w:b w:val="1"/>
          <w:bCs w:val="1"/>
          <w:color w:val="auto"/>
        </w:rPr>
        <w:t xml:space="preserve">Section 409A Compliance. </w:t>
      </w:r>
      <w:r>
        <w:rPr>
          <w:rFonts w:ascii="Arial" w:cs="Arial" w:eastAsia="Arial" w:hAnsi="Arial"/>
          <w:sz w:val="17"/>
          <w:szCs w:val="17"/>
          <w:color w:val="auto"/>
        </w:rPr>
        <w:t>It is intended that the Award qualify as a “short-term deferral” for purposes of Section 409A and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interpreted accordingly;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to the extent it is determined that the Award is subject to Section 409A, it is intended that the Award comply with the requirements of Section 409A, and the Plan, the Notice and this Award Agreement shall be interpreted accordingly and any provision thereof or hereof that would cause this Award to fail to comply with Section 409A will have no force or effect until amended to comply therewith (which amendment may be made without the Grantee's consent and may be retroactive to the extent permitted by Section 409A) and (ii) the Company will consult with the Grantee in good faith regarding the implementation of the provisions of this Section 4(k). The Grantee shall not be entitled to indemnification or other reimbursement for any taxes or other expenses incurred as a result of the applicability of Section 409A to the Award and neither the Company nor any of its employees or representatives shall have any liability to Grantee with respect to Section 409A.</w:t>
      </w:r>
    </w:p>
    <w:p>
      <w:pPr>
        <w:sectPr>
          <w:pgSz w:w="11900" w:h="16838" w:orient="portrait"/>
          <w:cols w:equalWidth="0" w:num="1">
            <w:col w:w="11420"/>
          </w:cols>
          <w:pgMar w:left="240" w:top="61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t>Form - Tier I</w:t>
      </w:r>
    </w:p>
    <w:p>
      <w:pPr>
        <w:spacing w:after="0" w:line="117" w:lineRule="exact"/>
        <w:rPr>
          <w:sz w:val="20"/>
          <w:szCs w:val="20"/>
          <w:color w:val="auto"/>
        </w:rPr>
      </w:pPr>
    </w:p>
    <w:p>
      <w:pPr>
        <w:ind w:left="5380"/>
        <w:spacing w:after="0"/>
        <w:rPr>
          <w:sz w:val="20"/>
          <w:szCs w:val="20"/>
          <w:color w:val="auto"/>
        </w:rPr>
      </w:pPr>
      <w:r>
        <w:rPr>
          <w:rFonts w:ascii="Arial" w:cs="Arial" w:eastAsia="Arial" w:hAnsi="Arial"/>
          <w:sz w:val="18"/>
          <w:szCs w:val="18"/>
          <w:u w:val="single" w:color="auto"/>
          <w:color w:val="auto"/>
        </w:rPr>
        <w:t>Annex A</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Examples to Illustrate Termination of Employment Provisions and Offset for Amounts Credited Under Prior Award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Example 1 </w:t>
      </w:r>
      <w:r>
        <w:rPr>
          <w:rFonts w:ascii="Arial" w:cs="Arial" w:eastAsia="Arial" w:hAnsi="Arial"/>
          <w:sz w:val="18"/>
          <w:szCs w:val="18"/>
          <w:color w:val="auto"/>
        </w:rPr>
        <w:t>- Termination described in Section 2(a) and Payment Condition is satisfied.</w:t>
      </w:r>
    </w:p>
    <w:p>
      <w:pPr>
        <w:spacing w:after="0" w:line="121"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u w:val="single" w:color="auto"/>
          <w:color w:val="auto"/>
        </w:rPr>
        <w:t>Facts</w:t>
      </w:r>
      <w:r>
        <w:rPr>
          <w:rFonts w:ascii="Arial" w:cs="Arial" w:eastAsia="Arial" w:hAnsi="Arial"/>
          <w:sz w:val="17"/>
          <w:szCs w:val="17"/>
          <w:color w:val="auto"/>
        </w:rPr>
        <w:t>: Grantee's employment is terminated by the Company without Cause on February 28, 2015. Based on ROI during the first Measurement Period (January 1, 2013 through December 31, 2013), the Grantee's Award Account was credited with $100,000 in February of 2014, but the Payment Condition was not satisfied in calendar year 2013, so the $100,000 was banked. Based on ROI in the second Measurement Period (January 1, 2013 through December 31, 2014), an additional $150,000 would have been credited to the Grantee's Award Account before March 15, 2015 had the Grantee remained employed. This $150,000 was not yet credited as of the date of termination. The Payment Condition is satisfied in calendar year 2014. With respect to each of the third Measurement Period (January 1, 2013 through December 31, 2015) and the fourth Measurement Period (January 1, 2013 through December 31, 2016), amounts are credited to the ROI Incentive Pool. These amounts would have resulted in a credit to the Grantee's Award Account of $200,000 and $300,000, respectively, between January 1 and March 15 of 2016 and 2017 had the Grantee remained employed. The Payment Condition is not satisfied in calendar year 2015, but they are satisfied in calendar year 2016.</w:t>
      </w:r>
    </w:p>
    <w:p>
      <w:pPr>
        <w:spacing w:after="0" w:line="74" w:lineRule="exact"/>
        <w:rPr>
          <w:sz w:val="20"/>
          <w:szCs w:val="20"/>
          <w:color w:val="auto"/>
        </w:rPr>
      </w:pPr>
    </w:p>
    <w:p>
      <w:pPr>
        <w:jc w:val="both"/>
        <w:ind w:left="340"/>
        <w:spacing w:after="0" w:line="262" w:lineRule="auto"/>
        <w:rPr>
          <w:sz w:val="20"/>
          <w:szCs w:val="20"/>
          <w:color w:val="auto"/>
        </w:rPr>
      </w:pPr>
      <w:r>
        <w:rPr>
          <w:rFonts w:ascii="Arial" w:cs="Arial" w:eastAsia="Arial" w:hAnsi="Arial"/>
          <w:sz w:val="16"/>
          <w:szCs w:val="16"/>
          <w:u w:val="single" w:color="auto"/>
          <w:color w:val="auto"/>
        </w:rPr>
        <w:t>Result</w:t>
      </w:r>
      <w:r>
        <w:rPr>
          <w:rFonts w:ascii="Arial" w:cs="Arial" w:eastAsia="Arial" w:hAnsi="Arial"/>
          <w:sz w:val="16"/>
          <w:szCs w:val="16"/>
          <w:color w:val="auto"/>
        </w:rPr>
        <w:t>: The Grantee's Award Account would be credited with the $150,000 attributable to the second Measurement Period at the same time such amount would have been credited had the termination not occurred - no later than March 15, 2015. Since the Payment Condition is satisfied in calendar year 2014 (the second Net Income Measurement Period), the $100,000 Banked Amount and the $150,000 credited in 2015 would be paid, less applicable tax withholdings, as soon as practicable in 2015, but in no event later than March 15, 2015. With respect to the third Measurement Period, a prorated amount of $152,150 (973/1,279</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x $200,000) would be credited to the Grantee's Award Account, but it would be banked since the Payment Condition was not satisfied in calendar year 2015. With respect to the fourth Measurement Period, a prorated amount of $177,447 (973/1,645</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x $300,000) would be credited to the Grantee's Award Account. Since the Payment Condition was satisfied in calendar year 2016, the $329,597 attributable to the third and fourth Measurement Periods would be paid, less applicable tax withholdings, as soon as practicable in 2017, but in no event later than March 15, 2017.</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Example 2 </w:t>
      </w:r>
      <w:r>
        <w:rPr>
          <w:rFonts w:ascii="Arial" w:cs="Arial" w:eastAsia="Arial" w:hAnsi="Arial"/>
          <w:sz w:val="18"/>
          <w:szCs w:val="18"/>
          <w:color w:val="auto"/>
        </w:rPr>
        <w:t>- Termination described in Section 2(a) and Payment Condition is not satisfied.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Facts</w:t>
      </w:r>
      <w:r>
        <w:rPr>
          <w:rFonts w:ascii="Arial" w:cs="Arial" w:eastAsia="Arial" w:hAnsi="Arial"/>
          <w:sz w:val="17"/>
          <w:szCs w:val="17"/>
          <w:color w:val="auto"/>
        </w:rPr>
        <w:t>: Assume the Same facts as in example 1, except that the Payment Condition is not satisfied during any Net Income Measurement Period.</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Result</w:t>
      </w:r>
      <w:r>
        <w:rPr>
          <w:rFonts w:ascii="Arial" w:cs="Arial" w:eastAsia="Arial" w:hAnsi="Arial"/>
          <w:sz w:val="18"/>
          <w:szCs w:val="18"/>
          <w:color w:val="auto"/>
        </w:rPr>
        <w:t>: Since the Payment Condition is not satisfied, no payment would be made with respect to any Measurement Periods.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Example 3 </w:t>
      </w:r>
      <w:r>
        <w:rPr>
          <w:rFonts w:ascii="Arial" w:cs="Arial" w:eastAsia="Arial" w:hAnsi="Arial"/>
          <w:sz w:val="18"/>
          <w:szCs w:val="18"/>
          <w:color w:val="auto"/>
        </w:rPr>
        <w:t>- Termination described in Section 2(b) and Payment Condition is satisfied.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Facts</w:t>
      </w:r>
      <w:r>
        <w:rPr>
          <w:rFonts w:ascii="Arial" w:cs="Arial" w:eastAsia="Arial" w:hAnsi="Arial"/>
          <w:sz w:val="18"/>
          <w:szCs w:val="18"/>
          <w:color w:val="auto"/>
        </w:rPr>
        <w:t>: Assume the Same facts as in example 1, except that the Grantee's employment is terminated voluntarily (not for Good Reason).</w:t>
      </w:r>
    </w:p>
    <w:p>
      <w:pPr>
        <w:spacing w:after="0" w:line="117"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u w:val="single" w:color="auto"/>
          <w:color w:val="auto"/>
        </w:rPr>
        <w:t>Result</w:t>
      </w:r>
      <w:r>
        <w:rPr>
          <w:rFonts w:ascii="Arial" w:cs="Arial" w:eastAsia="Arial" w:hAnsi="Arial"/>
          <w:sz w:val="17"/>
          <w:szCs w:val="17"/>
          <w:color w:val="auto"/>
        </w:rPr>
        <w:t>: Since the Grantee satisfied the Service Condition with respect to the first two Measurement Periods prior to voluntarily terminating employment, the Grantee's Award Account would have been credited with the $100,000 relating to the first Measurement Period (and banked since the Payment Condition was not satisfied in calendar year 2013) and the Grantee's Award Account would also be credited with the additional $150,000 relating to the second Measurement Period at the same time such amount would have been credited had the termination not occurred - no later than March 15, 2015. Since the Payment Condition was satisfied in calendar year 2014 (the most recent Net Income Measurement Period that ended prior to the Grantee's termination of employment), the $100,000 Banked Amount and the $150,000 credited in 2015 would be paid, less applicable tax withholdings, as soon as practicable in 2015, but in no event later than March 15, 2015. No further credits or payments would be made with respect to the third or fourth Measurement Periods since the termination was a voluntary termination.*If the Company terminated the Grantee's employment for Cause, no amounts would be paid with respect to any Measurement Period.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w:t>
      </w:r>
    </w:p>
    <w:p>
      <w:pPr>
        <w:spacing w:after="0" w:line="66" w:lineRule="exact"/>
        <w:rPr>
          <w:sz w:val="20"/>
          <w:szCs w:val="20"/>
          <w:color w:val="auto"/>
        </w:rPr>
      </w:pPr>
    </w:p>
    <w:p>
      <w:pPr>
        <w:ind w:firstLine="8"/>
        <w:spacing w:after="0" w:line="216" w:lineRule="auto"/>
        <w:tabs>
          <w:tab w:leader="none" w:pos="133" w:val="left"/>
        </w:tabs>
        <w:numPr>
          <w:ilvl w:val="0"/>
          <w:numId w:val="161"/>
        </w:numPr>
        <w:rPr>
          <w:rFonts w:ascii="Arial" w:cs="Arial" w:eastAsia="Arial" w:hAnsi="Arial"/>
          <w:sz w:val="25"/>
          <w:szCs w:val="25"/>
          <w:color w:val="auto"/>
          <w:vertAlign w:val="superscript"/>
        </w:rPr>
      </w:pPr>
      <w:r>
        <w:rPr>
          <w:rFonts w:ascii="Arial" w:cs="Arial" w:eastAsia="Arial" w:hAnsi="Arial"/>
          <w:sz w:val="18"/>
          <w:szCs w:val="18"/>
          <w:color w:val="auto"/>
        </w:rPr>
        <w:t>The numerator is the total number of days worked during the third Measurement Period and the denominator is the total number of days in the third Measurement Period.</w:t>
      </w:r>
    </w:p>
    <w:p>
      <w:pPr>
        <w:spacing w:after="0" w:line="1" w:lineRule="exact"/>
        <w:rPr>
          <w:rFonts w:ascii="Arial" w:cs="Arial" w:eastAsia="Arial" w:hAnsi="Arial"/>
          <w:sz w:val="25"/>
          <w:szCs w:val="25"/>
          <w:color w:val="auto"/>
          <w:vertAlign w:val="superscript"/>
        </w:rPr>
      </w:pPr>
    </w:p>
    <w:p>
      <w:pPr>
        <w:ind w:right="20"/>
        <w:spacing w:after="0" w:line="209"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The numerator is the total number of days worked during the fourth Measurement Period and the denominator is the total number of days in the fourth Measurement Period.</w:t>
      </w:r>
    </w:p>
    <w:p>
      <w:pPr>
        <w:sectPr>
          <w:pgSz w:w="11900" w:h="16838" w:orient="portrait"/>
          <w:cols w:equalWidth="0" w:num="1">
            <w:col w:w="11420"/>
          </w:cols>
          <w:pgMar w:left="240" w:top="584"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 xml:space="preserve">Example 4 </w:t>
      </w:r>
      <w:r>
        <w:rPr>
          <w:rFonts w:ascii="Arial" w:cs="Arial" w:eastAsia="Arial" w:hAnsi="Arial"/>
          <w:sz w:val="18"/>
          <w:szCs w:val="18"/>
          <w:color w:val="auto"/>
        </w:rPr>
        <w:t>- Termination described in Section 2(b) and Payment Condition is not satisfied.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Facts</w:t>
      </w:r>
      <w:r>
        <w:rPr>
          <w:rFonts w:ascii="Arial" w:cs="Arial" w:eastAsia="Arial" w:hAnsi="Arial"/>
          <w:sz w:val="16"/>
          <w:szCs w:val="16"/>
          <w:color w:val="auto"/>
        </w:rPr>
        <w:t>: Assume the Same facts as in example 3, except that the Payment Condition was not satisfied during the second Net Income Measurement Period.</w:t>
      </w:r>
    </w:p>
    <w:p>
      <w:pPr>
        <w:spacing w:after="0" w:line="14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u w:val="single" w:color="auto"/>
          <w:color w:val="auto"/>
        </w:rPr>
        <w:t>Result</w:t>
      </w:r>
      <w:r>
        <w:rPr>
          <w:rFonts w:ascii="Arial" w:cs="Arial" w:eastAsia="Arial" w:hAnsi="Arial"/>
          <w:sz w:val="18"/>
          <w:szCs w:val="18"/>
          <w:color w:val="auto"/>
        </w:rPr>
        <w:t>: Since the Payment Condition was not satisfied in calendar year 2014, no payment would be made with respect to the first two Measurement Periods, regardless of whether the Payment Condition was satisfied in the third or fourth Net Income Measurement Periods. No credits or payments would be made with respect to the third or fourth Measurement Periods since the termination was a voluntary termination, regardless of whether the Payment Condition was satisfied in the third or fourth Net Income Measurement Periods.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Example 5 </w:t>
      </w:r>
      <w:r>
        <w:rPr>
          <w:rFonts w:ascii="Arial" w:cs="Arial" w:eastAsia="Arial" w:hAnsi="Arial"/>
          <w:sz w:val="18"/>
          <w:szCs w:val="18"/>
          <w:color w:val="auto"/>
        </w:rPr>
        <w:t>- Offset Described in Appendix A Relating to Amounts Credited Under Prior Award</w:t>
      </w:r>
    </w:p>
    <w:p>
      <w:pPr>
        <w:spacing w:after="0" w:line="121" w:lineRule="exact"/>
        <w:rPr>
          <w:sz w:val="20"/>
          <w:szCs w:val="20"/>
          <w:color w:val="auto"/>
        </w:rPr>
      </w:pPr>
    </w:p>
    <w:p>
      <w:pPr>
        <w:jc w:val="both"/>
        <w:ind w:left="340"/>
        <w:spacing w:after="0" w:line="284" w:lineRule="auto"/>
        <w:rPr>
          <w:sz w:val="20"/>
          <w:szCs w:val="20"/>
          <w:color w:val="auto"/>
        </w:rPr>
      </w:pPr>
      <w:r>
        <w:rPr>
          <w:rFonts w:ascii="Arial" w:cs="Arial" w:eastAsia="Arial" w:hAnsi="Arial"/>
          <w:sz w:val="16"/>
          <w:szCs w:val="16"/>
          <w:u w:val="single" w:color="auto"/>
          <w:color w:val="auto"/>
        </w:rPr>
        <w:t>Facts</w:t>
      </w:r>
      <w:r>
        <w:rPr>
          <w:rFonts w:ascii="Arial" w:cs="Arial" w:eastAsia="Arial" w:hAnsi="Arial"/>
          <w:sz w:val="16"/>
          <w:szCs w:val="16"/>
          <w:color w:val="auto"/>
        </w:rPr>
        <w:t>: Assume Grantee earned an Award in 2012 relating to []% of the ROI Incentive Pool and with Measurement Periods from July 1, 2012 to each of December 31, 2013, December 31, 2014, December 31, 2015 and December 31, 2016 (the “</w:t>
      </w:r>
      <w:r>
        <w:rPr>
          <w:rFonts w:ascii="Arial" w:cs="Arial" w:eastAsia="Arial" w:hAnsi="Arial"/>
          <w:sz w:val="16"/>
          <w:szCs w:val="16"/>
          <w:u w:val="single" w:color="auto"/>
          <w:color w:val="auto"/>
        </w:rPr>
        <w:t>2012 Award</w:t>
      </w:r>
      <w:r>
        <w:rPr>
          <w:rFonts w:ascii="Arial" w:cs="Arial" w:eastAsia="Arial" w:hAnsi="Arial"/>
          <w:sz w:val="16"/>
          <w:szCs w:val="16"/>
          <w:color w:val="auto"/>
        </w:rPr>
        <w:t>”). Assume Grantee also earned an award in 2013 (the “</w:t>
      </w:r>
      <w:r>
        <w:rPr>
          <w:rFonts w:ascii="Arial" w:cs="Arial" w:eastAsia="Arial" w:hAnsi="Arial"/>
          <w:sz w:val="16"/>
          <w:szCs w:val="16"/>
          <w:u w:val="single" w:color="auto"/>
          <w:color w:val="auto"/>
        </w:rPr>
        <w:t>2013 Award</w:t>
      </w:r>
      <w:r>
        <w:rPr>
          <w:rFonts w:ascii="Arial" w:cs="Arial" w:eastAsia="Arial" w:hAnsi="Arial"/>
          <w:sz w:val="16"/>
          <w:szCs w:val="16"/>
          <w:color w:val="auto"/>
        </w:rPr>
        <w:t>”). The 2013 Award relates to []% of the ROI Incentive Pool and the Measurement Periods from January 1, 2013 to each of December 31, 2013, December 31, 2014, December 31, 2015 and December 31, 2016. Thus, the Measurement Periods for the 2012 Award and 2013 Award overlap, other than with respect to the period from July 1, 2012 to December 31, 2012 (the “</w:t>
      </w:r>
      <w:r>
        <w:rPr>
          <w:rFonts w:ascii="Arial" w:cs="Arial" w:eastAsia="Arial" w:hAnsi="Arial"/>
          <w:sz w:val="16"/>
          <w:szCs w:val="16"/>
          <w:u w:val="single" w:color="auto"/>
          <w:color w:val="auto"/>
        </w:rPr>
        <w:t>Non-Overlapping Period</w:t>
      </w:r>
      <w:r>
        <w:rPr>
          <w:rFonts w:ascii="Arial" w:cs="Arial" w:eastAsia="Arial" w:hAnsi="Arial"/>
          <w:sz w:val="16"/>
          <w:szCs w:val="16"/>
          <w:color w:val="auto"/>
        </w:rPr>
        <w:t>”). Assume that during the first Measurement Period under the 2012 Award (from July 1, 2012 to December 31, 2013), the Company recognized $[] million of ROI, $[] million of which was attributable to the Non-Overlapping Period (2012) and $[] million of which was attributable to the period between January 1, 2013 and December 31, 2013. Under the 2012 Award, in the first quarter of 2014, $[] million would be credited to the Grantee's Award Account with respect to the first Measurement Period. Note that the contribution to the Grantee's Award Account would have been $[] million ([]% of $[] million), but for the $[] million limitation under the Plan. Under the 2013 Award, $[] million ([]% of $[] million) would be credited to the Grantee's Award Account. This $[] million credit is equal to (i) $[] million ([]% of the $[] million credited to the ROI Incentive Pool with respect to the Investments for the first Measurement Period), less (ii) $[], which is the amount credited to the “Grantee's Award Account” under the 2012 Award that was attributable to ROI relating to the same days included in the Measurement Period under the 2013 Award (</w:t>
      </w:r>
      <w:r>
        <w:rPr>
          <w:rFonts w:ascii="Arial" w:cs="Arial" w:eastAsia="Arial" w:hAnsi="Arial"/>
          <w:sz w:val="16"/>
          <w:szCs w:val="16"/>
          <w:i w:val="1"/>
          <w:iCs w:val="1"/>
          <w:color w:val="auto"/>
        </w:rPr>
        <w:t>i.e.,</w:t>
      </w:r>
      <w:r>
        <w:rPr>
          <w:rFonts w:ascii="Arial" w:cs="Arial" w:eastAsia="Arial" w:hAnsi="Arial"/>
          <w:sz w:val="16"/>
          <w:szCs w:val="16"/>
          <w:color w:val="auto"/>
        </w:rPr>
        <w:t xml:space="preserve"> the period from January 1, 2013 to December 31, 2013). For the avoidance of doubt, there would be $[] reduction of the $[] million credit under the 2013 Award since all of the $[] million credited to the Grantee's Award Account under the 2012 Award would be attributable to the days during the Non-Overlapping Period - between July 1, 2012 and December 31, 2012 (since $[] million of the $[] million was attributable to the 2012 period) and none would be attributed to the period between January 1, 2013 to December 31, 2013. Together, $[] million ($[] million under the 2012 Award and $[] million under the 2013 Award) would be paid to the Grantee in the first quarter of 2014 with respect to the first Measurement Periods under the Awards (July 1, 2012 - December 31, 2013 for the 2012 Award and January 1, 2013 to December 31, 2013 for the 2013 Award), assuming no negative discretion is exercised by the Committee. To the extent any additional ROI were to be recognized in any subsequent Measurement Periods, there would be no further reductions relating to amounts credited under the 2012 Award, since no further amounts could be credited under the 2012 Award due to the $[] million limitation under the Plan.</w:t>
      </w:r>
    </w:p>
    <w:p>
      <w:pPr>
        <w:sectPr>
          <w:pgSz w:w="11900" w:h="16838" w:orient="portrait"/>
          <w:cols w:equalWidth="0" w:num="1">
            <w:col w:w="11420"/>
          </w:cols>
          <w:pgMar w:left="240" w:top="580" w:right="239" w:bottom="1440" w:gutter="0" w:footer="0" w:header="0"/>
        </w:sectPr>
      </w:pPr>
    </w:p>
    <w:bookmarkStart w:id="140" w:name="page141"/>
    <w:bookmarkEnd w:id="140"/>
    <w:p>
      <w:pPr>
        <w:jc w:val="right"/>
        <w:ind w:right="20"/>
        <w:spacing w:after="0"/>
        <w:rPr>
          <w:sz w:val="20"/>
          <w:szCs w:val="20"/>
          <w:color w:val="auto"/>
        </w:rPr>
      </w:pPr>
      <w:r>
        <w:rPr>
          <w:rFonts w:ascii="Arial" w:cs="Arial" w:eastAsia="Arial" w:hAnsi="Arial"/>
          <w:sz w:val="18"/>
          <w:szCs w:val="18"/>
          <w:b w:val="1"/>
          <w:bCs w:val="1"/>
          <w:color w:val="auto"/>
        </w:rPr>
        <w:t>Exhibit 10.4</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Fidelity National Financial, Inc.</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Notice of Long-Term Investment Success Performance Award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You (the “</w:t>
      </w:r>
      <w:r>
        <w:rPr>
          <w:rFonts w:ascii="Arial" w:cs="Arial" w:eastAsia="Arial" w:hAnsi="Arial"/>
          <w:sz w:val="17"/>
          <w:szCs w:val="17"/>
          <w:u w:val="single" w:color="auto"/>
          <w:color w:val="auto"/>
        </w:rPr>
        <w:t>Grantee</w:t>
      </w:r>
      <w:r>
        <w:rPr>
          <w:rFonts w:ascii="Arial" w:cs="Arial" w:eastAsia="Arial" w:hAnsi="Arial"/>
          <w:sz w:val="17"/>
          <w:szCs w:val="17"/>
          <w:color w:val="auto"/>
        </w:rPr>
        <w:t>”) have been granted the following Long-Term Investment Success Performance Award (the “</w:t>
      </w:r>
      <w:r>
        <w:rPr>
          <w:rFonts w:ascii="Arial" w:cs="Arial" w:eastAsia="Arial" w:hAnsi="Arial"/>
          <w:sz w:val="17"/>
          <w:szCs w:val="17"/>
          <w:u w:val="single" w:color="auto"/>
          <w:color w:val="auto"/>
        </w:rPr>
        <w:t>Award</w:t>
      </w:r>
      <w:r>
        <w:rPr>
          <w:rFonts w:ascii="Arial" w:cs="Arial" w:eastAsia="Arial" w:hAnsi="Arial"/>
          <w:sz w:val="17"/>
          <w:szCs w:val="17"/>
          <w:color w:val="auto"/>
        </w:rPr>
        <w:t>”) pursuant to the Amended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Restated Fidelity National Financial, Inc. 2005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Grantee:</w:t>
            </w:r>
          </w:p>
        </w:tc>
        <w:tc>
          <w:tcPr>
            <w:tcW w:w="5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Award Opportunity:</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appendix A</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Effective Date of Grant:</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March 19, 2013</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Vesting Conditions: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appendix A</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By your signature and the signature of the Company's representative below, you and Fidelity National Financial, Inc. (the “</w:t>
      </w:r>
      <w:r>
        <w:rPr>
          <w:rFonts w:ascii="Arial" w:cs="Arial" w:eastAsia="Arial" w:hAnsi="Arial"/>
          <w:sz w:val="17"/>
          <w:szCs w:val="17"/>
          <w:u w:val="single" w:color="auto"/>
          <w:color w:val="auto"/>
        </w:rPr>
        <w:t>Company</w:t>
      </w:r>
      <w:r>
        <w:rPr>
          <w:rFonts w:ascii="Arial" w:cs="Arial" w:eastAsia="Arial" w:hAnsi="Arial"/>
          <w:sz w:val="17"/>
          <w:szCs w:val="17"/>
          <w:color w:val="auto"/>
        </w:rPr>
        <w:t>”) agree and acknowledge that the Award is granted under and governed by the terms and conditions of the Plan, this Notice of Long-Term Investment Success Performance Award (including Appendix A, the “</w:t>
      </w:r>
      <w:r>
        <w:rPr>
          <w:rFonts w:ascii="Arial" w:cs="Arial" w:eastAsia="Arial" w:hAnsi="Arial"/>
          <w:sz w:val="17"/>
          <w:szCs w:val="17"/>
          <w:u w:val="single" w:color="auto"/>
          <w:color w:val="auto"/>
        </w:rPr>
        <w:t>Notice</w:t>
      </w:r>
      <w:r>
        <w:rPr>
          <w:rFonts w:ascii="Arial" w:cs="Arial" w:eastAsia="Arial" w:hAnsi="Arial"/>
          <w:sz w:val="17"/>
          <w:szCs w:val="17"/>
          <w:color w:val="auto"/>
        </w:rPr>
        <w:t>”) and the Long-Term Investment Success Performance Award Agreement (the “</w:t>
      </w:r>
      <w:r>
        <w:rPr>
          <w:rFonts w:ascii="Arial" w:cs="Arial" w:eastAsia="Arial" w:hAnsi="Arial"/>
          <w:sz w:val="17"/>
          <w:szCs w:val="17"/>
          <w:u w:val="single" w:color="auto"/>
          <w:color w:val="auto"/>
        </w:rPr>
        <w:t>Award Agreement</w:t>
      </w:r>
      <w:r>
        <w:rPr>
          <w:rFonts w:ascii="Arial" w:cs="Arial" w:eastAsia="Arial" w:hAnsi="Arial"/>
          <w:sz w:val="17"/>
          <w:szCs w:val="17"/>
          <w:color w:val="auto"/>
        </w:rPr>
        <w:t>”), which are incorporated herein by reference, and that you have been provided a copy of the Plan, the Notice and the Award Agreement.</w:t>
      </w: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40" w:type="dxa"/>
            <w:vAlign w:val="bottom"/>
          </w:tcPr>
          <w:p>
            <w:pPr>
              <w:jc w:val="right"/>
              <w:ind w:right="570"/>
              <w:spacing w:after="0"/>
              <w:rPr>
                <w:sz w:val="20"/>
                <w:szCs w:val="20"/>
                <w:color w:val="auto"/>
              </w:rPr>
            </w:pPr>
            <w:r>
              <w:rPr>
                <w:rFonts w:ascii="Arial" w:cs="Arial" w:eastAsia="Arial" w:hAnsi="Arial"/>
                <w:sz w:val="18"/>
                <w:szCs w:val="18"/>
                <w:b w:val="1"/>
                <w:bCs w:val="1"/>
                <w:color w:val="auto"/>
                <w:w w:val="89"/>
              </w:rPr>
              <w:t>Grantee:</w:t>
            </w:r>
          </w:p>
        </w:tc>
        <w:tc>
          <w:tcPr>
            <w:tcW w:w="2860" w:type="dxa"/>
            <w:vAlign w:val="bottom"/>
          </w:tcPr>
          <w:p>
            <w:pPr>
              <w:spacing w:after="0"/>
              <w:rPr>
                <w:sz w:val="20"/>
                <w:szCs w:val="20"/>
                <w:color w:val="auto"/>
              </w:rPr>
            </w:pPr>
          </w:p>
        </w:tc>
        <w:tc>
          <w:tcPr>
            <w:tcW w:w="7180" w:type="dxa"/>
            <w:vAlign w:val="bottom"/>
            <w:gridSpan w:val="2"/>
          </w:tcPr>
          <w:p>
            <w:pPr>
              <w:ind w:left="3120"/>
              <w:spacing w:after="0"/>
              <w:rPr>
                <w:sz w:val="20"/>
                <w:szCs w:val="20"/>
                <w:color w:val="auto"/>
              </w:rPr>
            </w:pPr>
            <w:r>
              <w:rPr>
                <w:rFonts w:ascii="Arial" w:cs="Arial" w:eastAsia="Arial" w:hAnsi="Arial"/>
                <w:sz w:val="18"/>
                <w:szCs w:val="18"/>
                <w:b w:val="1"/>
                <w:bCs w:val="1"/>
                <w:color w:val="auto"/>
              </w:rPr>
              <w:t>Fidelity National Financial, Inc.</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By:</w:t>
            </w:r>
          </w:p>
        </w:tc>
        <w:tc>
          <w:tcPr>
            <w:tcW w:w="2860" w:type="dxa"/>
            <w:vAlign w:val="bottom"/>
          </w:tcPr>
          <w:p>
            <w:pPr>
              <w:spacing w:after="0"/>
              <w:rPr>
                <w:sz w:val="23"/>
                <w:szCs w:val="23"/>
                <w:color w:val="auto"/>
              </w:rPr>
            </w:pPr>
          </w:p>
        </w:tc>
        <w:tc>
          <w:tcPr>
            <w:tcW w:w="7180" w:type="dxa"/>
            <w:vAlign w:val="bottom"/>
            <w:gridSpan w:val="2"/>
          </w:tcPr>
          <w:p>
            <w:pPr>
              <w:ind w:left="4040"/>
              <w:spacing w:after="0"/>
              <w:rPr>
                <w:sz w:val="20"/>
                <w:szCs w:val="20"/>
                <w:color w:val="auto"/>
              </w:rPr>
            </w:pPr>
            <w:r>
              <w:rPr>
                <w:rFonts w:ascii="Arial" w:cs="Arial" w:eastAsia="Arial" w:hAnsi="Arial"/>
                <w:sz w:val="18"/>
                <w:szCs w:val="18"/>
                <w:color w:val="auto"/>
              </w:rPr>
              <w:t>By:</w:t>
            </w:r>
          </w:p>
        </w:tc>
      </w:tr>
      <w:tr>
        <w:trPr>
          <w:trHeight w:val="27"/>
        </w:trPr>
        <w:tc>
          <w:tcPr>
            <w:tcW w:w="134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7"/>
        </w:trPr>
        <w:tc>
          <w:tcPr>
            <w:tcW w:w="1340" w:type="dxa"/>
            <w:vAlign w:val="bottom"/>
          </w:tcPr>
          <w:p>
            <w:pPr>
              <w:jc w:val="right"/>
              <w:spacing w:after="0"/>
              <w:rPr>
                <w:sz w:val="20"/>
                <w:szCs w:val="20"/>
                <w:color w:val="auto"/>
              </w:rPr>
            </w:pPr>
            <w:r>
              <w:rPr>
                <w:rFonts w:ascii="Arial" w:cs="Arial" w:eastAsia="Arial" w:hAnsi="Arial"/>
                <w:sz w:val="18"/>
                <w:szCs w:val="18"/>
                <w:color w:val="auto"/>
              </w:rPr>
              <w:t>Print Name:</w:t>
            </w:r>
          </w:p>
        </w:tc>
        <w:tc>
          <w:tcPr>
            <w:tcW w:w="2860" w:type="dxa"/>
            <w:vAlign w:val="bottom"/>
          </w:tcPr>
          <w:p>
            <w:pPr>
              <w:spacing w:after="0"/>
              <w:rPr>
                <w:sz w:val="20"/>
                <w:szCs w:val="20"/>
                <w:color w:val="auto"/>
              </w:rPr>
            </w:pPr>
          </w:p>
        </w:tc>
        <w:tc>
          <w:tcPr>
            <w:tcW w:w="7180" w:type="dxa"/>
            <w:vAlign w:val="bottom"/>
            <w:gridSpan w:val="2"/>
          </w:tcPr>
          <w:p>
            <w:pPr>
              <w:ind w:left="3420"/>
              <w:spacing w:after="0"/>
              <w:rPr>
                <w:sz w:val="20"/>
                <w:szCs w:val="20"/>
                <w:color w:val="auto"/>
              </w:rPr>
            </w:pPr>
            <w:r>
              <w:rPr>
                <w:rFonts w:ascii="Arial" w:cs="Arial" w:eastAsia="Arial" w:hAnsi="Arial"/>
                <w:sz w:val="18"/>
                <w:szCs w:val="18"/>
                <w:color w:val="auto"/>
              </w:rPr>
              <w:t>Print Name: George P. Scanlon</w:t>
            </w:r>
          </w:p>
        </w:tc>
      </w:tr>
      <w:tr>
        <w:trPr>
          <w:trHeight w:val="27"/>
        </w:trPr>
        <w:tc>
          <w:tcPr>
            <w:tcW w:w="134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7"/>
        </w:trPr>
        <w:tc>
          <w:tcPr>
            <w:tcW w:w="1340" w:type="dxa"/>
            <w:vAlign w:val="bottom"/>
          </w:tcPr>
          <w:p>
            <w:pPr>
              <w:jc w:val="right"/>
              <w:spacing w:after="0"/>
              <w:rPr>
                <w:sz w:val="20"/>
                <w:szCs w:val="20"/>
                <w:color w:val="auto"/>
              </w:rPr>
            </w:pPr>
            <w:r>
              <w:rPr>
                <w:rFonts w:ascii="Arial" w:cs="Arial" w:eastAsia="Arial" w:hAnsi="Arial"/>
                <w:sz w:val="18"/>
                <w:szCs w:val="18"/>
                <w:color w:val="auto"/>
              </w:rPr>
              <w:t>Date:</w:t>
            </w:r>
          </w:p>
        </w:tc>
        <w:tc>
          <w:tcPr>
            <w:tcW w:w="2860" w:type="dxa"/>
            <w:vAlign w:val="bottom"/>
          </w:tcPr>
          <w:p>
            <w:pPr>
              <w:ind w:left="40"/>
              <w:spacing w:after="0"/>
              <w:rPr>
                <w:sz w:val="20"/>
                <w:szCs w:val="20"/>
                <w:color w:val="auto"/>
              </w:rPr>
            </w:pPr>
            <w:r>
              <w:rPr>
                <w:rFonts w:ascii="Arial" w:cs="Arial" w:eastAsia="Arial" w:hAnsi="Arial"/>
                <w:sz w:val="18"/>
                <w:szCs w:val="18"/>
                <w:color w:val="auto"/>
              </w:rPr>
              <w:t>March 19, 2013</w:t>
            </w:r>
          </w:p>
        </w:tc>
        <w:tc>
          <w:tcPr>
            <w:tcW w:w="7180" w:type="dxa"/>
            <w:vAlign w:val="bottom"/>
            <w:gridSpan w:val="2"/>
          </w:tcPr>
          <w:p>
            <w:pPr>
              <w:ind w:left="4080"/>
              <w:spacing w:after="0"/>
              <w:rPr>
                <w:sz w:val="20"/>
                <w:szCs w:val="20"/>
                <w:color w:val="auto"/>
              </w:rPr>
            </w:pPr>
            <w:r>
              <w:rPr>
                <w:rFonts w:ascii="Arial" w:cs="Arial" w:eastAsia="Arial" w:hAnsi="Arial"/>
                <w:sz w:val="18"/>
                <w:szCs w:val="18"/>
                <w:color w:val="auto"/>
              </w:rPr>
              <w:t>Its: Chief Executive Officer</w:t>
            </w:r>
          </w:p>
        </w:tc>
      </w:tr>
      <w:tr>
        <w:trPr>
          <w:trHeight w:val="27"/>
        </w:trPr>
        <w:tc>
          <w:tcPr>
            <w:tcW w:w="134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7"/>
        </w:trPr>
        <w:tc>
          <w:tcPr>
            <w:tcW w:w="1340" w:type="dxa"/>
            <w:vAlign w:val="bottom"/>
          </w:tcPr>
          <w:p>
            <w:pPr>
              <w:jc w:val="right"/>
              <w:spacing w:after="0"/>
              <w:rPr>
                <w:sz w:val="20"/>
                <w:szCs w:val="20"/>
                <w:color w:val="auto"/>
              </w:rPr>
            </w:pPr>
            <w:r>
              <w:rPr>
                <w:rFonts w:ascii="Arial" w:cs="Arial" w:eastAsia="Arial" w:hAnsi="Arial"/>
                <w:sz w:val="18"/>
                <w:szCs w:val="18"/>
                <w:color w:val="auto"/>
              </w:rPr>
              <w:t>Address:</w:t>
            </w:r>
          </w:p>
        </w:tc>
        <w:tc>
          <w:tcPr>
            <w:tcW w:w="2860" w:type="dxa"/>
            <w:vAlign w:val="bottom"/>
          </w:tcPr>
          <w:p>
            <w:pPr>
              <w:ind w:left="40"/>
              <w:spacing w:after="0"/>
              <w:rPr>
                <w:sz w:val="20"/>
                <w:szCs w:val="20"/>
                <w:color w:val="auto"/>
              </w:rPr>
            </w:pPr>
            <w:r>
              <w:rPr>
                <w:rFonts w:ascii="Arial" w:cs="Arial" w:eastAsia="Arial" w:hAnsi="Arial"/>
                <w:sz w:val="18"/>
                <w:szCs w:val="18"/>
                <w:color w:val="auto"/>
              </w:rPr>
              <w:t>601 Riverside Avenue</w:t>
            </w:r>
          </w:p>
        </w:tc>
        <w:tc>
          <w:tcPr>
            <w:tcW w:w="434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7"/>
        </w:trPr>
        <w:tc>
          <w:tcPr>
            <w:tcW w:w="134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37"/>
        </w:trPr>
        <w:tc>
          <w:tcPr>
            <w:tcW w:w="1340" w:type="dxa"/>
            <w:vAlign w:val="bottom"/>
          </w:tcPr>
          <w:p>
            <w:pPr>
              <w:spacing w:after="0"/>
              <w:rPr>
                <w:sz w:val="20"/>
                <w:szCs w:val="20"/>
                <w:color w:val="auto"/>
              </w:rPr>
            </w:pPr>
          </w:p>
        </w:tc>
        <w:tc>
          <w:tcPr>
            <w:tcW w:w="2860" w:type="dxa"/>
            <w:vAlign w:val="bottom"/>
          </w:tcPr>
          <w:p>
            <w:pPr>
              <w:ind w:left="40"/>
              <w:spacing w:after="0"/>
              <w:rPr>
                <w:sz w:val="20"/>
                <w:szCs w:val="20"/>
                <w:color w:val="auto"/>
              </w:rPr>
            </w:pPr>
            <w:r>
              <w:rPr>
                <w:rFonts w:ascii="Arial" w:cs="Arial" w:eastAsia="Arial" w:hAnsi="Arial"/>
                <w:sz w:val="18"/>
                <w:szCs w:val="18"/>
                <w:color w:val="auto"/>
              </w:rPr>
              <w:t>Jacksonville, FL 32204</w:t>
            </w:r>
          </w:p>
        </w:tc>
        <w:tc>
          <w:tcPr>
            <w:tcW w:w="434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7"/>
        </w:trPr>
        <w:tc>
          <w:tcPr>
            <w:tcW w:w="134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c>
          <w:tcPr>
            <w:tcW w:w="2840" w:type="dxa"/>
            <w:vAlign w:val="bottom"/>
          </w:tcPr>
          <w:p>
            <w:pPr>
              <w:spacing w:after="0"/>
              <w:rPr>
                <w:sz w:val="2"/>
                <w:szCs w:val="2"/>
                <w:color w:val="auto"/>
              </w:rPr>
            </w:pPr>
          </w:p>
        </w:tc>
      </w:tr>
    </w:tbl>
    <w:p>
      <w:pPr>
        <w:sectPr>
          <w:pgSz w:w="11900" w:h="16838" w:orient="portrait"/>
          <w:cols w:equalWidth="0" w:num="1">
            <w:col w:w="11440"/>
          </w:cols>
          <w:pgMar w:left="240" w:top="580" w:right="219" w:bottom="1440" w:gutter="0" w:footer="0" w:header="0"/>
        </w:sectPr>
      </w:pPr>
    </w:p>
    <w:bookmarkStart w:id="141" w:name="page142"/>
    <w:bookmarkEnd w:id="141"/>
    <w:p>
      <w:pPr>
        <w:ind w:left="5260"/>
        <w:spacing w:after="0"/>
        <w:rPr>
          <w:sz w:val="20"/>
          <w:szCs w:val="20"/>
          <w:color w:val="auto"/>
        </w:rPr>
      </w:pPr>
      <w:r>
        <w:rPr>
          <w:rFonts w:ascii="Arial" w:cs="Arial" w:eastAsia="Arial" w:hAnsi="Arial"/>
          <w:sz w:val="18"/>
          <w:szCs w:val="18"/>
          <w:b w:val="1"/>
          <w:bCs w:val="1"/>
          <w:color w:val="auto"/>
        </w:rPr>
        <w:t>Appendix A</w:t>
      </w:r>
    </w:p>
    <w:p>
      <w:pPr>
        <w:spacing w:after="0" w:line="11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Overview and Purpose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Award</w:t>
      </w:r>
    </w:p>
    <w:p>
      <w:pPr>
        <w:spacing w:after="0" w:line="10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Award is a performance-based, cash incentive award that provides the Grantee the opportunity to share in the return on investment (calculated as described below, “</w:t>
      </w:r>
      <w:r>
        <w:rPr>
          <w:rFonts w:ascii="Arial" w:cs="Arial" w:eastAsia="Arial" w:hAnsi="Arial"/>
          <w:sz w:val="16"/>
          <w:szCs w:val="16"/>
          <w:u w:val="single" w:color="auto"/>
          <w:color w:val="auto"/>
        </w:rPr>
        <w:t>ROI</w:t>
      </w:r>
      <w:r>
        <w:rPr>
          <w:rFonts w:ascii="Arial" w:cs="Arial" w:eastAsia="Arial" w:hAnsi="Arial"/>
          <w:sz w:val="16"/>
          <w:szCs w:val="16"/>
          <w:color w:val="auto"/>
        </w:rPr>
        <w:t>”) recognized by the Company with respect to its interests in Remy International, Inc. (“</w:t>
      </w:r>
      <w:r>
        <w:rPr>
          <w:rFonts w:ascii="Arial" w:cs="Arial" w:eastAsia="Arial" w:hAnsi="Arial"/>
          <w:sz w:val="16"/>
          <w:szCs w:val="16"/>
          <w:u w:val="single" w:color="auto"/>
          <w:color w:val="auto"/>
        </w:rPr>
        <w:t>Remy</w:t>
      </w:r>
      <w:r>
        <w:rPr>
          <w:rFonts w:ascii="Arial" w:cs="Arial" w:eastAsia="Arial" w:hAnsi="Arial"/>
          <w:sz w:val="16"/>
          <w:szCs w:val="16"/>
          <w:color w:val="auto"/>
        </w:rPr>
        <w:t>”), American Blue Ribbon Holdings, LLC's Casual Dining division and the Company's Upscale Dining division (collectively, the “</w:t>
      </w:r>
      <w:r>
        <w:rPr>
          <w:rFonts w:ascii="Arial" w:cs="Arial" w:eastAsia="Arial" w:hAnsi="Arial"/>
          <w:sz w:val="16"/>
          <w:szCs w:val="16"/>
          <w:u w:val="single" w:color="auto"/>
          <w:color w:val="auto"/>
        </w:rPr>
        <w:t>Restaurant Group</w:t>
      </w:r>
      <w:r>
        <w:rPr>
          <w:rFonts w:ascii="Arial" w:cs="Arial" w:eastAsia="Arial" w:hAnsi="Arial"/>
          <w:sz w:val="16"/>
          <w:szCs w:val="16"/>
          <w:color w:val="auto"/>
        </w:rPr>
        <w:t>”) and the Ceridian Corporation (“</w:t>
      </w:r>
      <w:r>
        <w:rPr>
          <w:rFonts w:ascii="Arial" w:cs="Arial" w:eastAsia="Arial" w:hAnsi="Arial"/>
          <w:sz w:val="16"/>
          <w:szCs w:val="16"/>
          <w:u w:val="single" w:color="auto"/>
          <w:color w:val="auto"/>
        </w:rPr>
        <w:t>Ceridian</w:t>
      </w:r>
      <w:r>
        <w:rPr>
          <w:rFonts w:ascii="Arial" w:cs="Arial" w:eastAsia="Arial" w:hAnsi="Arial"/>
          <w:sz w:val="16"/>
          <w:szCs w:val="16"/>
          <w:color w:val="auto"/>
        </w:rPr>
        <w:t>”) (each an “</w:t>
      </w:r>
      <w:r>
        <w:rPr>
          <w:rFonts w:ascii="Arial" w:cs="Arial" w:eastAsia="Arial" w:hAnsi="Arial"/>
          <w:sz w:val="16"/>
          <w:szCs w:val="16"/>
          <w:u w:val="single" w:color="auto"/>
          <w:color w:val="auto"/>
        </w:rPr>
        <w:t>Investment</w:t>
      </w:r>
      <w:r>
        <w:rPr>
          <w:rFonts w:ascii="Arial" w:cs="Arial" w:eastAsia="Arial" w:hAnsi="Arial"/>
          <w:sz w:val="16"/>
          <w:szCs w:val="16"/>
          <w:color w:val="auto"/>
        </w:rPr>
        <w:t>” and, together, the “</w:t>
      </w:r>
      <w:r>
        <w:rPr>
          <w:rFonts w:ascii="Arial" w:cs="Arial" w:eastAsia="Arial" w:hAnsi="Arial"/>
          <w:sz w:val="16"/>
          <w:szCs w:val="16"/>
          <w:u w:val="single" w:color="auto"/>
          <w:color w:val="auto"/>
        </w:rPr>
        <w:t>Investments</w:t>
      </w:r>
      <w:r>
        <w:rPr>
          <w:rFonts w:ascii="Arial" w:cs="Arial" w:eastAsia="Arial" w:hAnsi="Arial"/>
          <w:sz w:val="16"/>
          <w:szCs w:val="16"/>
          <w:color w:val="auto"/>
        </w:rPr>
        <w:t>”) during the period beginning January 1, 2013 and ending December 31, 2016 (the “</w:t>
      </w:r>
      <w:r>
        <w:rPr>
          <w:rFonts w:ascii="Arial" w:cs="Arial" w:eastAsia="Arial" w:hAnsi="Arial"/>
          <w:sz w:val="16"/>
          <w:szCs w:val="16"/>
          <w:u w:val="single" w:color="auto"/>
          <w:color w:val="auto"/>
        </w:rPr>
        <w:t>Performance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Amounts will be earned under the Award only if (i) specified levels of ROI have been recognized by the Company with respect to the Investments,</w:t>
      </w:r>
    </w:p>
    <w:p>
      <w:pPr>
        <w:spacing w:after="0" w:line="2" w:lineRule="exact"/>
        <w:rPr>
          <w:sz w:val="20"/>
          <w:szCs w:val="20"/>
          <w:color w:val="auto"/>
        </w:rPr>
      </w:pPr>
    </w:p>
    <w:p>
      <w:pPr>
        <w:ind w:right="20" w:firstLine="8"/>
        <w:spacing w:after="0" w:line="261" w:lineRule="auto"/>
        <w:tabs>
          <w:tab w:leader="none" w:pos="27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Company has positive net earnings (“</w:t>
      </w:r>
      <w:r>
        <w:rPr>
          <w:rFonts w:ascii="Arial" w:cs="Arial" w:eastAsia="Arial" w:hAnsi="Arial"/>
          <w:sz w:val="18"/>
          <w:szCs w:val="18"/>
          <w:u w:val="single" w:color="auto"/>
          <w:color w:val="auto"/>
        </w:rPr>
        <w:t>Net Income</w:t>
      </w:r>
      <w:r>
        <w:rPr>
          <w:rFonts w:ascii="Arial" w:cs="Arial" w:eastAsia="Arial" w:hAnsi="Arial"/>
          <w:sz w:val="18"/>
          <w:szCs w:val="18"/>
          <w:color w:val="auto"/>
        </w:rPr>
        <w:t>”) during the applicable calendar year preceding payment under the Award, and (iii) the Grantee has satisfied applicable service-based vesting conditions.</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purpose of the Award is to help the Company maximize its ROI with respect to the Investments by aligning a portion of the Grantee's long-term incentive compensation with the Company's ROI relating to each Investment. The Award is also designed to help the Company generate Net Income and aid in retention of the Grantee by imposing Net Income and service-based vesting conditions on payments under the Award.</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portion of the Award relating to ROI is structured to replicate an 80/20 allocation (between the Company and an incentive pool that will be allocated among eligible employees) of the ROI recognized with respect to each Investment since January 1, 2013, provided the Company has recognized at least an 8% ROI (compounded annually) on the Investment since January 1, 2013 (“</w:t>
      </w:r>
      <w:r>
        <w:rPr>
          <w:rFonts w:ascii="Arial" w:cs="Arial" w:eastAsia="Arial" w:hAnsi="Arial"/>
          <w:sz w:val="18"/>
          <w:szCs w:val="18"/>
          <w:u w:val="single" w:color="auto"/>
          <w:color w:val="auto"/>
        </w:rPr>
        <w:t>Threshold ROI</w:t>
      </w:r>
      <w:r>
        <w:rPr>
          <w:rFonts w:ascii="Arial" w:cs="Arial" w:eastAsia="Arial" w:hAnsi="Arial"/>
          <w:sz w:val="18"/>
          <w:szCs w:val="18"/>
          <w:color w:val="auto"/>
        </w:rPr>
        <w:t>”). The Award applies a “catch-up” approach pursuant to which (i) all ROI in excess of Threshold ROI is allocated to the incentive pool until an 80/20 allocation of ROI is achieved and (ii) thereafter, any remaining ROI is allocated 80/20 between the Company and the incentive pool.</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ROI Calculation</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purposes of the Award, ROI means realized and unrealized pre-tax gain on the Investment during the relevant Measurement Period, which shall be based on (i) appreciation in the value of the Investment, as reflected in an annual third-party valuation of the Investment, and (ii) to the extent not otherwise reflected in the third-party valuation of the Investment, gain recognized in connection with (a) a sale to a third party of all or part of the Investment, (b) an initial public offering of stock of the Investment on an authorized securities exchange, (c) consolidation of the Investment as a subsidiary as a result of the Company's ownership being greater than 50%, (d) dividends paid to the Company with respect to the Investment and (e) any other realized gains or losses on the Investment, as reflected in the Company's annual report on Form 10-K. ROI shall be determined by the Committee based on the Company's return on its equity investment (cash and stock, but excluding debt). For purposes of computing ROI, the value of the Remy investment as of January 1, 2013 was $285,000,000, the value of the Restaurant Group investment as of January 1, 2013 was $245,000,000 and the value of the Ceridian investment as of January 1, 2013 was $548,000,000. For avoidance of doubt, ROI for this purpose shall be determined irrespective of cash gains calculated for the Company's Federal Form 1120 tax calculation and shall not include gain attributable to the Investment's income statement gain or loss. The Committee may, in its discretion, exclude from ROI any realized or recorded gain on the Investment to the extent it determines that inclusion of such gain would be inconsistent with the spirit and intent of the Award.</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purpose of the Award, Net Income shall mean net earnings as reflected in the Company's Consolidated Statements of Earnings in its annual report on Form 10-K, and shall be measured over the calendar year that ends coincident with the last day of each Measurement Period (each such calendar year, a “</w:t>
      </w:r>
      <w:r>
        <w:rPr>
          <w:rFonts w:ascii="Arial" w:cs="Arial" w:eastAsia="Arial" w:hAnsi="Arial"/>
          <w:sz w:val="16"/>
          <w:szCs w:val="16"/>
          <w:u w:val="single" w:color="auto"/>
          <w:color w:val="auto"/>
        </w:rPr>
        <w:t>Net</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Income Measurement Period</w:t>
      </w:r>
      <w:r>
        <w:rPr>
          <w:rFonts w:ascii="Arial" w:cs="Arial" w:eastAsia="Arial" w:hAnsi="Arial"/>
          <w:sz w:val="16"/>
          <w:szCs w:val="16"/>
          <w:color w:val="auto"/>
        </w:rPr>
        <w:t>”). For avoidance of doubt, Net Income for this purpose shall include net earnings attributable to non-controlling interests.</w:t>
      </w:r>
    </w:p>
    <w:p>
      <w:pPr>
        <w:spacing w:after="0" w:line="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conditions that must be satisfied for the Grantee to become entitled to payments under the Award, and the amount and timing of any such payments, are described below.</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ROI Performance Goal</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Provided Threshold ROI, the Service Condition (described below) and the Payment Condition (described below) is satisfied, amounts may be earned under the Award with respect to each of the following four measurement periods (each a “</w:t>
      </w:r>
      <w:r>
        <w:rPr>
          <w:rFonts w:ascii="Arial" w:cs="Arial" w:eastAsia="Arial" w:hAnsi="Arial"/>
          <w:sz w:val="16"/>
          <w:szCs w:val="16"/>
          <w:u w:val="single" w:color="auto"/>
          <w:color w:val="auto"/>
        </w:rPr>
        <w:t>Measurement Period</w:t>
      </w:r>
      <w:r>
        <w:rPr>
          <w:rFonts w:ascii="Arial" w:cs="Arial" w:eastAsia="Arial" w:hAnsi="Arial"/>
          <w:sz w:val="16"/>
          <w:szCs w:val="16"/>
          <w:color w:val="auto"/>
        </w:rPr>
        <w:t>” and, together, the “</w:t>
      </w:r>
      <w:r>
        <w:rPr>
          <w:rFonts w:ascii="Arial" w:cs="Arial" w:eastAsia="Arial" w:hAnsi="Arial"/>
          <w:sz w:val="16"/>
          <w:szCs w:val="16"/>
          <w:u w:val="single" w:color="auto"/>
          <w:color w:val="auto"/>
        </w:rPr>
        <w:t>Measurement Periods</w:t>
      </w:r>
      <w:r>
        <w:rPr>
          <w:rFonts w:ascii="Arial" w:cs="Arial" w:eastAsia="Arial" w:hAnsi="Arial"/>
          <w:sz w:val="16"/>
          <w:szCs w:val="16"/>
          <w:color w:val="auto"/>
        </w:rPr>
        <w:t>”):</w:t>
      </w:r>
    </w:p>
    <w:p>
      <w:pPr>
        <w:spacing w:after="0" w:line="16"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January 1, 2013 through December 31, 2013</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January 1, 2013 through December 31, 2014</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January 1, 2013 through December 31, 2015</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January 1, 2013 through December 31, 2016</w:t>
      </w:r>
    </w:p>
    <w:p>
      <w:pPr>
        <w:sectPr>
          <w:pgSz w:w="11900" w:h="16838" w:orient="portrait"/>
          <w:cols w:equalWidth="0" w:num="1">
            <w:col w:w="11420"/>
          </w:cols>
          <w:pgMar w:left="240" w:top="580" w:right="239" w:bottom="1440" w:gutter="0" w:footer="0" w:header="0"/>
        </w:sectPr>
      </w:pPr>
    </w:p>
    <w:bookmarkStart w:id="142" w:name="page143"/>
    <w:bookmarkEnd w:id="142"/>
    <w:p>
      <w:pPr>
        <w:jc w:val="both"/>
        <w:spacing w:after="0" w:line="259" w:lineRule="auto"/>
        <w:rPr>
          <w:sz w:val="20"/>
          <w:szCs w:val="20"/>
          <w:color w:val="auto"/>
        </w:rPr>
      </w:pPr>
      <w:r>
        <w:rPr>
          <w:rFonts w:ascii="Arial" w:cs="Arial" w:eastAsia="Arial" w:hAnsi="Arial"/>
          <w:sz w:val="18"/>
          <w:szCs w:val="18"/>
          <w:color w:val="auto"/>
        </w:rPr>
        <w:t>As soon as practicable following each Measurement Period, the Committee will determine, with respect to each Investment, whether the Company has recognized ROI in excess of Threshold ROI during the Measurement Period. If the Company has recognized ROI in excess of Threshold ROI during such Measurement Period, the Company will credit to a notional incentive pool established for the Investment (the “</w:t>
      </w:r>
      <w:r>
        <w:rPr>
          <w:rFonts w:ascii="Arial" w:cs="Arial" w:eastAsia="Arial" w:hAnsi="Arial"/>
          <w:sz w:val="18"/>
          <w:szCs w:val="18"/>
          <w:u w:val="single" w:color="auto"/>
          <w:color w:val="auto"/>
        </w:rPr>
        <w:t>ROI Incentive Pool</w:t>
      </w:r>
      <w:r>
        <w:rPr>
          <w:rFonts w:ascii="Arial" w:cs="Arial" w:eastAsia="Arial" w:hAnsi="Arial"/>
          <w:sz w:val="18"/>
          <w:szCs w:val="18"/>
          <w:color w:val="auto"/>
        </w:rPr>
        <w:t>”) an amount equal to A minus B, where</w:t>
      </w:r>
    </w:p>
    <w:p>
      <w:pPr>
        <w:spacing w:after="0" w:line="79" w:lineRule="exact"/>
        <w:rPr>
          <w:sz w:val="20"/>
          <w:szCs w:val="20"/>
          <w:color w:val="auto"/>
        </w:rPr>
      </w:pPr>
    </w:p>
    <w:p>
      <w:pPr>
        <w:ind w:left="1140" w:hanging="512"/>
        <w:spacing w:after="0" w:line="342" w:lineRule="auto"/>
        <w:tabs>
          <w:tab w:leader="none" w:pos="112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lesser of (i) all of the ROI recognized by the Company on the Investment through the end of the Measurement Period in excess of Threshold ROI or (ii) 20% of the total ROI recognized by the Company on the Investment through the end of the Measurement Period; and</w:t>
      </w:r>
    </w:p>
    <w:p>
      <w:pPr>
        <w:spacing w:after="0" w:line="16" w:lineRule="exact"/>
        <w:rPr>
          <w:sz w:val="20"/>
          <w:szCs w:val="20"/>
          <w:color w:val="auto"/>
        </w:rPr>
      </w:pPr>
    </w:p>
    <w:p>
      <w:pPr>
        <w:ind w:left="620"/>
        <w:spacing w:after="0"/>
        <w:tabs>
          <w:tab w:leader="none" w:pos="112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any amount previously credited to the ROI Incentive Pool with respect to the Investment pursuant to this Award Agreement.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Simultaneous with the crediting of the ROI Incentive Pool, the Company will also credit (separately with respect to each Investment) to a bookkeeping account in the Grantee's name (the “</w:t>
      </w:r>
      <w:r>
        <w:rPr>
          <w:rFonts w:ascii="Arial" w:cs="Arial" w:eastAsia="Arial" w:hAnsi="Arial"/>
          <w:sz w:val="16"/>
          <w:szCs w:val="16"/>
          <w:u w:val="single" w:color="auto"/>
          <w:color w:val="auto"/>
        </w:rPr>
        <w:t>Grantee's Award Account</w:t>
      </w:r>
      <w:r>
        <w:rPr>
          <w:rFonts w:ascii="Arial" w:cs="Arial" w:eastAsia="Arial" w:hAnsi="Arial"/>
          <w:sz w:val="16"/>
          <w:szCs w:val="16"/>
          <w:color w:val="auto"/>
        </w:rPr>
        <w:t xml:space="preserve">”) an amount equal to (i)[]% of the amount credited to the ROI Incentive Pool with respect to the Investment, less (ii) any amount credited to the "Grantee's Award Account" under the Award Agreement dated September 28, 2012, to the extent such credited amount is attributable to ROI relating to the same days included in the Measurement Period under this Award;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pursuant to Section 4.2 of the Plan, no more than $25,000,000 will be credited to the Grantee's Award Account pursuant to this Award;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Grantee's employment terminates during any Measurement Period(s) for a reason described in Section 2(a) of the Award Agreement, then only a prorated amount shall be credited to the Grantee's Award Account with respect to such Measurement Period(s). Such prorated amount shall be determined in accordance with Section 2(a) of the Award Agreement. Unless otherwise determined by the Committee, if, after the Effective Date of Grant, the Grantee receives any additional Long-Term Investment Success Performance Awards relating to one or more of the Investments and measuring ROI over one or more overlapping time periods, to avoid duplication, the amount(s) that would otherwise be credited with respect to such Investment(s) to the Grantee's award account under such additional award(s) will be reduced so that the Grantee does not receive a credit under more than one award for the same ROI. For purposes of the prior sentence, to the extent a measurement period in a subsequent award includes some, but not all, of the same days included in a Measurement Period under this Award (any such days not covered by both measurement periods, a “</w:t>
      </w:r>
      <w:r>
        <w:rPr>
          <w:rFonts w:ascii="Arial" w:cs="Arial" w:eastAsia="Arial" w:hAnsi="Arial"/>
          <w:sz w:val="16"/>
          <w:szCs w:val="16"/>
          <w:u w:val="single" w:color="auto"/>
          <w:color w:val="auto"/>
        </w:rPr>
        <w:t>Non-Overlapping Period</w:t>
      </w:r>
      <w:r>
        <w:rPr>
          <w:rFonts w:ascii="Arial" w:cs="Arial" w:eastAsia="Arial" w:hAnsi="Arial"/>
          <w:sz w:val="16"/>
          <w:szCs w:val="16"/>
          <w:color w:val="auto"/>
        </w:rPr>
        <w:t>”), no reduction to the amount credited under a subsequent award shall be made with respect to ROI attributable to the Non-Overlapping Period.</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Example 5 in Annex A contains an example that illustrates the offset for amounts credited to the Grantee's Award Account under the Award Agreement dated September 28, 2012.</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ROI Incentive Pool and the Grantee's Award Account are notional bookkeeping accounts only and are used solely to determine the amounts that may become payable to the Grantee and, in the case of the ROI Incentive Pool, all participating employees. Any rights arising under the Award are unfunded and unsecured and may not be transferred, alienated, assigned, pledged, hypothecated or encumbered, in any way. At any time prior to a Change in Control, the Committee may, in its discretion, reduce the amounts credited to the ROI Incentive Pool and/or the Grantee's Award Account. Reasons for such reduction may include, without limitation, realization upon the sale of an Investment of gain attributable to the Performance Period that is less than the ROI upon which a prior credit or payment was made under the Award.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w:t>
      </w:r>
    </w:p>
    <w:p>
      <w:pPr>
        <w:spacing w:after="0" w:line="12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If (i) the Grantee remains employed through the last day of the Measurement Period with respect to which an amount has been credited to the Grantee's Award Account or the Grantee's employment terminates for a reason described in Section 2(a) of the Award Agreement (the “</w:t>
      </w:r>
      <w:r>
        <w:rPr>
          <w:rFonts w:ascii="Arial" w:cs="Arial" w:eastAsia="Arial" w:hAnsi="Arial"/>
          <w:sz w:val="18"/>
          <w:szCs w:val="18"/>
          <w:u w:val="single" w:color="auto"/>
          <w:color w:val="auto"/>
        </w:rPr>
        <w:t>Service Condition</w:t>
      </w:r>
      <w:r>
        <w:rPr>
          <w:rFonts w:ascii="Arial" w:cs="Arial" w:eastAsia="Arial" w:hAnsi="Arial"/>
          <w:sz w:val="18"/>
          <w:szCs w:val="18"/>
          <w:color w:val="auto"/>
        </w:rPr>
        <w:t>”) and (ii) the Company's Net Income was positive during the Net Income Measurement Period ending coincident with the last day of the Measurement Period with respect to which an amount was credited to the Grantee's Award Account (the “</w:t>
      </w:r>
      <w:r>
        <w:rPr>
          <w:rFonts w:ascii="Arial" w:cs="Arial" w:eastAsia="Arial" w:hAnsi="Arial"/>
          <w:sz w:val="18"/>
          <w:szCs w:val="18"/>
          <w:u w:val="single" w:color="auto"/>
          <w:color w:val="auto"/>
        </w:rPr>
        <w:t>Payment Condition</w:t>
      </w:r>
      <w:r>
        <w:rPr>
          <w:rFonts w:ascii="Arial" w:cs="Arial" w:eastAsia="Arial" w:hAnsi="Arial"/>
          <w:sz w:val="18"/>
          <w:szCs w:val="18"/>
          <w:color w:val="auto"/>
        </w:rPr>
        <w:t>”), then, as soon as practicable in, but in no event later than March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the calendar year immediately following such Measurement Period, 100% of the amount credited to the Grantee's Award Account with respect to such Measurement Period shall be paid to the Grantee in a lump sum cash payment, less applicable tax withholdings. For avoidance of doubt, the Payment Condition will be satisfied if Net Income is positive during the applicable Net Income Measurement Period, whether or not Net Income has increased from the prior year.</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Banked Amounts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If the Service Condition has been satisfied, but the Payment Condition was not satisfied in the Net Income Measurement Period ending coincident with the last day of the Measurement Period with respect to which an amount was credited to the Grantee's Award Account, the amount credited to the Grantee's Award Account shall not be paid, but shall remain credited to the Grantee's Award Account (any such credited amount, a “</w:t>
      </w:r>
      <w:r>
        <w:rPr>
          <w:rFonts w:ascii="Arial" w:cs="Arial" w:eastAsia="Arial" w:hAnsi="Arial"/>
          <w:sz w:val="17"/>
          <w:szCs w:val="17"/>
          <w:u w:val="single" w:color="auto"/>
          <w:color w:val="auto"/>
        </w:rPr>
        <w:t>Banked Amount</w:t>
      </w:r>
      <w:r>
        <w:rPr>
          <w:rFonts w:ascii="Arial" w:cs="Arial" w:eastAsia="Arial" w:hAnsi="Arial"/>
          <w:sz w:val="17"/>
          <w:szCs w:val="17"/>
          <w:color w:val="auto"/>
        </w:rPr>
        <w:t>”). Any Banked Amount shall be paid to the Grantee if (and only if) the Payment Condition is satisfied in a subsequent Net Income Measurement Period. To the extent a Banked Amount becomes payable pursuant to the prior sentence, such Banked Amount shall be paid as soon as practicable in, but in no event later than March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the calendar year immediately following the Net Income Measurement Period in which the Payment Condition was satisfied. If there are no remaining Net Income Measurement Periods or if the Payment Condition is not satisfied in a remaining</w:t>
      </w:r>
    </w:p>
    <w:p>
      <w:pPr>
        <w:sectPr>
          <w:pgSz w:w="11900" w:h="16838" w:orient="portrait"/>
          <w:cols w:equalWidth="0" w:num="1">
            <w:col w:w="11420"/>
          </w:cols>
          <w:pgMar w:left="240" w:top="584" w:right="239" w:bottom="1440" w:gutter="0" w:footer="0" w:header="0"/>
        </w:sectPr>
      </w:pPr>
    </w:p>
    <w:bookmarkStart w:id="143" w:name="page144"/>
    <w:bookmarkEnd w:id="143"/>
    <w:p>
      <w:pPr>
        <w:jc w:val="both"/>
        <w:spacing w:after="0" w:line="286" w:lineRule="auto"/>
        <w:rPr>
          <w:sz w:val="20"/>
          <w:szCs w:val="20"/>
          <w:color w:val="auto"/>
        </w:rPr>
      </w:pPr>
      <w:r>
        <w:rPr>
          <w:rFonts w:ascii="Arial" w:cs="Arial" w:eastAsia="Arial" w:hAnsi="Arial"/>
          <w:sz w:val="17"/>
          <w:szCs w:val="17"/>
          <w:color w:val="auto"/>
        </w:rPr>
        <w:t>Net Income Measurement Period, the Banked Amounts shall be forfeited. At any time prior to a Change in Control, the Committee may, in its discretion, reduce a Grantee's Banked Amount. Reasons for such reduction may include, without limitation, realization upon the sale of an Investment of gain attributable to the Performance Period that is less than the ROI upon which a prior credit or payment was made under the Award.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Incentives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Notwithstanding anything to the contrary in the Award Agreement dated September 28, 2012, if the sum of the amounts paid or to be paid to the Grantee in a calendar year pursuant to this Award and the Award Agreement dated September 28, 2012 (in each case, whether relating to the Measurement Period ending on the last day of the prior calendar year or to any previously Banked Amounts) is greater than fifty (50%) percent of the Grantee's regular annual cash incentive relating to the prior calendar year, then, unless otherwise determined by the Committee, the Grantee's regular annual cash incentive shall be reduced by fifty (50%) percent. For avoidance of doubt, amounts banked during a calendar year shall not be deemed paid or to be paid in that calendar year. Notwithstanding anything contained in any other plan or agreement to the contrary, the Grantee shall not be permitted to defer under any elective nonqualified deferred compensation plan any regular annual cash incentive that could be reduced pursuant to the preceding sentence.</w:t>
      </w:r>
    </w:p>
    <w:p>
      <w:pPr>
        <w:sectPr>
          <w:pgSz w:w="11900" w:h="16838" w:orient="portrait"/>
          <w:cols w:equalWidth="0" w:num="1">
            <w:col w:w="11420"/>
          </w:cols>
          <w:pgMar w:left="240" w:top="584"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Investment Success Performance Award Agreement</w:t>
      </w:r>
    </w:p>
    <w:p>
      <w:pPr>
        <w:spacing w:after="0" w:line="126"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b w:val="1"/>
          <w:bCs w:val="1"/>
          <w:color w:val="auto"/>
        </w:rPr>
        <w:t>GRANT OF AWARD</w:t>
      </w:r>
    </w:p>
    <w:p>
      <w:pPr>
        <w:spacing w:after="0" w:line="158" w:lineRule="exact"/>
        <w:rPr>
          <w:sz w:val="20"/>
          <w:szCs w:val="20"/>
          <w:color w:val="auto"/>
        </w:rPr>
      </w:pPr>
    </w:p>
    <w:p>
      <w:pPr>
        <w:jc w:val="both"/>
        <w:ind w:firstLine="656"/>
        <w:spacing w:after="0" w:line="308" w:lineRule="auto"/>
        <w:tabs>
          <w:tab w:leader="none" w:pos="1496"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On the terms and conditions set forth in the Notice of Long-Term Investment Success Performance Award (including Appendix</w:t>
      </w:r>
      <w:r>
        <w:rPr>
          <w:rFonts w:ascii="Arial" w:cs="Arial" w:eastAsia="Arial" w:hAnsi="Arial"/>
          <w:sz w:val="18"/>
          <w:szCs w:val="18"/>
          <w:b w:val="1"/>
          <w:bCs w:val="1"/>
          <w:color w:val="auto"/>
        </w:rPr>
        <w:t xml:space="preserve"> </w:t>
      </w:r>
      <w:r>
        <w:rPr>
          <w:rFonts w:ascii="Arial" w:cs="Arial" w:eastAsia="Arial" w:hAnsi="Arial"/>
          <w:sz w:val="18"/>
          <w:szCs w:val="18"/>
          <w:color w:val="auto"/>
        </w:rPr>
        <w:t>A, the “</w:t>
      </w:r>
      <w:r>
        <w:rPr>
          <w:rFonts w:ascii="Arial" w:cs="Arial" w:eastAsia="Arial" w:hAnsi="Arial"/>
          <w:sz w:val="18"/>
          <w:szCs w:val="18"/>
          <w:u w:val="single" w:color="auto"/>
          <w:color w:val="auto"/>
        </w:rPr>
        <w:t>Notice</w:t>
      </w:r>
      <w:r>
        <w:rPr>
          <w:rFonts w:ascii="Arial" w:cs="Arial" w:eastAsia="Arial" w:hAnsi="Arial"/>
          <w:sz w:val="18"/>
          <w:szCs w:val="18"/>
          <w:color w:val="auto"/>
        </w:rPr>
        <w:t>”) and this Long-Term Investment Success Performance Award Agreement (the “</w:t>
      </w:r>
      <w:r>
        <w:rPr>
          <w:rFonts w:ascii="Arial" w:cs="Arial" w:eastAsia="Arial" w:hAnsi="Arial"/>
          <w:sz w:val="18"/>
          <w:szCs w:val="18"/>
          <w:u w:val="single" w:color="auto"/>
          <w:color w:val="auto"/>
        </w:rPr>
        <w:t>Award Agreement</w:t>
      </w:r>
      <w:r>
        <w:rPr>
          <w:rFonts w:ascii="Arial" w:cs="Arial" w:eastAsia="Arial" w:hAnsi="Arial"/>
          <w:sz w:val="18"/>
          <w:szCs w:val="18"/>
          <w:color w:val="auto"/>
        </w:rPr>
        <w:t>”), the Company grants to the Grantee on the Effective Date of Grant the Award set forth in the Notice. The Award represents the right to receive one or more cash payments in accordance with Appendix A if the conditions set forth in Appendix A and this Award Agreement are satisfied.</w:t>
      </w:r>
    </w:p>
    <w:p>
      <w:pPr>
        <w:spacing w:after="0" w:line="71" w:lineRule="exact"/>
        <w:rPr>
          <w:rFonts w:ascii="Arial" w:cs="Arial" w:eastAsia="Arial" w:hAnsi="Arial"/>
          <w:sz w:val="18"/>
          <w:szCs w:val="18"/>
          <w:color w:val="auto"/>
        </w:rPr>
      </w:pPr>
    </w:p>
    <w:p>
      <w:pPr>
        <w:jc w:val="both"/>
        <w:ind w:firstLine="656"/>
        <w:spacing w:after="0" w:line="308" w:lineRule="auto"/>
        <w:tabs>
          <w:tab w:leader="none" w:pos="1506"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Plan and Defined Terms. </w:t>
      </w:r>
      <w:r>
        <w:rPr>
          <w:rFonts w:ascii="Arial" w:cs="Arial" w:eastAsia="Arial" w:hAnsi="Arial"/>
          <w:sz w:val="18"/>
          <w:szCs w:val="18"/>
          <w:color w:val="auto"/>
        </w:rPr>
        <w:t>The Award is granted pursuant to the Plan, and shall be considered an “Other Award” for purposes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Except as expressly provided otherwise herein, all applicable terms, provisions, and conditions set forth in the Plan and not set forth herein are hereby incorporated by reference herein. All capitalized terms that are used in the Notice or this Award Agreement and not otherwise defined therein or herein shall have the meanings ascribed to them in the Plan.</w:t>
      </w:r>
    </w:p>
    <w:p>
      <w:pPr>
        <w:spacing w:after="0" w:line="72"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8"/>
          <w:szCs w:val="18"/>
          <w:b w:val="1"/>
          <w:bCs w:val="1"/>
          <w:color w:val="auto"/>
        </w:rPr>
        <w:t>TERMINATION OF EMPLOYMENT</w:t>
      </w:r>
    </w:p>
    <w:p>
      <w:pPr>
        <w:spacing w:after="0" w:line="158" w:lineRule="exact"/>
        <w:rPr>
          <w:sz w:val="20"/>
          <w:szCs w:val="20"/>
          <w:color w:val="auto"/>
        </w:rPr>
      </w:pPr>
    </w:p>
    <w:p>
      <w:pPr>
        <w:jc w:val="both"/>
        <w:ind w:firstLine="656"/>
        <w:spacing w:after="0" w:line="335" w:lineRule="auto"/>
        <w:tabs>
          <w:tab w:leader="none" w:pos="1496" w:val="left"/>
        </w:tabs>
        <w:numPr>
          <w:ilvl w:val="1"/>
          <w:numId w:val="164"/>
        </w:numPr>
        <w:rPr>
          <w:rFonts w:ascii="Arial" w:cs="Arial" w:eastAsia="Arial" w:hAnsi="Arial"/>
          <w:sz w:val="16"/>
          <w:szCs w:val="16"/>
          <w:color w:val="auto"/>
        </w:rPr>
      </w:pPr>
      <w:r>
        <w:rPr>
          <w:rFonts w:ascii="Arial" w:cs="Arial" w:eastAsia="Arial" w:hAnsi="Arial"/>
          <w:sz w:val="16"/>
          <w:szCs w:val="16"/>
          <w:b w:val="1"/>
          <w:bCs w:val="1"/>
          <w:color w:val="auto"/>
        </w:rPr>
        <w:t xml:space="preserve">Termination due to Death; by the Company due to Grantee's Disability or Without Cause; by the Grantee for Good Reason. </w:t>
      </w:r>
      <w:r>
        <w:rPr>
          <w:rFonts w:ascii="Arial" w:cs="Arial" w:eastAsia="Arial" w:hAnsi="Arial"/>
          <w:sz w:val="16"/>
          <w:szCs w:val="16"/>
          <w:color w:val="auto"/>
        </w:rPr>
        <w:t>If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Grantee's employment with the Company and all Subsidiaries is terminated (i) due to the Grantees' death, (ii) by the Company (and, if applicable, its Subsidiaries) due to the Grantee's Disability (as defined at the Effective Date of Grant in the Grantee's employment agreement with the Company) or without Cause (as defined at the Effective Date of Grant in the Grantee's employment agreement with the Company) or (iii) by the Grantee for Good Reason (as defined at the Effective Date of Grant in the Grantee's employment agreement with the Company), then the Grantee shall remain eligible to receive credits to, and payments from, the Grantee's Award Account if and when such credits and payments (if any) would have occurred had the Grantee's employment not terminated;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amounts credited (if any) with respect to any Measurement Period that has not ended as of the date of termination of employment shall be prorated by multiplying the full amount that would have been credited to the Grantee's Award Account based on actual ROI performance through the entire Measurement Period by a fraction, the numerator of which is the number of days the Grantee was employed during the Measurement Period (including the date of termination) and the denominator of which is the total number of days in the Measurement Period. For the avoidance of doubt,</w:t>
      </w:r>
    </w:p>
    <w:p>
      <w:pPr>
        <w:spacing w:after="0" w:line="1" w:lineRule="exact"/>
        <w:rPr>
          <w:rFonts w:ascii="Arial" w:cs="Arial" w:eastAsia="Arial" w:hAnsi="Arial"/>
          <w:sz w:val="16"/>
          <w:szCs w:val="16"/>
          <w:color w:val="auto"/>
        </w:rPr>
      </w:pPr>
    </w:p>
    <w:p>
      <w:pPr>
        <w:jc w:val="both"/>
        <w:ind w:firstLine="8"/>
        <w:spacing w:after="0" w:line="334" w:lineRule="auto"/>
        <w:tabs>
          <w:tab w:leader="none" w:pos="29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as would have been the case had the Grantee's employment not terminated, the Grantee shall only be entitled to receive a payment of an amount from the Grantee's Award Account in accordance with this Section 2(a) if the Payment Condition is satisfied in the applicable Net Income Measurement Period, (B) if the Grantee's employment termination described in this Section 2(a) occurs after the end of a Measurement Period, but prior to crediting of an amount with respect to such Measurement Period, any amount credited to the Grantee's Award Account with respect to such Measurement Period shall not be prorated and</w:t>
      </w:r>
    </w:p>
    <w:p>
      <w:pPr>
        <w:spacing w:after="0" w:line="2" w:lineRule="exact"/>
        <w:rPr>
          <w:rFonts w:ascii="Arial" w:cs="Arial" w:eastAsia="Arial" w:hAnsi="Arial"/>
          <w:sz w:val="16"/>
          <w:szCs w:val="16"/>
          <w:color w:val="auto"/>
        </w:rPr>
      </w:pPr>
    </w:p>
    <w:p>
      <w:pPr>
        <w:ind w:firstLine="8"/>
        <w:spacing w:after="0" w:line="324" w:lineRule="auto"/>
        <w:tabs>
          <w:tab w:leader="none" w:pos="31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 any Banked Amount in the Grantee's Award Account that is attributable to a Measurement Period that ended prior to the date of the Grantee's employment termination described in this Section 2(a) becomes payable, such amount shall not be prorated.</w:t>
      </w:r>
    </w:p>
    <w:p>
      <w:pPr>
        <w:spacing w:after="0" w:line="58" w:lineRule="exact"/>
        <w:rPr>
          <w:rFonts w:ascii="Arial" w:cs="Arial" w:eastAsia="Arial" w:hAnsi="Arial"/>
          <w:sz w:val="18"/>
          <w:szCs w:val="18"/>
          <w:color w:val="auto"/>
        </w:rPr>
      </w:pPr>
    </w:p>
    <w:p>
      <w:pPr>
        <w:jc w:val="both"/>
        <w:ind w:firstLine="656"/>
        <w:spacing w:after="0" w:line="319" w:lineRule="auto"/>
        <w:tabs>
          <w:tab w:leader="none" w:pos="1506" w:val="left"/>
        </w:tabs>
        <w:numPr>
          <w:ilvl w:val="1"/>
          <w:numId w:val="166"/>
        </w:numPr>
        <w:rPr>
          <w:rFonts w:ascii="Arial" w:cs="Arial" w:eastAsia="Arial" w:hAnsi="Arial"/>
          <w:sz w:val="17"/>
          <w:szCs w:val="17"/>
          <w:color w:val="auto"/>
        </w:rPr>
      </w:pPr>
      <w:r>
        <w:rPr>
          <w:rFonts w:ascii="Arial" w:cs="Arial" w:eastAsia="Arial" w:hAnsi="Arial"/>
          <w:sz w:val="17"/>
          <w:szCs w:val="17"/>
          <w:b w:val="1"/>
          <w:bCs w:val="1"/>
          <w:color w:val="auto"/>
        </w:rPr>
        <w:t xml:space="preserve">Termination for Any Other Reason. </w:t>
      </w:r>
      <w:r>
        <w:rPr>
          <w:rFonts w:ascii="Arial" w:cs="Arial" w:eastAsia="Arial" w:hAnsi="Arial"/>
          <w:sz w:val="17"/>
          <w:szCs w:val="17"/>
          <w:color w:val="auto"/>
        </w:rPr>
        <w:t>If the Grantee terminates his employment without Good Reason (as defined at the Effective Date</w:t>
      </w:r>
      <w:r>
        <w:rPr>
          <w:rFonts w:ascii="Arial" w:cs="Arial" w:eastAsia="Arial" w:hAnsi="Arial"/>
          <w:sz w:val="17"/>
          <w:szCs w:val="17"/>
          <w:b w:val="1"/>
          <w:bCs w:val="1"/>
          <w:color w:val="auto"/>
        </w:rPr>
        <w:t xml:space="preserve"> </w:t>
      </w:r>
      <w:r>
        <w:rPr>
          <w:rFonts w:ascii="Arial" w:cs="Arial" w:eastAsia="Arial" w:hAnsi="Arial"/>
          <w:sz w:val="17"/>
          <w:szCs w:val="17"/>
          <w:color w:val="auto"/>
        </w:rPr>
        <w:t>of Grant in the Grantee's employment agreement with the Company), (i) the Service Condition shall not be deemed to have been satisfied with respect to any Measurement Period(s) that had not ended on or before the date of such termination of employment and no amounts shall be credited to the Grantee's Award Account or paid to the Grantee with respect to such Measurement Period(s), (ii) if the Grantee's employment termination occurs at or after the end of a Measurement Period, but prior to crediting of an amount with respect to such Measurement Period, any amount that would have been credited to the Grantee's Award Account with respect to such Measurement Period shall be so credited at the same time and in the same amount as would have occurred had the Grantee not terminated employment, (iii) with respect to any amount in the Grantee's Award Account as of the date of the Grantee's employment termination and any amount credited to the Grantee's Award Account pursuant to subsection (ii) of this Section 2(b), such amount(s) shall be paid if and only if the Payment Condition is satisfied over the most recent Net Income Measurement Period that ended on or before the date of the Grantee's termination of employment and (iv) except with respect to the Grantee's rights pursuant to this sentence, the Award shall immediately be forfeited and the Grantee shall not be entitled to any future credits or payments with respect to the Award. If the Grantee's employment is terminated by the Company for Cause, the Award shall immediately be forfeited and the Grantee shall not be entitled to any future credits or payments with respect to the Award (including, for the avoidance of doubt, any credits or payments described in the prior sentence).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Annex A contains examples of various termination scenarios.</w:t>
      </w:r>
    </w:p>
    <w:p>
      <w:pPr>
        <w:sectPr>
          <w:pgSz w:w="11900" w:h="16838" w:orient="portrait"/>
          <w:cols w:equalWidth="0" w:num="1">
            <w:col w:w="11420"/>
          </w:cols>
          <w:pgMar w:left="240" w:top="904" w:right="239" w:bottom="1440" w:gutter="0" w:footer="0" w:header="0"/>
        </w:sectPr>
      </w:pPr>
    </w:p>
    <w:bookmarkStart w:id="145" w:name="page146"/>
    <w:bookmarkEnd w:id="145"/>
    <w:p>
      <w:pPr>
        <w:spacing w:after="0"/>
        <w:tabs>
          <w:tab w:leader="none" w:pos="222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8"/>
          <w:szCs w:val="18"/>
          <w:b w:val="1"/>
          <w:bCs w:val="1"/>
          <w:color w:val="auto"/>
        </w:rPr>
        <w:t>CHANGE IN CONTROL</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Article 17 of the Plan shall not be applicable to the Award and a Change in Control shall not otherwise accelerate or affect the vesting, amount or timing of credits or payments under the Award.</w:t>
      </w:r>
    </w:p>
    <w:p>
      <w:pPr>
        <w:spacing w:after="0" w:line="85"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8"/>
          <w:szCs w:val="18"/>
          <w:b w:val="1"/>
          <w:bCs w:val="1"/>
          <w:color w:val="auto"/>
        </w:rPr>
        <w:t>MISCELLANEOUS PROVISIONS</w:t>
      </w:r>
    </w:p>
    <w:p>
      <w:pPr>
        <w:spacing w:after="0" w:line="158" w:lineRule="exact"/>
        <w:rPr>
          <w:sz w:val="20"/>
          <w:szCs w:val="20"/>
          <w:color w:val="auto"/>
        </w:rPr>
      </w:pPr>
    </w:p>
    <w:p>
      <w:pPr>
        <w:jc w:val="both"/>
        <w:ind w:firstLine="656"/>
        <w:spacing w:after="0" w:line="313" w:lineRule="auto"/>
        <w:tabs>
          <w:tab w:leader="none" w:pos="1496"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or any Subsidiary of the Company shall have the power and right to deduct or withhold, or require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to remit to the Company, an amount sufficient to satisfy any federal, state and local taxes (including the Grantee's FICA obligations) required by law to be withheld with respect to this Award.</w:t>
      </w:r>
    </w:p>
    <w:p>
      <w:pPr>
        <w:spacing w:after="0" w:line="68" w:lineRule="exact"/>
        <w:rPr>
          <w:rFonts w:ascii="Arial" w:cs="Arial" w:eastAsia="Arial" w:hAnsi="Arial"/>
          <w:sz w:val="18"/>
          <w:szCs w:val="18"/>
          <w:color w:val="auto"/>
        </w:rPr>
      </w:pPr>
    </w:p>
    <w:p>
      <w:pPr>
        <w:jc w:val="both"/>
        <w:ind w:firstLine="656"/>
        <w:spacing w:after="0" w:line="313" w:lineRule="auto"/>
        <w:tabs>
          <w:tab w:leader="none" w:pos="1506"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 xml:space="preserve">Ratification of Actions. </w:t>
      </w:r>
      <w:r>
        <w:rPr>
          <w:rFonts w:ascii="Arial" w:cs="Arial" w:eastAsia="Arial" w:hAnsi="Arial"/>
          <w:sz w:val="18"/>
          <w:szCs w:val="18"/>
          <w:color w:val="auto"/>
        </w:rPr>
        <w:t>By accepting this Award Agreement, the Grantee and each person claiming under or through the Grantee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conclusively deemed to have indicated the Grantee's acceptance and ratification of, and consent to, any action taken under the Plan, the Notice or this Award Agreement by the Company, the Board or the Committee.</w:t>
      </w:r>
    </w:p>
    <w:p>
      <w:pPr>
        <w:spacing w:after="0" w:line="68" w:lineRule="exact"/>
        <w:rPr>
          <w:rFonts w:ascii="Arial" w:cs="Arial" w:eastAsia="Arial" w:hAnsi="Arial"/>
          <w:sz w:val="18"/>
          <w:szCs w:val="18"/>
          <w:color w:val="auto"/>
        </w:rPr>
      </w:pPr>
    </w:p>
    <w:p>
      <w:pPr>
        <w:jc w:val="both"/>
        <w:ind w:firstLine="656"/>
        <w:spacing w:after="0" w:line="367" w:lineRule="auto"/>
        <w:tabs>
          <w:tab w:leader="none" w:pos="1496" w:val="left"/>
        </w:tabs>
        <w:numPr>
          <w:ilvl w:val="0"/>
          <w:numId w:val="167"/>
        </w:numPr>
        <w:rPr>
          <w:rFonts w:ascii="Arial" w:cs="Arial" w:eastAsia="Arial" w:hAnsi="Arial"/>
          <w:sz w:val="16"/>
          <w:szCs w:val="16"/>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Any notice required by the terms of this Award Agreement shall be given in writing and shall be deemed effective upon personal</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or upon 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33" w:lineRule="exact"/>
        <w:rPr>
          <w:rFonts w:ascii="Arial" w:cs="Arial" w:eastAsia="Arial" w:hAnsi="Arial"/>
          <w:sz w:val="16"/>
          <w:szCs w:val="16"/>
          <w:color w:val="auto"/>
        </w:rPr>
      </w:pPr>
    </w:p>
    <w:p>
      <w:pPr>
        <w:jc w:val="both"/>
        <w:ind w:firstLine="656"/>
        <w:spacing w:after="0" w:line="313" w:lineRule="auto"/>
        <w:tabs>
          <w:tab w:leader="none" w:pos="1506"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This Award Agreement and the Notice shall be governed by, and construed in accordance with, the laws of Florida,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any conflicts of law or choice of law rule or principle that might otherwise cause the Plan, this Award Agreement or the Notice to be governed by or construed in accordance with the substantive law of another jurisdiction.</w:t>
      </w:r>
    </w:p>
    <w:p>
      <w:pPr>
        <w:spacing w:after="0" w:line="68" w:lineRule="exact"/>
        <w:rPr>
          <w:rFonts w:ascii="Arial" w:cs="Arial" w:eastAsia="Arial" w:hAnsi="Arial"/>
          <w:sz w:val="18"/>
          <w:szCs w:val="18"/>
          <w:color w:val="auto"/>
        </w:rPr>
      </w:pPr>
    </w:p>
    <w:p>
      <w:pPr>
        <w:ind w:firstLine="656"/>
        <w:spacing w:after="0" w:line="329" w:lineRule="auto"/>
        <w:tabs>
          <w:tab w:leader="none" w:pos="1496"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 xml:space="preserve">Modification or Amendment. </w:t>
      </w:r>
      <w:r>
        <w:rPr>
          <w:rFonts w:ascii="Arial" w:cs="Arial" w:eastAsia="Arial" w:hAnsi="Arial"/>
          <w:sz w:val="18"/>
          <w:szCs w:val="18"/>
          <w:color w:val="auto"/>
        </w:rPr>
        <w:t>Except as otherwise provided in Section 4(k) of this Award Agreement, the Notice and this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may only be modified or amended by written agreement executed by the parties hereto.</w:t>
      </w:r>
    </w:p>
    <w:p>
      <w:pPr>
        <w:spacing w:after="0" w:line="53" w:lineRule="exact"/>
        <w:rPr>
          <w:rFonts w:ascii="Arial" w:cs="Arial" w:eastAsia="Arial" w:hAnsi="Arial"/>
          <w:sz w:val="18"/>
          <w:szCs w:val="18"/>
          <w:color w:val="auto"/>
        </w:rPr>
      </w:pPr>
    </w:p>
    <w:p>
      <w:pPr>
        <w:jc w:val="both"/>
        <w:ind w:firstLine="656"/>
        <w:spacing w:after="0" w:line="313" w:lineRule="auto"/>
        <w:tabs>
          <w:tab w:leader="none" w:pos="1476"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In the event any provision of this Award Agreement shall be held illegal or invalid for any reason, the illegality or invalidity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affect the remaining provisions of this Award Agreement, and this Award Agreement shall be construed and enforced as if such illegal or invalid provision had not been included.</w:t>
      </w:r>
    </w:p>
    <w:p>
      <w:pPr>
        <w:spacing w:after="0" w:line="68" w:lineRule="exact"/>
        <w:rPr>
          <w:rFonts w:ascii="Arial" w:cs="Arial" w:eastAsia="Arial" w:hAnsi="Arial"/>
          <w:sz w:val="18"/>
          <w:szCs w:val="18"/>
          <w:color w:val="auto"/>
        </w:rPr>
      </w:pPr>
    </w:p>
    <w:p>
      <w:pPr>
        <w:ind w:firstLine="656"/>
        <w:spacing w:after="0" w:line="329" w:lineRule="auto"/>
        <w:tabs>
          <w:tab w:leader="none" w:pos="1506"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Compensation under Other Arrangements</w:t>
      </w:r>
      <w:r>
        <w:rPr>
          <w:rFonts w:ascii="Arial" w:cs="Arial" w:eastAsia="Arial" w:hAnsi="Arial"/>
          <w:sz w:val="18"/>
          <w:szCs w:val="18"/>
          <w:color w:val="auto"/>
        </w:rPr>
        <w:t>. Amounts earned with respect to this Award shall not be included in any calculation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or change in control benefits or payments under any employment agreement or other compensatory arrangement.</w:t>
      </w:r>
    </w:p>
    <w:p>
      <w:pPr>
        <w:spacing w:after="0" w:line="53" w:lineRule="exact"/>
        <w:rPr>
          <w:rFonts w:ascii="Arial" w:cs="Arial" w:eastAsia="Arial" w:hAnsi="Arial"/>
          <w:sz w:val="18"/>
          <w:szCs w:val="18"/>
          <w:color w:val="auto"/>
        </w:rPr>
      </w:pPr>
    </w:p>
    <w:p>
      <w:pPr>
        <w:jc w:val="both"/>
        <w:ind w:firstLine="656"/>
        <w:spacing w:after="0" w:line="313" w:lineRule="auto"/>
        <w:tabs>
          <w:tab w:leader="none" w:pos="1506"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 xml:space="preserve">References to Plan and Headings. </w:t>
      </w:r>
      <w:r>
        <w:rPr>
          <w:rFonts w:ascii="Arial" w:cs="Arial" w:eastAsia="Arial" w:hAnsi="Arial"/>
          <w:sz w:val="18"/>
          <w:szCs w:val="18"/>
          <w:color w:val="auto"/>
        </w:rPr>
        <w:t>All references to the Plan shall be deemed references to the Plan as may be amended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Headings in the Notice and Award Agreement are for convenience and shall not in any way affect the meaning or interpretation of any of the provisions hereof.</w:t>
      </w:r>
    </w:p>
    <w:p>
      <w:pPr>
        <w:spacing w:after="0" w:line="68" w:lineRule="exact"/>
        <w:rPr>
          <w:rFonts w:ascii="Arial" w:cs="Arial" w:eastAsia="Arial" w:hAnsi="Arial"/>
          <w:sz w:val="18"/>
          <w:szCs w:val="18"/>
          <w:color w:val="auto"/>
        </w:rPr>
      </w:pPr>
    </w:p>
    <w:p>
      <w:pPr>
        <w:jc w:val="both"/>
        <w:ind w:right="20" w:firstLine="656"/>
        <w:spacing w:after="0" w:line="313" w:lineRule="auto"/>
        <w:tabs>
          <w:tab w:leader="none" w:pos="1466"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The Notice (including Appendix A) and this Award Agreement are the entire agreement between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Grantee relating to the subject matter thereof and hereof and supersede all prior agreements and understandings (including verbal agreements) between the Company and the Grantee relating to such subject matter.</w:t>
      </w:r>
    </w:p>
    <w:p>
      <w:pPr>
        <w:spacing w:after="0" w:line="68" w:lineRule="exact"/>
        <w:rPr>
          <w:rFonts w:ascii="Arial" w:cs="Arial" w:eastAsia="Arial" w:hAnsi="Arial"/>
          <w:sz w:val="18"/>
          <w:szCs w:val="18"/>
          <w:color w:val="auto"/>
        </w:rPr>
      </w:pPr>
    </w:p>
    <w:p>
      <w:pPr>
        <w:ind w:firstLine="656"/>
        <w:spacing w:after="0" w:line="329" w:lineRule="auto"/>
        <w:tabs>
          <w:tab w:leader="none" w:pos="1466"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 xml:space="preserve">Clawback. </w:t>
      </w:r>
      <w:r>
        <w:rPr>
          <w:rFonts w:ascii="Arial" w:cs="Arial" w:eastAsia="Arial" w:hAnsi="Arial"/>
          <w:sz w:val="18"/>
          <w:szCs w:val="18"/>
          <w:color w:val="auto"/>
        </w:rPr>
        <w:t>All amounts paid under this Award shall be subject to the Company's policy regarding clawback of incentive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as such policy may be amended from time to time.</w:t>
      </w:r>
    </w:p>
    <w:p>
      <w:pPr>
        <w:spacing w:after="0" w:line="53" w:lineRule="exact"/>
        <w:rPr>
          <w:rFonts w:ascii="Arial" w:cs="Arial" w:eastAsia="Arial" w:hAnsi="Arial"/>
          <w:sz w:val="18"/>
          <w:szCs w:val="18"/>
          <w:color w:val="auto"/>
        </w:rPr>
      </w:pPr>
    </w:p>
    <w:p>
      <w:pPr>
        <w:jc w:val="both"/>
        <w:ind w:firstLine="656"/>
        <w:spacing w:after="0" w:line="321" w:lineRule="auto"/>
        <w:tabs>
          <w:tab w:leader="none" w:pos="1506" w:val="left"/>
        </w:tabs>
        <w:numPr>
          <w:ilvl w:val="0"/>
          <w:numId w:val="167"/>
        </w:numPr>
        <w:rPr>
          <w:rFonts w:ascii="Arial" w:cs="Arial" w:eastAsia="Arial" w:hAnsi="Arial"/>
          <w:sz w:val="17"/>
          <w:szCs w:val="17"/>
          <w:color w:val="auto"/>
        </w:rPr>
      </w:pPr>
      <w:r>
        <w:rPr>
          <w:rFonts w:ascii="Arial" w:cs="Arial" w:eastAsia="Arial" w:hAnsi="Arial"/>
          <w:sz w:val="17"/>
          <w:szCs w:val="17"/>
          <w:b w:val="1"/>
          <w:bCs w:val="1"/>
          <w:color w:val="auto"/>
        </w:rPr>
        <w:t xml:space="preserve">Section 409A Compliance. </w:t>
      </w:r>
      <w:r>
        <w:rPr>
          <w:rFonts w:ascii="Arial" w:cs="Arial" w:eastAsia="Arial" w:hAnsi="Arial"/>
          <w:sz w:val="17"/>
          <w:szCs w:val="17"/>
          <w:color w:val="auto"/>
        </w:rPr>
        <w:t>It is intended that the Award qualify as a “short-term deferral” for purposes of Section 409A and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interpreted accordingly;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to the extent it is determined that the Award is subject to Section 409A, it is intended that the Award comply with the requirements of Section 409A, and the Plan, the Notice and this Award Agreement shall be interpreted accordingly and any provision thereof or hereof that would cause this Award to fail to comply with Section 409A will have no force or effect until amended to comply therewith (which amendment may be made without the Grantee's consent and may be retroactive to the extent permitted by Section 409A) and (ii) the Company will consult with the Grantee in good faith regarding the implementation of the provisions of this Section 4(k). The Grantee shall not be entitled to indemnification or other reimbursement for any taxes or other expenses incurred as a result of the applicability of Section 409A to the Award and neither the Company nor any of its employees or representatives shall have any liability to Grantee with respect to Section 409A.</w:t>
      </w:r>
    </w:p>
    <w:p>
      <w:pPr>
        <w:sectPr>
          <w:pgSz w:w="11900" w:h="16838" w:orient="portrait"/>
          <w:cols w:equalWidth="0" w:num="1">
            <w:col w:w="11420"/>
          </w:cols>
          <w:pgMar w:left="240" w:top="607"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color w:val="auto"/>
        </w:rPr>
        <w:t>Form - Tier II</w:t>
      </w:r>
    </w:p>
    <w:p>
      <w:pPr>
        <w:spacing w:after="0" w:line="117" w:lineRule="exact"/>
        <w:rPr>
          <w:sz w:val="20"/>
          <w:szCs w:val="20"/>
          <w:color w:val="auto"/>
        </w:rPr>
      </w:pPr>
    </w:p>
    <w:p>
      <w:pPr>
        <w:ind w:left="5380"/>
        <w:spacing w:after="0"/>
        <w:rPr>
          <w:sz w:val="20"/>
          <w:szCs w:val="20"/>
          <w:color w:val="auto"/>
        </w:rPr>
      </w:pPr>
      <w:r>
        <w:rPr>
          <w:rFonts w:ascii="Arial" w:cs="Arial" w:eastAsia="Arial" w:hAnsi="Arial"/>
          <w:sz w:val="18"/>
          <w:szCs w:val="18"/>
          <w:u w:val="single" w:color="auto"/>
          <w:color w:val="auto"/>
        </w:rPr>
        <w:t>Annex A</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Examples to Illustrate Termination of Employment Provisions and Offset for Amounts Credited Under Prior Award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Example 1 </w:t>
      </w:r>
      <w:r>
        <w:rPr>
          <w:rFonts w:ascii="Arial" w:cs="Arial" w:eastAsia="Arial" w:hAnsi="Arial"/>
          <w:sz w:val="18"/>
          <w:szCs w:val="18"/>
          <w:color w:val="auto"/>
        </w:rPr>
        <w:t>- Termination described in Section 2(a) and Payment Condition is satisfied.</w:t>
      </w:r>
    </w:p>
    <w:p>
      <w:pPr>
        <w:spacing w:after="0" w:line="121"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u w:val="single" w:color="auto"/>
          <w:color w:val="auto"/>
        </w:rPr>
        <w:t>Facts</w:t>
      </w:r>
      <w:r>
        <w:rPr>
          <w:rFonts w:ascii="Arial" w:cs="Arial" w:eastAsia="Arial" w:hAnsi="Arial"/>
          <w:sz w:val="17"/>
          <w:szCs w:val="17"/>
          <w:color w:val="auto"/>
        </w:rPr>
        <w:t>: Grantee's employment is terminated by the Company without Cause on February 28, 2015. Based on ROI during the first Measurement Period (January 1, 2013 through December 31, 2013), the Grantee's Award Account was credited with $100,000 in February of 2014, but the Payment Condition was not satisfied in calendar year 2013, so the $100,000 was banked. Based on ROI in the second Measurement Period (January 1, 2013 through December 31, 2014), an additional $150,000 would have been credited to the Grantee's Award Account before March 15, 2015 had the Grantee remained employed. This $150,000 was not yet credited as of the date of termination. The Payment Condition is satisfied in calendar year 2014. With respect to each of the third Measurement Period (January 1, 2013 through December 31, 2015) and the fourth Measurement Period (January 1, 2013 through December 31, 2016), amounts are credited to the ROI Incentive Pool. These amounts would have resulted in a credit to the Grantee's Award Account of $200,000 and $300,000, respectively, between January 1 and March 15 of 2016 and 2017 had the Grantee remained employed. The Payment Condition is not satisfied in calendar year 2015, but they are satisfied in calendar year 2016.</w:t>
      </w:r>
    </w:p>
    <w:p>
      <w:pPr>
        <w:spacing w:after="0" w:line="74" w:lineRule="exact"/>
        <w:rPr>
          <w:sz w:val="20"/>
          <w:szCs w:val="20"/>
          <w:color w:val="auto"/>
        </w:rPr>
      </w:pPr>
    </w:p>
    <w:p>
      <w:pPr>
        <w:jc w:val="both"/>
        <w:ind w:left="340"/>
        <w:spacing w:after="0" w:line="262" w:lineRule="auto"/>
        <w:rPr>
          <w:sz w:val="20"/>
          <w:szCs w:val="20"/>
          <w:color w:val="auto"/>
        </w:rPr>
      </w:pPr>
      <w:r>
        <w:rPr>
          <w:rFonts w:ascii="Arial" w:cs="Arial" w:eastAsia="Arial" w:hAnsi="Arial"/>
          <w:sz w:val="16"/>
          <w:szCs w:val="16"/>
          <w:u w:val="single" w:color="auto"/>
          <w:color w:val="auto"/>
        </w:rPr>
        <w:t>Result</w:t>
      </w:r>
      <w:r>
        <w:rPr>
          <w:rFonts w:ascii="Arial" w:cs="Arial" w:eastAsia="Arial" w:hAnsi="Arial"/>
          <w:sz w:val="16"/>
          <w:szCs w:val="16"/>
          <w:color w:val="auto"/>
        </w:rPr>
        <w:t>: The Grantee's Award Account would be credited with the $150,000 attributable to the second Measurement Period at the same time such amount would have been credited had the termination not occurred - no later than March 15, 2015. Since the Payment Condition is satisfied in calendar year 2014 (the second Net Income Measurement Period), the $100,000 Banked Amount and the $150,000 credited in 2015 would be paid, less applicable tax withholdings, as soon as practicable in 2015, but in no event later than March 15, 2015. With respect to the third Measurement Period, a prorated amount of $152,150 (973/1,279</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x $200,000) would be credited to the Grantee's Award Account, but it would be banked since the Payment Condition was not satisfied in calendar year 2015. With respect to the fourth Measurement Period, a prorated amount of $177,447 (973/1,645</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x $300,000) would be credited to the Grantee's Award Account. Since the Payment Condition was satisfied in calendar year 2016, the $329,597 attributable to the third and fourth Measurement Periods would be paid, less applicable tax withholdings, as soon as practicable in 2017, but in no event later than March 15, 2017.</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Example 2 </w:t>
      </w:r>
      <w:r>
        <w:rPr>
          <w:rFonts w:ascii="Arial" w:cs="Arial" w:eastAsia="Arial" w:hAnsi="Arial"/>
          <w:sz w:val="18"/>
          <w:szCs w:val="18"/>
          <w:color w:val="auto"/>
        </w:rPr>
        <w:t>- Termination described in Section 2(a) and Payment Condition is not satisfied.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Facts</w:t>
      </w:r>
      <w:r>
        <w:rPr>
          <w:rFonts w:ascii="Arial" w:cs="Arial" w:eastAsia="Arial" w:hAnsi="Arial"/>
          <w:sz w:val="17"/>
          <w:szCs w:val="17"/>
          <w:color w:val="auto"/>
        </w:rPr>
        <w:t>: Assume the Same facts as in example 1, except that the Payment Condition is not satisfied during any Net Income Measurement Period.</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Result</w:t>
      </w:r>
      <w:r>
        <w:rPr>
          <w:rFonts w:ascii="Arial" w:cs="Arial" w:eastAsia="Arial" w:hAnsi="Arial"/>
          <w:sz w:val="18"/>
          <w:szCs w:val="18"/>
          <w:color w:val="auto"/>
        </w:rPr>
        <w:t>: Since the Payment Condition is not satisfied, no payment would be made with respect to any Measurement Periods.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Example 3 </w:t>
      </w:r>
      <w:r>
        <w:rPr>
          <w:rFonts w:ascii="Arial" w:cs="Arial" w:eastAsia="Arial" w:hAnsi="Arial"/>
          <w:sz w:val="18"/>
          <w:szCs w:val="18"/>
          <w:color w:val="auto"/>
        </w:rPr>
        <w:t>- Termination described in Section 2(b) and Payment Condition is satisfied.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Facts</w:t>
      </w:r>
      <w:r>
        <w:rPr>
          <w:rFonts w:ascii="Arial" w:cs="Arial" w:eastAsia="Arial" w:hAnsi="Arial"/>
          <w:sz w:val="18"/>
          <w:szCs w:val="18"/>
          <w:color w:val="auto"/>
        </w:rPr>
        <w:t>: Assume the Same facts as in example 1, except that the Grantee's employment is terminated voluntarily (not for Good Reason).</w:t>
      </w:r>
    </w:p>
    <w:p>
      <w:pPr>
        <w:spacing w:after="0" w:line="117"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u w:val="single" w:color="auto"/>
          <w:color w:val="auto"/>
        </w:rPr>
        <w:t>Result</w:t>
      </w:r>
      <w:r>
        <w:rPr>
          <w:rFonts w:ascii="Arial" w:cs="Arial" w:eastAsia="Arial" w:hAnsi="Arial"/>
          <w:sz w:val="17"/>
          <w:szCs w:val="17"/>
          <w:color w:val="auto"/>
        </w:rPr>
        <w:t>: Since the Grantee satisfied the Service Condition with respect to the first two Measurement Periods prior to voluntarily terminating employment, the Grantee's Award Account would have been credited with the $100,000 relating to the first Measurement Period (and banked since the Payment Condition was not satisfied in calendar year 2013) and the Grantee's Award Account would also be credited with the additional $150,000 relating to the second Measurement Period at the same time such amount would have been credited had the termination not occurred - no later than March 15, 2015. Since the Payment Condition was satisfied in calendar year 2014 (the most recent Net Income Measurement Period that ended prior to the Grantee's termination of employment), the $100,000 Banked Amount and the $150,000 credited in 2015 would be paid, less applicable tax withholdings, as soon as practicable in 2015, but in no event later than March 15, 2015. No further credits or payments would be made with respect to the third or fourth Measurement Periods since the termination was a voluntary termination.</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the Company terminated the Grantee's employment for Cause, no amounts would be paid with respect to any Measurement Period.</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w:t>
      </w:r>
    </w:p>
    <w:p>
      <w:pPr>
        <w:spacing w:after="0" w:line="175" w:lineRule="exact"/>
        <w:rPr>
          <w:sz w:val="20"/>
          <w:szCs w:val="20"/>
          <w:color w:val="auto"/>
        </w:rPr>
      </w:pPr>
    </w:p>
    <w:p>
      <w:pPr>
        <w:ind w:firstLine="8"/>
        <w:spacing w:after="0" w:line="216" w:lineRule="auto"/>
        <w:tabs>
          <w:tab w:leader="none" w:pos="133" w:val="left"/>
        </w:tabs>
        <w:numPr>
          <w:ilvl w:val="0"/>
          <w:numId w:val="168"/>
        </w:numPr>
        <w:rPr>
          <w:rFonts w:ascii="Arial" w:cs="Arial" w:eastAsia="Arial" w:hAnsi="Arial"/>
          <w:sz w:val="25"/>
          <w:szCs w:val="25"/>
          <w:color w:val="auto"/>
          <w:vertAlign w:val="superscript"/>
        </w:rPr>
      </w:pPr>
      <w:r>
        <w:rPr>
          <w:rFonts w:ascii="Arial" w:cs="Arial" w:eastAsia="Arial" w:hAnsi="Arial"/>
          <w:sz w:val="18"/>
          <w:szCs w:val="18"/>
          <w:color w:val="auto"/>
        </w:rPr>
        <w:t>The numerator is the total number of days worked during the third Measurement Period and the denominator is the total number of days in the third Measurement Period.</w:t>
      </w:r>
    </w:p>
    <w:p>
      <w:pPr>
        <w:spacing w:after="0" w:line="95" w:lineRule="exact"/>
        <w:rPr>
          <w:sz w:val="20"/>
          <w:szCs w:val="20"/>
          <w:color w:val="auto"/>
        </w:rPr>
      </w:pPr>
    </w:p>
    <w:p>
      <w:pPr>
        <w:ind w:right="20" w:firstLine="8"/>
        <w:spacing w:after="0" w:line="216" w:lineRule="auto"/>
        <w:tabs>
          <w:tab w:leader="none" w:pos="126" w:val="left"/>
        </w:tabs>
        <w:numPr>
          <w:ilvl w:val="0"/>
          <w:numId w:val="169"/>
        </w:numPr>
        <w:rPr>
          <w:rFonts w:ascii="Arial" w:cs="Arial" w:eastAsia="Arial" w:hAnsi="Arial"/>
          <w:sz w:val="25"/>
          <w:szCs w:val="25"/>
          <w:color w:val="auto"/>
          <w:vertAlign w:val="superscript"/>
        </w:rPr>
      </w:pPr>
      <w:r>
        <w:rPr>
          <w:rFonts w:ascii="Arial" w:cs="Arial" w:eastAsia="Arial" w:hAnsi="Arial"/>
          <w:sz w:val="18"/>
          <w:szCs w:val="18"/>
          <w:color w:val="auto"/>
        </w:rPr>
        <w:t>The numerator is the total number of days worked during the fourth Measurement Period and the denominator is the total number of days in the fourth Measurement Period.</w:t>
      </w:r>
    </w:p>
    <w:p>
      <w:pPr>
        <w:sectPr>
          <w:pgSz w:w="11900" w:h="16838" w:orient="portrait"/>
          <w:cols w:equalWidth="0" w:num="1">
            <w:col w:w="11420"/>
          </w:cols>
          <w:pgMar w:left="240" w:top="584"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 xml:space="preserve">Example 4 </w:t>
      </w:r>
      <w:r>
        <w:rPr>
          <w:rFonts w:ascii="Arial" w:cs="Arial" w:eastAsia="Arial" w:hAnsi="Arial"/>
          <w:sz w:val="18"/>
          <w:szCs w:val="18"/>
          <w:color w:val="auto"/>
        </w:rPr>
        <w:t>- Termination described in Section 2(b) and Payment Condition is not satisfied.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Facts</w:t>
      </w:r>
      <w:r>
        <w:rPr>
          <w:rFonts w:ascii="Arial" w:cs="Arial" w:eastAsia="Arial" w:hAnsi="Arial"/>
          <w:sz w:val="16"/>
          <w:szCs w:val="16"/>
          <w:color w:val="auto"/>
        </w:rPr>
        <w:t>: Assume the Same facts as in example 3, except that the Payment Condition was not satisfied during the second Net Income Measurement Period.</w:t>
      </w:r>
    </w:p>
    <w:p>
      <w:pPr>
        <w:spacing w:after="0" w:line="14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u w:val="single" w:color="auto"/>
          <w:color w:val="auto"/>
        </w:rPr>
        <w:t>Result</w:t>
      </w:r>
      <w:r>
        <w:rPr>
          <w:rFonts w:ascii="Arial" w:cs="Arial" w:eastAsia="Arial" w:hAnsi="Arial"/>
          <w:sz w:val="18"/>
          <w:szCs w:val="18"/>
          <w:color w:val="auto"/>
        </w:rPr>
        <w:t>: Since the Payment Condition was not satisfied in calendar year 2014, no payment would be made with respect to the first two Measurement Periods, regardless of whether the Payment Condition was satisfied in the third or fourth Net Income Measurement Periods. No credits or payments would be made with respect to the third or fourth Measurement Periods since the termination was a voluntary termination, regardless of whether the Payment Condition was satisfied in the third or fourth Net Income Measurement Periods.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Example 5 </w:t>
      </w:r>
      <w:r>
        <w:rPr>
          <w:rFonts w:ascii="Arial" w:cs="Arial" w:eastAsia="Arial" w:hAnsi="Arial"/>
          <w:sz w:val="18"/>
          <w:szCs w:val="18"/>
          <w:color w:val="auto"/>
        </w:rPr>
        <w:t>- Offset Described in Appendix A Relating to Amounts Credited Under Prior Award</w:t>
      </w:r>
    </w:p>
    <w:p>
      <w:pPr>
        <w:spacing w:after="0" w:line="121" w:lineRule="exact"/>
        <w:rPr>
          <w:sz w:val="20"/>
          <w:szCs w:val="20"/>
          <w:color w:val="auto"/>
        </w:rPr>
      </w:pPr>
    </w:p>
    <w:p>
      <w:pPr>
        <w:jc w:val="both"/>
        <w:ind w:left="340"/>
        <w:spacing w:after="0" w:line="267" w:lineRule="auto"/>
        <w:rPr>
          <w:sz w:val="20"/>
          <w:szCs w:val="20"/>
          <w:color w:val="auto"/>
        </w:rPr>
      </w:pPr>
      <w:r>
        <w:rPr>
          <w:rFonts w:ascii="Arial" w:cs="Arial" w:eastAsia="Arial" w:hAnsi="Arial"/>
          <w:sz w:val="17"/>
          <w:szCs w:val="17"/>
          <w:u w:val="single" w:color="auto"/>
          <w:color w:val="auto"/>
        </w:rPr>
        <w:t>Facts</w:t>
      </w:r>
      <w:r>
        <w:rPr>
          <w:rFonts w:ascii="Arial" w:cs="Arial" w:eastAsia="Arial" w:hAnsi="Arial"/>
          <w:sz w:val="17"/>
          <w:szCs w:val="17"/>
          <w:color w:val="auto"/>
        </w:rPr>
        <w:t>: Assume Grantee earned an Award in 2012 relating to []% of the ROI Incentive Pool and with Measurement Periods from July 1, 2012 to each of December 31, 2013, December 31, 2014, December 31, 2015 and December 31, 2016 (the “</w:t>
      </w:r>
      <w:r>
        <w:rPr>
          <w:rFonts w:ascii="Arial" w:cs="Arial" w:eastAsia="Arial" w:hAnsi="Arial"/>
          <w:sz w:val="17"/>
          <w:szCs w:val="17"/>
          <w:u w:val="single" w:color="auto"/>
          <w:color w:val="auto"/>
        </w:rPr>
        <w:t>2012 Award</w:t>
      </w:r>
      <w:r>
        <w:rPr>
          <w:rFonts w:ascii="Arial" w:cs="Arial" w:eastAsia="Arial" w:hAnsi="Arial"/>
          <w:sz w:val="17"/>
          <w:szCs w:val="17"/>
          <w:color w:val="auto"/>
        </w:rPr>
        <w:t>”). Assume Grantee also earned an award in 2013 (the “</w:t>
      </w:r>
      <w:r>
        <w:rPr>
          <w:rFonts w:ascii="Arial" w:cs="Arial" w:eastAsia="Arial" w:hAnsi="Arial"/>
          <w:sz w:val="17"/>
          <w:szCs w:val="17"/>
          <w:u w:val="single" w:color="auto"/>
          <w:color w:val="auto"/>
        </w:rPr>
        <w:t>2013 Award</w:t>
      </w:r>
      <w:r>
        <w:rPr>
          <w:rFonts w:ascii="Arial" w:cs="Arial" w:eastAsia="Arial" w:hAnsi="Arial"/>
          <w:sz w:val="17"/>
          <w:szCs w:val="17"/>
          <w:color w:val="auto"/>
        </w:rPr>
        <w:t>”). The 2013 Award relates to []% of the ROI Incentive Pool and the Measurement Periods from January 1, 2013 to each of December 31, 2013, December 31, 2014, December 31, 2015 and December 31, 2016. Thus, the Measurement Periods for the 2012 Award and 2013 Award overlap, other than with respect to the period from July 1, 2012 to December 31, 2012 (the “</w:t>
      </w:r>
      <w:r>
        <w:rPr>
          <w:rFonts w:ascii="Arial" w:cs="Arial" w:eastAsia="Arial" w:hAnsi="Arial"/>
          <w:sz w:val="17"/>
          <w:szCs w:val="17"/>
          <w:u w:val="single" w:color="auto"/>
          <w:color w:val="auto"/>
        </w:rPr>
        <w:t>Non-Overlapping Period</w:t>
      </w:r>
      <w:r>
        <w:rPr>
          <w:rFonts w:ascii="Arial" w:cs="Arial" w:eastAsia="Arial" w:hAnsi="Arial"/>
          <w:sz w:val="17"/>
          <w:szCs w:val="17"/>
          <w:color w:val="auto"/>
        </w:rPr>
        <w:t>”). Assume that during the first Measurement Period under the 2012 Award (from July 1, 2012 to December 31, 2013), the Company recognized $[] million of ROI, $[] million of which was attributable to the Non-Overlapping Period (2012) and $[] million of which was attributable to the period between January 1, 2013 and December 31, 2013. Under the 2012 Award, in the first quarter of 2014, $[] million ($[] million x []%) would be credited to the Grantee's Award Account with respect to the first Measurement Period. Under the 2013 Award, $[] would be credited to the Grantee's Award Account. This $[] credit is determined by taking (i) $[] ([]% of the $[] million credited to the ROI Incentive Pool with respect to the Investments for the first Measurement Period under the 2013 Award - January 1, 2013 to December 31, 2013), and reducing it by (ii) the $[] credited to the “Grantee's Award Account” under the 2012 Award that was attributable to ROI relating to the same days included in the Measurement Period under the 2013 Award (</w:t>
      </w:r>
      <w:r>
        <w:rPr>
          <w:rFonts w:ascii="Arial" w:cs="Arial" w:eastAsia="Arial" w:hAnsi="Arial"/>
          <w:sz w:val="17"/>
          <w:szCs w:val="17"/>
          <w:i w:val="1"/>
          <w:iCs w:val="1"/>
          <w:color w:val="auto"/>
        </w:rPr>
        <w:t>i.e.,</w:t>
      </w:r>
      <w:r>
        <w:rPr>
          <w:rFonts w:ascii="Arial" w:cs="Arial" w:eastAsia="Arial" w:hAnsi="Arial"/>
          <w:sz w:val="17"/>
          <w:szCs w:val="17"/>
          <w:color w:val="auto"/>
        </w:rPr>
        <w:t xml:space="preserve"> the period between January 1, 2013 to December 31, 2013). For the avoidance of doubt, there would be a 100% reduction of the credit under the 2013 Award since $[] of the $[] million credited to the Grantee's Award Account under the 2012 Award would be attributable to the days between January 1, 2013 and December 31, 2013 (since $[] million of the $[] million was attributable to the 2013 period). Consequently, assuming no negative discretion is exercised by the Committee, $[] million would be paid to the Grantee in the first quarter of 2014 with respect to the first Measurement Period under the 2012 Award (July 1, 2012 - December 31, 2013) and $[] would be paid to the Grantee with respect to the first Measurement Period under the 2013 Award (January 1, 2013 - December 31, 2013).</w:t>
      </w:r>
    </w:p>
    <w:p>
      <w:pPr>
        <w:sectPr>
          <w:pgSz w:w="11900" w:h="16838" w:orient="portrait"/>
          <w:cols w:equalWidth="0" w:num="1">
            <w:col w:w="11420"/>
          </w:cols>
          <w:pgMar w:left="240" w:top="580"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George P. Scanlon, certify that:</w:t>
      </w:r>
    </w:p>
    <w:p>
      <w:pPr>
        <w:spacing w:after="0" w:line="157" w:lineRule="exact"/>
        <w:rPr>
          <w:sz w:val="20"/>
          <w:szCs w:val="20"/>
          <w:color w:val="auto"/>
        </w:rPr>
      </w:pPr>
    </w:p>
    <w:p>
      <w:pPr>
        <w:ind w:left="180" w:hanging="172"/>
        <w:spacing w:after="0"/>
        <w:tabs>
          <w:tab w:leader="none" w:pos="1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 2013</w:t>
      </w:r>
    </w:p>
    <w:p>
      <w:pPr>
        <w:spacing w:after="0" w:line="171"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George P. Scanlon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George P. Scanlon</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57" w:lineRule="exact"/>
        <w:rPr>
          <w:sz w:val="20"/>
          <w:szCs w:val="20"/>
          <w:color w:val="auto"/>
        </w:rPr>
      </w:pPr>
    </w:p>
    <w:p>
      <w:pPr>
        <w:ind w:left="180" w:hanging="172"/>
        <w:spacing w:after="0"/>
        <w:tabs>
          <w:tab w:leader="none" w:pos="1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 2013</w:t>
      </w:r>
    </w:p>
    <w:p>
      <w:pPr>
        <w:spacing w:after="0" w:line="333"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firstLine="36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May 1, 2013</w:t>
      </w:r>
    </w:p>
    <w:p>
      <w:pPr>
        <w:spacing w:after="0" w:line="116"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George P. Scanlon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31750</wp:posOffset>
            </wp:positionV>
            <wp:extent cx="274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George P. Scanlon</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6"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firstLine="37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May 1, 2013</w:t>
      </w:r>
    </w:p>
    <w:p>
      <w:pPr>
        <w:spacing w:after="0" w:line="11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274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o"/>
      <w:numFmt w:val="bullet"/>
      <w:start w:val="1"/>
    </w:lvl>
  </w:abstractNum>
  <w:abstractNum w:abstractNumId="2">
    <w:nsid w:val="1716703B"/>
    <w:multiLevelType w:val="hybridMultilevel"/>
    <w:lvl w:ilvl="0">
      <w:lvlJc w:val="left"/>
      <w:lvlText w:val="(%1)"/>
      <w:numFmt w:val="decimal"/>
      <w:start w:val="1"/>
    </w:lvl>
  </w:abstractNum>
  <w:abstractNum w:abstractNumId="3">
    <w:nsid w:val="14E17E33"/>
    <w:multiLevelType w:val="hybridMultilevel"/>
    <w:lvl w:ilvl="0">
      <w:lvlJc w:val="left"/>
      <w:lvlText w:val="\emdash "/>
      <w:numFmt w:val="bullet"/>
      <w:start w:val="1"/>
    </w:lvl>
  </w:abstractNum>
  <w:abstractNum w:abstractNumId="4">
    <w:nsid w:val="3222E7CD"/>
    <w:multiLevelType w:val="hybridMultilevel"/>
    <w:lvl w:ilvl="0">
      <w:lvlJc w:val="left"/>
      <w:lvlText w:val="\emdash "/>
      <w:numFmt w:val="bullet"/>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
      <w:numFmt w:val="bullet"/>
      <w:start w:val="1"/>
    </w:lvl>
  </w:abstractNum>
  <w:abstractNum w:abstractNumId="7">
    <w:nsid w:val="2DF6D648"/>
    <w:multiLevelType w:val="hybridMultilevel"/>
    <w:lvl w:ilvl="0">
      <w:lvlJc w:val="left"/>
      <w:lvlText w:val="(%1)"/>
      <w:numFmt w:val="decimal"/>
      <w:start w:val="1"/>
    </w:lvl>
  </w:abstractNum>
  <w:abstractNum w:abstractNumId="8">
    <w:nsid w:val="46B7D447"/>
    <w:multiLevelType w:val="hybridMultilevel"/>
    <w:lvl w:ilvl="0">
      <w:lvlJc w:val="left"/>
      <w:lvlText w:val="A"/>
      <w:numFmt w:val="bullet"/>
      <w:start w:val="1"/>
    </w:lvl>
  </w:abstractNum>
  <w:abstractNum w:abstractNumId="9">
    <w:nsid w:val="4A2AC315"/>
    <w:multiLevelType w:val="hybridMultilevel"/>
    <w:lvl w:ilvl="0">
      <w:lvlJc w:val="left"/>
      <w:lvlText w:val="B"/>
      <w:numFmt w:val="bullet"/>
      <w:start w:val="1"/>
    </w:lvl>
  </w:abstractNum>
  <w:abstractNum w:abstractNumId="10">
    <w:nsid w:val="39EE015C"/>
    <w:multiLevelType w:val="hybridMultilevel"/>
    <w:lvl w:ilvl="0">
      <w:lvlJc w:val="left"/>
      <w:lvlText w:val="C"/>
      <w:numFmt w:val="bullet"/>
      <w:start w:val="1"/>
    </w:lvl>
  </w:abstractNum>
  <w:abstractNum w:abstractNumId="11">
    <w:nsid w:val="57FC4FBB"/>
    <w:multiLevelType w:val="hybridMultilevel"/>
    <w:lvl w:ilvl="0">
      <w:lvlJc w:val="left"/>
      <w:lvlText w:val="E"/>
      <w:numFmt w:val="bullet"/>
      <w:start w:val="1"/>
    </w:lvl>
  </w:abstractNum>
  <w:abstractNum w:abstractNumId="12">
    <w:nsid w:val="CC1016F"/>
    <w:multiLevelType w:val="hybridMultilevel"/>
    <w:lvl w:ilvl="0">
      <w:lvlJc w:val="left"/>
      <w:lvlText w:val="F"/>
      <w:numFmt w:val="bullet"/>
      <w:start w:val="1"/>
    </w:lvl>
  </w:abstractNum>
  <w:abstractNum w:abstractNumId="13">
    <w:nsid w:val="43F18422"/>
    <w:multiLevelType w:val="hybridMultilevel"/>
    <w:lvl w:ilvl="0">
      <w:lvlJc w:val="left"/>
      <w:lvlText w:val="G"/>
      <w:numFmt w:val="bullet"/>
      <w:start w:val="1"/>
    </w:lvl>
  </w:abstractNum>
  <w:abstractNum w:abstractNumId="14">
    <w:nsid w:val="60EF0119"/>
    <w:multiLevelType w:val="hybridMultilevel"/>
    <w:lvl w:ilvl="0">
      <w:lvlJc w:val="left"/>
      <w:lvlText w:val="(%1)"/>
      <w:numFmt w:val="lowerLetter"/>
      <w:start w:val="1"/>
    </w:lvl>
  </w:abstractNum>
  <w:abstractNum w:abstractNumId="15">
    <w:nsid w:val="26F324BA"/>
    <w:multiLevelType w:val="hybridMultilevel"/>
    <w:lvl w:ilvl="0">
      <w:lvlJc w:val="left"/>
      <w:lvlText w:val="(%1)"/>
      <w:numFmt w:val="lowerLetter"/>
      <w:start w:val="1"/>
    </w:lvl>
  </w:abstractNum>
  <w:abstractNum w:abstractNumId="16">
    <w:nsid w:val="7F01579B"/>
    <w:multiLevelType w:val="hybridMultilevel"/>
    <w:lvl w:ilvl="0">
      <w:lvlJc w:val="left"/>
      <w:lvlText w:val="(%1)"/>
      <w:numFmt w:val="lowerLetter"/>
      <w:start w:val="1"/>
    </w:lvl>
  </w:abstractNum>
  <w:abstractNum w:abstractNumId="17">
    <w:nsid w:val="49DA307D"/>
    <w:multiLevelType w:val="hybridMultilevel"/>
    <w:lvl w:ilvl="0">
      <w:lvlJc w:val="left"/>
      <w:lvlText w:val="%1"/>
      <w:numFmt w:val="lowerLetter"/>
      <w:start w:val="1"/>
    </w:lvl>
    <w:lvl w:ilvl="1">
      <w:lvlJc w:val="left"/>
      <w:lvlText w:val="(%2)"/>
      <w:numFmt w:val="lowerLetter"/>
      <w:start w:val="2"/>
    </w:lvl>
  </w:abstractNum>
  <w:abstractNum w:abstractNumId="18">
    <w:nsid w:val="7055A5F5"/>
    <w:multiLevelType w:val="hybridMultilevel"/>
    <w:lvl w:ilvl="0">
      <w:lvlJc w:val="left"/>
      <w:lvlText w:val="(%1)"/>
      <w:numFmt w:val="lowerLetter"/>
      <w:start w:val="61"/>
    </w:lvl>
    <w:lvl w:ilvl="1">
      <w:lvlJc w:val="left"/>
      <w:lvlText w:val="(%2)"/>
      <w:numFmt w:val="lowerLetter"/>
      <w:start w:val="4"/>
    </w:lvl>
  </w:abstractNum>
  <w:abstractNum w:abstractNumId="19">
    <w:nsid w:val="5FB8370B"/>
    <w:multiLevelType w:val="hybridMultilevel"/>
    <w:lvl w:ilvl="0">
      <w:lvlJc w:val="left"/>
      <w:lvlText w:val="(%1)"/>
      <w:numFmt w:val="lowerLetter"/>
      <w:start w:val="1"/>
    </w:lvl>
  </w:abstractNum>
  <w:abstractNum w:abstractNumId="20">
    <w:nsid w:val="50801EE1"/>
    <w:multiLevelType w:val="hybridMultilevel"/>
    <w:lvl w:ilvl="0">
      <w:lvlJc w:val="left"/>
      <w:lvlText w:val="(%1)"/>
      <w:numFmt w:val="lowerLetter"/>
      <w:start w:val="1"/>
    </w:lvl>
  </w:abstractNum>
  <w:abstractNum w:abstractNumId="21">
    <w:nsid w:val="488AC1A"/>
    <w:multiLevelType w:val="hybridMultilevel"/>
    <w:lvl w:ilvl="0">
      <w:lvlJc w:val="left"/>
      <w:lvlText w:val="(%1)"/>
      <w:numFmt w:val="lowerLetter"/>
      <w:start w:val="7"/>
    </w:lvl>
  </w:abstractNum>
  <w:abstractNum w:abstractNumId="22">
    <w:nsid w:val="5FB8011C"/>
    <w:multiLevelType w:val="hybridMultilevel"/>
    <w:lvl w:ilvl="0">
      <w:lvlJc w:val="left"/>
      <w:lvlText w:val="(%1)"/>
      <w:numFmt w:val="lowerLetter"/>
      <w:start w:val="1"/>
    </w:lvl>
  </w:abstractNum>
  <w:abstractNum w:abstractNumId="23">
    <w:nsid w:val="6AA78F7F"/>
    <w:multiLevelType w:val="hybridMultilevel"/>
    <w:lvl w:ilvl="0">
      <w:lvlJc w:val="left"/>
      <w:lvlText w:val="(%1)"/>
      <w:numFmt w:val="lowerLetter"/>
      <w:start w:val="1"/>
    </w:lvl>
  </w:abstractNum>
  <w:abstractNum w:abstractNumId="24">
    <w:nsid w:val="7672BD23"/>
    <w:multiLevelType w:val="hybridMultilevel"/>
    <w:lvl w:ilvl="0">
      <w:lvlJc w:val="left"/>
      <w:lvlText w:val="(%1)"/>
      <w:numFmt w:val="lowerLetter"/>
      <w:start w:val="1"/>
    </w:lvl>
  </w:abstractNum>
  <w:abstractNum w:abstractNumId="25">
    <w:nsid w:val="6FC75AF8"/>
    <w:multiLevelType w:val="hybridMultilevel"/>
    <w:lvl w:ilvl="0">
      <w:lvlJc w:val="left"/>
      <w:lvlText w:val="(%1)"/>
      <w:numFmt w:val="lowerLetter"/>
      <w:start w:val="2"/>
    </w:lvl>
  </w:abstractNum>
  <w:abstractNum w:abstractNumId="26">
    <w:nsid w:val="6A5F7029"/>
    <w:multiLevelType w:val="hybridMultilevel"/>
    <w:lvl w:ilvl="0">
      <w:lvlJc w:val="left"/>
      <w:lvlText w:val="(%1)"/>
      <w:numFmt w:val="lowerLetter"/>
      <w:start w:val="2"/>
    </w:lvl>
  </w:abstractNum>
  <w:abstractNum w:abstractNumId="27">
    <w:nsid w:val="7D5E18F8"/>
    <w:multiLevelType w:val="hybridMultilevel"/>
    <w:lvl w:ilvl="0">
      <w:lvlJc w:val="left"/>
      <w:lvlText w:val="(%1)"/>
      <w:numFmt w:val="lowerLetter"/>
      <w:start w:val="1"/>
    </w:lvl>
  </w:abstractNum>
  <w:abstractNum w:abstractNumId="28">
    <w:nsid w:val="5F3534A4"/>
    <w:multiLevelType w:val="hybridMultilevel"/>
    <w:lvl w:ilvl="0">
      <w:lvlJc w:val="left"/>
      <w:lvlText w:val="(%1)"/>
      <w:numFmt w:val="lowerLetter"/>
      <w:start w:val="3"/>
    </w:lvl>
  </w:abstractNum>
  <w:abstractNum w:abstractNumId="29">
    <w:nsid w:val="73A1821B"/>
    <w:multiLevelType w:val="hybridMultilevel"/>
    <w:lvl w:ilvl="0">
      <w:lvlJc w:val="left"/>
      <w:lvlText w:val="(%1)"/>
      <w:numFmt w:val="lowerLetter"/>
      <w:start w:val="2"/>
    </w:lvl>
  </w:abstractNum>
  <w:abstractNum w:abstractNumId="30">
    <w:nsid w:val="7DE67713"/>
    <w:multiLevelType w:val="hybridMultilevel"/>
    <w:lvl w:ilvl="0">
      <w:lvlJc w:val="left"/>
      <w:lvlText w:val="(%1)"/>
      <w:numFmt w:val="lowerLetter"/>
      <w:start w:val="2"/>
    </w:lvl>
  </w:abstractNum>
  <w:abstractNum w:abstractNumId="31">
    <w:nsid w:val="555C55B5"/>
    <w:multiLevelType w:val="hybridMultilevel"/>
    <w:lvl w:ilvl="0">
      <w:lvlJc w:val="left"/>
      <w:lvlText w:val="(%1)"/>
      <w:numFmt w:val="lowerLetter"/>
      <w:start w:val="2"/>
    </w:lvl>
    <w:lvl w:ilvl="1">
      <w:lvlJc w:val="left"/>
      <w:lvlText w:val="(%2)"/>
      <w:numFmt w:val="lowerRoman"/>
      <w:start w:val="1"/>
    </w:lvl>
  </w:abstractNum>
  <w:abstractNum w:abstractNumId="32">
    <w:nsid w:val="3FA62ACA"/>
    <w:multiLevelType w:val="hybridMultilevel"/>
    <w:lvl w:ilvl="0">
      <w:lvlJc w:val="left"/>
      <w:lvlText w:val="(%1)"/>
      <w:numFmt w:val="lowerRoman"/>
      <w:start w:val="5"/>
    </w:lvl>
  </w:abstractNum>
  <w:abstractNum w:abstractNumId="33">
    <w:nsid w:val="14FCE74E"/>
    <w:multiLevelType w:val="hybridMultilevel"/>
    <w:lvl w:ilvl="0">
      <w:lvlJc w:val="left"/>
      <w:lvlText w:val="(%1)"/>
      <w:numFmt w:val="lowerRoman"/>
      <w:start w:val="7"/>
    </w:lvl>
  </w:abstractNum>
  <w:abstractNum w:abstractNumId="34">
    <w:nsid w:val="6A3DD3E8"/>
    <w:multiLevelType w:val="hybridMultilevel"/>
    <w:lvl w:ilvl="0">
      <w:lvlJc w:val="left"/>
      <w:lvlText w:val="(%1)"/>
      <w:numFmt w:val="lowerLetter"/>
      <w:start w:val="3"/>
    </w:lvl>
  </w:abstractNum>
  <w:abstractNum w:abstractNumId="35">
    <w:nsid w:val="71C91298"/>
    <w:multiLevelType w:val="hybridMultilevel"/>
    <w:lvl w:ilvl="0">
      <w:lvlJc w:val="left"/>
      <w:lvlText w:val="(%1)"/>
      <w:numFmt w:val="lowerLetter"/>
      <w:start w:val="2"/>
    </w:lvl>
    <w:lvl w:ilvl="1">
      <w:lvlJc w:val="left"/>
      <w:lvlText w:val="(%2)"/>
      <w:numFmt w:val="lowerRoman"/>
      <w:start w:val="2"/>
    </w:lvl>
  </w:abstractNum>
  <w:abstractNum w:abstractNumId="36">
    <w:nsid w:val="9DAF632"/>
    <w:multiLevelType w:val="hybridMultilevel"/>
    <w:lvl w:ilvl="0">
      <w:lvlJc w:val="left"/>
      <w:lvlText w:val="(%1)"/>
      <w:numFmt w:val="lowerLetter"/>
      <w:start w:val="2"/>
    </w:lvl>
  </w:abstractNum>
  <w:abstractNum w:abstractNumId="37">
    <w:nsid w:val="53299938"/>
    <w:multiLevelType w:val="hybridMultilevel"/>
    <w:lvl w:ilvl="0">
      <w:lvlJc w:val="left"/>
      <w:lvlText w:val="(%1)"/>
      <w:numFmt w:val="lowerLetter"/>
      <w:start w:val="2"/>
    </w:lvl>
    <w:lvl w:ilvl="1">
      <w:lvlJc w:val="left"/>
      <w:lvlText w:val="(%2)"/>
      <w:numFmt w:val="lowerLetter"/>
      <w:start w:val="35"/>
    </w:lvl>
  </w:abstractNum>
  <w:abstractNum w:abstractNumId="38">
    <w:nsid w:val="1FBFE8E0"/>
    <w:multiLevelType w:val="hybridMultilevel"/>
    <w:lvl w:ilvl="0">
      <w:lvlJc w:val="left"/>
      <w:lvlText w:val="(%1)"/>
      <w:numFmt w:val="lowerLetter"/>
      <w:start w:val="3"/>
    </w:lvl>
  </w:abstractNum>
  <w:abstractNum w:abstractNumId="39">
    <w:nsid w:val="5092CA79"/>
    <w:multiLevelType w:val="hybridMultilevel"/>
    <w:lvl w:ilvl="0">
      <w:lvlJc w:val="left"/>
      <w:lvlText w:val="(%1)"/>
      <w:numFmt w:val="lowerRoman"/>
      <w:start w:val="1"/>
    </w:lvl>
  </w:abstractNum>
  <w:abstractNum w:abstractNumId="40">
    <w:nsid w:val="1D545C4D"/>
    <w:multiLevelType w:val="hybridMultilevel"/>
    <w:lvl w:ilvl="0">
      <w:lvlJc w:val="left"/>
      <w:lvlText w:val="%1"/>
      <w:numFmt w:val="lowerRoman"/>
      <w:start w:val="1"/>
    </w:lvl>
    <w:lvl w:ilvl="1">
      <w:lvlJc w:val="left"/>
      <w:lvlText w:val="(%2)"/>
      <w:numFmt w:val="lowerLetter"/>
      <w:start w:val="2"/>
    </w:lvl>
  </w:abstractNum>
  <w:abstractNum w:abstractNumId="41">
    <w:nsid w:val="59ADEA3D"/>
    <w:multiLevelType w:val="hybridMultilevel"/>
    <w:lvl w:ilvl="0">
      <w:lvlJc w:val="left"/>
      <w:lvlText w:val="(%1)"/>
      <w:numFmt w:val="lowerRoman"/>
      <w:start w:val="4"/>
    </w:lvl>
    <w:lvl w:ilvl="1">
      <w:lvlJc w:val="left"/>
      <w:lvlText w:val="(%2)"/>
      <w:numFmt w:val="lowerLetter"/>
      <w:start w:val="3"/>
    </w:lvl>
  </w:abstractNum>
  <w:abstractNum w:abstractNumId="42">
    <w:nsid w:val="288F1A34"/>
    <w:multiLevelType w:val="hybridMultilevel"/>
    <w:lvl w:ilvl="0">
      <w:lvlJc w:val="left"/>
      <w:lvlText w:val="(%1)"/>
      <w:numFmt w:val="lowerLetter"/>
      <w:start w:val="6"/>
    </w:lvl>
  </w:abstractNum>
  <w:abstractNum w:abstractNumId="43">
    <w:nsid w:val="2A155DBC"/>
    <w:multiLevelType w:val="hybridMultilevel"/>
    <w:lvl w:ilvl="0">
      <w:lvlJc w:val="left"/>
      <w:lvlText w:val="%1"/>
      <w:numFmt w:val="lowerRoman"/>
      <w:start w:val="1"/>
    </w:lvl>
    <w:lvl w:ilvl="1">
      <w:lvlJc w:val="left"/>
      <w:lvlText w:val="(%2)"/>
      <w:numFmt w:val="lowerRoman"/>
      <w:start w:val="1"/>
    </w:lvl>
  </w:abstractNum>
  <w:abstractNum w:abstractNumId="44">
    <w:nsid w:val="1D9F6E5F"/>
    <w:multiLevelType w:val="hybridMultilevel"/>
    <w:lvl w:ilvl="0">
      <w:lvlJc w:val="left"/>
      <w:lvlText w:val="(%1)"/>
      <w:numFmt w:val="lowerRoman"/>
      <w:start w:val="10"/>
    </w:lvl>
    <w:lvl w:ilvl="1">
      <w:lvlJc w:val="left"/>
      <w:lvlText w:val="(%2)"/>
      <w:numFmt w:val="lowerRoman"/>
      <w:start w:val="3"/>
    </w:lvl>
  </w:abstractNum>
  <w:abstractNum w:abstractNumId="45">
    <w:nsid w:val="97E1B4E"/>
    <w:multiLevelType w:val="hybridMultilevel"/>
    <w:lvl w:ilvl="0">
      <w:lvlJc w:val="left"/>
      <w:lvlText w:val="%1"/>
      <w:numFmt w:val="lowerLetter"/>
      <w:start w:val="1"/>
    </w:lvl>
    <w:lvl w:ilvl="1">
      <w:lvlJc w:val="left"/>
      <w:lvlText w:val="(%2)"/>
      <w:numFmt w:val="lowerLetter"/>
      <w:start w:val="7"/>
    </w:lvl>
  </w:abstractNum>
  <w:abstractNum w:abstractNumId="46">
    <w:nsid w:val="51088277"/>
    <w:multiLevelType w:val="hybridMultilevel"/>
    <w:lvl w:ilvl="0">
      <w:lvlJc w:val="left"/>
      <w:lvlText w:val="(%1)"/>
      <w:numFmt w:val="lowerLetter"/>
      <w:start w:val="6"/>
    </w:lvl>
    <w:lvl w:ilvl="1">
      <w:lvlJc w:val="left"/>
      <w:lvlText w:val="%2"/>
      <w:numFmt w:val="lowerLetter"/>
      <w:start w:val="1"/>
    </w:lvl>
  </w:abstractNum>
  <w:abstractNum w:abstractNumId="47">
    <w:nsid w:val="1CA0C5FA"/>
    <w:multiLevelType w:val="hybridMultilevel"/>
    <w:lvl w:ilvl="0">
      <w:lvlJc w:val="left"/>
      <w:lvlText w:val="%1"/>
      <w:numFmt w:val="lowerLetter"/>
      <w:start w:val="1"/>
    </w:lvl>
    <w:lvl w:ilvl="1">
      <w:lvlJc w:val="left"/>
      <w:lvlText w:val="(%2)"/>
      <w:numFmt w:val="lowerLetter"/>
      <w:start w:val="35"/>
    </w:lvl>
  </w:abstractNum>
  <w:abstractNum w:abstractNumId="48">
    <w:nsid w:val="53584BCB"/>
    <w:multiLevelType w:val="hybridMultilevel"/>
    <w:lvl w:ilvl="0">
      <w:lvlJc w:val="left"/>
      <w:lvlText w:val="(%1)"/>
      <w:numFmt w:val="lowerLetter"/>
      <w:start w:val="2"/>
    </w:lvl>
    <w:lvl w:ilvl="1">
      <w:lvlJc w:val="left"/>
      <w:lvlText w:val="(%2)"/>
      <w:numFmt w:val="lowerLetter"/>
      <w:start w:val="35"/>
    </w:lvl>
  </w:abstractNum>
  <w:abstractNum w:abstractNumId="49">
    <w:nsid w:val="415E286C"/>
    <w:multiLevelType w:val="hybridMultilevel"/>
    <w:lvl w:ilvl="0">
      <w:lvlJc w:val="left"/>
      <w:lvlText w:val="(%1)"/>
      <w:numFmt w:val="lowerLetter"/>
      <w:start w:val="5"/>
    </w:lvl>
    <w:lvl w:ilvl="1">
      <w:lvlJc w:val="left"/>
      <w:lvlText w:val="(%2)"/>
      <w:numFmt w:val="lowerRoman"/>
      <w:start w:val="2"/>
    </w:lvl>
    <w:lvl w:ilvl="2">
      <w:lvlJc w:val="left"/>
      <w:lvlText w:val="(%3)"/>
      <w:numFmt w:val="upperLetter"/>
      <w:start w:val="1"/>
    </w:lvl>
  </w:abstractNum>
  <w:abstractNum w:abstractNumId="50">
    <w:nsid w:val="7C58FD05"/>
    <w:multiLevelType w:val="hybridMultilevel"/>
    <w:lvl w:ilvl="0">
      <w:lvlJc w:val="left"/>
      <w:lvlText w:val="(%1)"/>
      <w:numFmt w:val="upperLetter"/>
      <w:start w:val="9"/>
    </w:lvl>
  </w:abstractNum>
  <w:abstractNum w:abstractNumId="51">
    <w:nsid w:val="23D86AAC"/>
    <w:multiLevelType w:val="hybridMultilevel"/>
    <w:lvl w:ilvl="0">
      <w:lvlJc w:val="left"/>
      <w:lvlText w:val="(%1)"/>
      <w:numFmt w:val="upperLetter"/>
      <w:start w:val="61"/>
    </w:lvl>
  </w:abstractNum>
  <w:abstractNum w:abstractNumId="52">
    <w:nsid w:val="45E6D486"/>
    <w:multiLevelType w:val="hybridMultilevel"/>
    <w:lvl w:ilvl="0">
      <w:lvlJc w:val="left"/>
      <w:lvlText w:val="%1"/>
      <w:numFmt w:val="lowerRoman"/>
      <w:start w:val="1"/>
    </w:lvl>
    <w:lvl w:ilvl="1">
      <w:lvlJc w:val="left"/>
      <w:lvlText w:val="(%2)"/>
      <w:numFmt w:val="upperLetter"/>
      <w:start w:val="22"/>
    </w:lvl>
  </w:abstractNum>
  <w:abstractNum w:abstractNumId="53">
    <w:nsid w:val="5C10FE21"/>
    <w:multiLevelType w:val="hybridMultilevel"/>
    <w:lvl w:ilvl="0">
      <w:lvlJc w:val="left"/>
      <w:lvlText w:val="(%1)"/>
      <w:numFmt w:val="lowerRoman"/>
      <w:start w:val="3"/>
    </w:lvl>
    <w:lvl w:ilvl="1">
      <w:lvlJc w:val="left"/>
      <w:lvlText w:val="%2"/>
      <w:numFmt w:val="upperLetter"/>
      <w:start w:val="1"/>
    </w:lvl>
  </w:abstractNum>
  <w:abstractNum w:abstractNumId="54">
    <w:nsid w:val="E7FFA2B"/>
    <w:multiLevelType w:val="hybridMultilevel"/>
    <w:lvl w:ilvl="0">
      <w:lvlJc w:val="left"/>
      <w:lvlText w:val="%1"/>
      <w:numFmt w:val="lowerLetter"/>
      <w:start w:val="1"/>
    </w:lvl>
    <w:lvl w:ilvl="1">
      <w:lvlJc w:val="left"/>
      <w:lvlText w:val="(%2)"/>
      <w:numFmt w:val="lowerRoman"/>
      <w:start w:val="4"/>
    </w:lvl>
  </w:abstractNum>
  <w:abstractNum w:abstractNumId="55">
    <w:nsid w:val="3C5991AA"/>
    <w:multiLevelType w:val="hybridMultilevel"/>
    <w:lvl w:ilvl="0">
      <w:lvlJc w:val="left"/>
      <w:lvlText w:val="(%1)"/>
      <w:numFmt w:val="lowerLetter"/>
      <w:start w:val="6"/>
    </w:lvl>
    <w:lvl w:ilvl="1">
      <w:lvlJc w:val="left"/>
      <w:lvlText w:val="%2"/>
      <w:numFmt w:val="lowerRoman"/>
      <w:start w:val="1"/>
    </w:lvl>
  </w:abstractNum>
  <w:abstractNum w:abstractNumId="56">
    <w:nsid w:val="4BD8591A"/>
    <w:multiLevelType w:val="hybridMultilevel"/>
    <w:lvl w:ilvl="0">
      <w:lvlJc w:val="left"/>
      <w:lvlText w:val="(%1)"/>
      <w:numFmt w:val="lowerRoman"/>
      <w:start w:val="1"/>
    </w:lvl>
  </w:abstractNum>
  <w:abstractNum w:abstractNumId="57">
    <w:nsid w:val="78DF6A55"/>
    <w:multiLevelType w:val="hybridMultilevel"/>
    <w:lvl w:ilvl="0">
      <w:lvlJc w:val="left"/>
      <w:lvlText w:val="(%1)"/>
      <w:numFmt w:val="lowerRoman"/>
      <w:start w:val="2"/>
    </w:lvl>
  </w:abstractNum>
  <w:abstractNum w:abstractNumId="58">
    <w:nsid w:val="39B7AAA2"/>
    <w:multiLevelType w:val="hybridMultilevel"/>
    <w:lvl w:ilvl="0">
      <w:lvlJc w:val="left"/>
      <w:lvlText w:val="(%1)"/>
      <w:numFmt w:val="lowerLetter"/>
      <w:start w:val="2"/>
    </w:lvl>
  </w:abstractNum>
  <w:abstractNum w:abstractNumId="59">
    <w:nsid w:val="2B0D8DBE"/>
    <w:multiLevelType w:val="hybridMultilevel"/>
    <w:lvl w:ilvl="0">
      <w:lvlJc w:val="left"/>
      <w:lvlText w:val="(%1)"/>
      <w:numFmt w:val="lowerLetter"/>
      <w:start w:val="1"/>
    </w:lvl>
  </w:abstractNum>
  <w:abstractNum w:abstractNumId="60">
    <w:nsid w:val="6C80EC70"/>
    <w:multiLevelType w:val="hybridMultilevel"/>
    <w:lvl w:ilvl="0">
      <w:lvlJc w:val="left"/>
      <w:lvlText w:val="(%1)"/>
      <w:numFmt w:val="lowerLetter"/>
      <w:start w:val="2"/>
    </w:lvl>
  </w:abstractNum>
  <w:abstractNum w:abstractNumId="61">
    <w:nsid w:val="379E21B5"/>
    <w:multiLevelType w:val="hybridMultilevel"/>
    <w:lvl w:ilvl="0">
      <w:lvlJc w:val="left"/>
      <w:lvlText w:val="(%1)"/>
      <w:numFmt w:val="lowerLetter"/>
      <w:start w:val="1"/>
    </w:lvl>
    <w:lvl w:ilvl="1">
      <w:lvlJc w:val="left"/>
      <w:lvlText w:val="(%2)"/>
      <w:numFmt w:val="lowerRoman"/>
      <w:start w:val="1"/>
    </w:lvl>
  </w:abstractNum>
  <w:abstractNum w:abstractNumId="62">
    <w:nsid w:val="69E373"/>
    <w:multiLevelType w:val="hybridMultilevel"/>
    <w:lvl w:ilvl="0">
      <w:lvlJc w:val="left"/>
      <w:lvlText w:val="(%1)"/>
      <w:numFmt w:val="upperLetter"/>
      <w:start w:val="1"/>
    </w:lvl>
  </w:abstractNum>
  <w:abstractNum w:abstractNumId="63">
    <w:nsid w:val="2C27173B"/>
    <w:multiLevelType w:val="hybridMultilevel"/>
    <w:lvl w:ilvl="0">
      <w:lvlJc w:val="left"/>
      <w:lvlText w:val="(%1)"/>
      <w:numFmt w:val="lowerRoman"/>
      <w:start w:val="4"/>
    </w:lvl>
  </w:abstractNum>
  <w:abstractNum w:abstractNumId="64">
    <w:nsid w:val="4C9B0904"/>
    <w:multiLevelType w:val="hybridMultilevel"/>
    <w:lvl w:ilvl="0">
      <w:lvlJc w:val="left"/>
      <w:lvlText w:val="(%1)"/>
      <w:numFmt w:val="lowerRoman"/>
      <w:start w:val="10"/>
    </w:lvl>
  </w:abstractNum>
  <w:abstractNum w:abstractNumId="65">
    <w:nsid w:val="6AA7B75C"/>
    <w:multiLevelType w:val="hybridMultilevel"/>
    <w:lvl w:ilvl="0">
      <w:lvlJc w:val="left"/>
      <w:lvlText w:val="(%1)"/>
      <w:numFmt w:val="lowerRoman"/>
      <w:start w:val="16"/>
    </w:lvl>
  </w:abstractNum>
  <w:abstractNum w:abstractNumId="66">
    <w:nsid w:val="1DF029D3"/>
    <w:multiLevelType w:val="hybridMultilevel"/>
    <w:lvl w:ilvl="0">
      <w:lvlJc w:val="left"/>
      <w:lvlText w:val="(%1)"/>
      <w:numFmt w:val="lowerRoman"/>
      <w:start w:val="18"/>
    </w:lvl>
  </w:abstractNum>
  <w:abstractNum w:abstractNumId="67">
    <w:nsid w:val="5675FF36"/>
    <w:multiLevelType w:val="hybridMultilevel"/>
    <w:lvl w:ilvl="0">
      <w:lvlJc w:val="left"/>
      <w:lvlText w:val="(%1)"/>
      <w:numFmt w:val="lowerLetter"/>
      <w:start w:val="2"/>
    </w:lvl>
  </w:abstractNum>
  <w:abstractNum w:abstractNumId="68">
    <w:nsid w:val="3DD15094"/>
    <w:multiLevelType w:val="hybridMultilevel"/>
    <w:lvl w:ilvl="0">
      <w:lvlJc w:val="left"/>
      <w:lvlText w:val="(%1)"/>
      <w:numFmt w:val="lowerLetter"/>
      <w:start w:val="4"/>
    </w:lvl>
  </w:abstractNum>
  <w:abstractNum w:abstractNumId="69">
    <w:nsid w:val="3DB012B3"/>
    <w:multiLevelType w:val="hybridMultilevel"/>
    <w:lvl w:ilvl="0">
      <w:lvlJc w:val="left"/>
      <w:lvlText w:val="(%1)"/>
      <w:numFmt w:val="lowerLetter"/>
      <w:start w:val="1"/>
    </w:lvl>
  </w:abstractNum>
  <w:abstractNum w:abstractNumId="70">
    <w:nsid w:val="2708C9AF"/>
    <w:multiLevelType w:val="hybridMultilevel"/>
    <w:lvl w:ilvl="0">
      <w:lvlJc w:val="left"/>
      <w:lvlText w:val="(%1)"/>
      <w:numFmt w:val="lowerLetter"/>
      <w:start w:val="2"/>
    </w:lvl>
  </w:abstractNum>
  <w:abstractNum w:abstractNumId="71">
    <w:nsid w:val="5B25ACE2"/>
    <w:multiLevelType w:val="hybridMultilevel"/>
    <w:lvl w:ilvl="0">
      <w:lvlJc w:val="left"/>
      <w:lvlText w:val="(%1)"/>
      <w:numFmt w:val="lowerLetter"/>
      <w:start w:val="2"/>
    </w:lvl>
  </w:abstractNum>
  <w:abstractNum w:abstractNumId="72">
    <w:nsid w:val="175DFCF0"/>
    <w:multiLevelType w:val="hybridMultilevel"/>
    <w:lvl w:ilvl="0">
      <w:lvlJc w:val="left"/>
      <w:lvlText w:val="(%1)"/>
      <w:numFmt w:val="lowerLetter"/>
      <w:start w:val="3"/>
    </w:lvl>
  </w:abstractNum>
  <w:abstractNum w:abstractNumId="73">
    <w:nsid w:val="4F97E3E4"/>
    <w:multiLevelType w:val="hybridMultilevel"/>
    <w:lvl w:ilvl="0">
      <w:lvlJc w:val="left"/>
      <w:lvlText w:val="(%1)"/>
      <w:numFmt w:val="lowerLetter"/>
      <w:start w:val="2"/>
    </w:lvl>
  </w:abstractNum>
  <w:abstractNum w:abstractNumId="74">
    <w:nsid w:val="53B0A9E"/>
    <w:multiLevelType w:val="hybridMultilevel"/>
    <w:lvl w:ilvl="0">
      <w:lvlJc w:val="left"/>
      <w:lvlText w:val="(%1)"/>
      <w:numFmt w:val="lowerLetter"/>
      <w:start w:val="2"/>
    </w:lvl>
  </w:abstractNum>
  <w:abstractNum w:abstractNumId="75">
    <w:nsid w:val="34FD6B4F"/>
    <w:multiLevelType w:val="hybridMultilevel"/>
    <w:lvl w:ilvl="0">
      <w:lvlJc w:val="left"/>
      <w:lvlText w:val="(%1)"/>
      <w:numFmt w:val="lowerLetter"/>
      <w:start w:val="2"/>
    </w:lvl>
  </w:abstractNum>
  <w:abstractNum w:abstractNumId="76">
    <w:nsid w:val="5915FF32"/>
    <w:multiLevelType w:val="hybridMultilevel"/>
    <w:lvl w:ilvl="0">
      <w:lvlJc w:val="left"/>
      <w:lvlText w:val="(%1)"/>
      <w:numFmt w:val="lowerLetter"/>
      <w:start w:val="2"/>
    </w:lvl>
  </w:abstractNum>
  <w:abstractNum w:abstractNumId="77">
    <w:nsid w:val="56438D15"/>
    <w:multiLevelType w:val="hybridMultilevel"/>
    <w:lvl w:ilvl="0">
      <w:lvlJc w:val="left"/>
      <w:lvlText w:val="(%1)"/>
      <w:numFmt w:val="lowerLetter"/>
      <w:start w:val="4"/>
    </w:lvl>
    <w:lvl w:ilvl="1">
      <w:lvlJc w:val="left"/>
      <w:lvlText w:val="(%2)"/>
      <w:numFmt w:val="lowerRoman"/>
      <w:start w:val="1"/>
    </w:lvl>
  </w:abstractNum>
  <w:abstractNum w:abstractNumId="78">
    <w:nsid w:val="519E3149"/>
    <w:multiLevelType w:val="hybridMultilevel"/>
    <w:lvl w:ilvl="0">
      <w:lvlJc w:val="left"/>
      <w:lvlText w:val="(%1)"/>
      <w:numFmt w:val="lowerLetter"/>
      <w:start w:val="2"/>
    </w:lvl>
  </w:abstractNum>
  <w:abstractNum w:abstractNumId="79">
    <w:nsid w:val="2C6E4AFD"/>
    <w:multiLevelType w:val="hybridMultilevel"/>
    <w:lvl w:ilvl="0">
      <w:lvlJc w:val="left"/>
      <w:lvlText w:val="(%1)"/>
      <w:numFmt w:val="lowerLetter"/>
      <w:start w:val="2"/>
    </w:lvl>
    <w:lvl w:ilvl="1">
      <w:lvlJc w:val="left"/>
      <w:lvlText w:val="(%2)"/>
      <w:numFmt w:val="lowerRoman"/>
      <w:start w:val="1"/>
    </w:lvl>
  </w:abstractNum>
  <w:abstractNum w:abstractNumId="80">
    <w:nsid w:val="17A1B582"/>
    <w:multiLevelType w:val="hybridMultilevel"/>
    <w:lvl w:ilvl="0">
      <w:lvlJc w:val="left"/>
      <w:lvlText w:val="(%1)"/>
      <w:numFmt w:val="lowerLetter"/>
      <w:start w:val="1"/>
    </w:lvl>
  </w:abstractNum>
  <w:abstractNum w:abstractNumId="81">
    <w:nsid w:val="4DF72E4E"/>
    <w:multiLevelType w:val="hybridMultilevel"/>
    <w:lvl w:ilvl="0">
      <w:lvlJc w:val="left"/>
      <w:lvlText w:val="(%1)"/>
      <w:numFmt w:val="lowerLetter"/>
      <w:start w:val="1"/>
    </w:lvl>
  </w:abstractNum>
  <w:abstractNum w:abstractNumId="82">
    <w:nsid w:val="5046B5A9"/>
    <w:multiLevelType w:val="hybridMultilevel"/>
    <w:lvl w:ilvl="0">
      <w:lvlJc w:val="left"/>
      <w:lvlText w:val="(%1)"/>
      <w:numFmt w:val="lowerLetter"/>
      <w:start w:val="4"/>
    </w:lvl>
  </w:abstractNum>
  <w:abstractNum w:abstractNumId="83">
    <w:nsid w:val="5D888A08"/>
    <w:multiLevelType w:val="hybridMultilevel"/>
    <w:lvl w:ilvl="0">
      <w:lvlJc w:val="left"/>
      <w:lvlText w:val="(%1)"/>
      <w:numFmt w:val="lowerRoman"/>
      <w:start w:val="10"/>
    </w:lvl>
  </w:abstractNum>
  <w:abstractNum w:abstractNumId="84">
    <w:nsid w:val="2A082C70"/>
    <w:multiLevelType w:val="hybridMultilevel"/>
    <w:lvl w:ilvl="0">
      <w:lvlJc w:val="left"/>
      <w:lvlText w:val="(%1)"/>
      <w:numFmt w:val="lowerLetter"/>
      <w:start w:val="1"/>
    </w:lvl>
  </w:abstractNum>
  <w:abstractNum w:abstractNumId="85">
    <w:nsid w:val="5EC6AFD4"/>
    <w:multiLevelType w:val="hybridMultilevel"/>
    <w:lvl w:ilvl="0">
      <w:lvlJc w:val="left"/>
      <w:lvlText w:val="(%1)"/>
      <w:numFmt w:val="lowerLetter"/>
      <w:start w:val="1"/>
    </w:lvl>
    <w:lvl w:ilvl="1">
      <w:lvlJc w:val="left"/>
      <w:lvlText w:val="(%2)"/>
      <w:numFmt w:val="lowerRoman"/>
      <w:start w:val="1"/>
    </w:lvl>
  </w:abstractNum>
  <w:abstractNum w:abstractNumId="86">
    <w:nsid w:val="19E21BB2"/>
    <w:multiLevelType w:val="hybridMultilevel"/>
    <w:lvl w:ilvl="0">
      <w:lvlJc w:val="left"/>
      <w:lvlText w:val="(%1)"/>
      <w:numFmt w:val="lowerRoman"/>
      <w:start w:val="5"/>
    </w:lvl>
  </w:abstractNum>
  <w:abstractNum w:abstractNumId="87">
    <w:nsid w:val="75E0858A"/>
    <w:multiLevelType w:val="hybridMultilevel"/>
    <w:lvl w:ilvl="0">
      <w:lvlJc w:val="left"/>
      <w:lvlText w:val="(%1)"/>
      <w:numFmt w:val="lowerLetter"/>
      <w:start w:val="3"/>
    </w:lvl>
  </w:abstractNum>
  <w:abstractNum w:abstractNumId="88">
    <w:nsid w:val="57A61A29"/>
    <w:multiLevelType w:val="hybridMultilevel"/>
    <w:lvl w:ilvl="0">
      <w:lvlJc w:val="left"/>
      <w:lvlText w:val="(%1)"/>
      <w:numFmt w:val="lowerLetter"/>
      <w:start w:val="1"/>
    </w:lvl>
  </w:abstractNum>
  <w:abstractNum w:abstractNumId="89">
    <w:nsid w:val="5399C654"/>
    <w:multiLevelType w:val="hybridMultilevel"/>
    <w:lvl w:ilvl="0">
      <w:lvlJc w:val="left"/>
      <w:lvlText w:val="%1"/>
      <w:numFmt w:val="lowerLetter"/>
      <w:start w:val="1"/>
    </w:lvl>
    <w:lvl w:ilvl="1">
      <w:lvlJc w:val="left"/>
      <w:lvlText w:val="(%2)"/>
      <w:numFmt w:val="lowerLetter"/>
      <w:start w:val="12"/>
    </w:lvl>
  </w:abstractNum>
  <w:abstractNum w:abstractNumId="90">
    <w:nsid w:val="20EE1348"/>
    <w:multiLevelType w:val="hybridMultilevel"/>
    <w:lvl w:ilvl="0">
      <w:lvlJc w:val="left"/>
      <w:lvlText w:val="(%1)"/>
      <w:numFmt w:val="lowerLetter"/>
      <w:start w:val="61"/>
    </w:lvl>
    <w:lvl w:ilvl="1">
      <w:lvlJc w:val="left"/>
      <w:lvlText w:val="(%2)"/>
      <w:numFmt w:val="lowerLetter"/>
      <w:start w:val="23"/>
    </w:lvl>
  </w:abstractNum>
  <w:abstractNum w:abstractNumId="91">
    <w:nsid w:val="4427069A"/>
    <w:multiLevelType w:val="hybridMultilevel"/>
    <w:lvl w:ilvl="0">
      <w:lvlJc w:val="left"/>
      <w:lvlText w:val="(%1)"/>
      <w:numFmt w:val="lowerLetter"/>
      <w:start w:val="27"/>
    </w:lvl>
  </w:abstractNum>
  <w:abstractNum w:abstractNumId="92">
    <w:nsid w:val="B37E80A"/>
    <w:multiLevelType w:val="hybridMultilevel"/>
    <w:lvl w:ilvl="0">
      <w:lvlJc w:val="left"/>
      <w:lvlText w:val="(%1)"/>
      <w:numFmt w:val="lowerLetter"/>
      <w:start w:val="28"/>
    </w:lvl>
  </w:abstractNum>
  <w:abstractNum w:abstractNumId="93">
    <w:nsid w:val="2157F6BC"/>
    <w:multiLevelType w:val="hybridMultilevel"/>
    <w:lvl w:ilvl="0">
      <w:lvlJc w:val="left"/>
      <w:lvlText w:val="%1"/>
      <w:numFmt w:val="lowerLetter"/>
      <w:start w:val="1"/>
    </w:lvl>
    <w:lvl w:ilvl="1">
      <w:lvlJc w:val="left"/>
      <w:lvlText w:val="(%2)"/>
      <w:numFmt w:val="lowerLetter"/>
      <w:start w:val="1"/>
    </w:lvl>
  </w:abstractNum>
  <w:abstractNum w:abstractNumId="94">
    <w:nsid w:val="704E1DD5"/>
    <w:multiLevelType w:val="hybridMultilevel"/>
    <w:lvl w:ilvl="0">
      <w:lvlJc w:val="left"/>
      <w:lvlText w:val="(%1)"/>
      <w:numFmt w:val="lowerLetter"/>
      <w:start w:val="9"/>
    </w:lvl>
    <w:lvl w:ilvl="1">
      <w:lvlJc w:val="left"/>
      <w:lvlText w:val="(%2)"/>
      <w:numFmt w:val="lowerLetter"/>
      <w:start w:val="3"/>
    </w:lvl>
  </w:abstractNum>
  <w:abstractNum w:abstractNumId="95">
    <w:nsid w:val="57D2F10E"/>
    <w:multiLevelType w:val="hybridMultilevel"/>
    <w:lvl w:ilvl="0">
      <w:lvlJc w:val="left"/>
      <w:lvlText w:val="(%1)"/>
      <w:numFmt w:val="lowerLetter"/>
      <w:start w:val="13"/>
    </w:lvl>
  </w:abstractNum>
  <w:abstractNum w:abstractNumId="96">
    <w:nsid w:val="BFFAE18"/>
    <w:multiLevelType w:val="hybridMultilevel"/>
    <w:lvl w:ilvl="0">
      <w:lvlJc w:val="left"/>
      <w:lvlText w:val="(%1)"/>
      <w:numFmt w:val="lowerLetter"/>
      <w:start w:val="1"/>
    </w:lvl>
  </w:abstractNum>
  <w:abstractNum w:abstractNumId="97">
    <w:nsid w:val="E3E47A8"/>
    <w:multiLevelType w:val="hybridMultilevel"/>
    <w:lvl w:ilvl="0">
      <w:lvlJc w:val="left"/>
      <w:lvlText w:val="(%1)"/>
      <w:numFmt w:val="lowerLetter"/>
      <w:start w:val="9"/>
    </w:lvl>
  </w:abstractNum>
  <w:abstractNum w:abstractNumId="98">
    <w:nsid w:val="2E48F044"/>
    <w:multiLevelType w:val="hybridMultilevel"/>
    <w:lvl w:ilvl="0">
      <w:lvlJc w:val="left"/>
      <w:lvlText w:val="(%1)"/>
      <w:numFmt w:val="lowerLetter"/>
      <w:start w:val="1"/>
    </w:lvl>
  </w:abstractNum>
  <w:abstractNum w:abstractNumId="99">
    <w:nsid w:val="49D0FEAC"/>
    <w:multiLevelType w:val="hybridMultilevel"/>
    <w:lvl w:ilvl="0">
      <w:lvlJc w:val="left"/>
      <w:lvlText w:val="(%1)"/>
      <w:numFmt w:val="lowerLetter"/>
      <w:start w:val="1"/>
    </w:lvl>
  </w:abstractNum>
  <w:abstractNum w:abstractNumId="100">
    <w:nsid w:val="4BEE5A5B"/>
    <w:multiLevelType w:val="hybridMultilevel"/>
    <w:lvl w:ilvl="0">
      <w:lvlJc w:val="left"/>
      <w:lvlText w:val="(%1)"/>
      <w:numFmt w:val="lowerLetter"/>
      <w:start w:val="2"/>
    </w:lvl>
  </w:abstractNum>
  <w:abstractNum w:abstractNumId="101">
    <w:nsid w:val="5551B9F3"/>
    <w:multiLevelType w:val="hybridMultilevel"/>
    <w:lvl w:ilvl="0">
      <w:lvlJc w:val="left"/>
      <w:lvlText w:val="(%1)"/>
      <w:numFmt w:val="lowerLetter"/>
      <w:start w:val="1"/>
    </w:lvl>
    <w:lvl w:ilvl="1">
      <w:lvlJc w:val="left"/>
      <w:lvlText w:val="(%2)"/>
      <w:numFmt w:val="lowerRoman"/>
      <w:start w:val="20"/>
    </w:lvl>
  </w:abstractNum>
  <w:abstractNum w:abstractNumId="102">
    <w:nsid w:val="24F6AB8E"/>
    <w:multiLevelType w:val="hybridMultilevel"/>
    <w:lvl w:ilvl="0">
      <w:lvlJc w:val="left"/>
      <w:lvlText w:val="(%1)"/>
      <w:numFmt w:val="lowerLetter"/>
      <w:start w:val="1"/>
    </w:lvl>
  </w:abstractNum>
  <w:abstractNum w:abstractNumId="103">
    <w:nsid w:val="634C574C"/>
    <w:multiLevelType w:val="hybridMultilevel"/>
    <w:lvl w:ilvl="0">
      <w:lvlJc w:val="left"/>
      <w:lvlText w:val="(%1)"/>
      <w:numFmt w:val="lowerLetter"/>
      <w:start w:val="1"/>
    </w:lvl>
  </w:abstractNum>
  <w:abstractNum w:abstractNumId="104">
    <w:nsid w:val="24E99DD7"/>
    <w:multiLevelType w:val="hybridMultilevel"/>
    <w:lvl w:ilvl="0">
      <w:lvlJc w:val="left"/>
      <w:lvlText w:val="(%1)"/>
      <w:numFmt w:val="lowerLetter"/>
      <w:start w:val="9"/>
    </w:lvl>
  </w:abstractNum>
  <w:abstractNum w:abstractNumId="105">
    <w:nsid w:val="2A31B62D"/>
    <w:multiLevelType w:val="hybridMultilevel"/>
    <w:lvl w:ilvl="0">
      <w:lvlJc w:val="left"/>
      <w:lvlText w:val="(%1)"/>
      <w:numFmt w:val="lowerLetter"/>
      <w:start w:val="1"/>
    </w:lvl>
  </w:abstractNum>
  <w:abstractNum w:abstractNumId="106">
    <w:nsid w:val="1849C29B"/>
    <w:multiLevelType w:val="hybridMultilevel"/>
    <w:lvl w:ilvl="0">
      <w:lvlJc w:val="left"/>
      <w:lvlText w:val="(%1)"/>
      <w:numFmt w:val="lowerLetter"/>
      <w:start w:val="2"/>
    </w:lvl>
  </w:abstractNum>
  <w:abstractNum w:abstractNumId="107">
    <w:nsid w:val="7DFF9D09"/>
    <w:multiLevelType w:val="hybridMultilevel"/>
    <w:lvl w:ilvl="0">
      <w:lvlJc w:val="left"/>
      <w:lvlText w:val="(%1)"/>
      <w:numFmt w:val="lowerLetter"/>
      <w:start w:val="1"/>
    </w:lvl>
  </w:abstractNum>
  <w:abstractNum w:abstractNumId="108">
    <w:nsid w:val="754342"/>
    <w:multiLevelType w:val="hybridMultilevel"/>
    <w:lvl w:ilvl="0">
      <w:lvlJc w:val="left"/>
      <w:lvlText w:val="(%1)"/>
      <w:numFmt w:val="lowerLetter"/>
      <w:start w:val="1"/>
    </w:lvl>
  </w:abstractNum>
  <w:abstractNum w:abstractNumId="109">
    <w:nsid w:val="69E7F3E5"/>
    <w:multiLevelType w:val="hybridMultilevel"/>
    <w:lvl w:ilvl="0">
      <w:lvlJc w:val="left"/>
      <w:lvlText w:val="(%1)"/>
      <w:numFmt w:val="lowerLetter"/>
      <w:start w:val="1"/>
    </w:lvl>
  </w:abstractNum>
  <w:abstractNum w:abstractNumId="110">
    <w:nsid w:val="2A6DE806"/>
    <w:multiLevelType w:val="hybridMultilevel"/>
    <w:lvl w:ilvl="0">
      <w:lvlJc w:val="left"/>
      <w:lvlText w:val="(%1)"/>
      <w:numFmt w:val="lowerLetter"/>
      <w:start w:val="1"/>
    </w:lvl>
  </w:abstractNum>
  <w:abstractNum w:abstractNumId="111">
    <w:nsid w:val="1816F8C4"/>
    <w:multiLevelType w:val="hybridMultilevel"/>
    <w:lvl w:ilvl="0">
      <w:lvlJc w:val="left"/>
      <w:lvlText w:val="(%1)"/>
      <w:numFmt w:val="lowerRoman"/>
      <w:start w:val="1"/>
    </w:lvl>
  </w:abstractNum>
  <w:abstractNum w:abstractNumId="112">
    <w:nsid w:val="37DF2233"/>
    <w:multiLevelType w:val="hybridMultilevel"/>
    <w:lvl w:ilvl="0">
      <w:lvlJc w:val="left"/>
      <w:lvlText w:val="(%1)"/>
      <w:numFmt w:val="lowerLetter"/>
      <w:start w:val="2"/>
    </w:lvl>
  </w:abstractNum>
  <w:abstractNum w:abstractNumId="113">
    <w:nsid w:val="7AB49DAF"/>
    <w:multiLevelType w:val="hybridMultilevel"/>
    <w:lvl w:ilvl="0">
      <w:lvlJc w:val="left"/>
      <w:lvlText w:val="(%1)"/>
      <w:numFmt w:val="lowerLetter"/>
      <w:start w:val="3"/>
    </w:lvl>
  </w:abstractNum>
  <w:abstractNum w:abstractNumId="114">
    <w:nsid w:val="759F82CD"/>
    <w:multiLevelType w:val="hybridMultilevel"/>
    <w:lvl w:ilvl="0">
      <w:lvlJc w:val="left"/>
      <w:lvlText w:val="(%1)"/>
      <w:numFmt w:val="lowerLetter"/>
      <w:start w:val="5"/>
    </w:lvl>
  </w:abstractNum>
  <w:abstractNum w:abstractNumId="115">
    <w:nsid w:val="61E74EA3"/>
    <w:multiLevelType w:val="hybridMultilevel"/>
    <w:lvl w:ilvl="0">
      <w:lvlJc w:val="left"/>
      <w:lvlText w:val="(%1)"/>
      <w:numFmt w:val="lowerLetter"/>
      <w:start w:val="2"/>
    </w:lvl>
  </w:abstractNum>
  <w:abstractNum w:abstractNumId="116">
    <w:nsid w:val="597B4D84"/>
    <w:multiLevelType w:val="hybridMultilevel"/>
    <w:lvl w:ilvl="0">
      <w:lvlJc w:val="left"/>
      <w:lvlText w:val="(%1)"/>
      <w:numFmt w:val="lowerLetter"/>
      <w:start w:val="3"/>
    </w:lvl>
  </w:abstractNum>
  <w:abstractNum w:abstractNumId="117">
    <w:nsid w:val="F819E7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8">
    <w:nsid w:val="57C7D42D"/>
    <w:multiLevelType w:val="hybridMultilevel"/>
    <w:lvl w:ilvl="0">
      <w:lvlJc w:val="left"/>
      <w:lvlText w:val="(%1)"/>
      <w:numFmt w:val="lowerRoman"/>
      <w:start w:val="5"/>
    </w:lvl>
  </w:abstractNum>
  <w:abstractNum w:abstractNumId="119">
    <w:nsid w:val="312167AD"/>
    <w:multiLevelType w:val="hybridMultilevel"/>
    <w:lvl w:ilvl="0">
      <w:lvlJc w:val="left"/>
      <w:lvlText w:val="(%1)"/>
      <w:numFmt w:val="lowerLetter"/>
      <w:start w:val="3"/>
    </w:lvl>
  </w:abstractNum>
  <w:abstractNum w:abstractNumId="120">
    <w:nsid w:val="631B64D4"/>
    <w:multiLevelType w:val="hybridMultilevel"/>
    <w:lvl w:ilvl="0">
      <w:lvlJc w:val="left"/>
      <w:lvlText w:val="(%1)"/>
      <w:numFmt w:val="lowerLetter"/>
      <w:start w:val="4"/>
    </w:lvl>
  </w:abstractNum>
  <w:abstractNum w:abstractNumId="121">
    <w:nsid w:val="78B5E776"/>
    <w:multiLevelType w:val="hybridMultilevel"/>
    <w:lvl w:ilvl="0">
      <w:lvlJc w:val="left"/>
      <w:lvlText w:val="(%1)"/>
      <w:numFmt w:val="lowerLetter"/>
      <w:start w:val="1"/>
    </w:lvl>
  </w:abstractNum>
  <w:abstractNum w:abstractNumId="122">
    <w:nsid w:val="75486E47"/>
    <w:multiLevelType w:val="hybridMultilevel"/>
    <w:lvl w:ilvl="0">
      <w:lvlJc w:val="left"/>
      <w:lvlText w:val="(%1)"/>
      <w:numFmt w:val="upperLetter"/>
      <w:start w:val="1"/>
    </w:lvl>
  </w:abstractNum>
  <w:abstractNum w:abstractNumId="123">
    <w:nsid w:val="6E534CDE"/>
    <w:multiLevelType w:val="hybridMultilevel"/>
    <w:lvl w:ilvl="0">
      <w:lvlJc w:val="left"/>
      <w:lvlText w:val="(%1)"/>
      <w:numFmt w:val="lowerLetter"/>
      <w:start w:val="2"/>
    </w:lvl>
  </w:abstractNum>
  <w:abstractNum w:abstractNumId="124">
    <w:nsid w:val="1A0DDE32"/>
    <w:multiLevelType w:val="hybridMultilevel"/>
    <w:lvl w:ilvl="0">
      <w:lvlJc w:val="left"/>
      <w:lvlText w:val="(%1)"/>
      <w:numFmt w:val="lowerLetter"/>
      <w:start w:val="3"/>
    </w:lvl>
  </w:abstractNum>
  <w:abstractNum w:abstractNumId="125">
    <w:nsid w:val="65968C1C"/>
    <w:multiLevelType w:val="hybridMultilevel"/>
    <w:lvl w:ilvl="0">
      <w:lvlJc w:val="left"/>
      <w:lvlText w:val="%1."/>
      <w:numFmt w:val="decimal"/>
      <w:start w:val="1"/>
    </w:lvl>
  </w:abstractNum>
  <w:abstractNum w:abstractNumId="126">
    <w:nsid w:val="46263DEC"/>
    <w:multiLevelType w:val="hybridMultilevel"/>
    <w:lvl w:ilvl="0">
      <w:lvlJc w:val="left"/>
      <w:lvlText w:val="(%1)"/>
      <w:numFmt w:val="lowerLetter"/>
      <w:start w:val="1"/>
    </w:lvl>
    <w:lvl w:ilvl="1">
      <w:lvlJc w:val="left"/>
      <w:lvlText w:val="(%2)"/>
      <w:numFmt w:val="lowerLetter"/>
      <w:start w:val="2"/>
    </w:lvl>
  </w:abstractNum>
  <w:abstractNum w:abstractNumId="127">
    <w:nsid w:val="260D8C4A"/>
    <w:multiLevelType w:val="hybridMultilevel"/>
    <w:lvl w:ilvl="0">
      <w:lvlJc w:val="left"/>
      <w:lvlText w:val="(%1)"/>
      <w:numFmt w:val="lowerLetter"/>
      <w:start w:val="3"/>
    </w:lvl>
  </w:abstractNum>
  <w:abstractNum w:abstractNumId="128">
    <w:nsid w:val="73D4D3C4"/>
    <w:multiLevelType w:val="hybridMultilevel"/>
    <w:lvl w:ilvl="0">
      <w:lvlJc w:val="left"/>
      <w:lvlText w:val="(%1)"/>
      <w:numFmt w:val="lowerLetter"/>
      <w:start w:val="4"/>
    </w:lvl>
  </w:abstractNum>
  <w:abstractNum w:abstractNumId="129">
    <w:nsid w:val="746F2E30"/>
    <w:multiLevelType w:val="hybridMultilevel"/>
    <w:lvl w:ilvl="0">
      <w:lvlJc w:val="left"/>
      <w:lvlText w:val="(%1)"/>
      <w:numFmt w:val="lowerLetter"/>
      <w:start w:val="4"/>
    </w:lvl>
  </w:abstractNum>
  <w:abstractNum w:abstractNumId="130">
    <w:nsid w:val="6FDE8AF6"/>
    <w:multiLevelType w:val="hybridMultilevel"/>
    <w:lvl w:ilvl="0">
      <w:lvlJc w:val="left"/>
      <w:lvlText w:val="(%1)"/>
      <w:numFmt w:val="lowerRoman"/>
      <w:start w:val="1"/>
    </w:lvl>
  </w:abstractNum>
  <w:abstractNum w:abstractNumId="131">
    <w:nsid w:val="3FC32E20"/>
    <w:multiLevelType w:val="hybridMultilevel"/>
    <w:lvl w:ilvl="0">
      <w:lvlJc w:val="left"/>
      <w:lvlText w:val="(%1)"/>
      <w:numFmt w:val="lowerLetter"/>
      <w:start w:val="12"/>
    </w:lvl>
  </w:abstractNum>
  <w:abstractNum w:abstractNumId="132">
    <w:nsid w:val="49C0E823"/>
    <w:multiLevelType w:val="hybridMultilevel"/>
    <w:lvl w:ilvl="0">
      <w:lvlJc w:val="left"/>
      <w:lvlText w:val="(%1)"/>
      <w:numFmt w:val="lowerLetter"/>
      <w:start w:val="13"/>
    </w:lvl>
  </w:abstractNum>
  <w:abstractNum w:abstractNumId="133">
    <w:nsid w:val="14D53685"/>
    <w:multiLevelType w:val="hybridMultilevel"/>
    <w:lvl w:ilvl="0">
      <w:lvlJc w:val="left"/>
      <w:lvlText w:val="%1"/>
      <w:numFmt w:val="lowerLetter"/>
      <w:start w:val="1"/>
    </w:lvl>
    <w:lvl w:ilvl="1">
      <w:lvlJc w:val="left"/>
      <w:lvlText w:val="(%2)"/>
      <w:numFmt w:val="lowerLetter"/>
      <w:start w:val="1"/>
    </w:lvl>
  </w:abstractNum>
  <w:abstractNum w:abstractNumId="134">
    <w:nsid w:val="230F856C"/>
    <w:multiLevelType w:val="hybridMultilevel"/>
    <w:lvl w:ilvl="0">
      <w:lvlJc w:val="left"/>
      <w:lvlText w:val="(%1)"/>
      <w:numFmt w:val="lowerLetter"/>
      <w:start w:val="25"/>
    </w:lvl>
    <w:lvl w:ilvl="1">
      <w:lvlJc w:val="left"/>
      <w:lvlText w:val="(%2)"/>
      <w:numFmt w:val="lowerLetter"/>
      <w:start w:val="2"/>
    </w:lvl>
  </w:abstractNum>
  <w:abstractNum w:abstractNumId="135">
    <w:nsid w:val="6EAA85FB"/>
    <w:multiLevelType w:val="hybridMultilevel"/>
    <w:lvl w:ilvl="0">
      <w:lvlJc w:val="left"/>
      <w:lvlText w:val="(%1)"/>
      <w:numFmt w:val="lowerLetter"/>
      <w:start w:val="14"/>
    </w:lvl>
  </w:abstractNum>
  <w:abstractNum w:abstractNumId="136">
    <w:nsid w:val="3F06ECB2"/>
    <w:multiLevelType w:val="hybridMultilevel"/>
    <w:lvl w:ilvl="0">
      <w:lvlJc w:val="left"/>
      <w:lvlText w:val="(%1)"/>
      <w:numFmt w:val="lowerLetter"/>
      <w:start w:val="15"/>
    </w:lvl>
  </w:abstractNum>
  <w:abstractNum w:abstractNumId="137">
    <w:nsid w:val="3B594807"/>
    <w:multiLevelType w:val="hybridMultilevel"/>
    <w:lvl w:ilvl="0">
      <w:lvlJc w:val="left"/>
      <w:lvlText w:val="(%1)"/>
      <w:numFmt w:val="lowerLetter"/>
      <w:start w:val="16"/>
    </w:lvl>
  </w:abstractNum>
  <w:abstractNum w:abstractNumId="138">
    <w:nsid w:val="6CAA2304"/>
    <w:multiLevelType w:val="hybridMultilevel"/>
    <w:lvl w:ilvl="0">
      <w:lvlJc w:val="left"/>
      <w:lvlText w:val="(%1)"/>
      <w:numFmt w:val="lowerLetter"/>
      <w:start w:val="17"/>
    </w:lvl>
  </w:abstractNum>
  <w:abstractNum w:abstractNumId="139">
    <w:nsid w:val="3F7C2FF4"/>
    <w:multiLevelType w:val="hybridMultilevel"/>
    <w:lvl w:ilvl="0">
      <w:lvlJc w:val="left"/>
      <w:lvlText w:val="(%1)"/>
      <w:numFmt w:val="lowerLetter"/>
      <w:start w:val="18"/>
    </w:lvl>
  </w:abstractNum>
  <w:abstractNum w:abstractNumId="140">
    <w:nsid w:val="25413BEC"/>
    <w:multiLevelType w:val="hybridMultilevel"/>
    <w:lvl w:ilvl="0">
      <w:lvlJc w:val="left"/>
      <w:lvlText w:val="(%1)"/>
      <w:numFmt w:val="lowerLetter"/>
      <w:start w:val="19"/>
    </w:lvl>
  </w:abstractNum>
  <w:abstractNum w:abstractNumId="141">
    <w:nsid w:val="17180B0B"/>
    <w:multiLevelType w:val="hybridMultilevel"/>
    <w:lvl w:ilvl="0">
      <w:lvlJc w:val="left"/>
      <w:lvlText w:val="(%1)"/>
      <w:numFmt w:val="lowerLetter"/>
      <w:start w:val="20"/>
    </w:lvl>
  </w:abstractNum>
  <w:abstractNum w:abstractNumId="142">
    <w:nsid w:val="579328B9"/>
    <w:multiLevelType w:val="hybridMultilevel"/>
    <w:lvl w:ilvl="0">
      <w:lvlJc w:val="left"/>
      <w:lvlText w:val="(%1)"/>
      <w:numFmt w:val="lowerLetter"/>
      <w:start w:val="21"/>
    </w:lvl>
  </w:abstractNum>
  <w:abstractNum w:abstractNumId="143">
    <w:nsid w:val="5D205E20"/>
    <w:multiLevelType w:val="hybridMultilevel"/>
    <w:lvl w:ilvl="0">
      <w:lvlJc w:val="left"/>
      <w:lvlText w:val="(%1)"/>
      <w:numFmt w:val="lowerRoman"/>
      <w:start w:val="5"/>
    </w:lvl>
  </w:abstractNum>
  <w:abstractNum w:abstractNumId="144">
    <w:nsid w:val="11CCA8BA"/>
    <w:multiLevelType w:val="hybridMultilevel"/>
    <w:lvl w:ilvl="0">
      <w:lvlJc w:val="left"/>
      <w:lvlText w:val="(%1)"/>
      <w:numFmt w:val="lowerLetter"/>
      <w:start w:val="25"/>
    </w:lvl>
  </w:abstractNum>
  <w:abstractNum w:abstractNumId="145">
    <w:nsid w:val="4D32AB86"/>
    <w:multiLevelType w:val="hybridMultilevel"/>
    <w:lvl w:ilvl="0">
      <w:lvlJc w:val="left"/>
      <w:lvlText w:val="(%1)"/>
      <w:numFmt w:val="lowerLetter"/>
      <w:start w:val="1"/>
    </w:lvl>
  </w:abstractNum>
  <w:abstractNum w:abstractNumId="146">
    <w:nsid w:val="3F07ACC3"/>
    <w:multiLevelType w:val="hybridMultilevel"/>
    <w:lvl w:ilvl="0">
      <w:lvlJc w:val="left"/>
      <w:lvlText w:val="%1."/>
      <w:numFmt w:val="decimal"/>
      <w:start w:val="3"/>
    </w:lvl>
  </w:abstractNum>
  <w:abstractNum w:abstractNumId="147">
    <w:nsid w:val="6B47F63E"/>
    <w:multiLevelType w:val="hybridMultilevel"/>
    <w:lvl w:ilvl="0">
      <w:lvlJc w:val="left"/>
      <w:lvlText w:val="(%1)"/>
      <w:numFmt w:val="lowerLetter"/>
      <w:start w:val="1"/>
    </w:lvl>
  </w:abstractNum>
  <w:abstractNum w:abstractNumId="148">
    <w:nsid w:val="5CB44A05"/>
    <w:multiLevelType w:val="hybridMultilevel"/>
    <w:lvl w:ilvl="0">
      <w:lvlJc w:val="left"/>
      <w:lvlText w:val="%1."/>
      <w:numFmt w:val="decimal"/>
      <w:start w:val="6"/>
    </w:lvl>
  </w:abstractNum>
  <w:abstractNum w:abstractNumId="149">
    <w:nsid w:val="16CF80F1"/>
    <w:multiLevelType w:val="hybridMultilevel"/>
    <w:lvl w:ilvl="0">
      <w:lvlJc w:val="left"/>
      <w:lvlText w:val="(%1)"/>
      <w:numFmt w:val="lowerLetter"/>
      <w:start w:val="1"/>
    </w:lvl>
  </w:abstractNum>
  <w:abstractNum w:abstractNumId="150">
    <w:nsid w:val="1C695DEC"/>
    <w:multiLevelType w:val="hybridMultilevel"/>
    <w:lvl w:ilvl="0">
      <w:lvlJc w:val="left"/>
      <w:lvlText w:val="%1."/>
      <w:numFmt w:val="decimal"/>
      <w:start w:val="7"/>
    </w:lvl>
  </w:abstractNum>
  <w:abstractNum w:abstractNumId="151">
    <w:nsid w:val="3FCFAED9"/>
    <w:multiLevelType w:val="hybridMultilevel"/>
    <w:lvl w:ilvl="0">
      <w:lvlJc w:val="left"/>
      <w:lvlText w:val="(%1)"/>
      <w:numFmt w:val="lowerLetter"/>
      <w:start w:val="1"/>
    </w:lvl>
  </w:abstractNum>
  <w:abstractNum w:abstractNumId="152">
    <w:nsid w:val="F856867"/>
    <w:multiLevelType w:val="hybridMultilevel"/>
    <w:lvl w:ilvl="0">
      <w:lvlJc w:val="left"/>
      <w:lvlText w:val="%1."/>
      <w:numFmt w:val="decimal"/>
      <w:start w:val="8"/>
    </w:lvl>
  </w:abstractNum>
  <w:abstractNum w:abstractNumId="153">
    <w:nsid w:val="11B1CC33"/>
    <w:multiLevelType w:val="hybridMultilevel"/>
    <w:lvl w:ilvl="0">
      <w:lvlJc w:val="left"/>
      <w:lvlText w:val="(%1)"/>
      <w:numFmt w:val="lowerLetter"/>
      <w:start w:val="1"/>
    </w:lvl>
  </w:abstractNum>
  <w:abstractNum w:abstractNumId="154">
    <w:nsid w:val="2E22FBB7"/>
    <w:multiLevelType w:val="hybridMultilevel"/>
    <w:lvl w:ilvl="0">
      <w:lvlJc w:val="left"/>
      <w:lvlText w:val="(%1)"/>
      <w:numFmt w:val="lowerRoman"/>
      <w:start w:val="2"/>
    </w:lvl>
  </w:abstractNum>
  <w:abstractNum w:abstractNumId="155">
    <w:nsid w:val="29934699"/>
    <w:multiLevelType w:val="hybridMultilevel"/>
    <w:lvl w:ilvl="0">
      <w:lvlJc w:val="left"/>
      <w:lvlText w:val="(%1)"/>
      <w:numFmt w:val="lowerLetter"/>
      <w:start w:val="1"/>
    </w:lvl>
  </w:abstractNum>
  <w:abstractNum w:abstractNumId="156">
    <w:nsid w:val="77485850"/>
    <w:multiLevelType w:val="hybridMultilevel"/>
    <w:lvl w:ilvl="0">
      <w:lvlJc w:val="left"/>
      <w:lvlText w:val="%1"/>
      <w:numFmt w:val="upperLetter"/>
      <w:start w:val="1"/>
    </w:lvl>
    <w:lvl w:ilvl="1">
      <w:lvlJc w:val="left"/>
      <w:lvlText w:val="(%2)"/>
      <w:numFmt w:val="lowerLetter"/>
      <w:start w:val="1"/>
    </w:lvl>
  </w:abstractNum>
  <w:abstractNum w:abstractNumId="157">
    <w:nsid w:val="744939A3"/>
    <w:multiLevelType w:val="hybridMultilevel"/>
    <w:lvl w:ilvl="0">
      <w:lvlJc w:val="left"/>
      <w:lvlText w:val="(%1)"/>
      <w:numFmt w:val="upperLetter"/>
      <w:start w:val="1"/>
    </w:lvl>
    <w:lvl w:ilvl="1">
      <w:lvlJc w:val="left"/>
      <w:lvlText w:val="%2"/>
      <w:numFmt w:val="lowerLetter"/>
      <w:start w:val="1"/>
    </w:lvl>
  </w:abstractNum>
  <w:abstractNum w:abstractNumId="158">
    <w:nsid w:val="4FA0D2E3"/>
    <w:multiLevelType w:val="hybridMultilevel"/>
    <w:lvl w:ilvl="0">
      <w:lvlJc w:val="left"/>
      <w:lvlText w:val="(%1)"/>
      <w:numFmt w:val="upperLetter"/>
      <w:start w:val="3"/>
    </w:lvl>
    <w:lvl w:ilvl="1">
      <w:lvlJc w:val="left"/>
      <w:lvlText w:val="(%2)"/>
      <w:numFmt w:val="lowerLetter"/>
      <w:start w:val="2"/>
    </w:lvl>
  </w:abstractNum>
  <w:abstractNum w:abstractNumId="159">
    <w:nsid w:val="6B1D2C14"/>
    <w:multiLevelType w:val="hybridMultilevel"/>
    <w:lvl w:ilvl="0">
      <w:lvlJc w:val="left"/>
      <w:lvlText w:val="(%1)"/>
      <w:numFmt w:val="lowerLetter"/>
      <w:start w:val="1"/>
    </w:lvl>
  </w:abstractNum>
  <w:abstractNum w:abstractNumId="160">
    <w:nsid w:val="68B867D3"/>
    <w:multiLevelType w:val="hybridMultilevel"/>
    <w:lvl w:ilvl="0">
      <w:lvlJc w:val="left"/>
      <w:lvlText w:val="1"/>
      <w:numFmt w:val="bullet"/>
      <w:start w:val="1"/>
    </w:lvl>
  </w:abstractNum>
  <w:abstractNum w:abstractNumId="161">
    <w:nsid w:val="3F7F5DD9"/>
    <w:multiLevelType w:val="hybridMultilevel"/>
    <w:lvl w:ilvl="0">
      <w:lvlJc w:val="left"/>
      <w:lvlText w:val="(%1)"/>
      <w:numFmt w:val="lowerRoman"/>
      <w:start w:val="2"/>
    </w:lvl>
  </w:abstractNum>
  <w:abstractNum w:abstractNumId="162">
    <w:nsid w:val="2AE05A34"/>
    <w:multiLevelType w:val="hybridMultilevel"/>
    <w:lvl w:ilvl="0">
      <w:lvlJc w:val="left"/>
      <w:lvlText w:val="(%1)"/>
      <w:numFmt w:val="lowerLetter"/>
      <w:start w:val="1"/>
    </w:lvl>
  </w:abstractNum>
  <w:abstractNum w:abstractNumId="163">
    <w:nsid w:val="32794FF7"/>
    <w:multiLevelType w:val="hybridMultilevel"/>
    <w:lvl w:ilvl="0">
      <w:lvlJc w:val="left"/>
      <w:lvlText w:val="%1"/>
      <w:numFmt w:val="upperLetter"/>
      <w:start w:val="1"/>
    </w:lvl>
    <w:lvl w:ilvl="1">
      <w:lvlJc w:val="left"/>
      <w:lvlText w:val="(%2)"/>
      <w:numFmt w:val="lowerLetter"/>
      <w:start w:val="1"/>
    </w:lvl>
  </w:abstractNum>
  <w:abstractNum w:abstractNumId="164">
    <w:nsid w:val="5454945E"/>
    <w:multiLevelType w:val="hybridMultilevel"/>
    <w:lvl w:ilvl="0">
      <w:lvlJc w:val="left"/>
      <w:lvlText w:val="(%1)"/>
      <w:numFmt w:val="upperLetter"/>
      <w:start w:val="1"/>
    </w:lvl>
    <w:lvl w:ilvl="1">
      <w:lvlJc w:val="left"/>
      <w:lvlText w:val="%2"/>
      <w:numFmt w:val="lowerLetter"/>
      <w:start w:val="1"/>
    </w:lvl>
  </w:abstractNum>
  <w:abstractNum w:abstractNumId="165">
    <w:nsid w:val="4DEFDFA0"/>
    <w:multiLevelType w:val="hybridMultilevel"/>
    <w:lvl w:ilvl="0">
      <w:lvlJc w:val="left"/>
      <w:lvlText w:val="(%1)"/>
      <w:numFmt w:val="upperLetter"/>
      <w:start w:val="3"/>
    </w:lvl>
    <w:lvl w:ilvl="1">
      <w:lvlJc w:val="left"/>
      <w:lvlText w:val="(%2)"/>
      <w:numFmt w:val="lowerLetter"/>
      <w:start w:val="2"/>
    </w:lvl>
  </w:abstractNum>
  <w:abstractNum w:abstractNumId="166">
    <w:nsid w:val="2123D5F2"/>
    <w:multiLevelType w:val="hybridMultilevel"/>
    <w:lvl w:ilvl="0">
      <w:lvlJc w:val="left"/>
      <w:lvlText w:val="(%1)"/>
      <w:numFmt w:val="lowerLetter"/>
      <w:start w:val="1"/>
    </w:lvl>
  </w:abstractNum>
  <w:abstractNum w:abstractNumId="167">
    <w:nsid w:val="135B8110"/>
    <w:multiLevelType w:val="hybridMultilevel"/>
    <w:lvl w:ilvl="0">
      <w:lvlJc w:val="left"/>
      <w:lvlText w:val="1"/>
      <w:numFmt w:val="bullet"/>
      <w:start w:val="1"/>
    </w:lvl>
  </w:abstractNum>
  <w:abstractNum w:abstractNumId="168">
    <w:nsid w:val="94927A8"/>
    <w:multiLevelType w:val="hybridMultilevel"/>
    <w:lvl w:ilvl="0">
      <w:lvlJc w:val="left"/>
      <w:lvlText w:val="2"/>
      <w:numFmt w:val="bullet"/>
      <w:start w:val="1"/>
    </w:lvl>
  </w:abstractNum>
  <w:abstractNum w:abstractNumId="169">
    <w:nsid w:val="DCDF8F6"/>
    <w:multiLevelType w:val="hybridMultilevel"/>
    <w:lvl w:ilvl="0">
      <w:lvlJc w:val="left"/>
      <w:lvlText w:val="%1."/>
      <w:numFmt w:val="decimal"/>
      <w:start w:val="1"/>
    </w:lvl>
    <w:lvl w:ilvl="1">
      <w:lvlJc w:val="left"/>
      <w:lvlText w:val="(%2)"/>
      <w:numFmt w:val="lowerLetter"/>
      <w:start w:val="1"/>
    </w:lvl>
  </w:abstractNum>
  <w:abstractNum w:abstractNumId="170">
    <w:nsid w:val="52D7B105"/>
    <w:multiLevelType w:val="hybridMultilevel"/>
    <w:lvl w:ilvl="0">
      <w:lvlJc w:val="left"/>
      <w:lvlText w:val="%1."/>
      <w:numFmt w:val="decimal"/>
      <w:start w:val="1"/>
    </w:lvl>
    <w:lvl w:ilvl="1">
      <w:lvlJc w:val="left"/>
      <w:lvlText w:val="(%2)"/>
      <w:numFmt w:val="lowerLetter"/>
      <w:start w:val="1"/>
    </w:lvl>
  </w:abstractNum>
  <w:abstractNum w:abstractNumId="171">
    <w:nsid w:val="2E8A6394"/>
    <w:multiLevelType w:val="hybridMultilevel"/>
    <w:lvl w:ilvl="0">
      <w:lvlJc w:val="left"/>
      <w:lvlText w:val="%1."/>
      <w:numFmt w:val="decimal"/>
      <w:start w:val="1"/>
    </w:lvl>
  </w:abstractNum>
  <w:abstractNum w:abstractNumId="172">
    <w:nsid w:val="24E604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2019-12-07T10:44:43Z</dcterms:created>
  <dcterms:modified xsi:type="dcterms:W3CDTF">2019-12-07T10:44:43Z</dcterms:modified>
</cp:coreProperties>
</file>