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September 30, 2015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277,517,179</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75,805,382</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September 30, 2015 and December 31,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 Condensed Consolidated Statements of Earnings for the three-month and nine-month periods ended September 30, 2015 and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2015 and 2014</w:t>
              </w:r>
            </w:hyperlink>
          </w:p>
        </w:tc>
        <w:tc>
          <w:tcPr>
            <w:tcW w:w="858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7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D. Condensed Consolidated Statement of Equity for the nine-month period ended September 30, 2015</w:t>
              </w:r>
            </w:hyperlink>
          </w:p>
        </w:tc>
        <w:tc>
          <w:tcPr>
            <w:tcW w:w="23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 Condensed Consolidated Statements of Cash Flows for the nine-month periods ended September 30, 2015 and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F. Notes to Condensed Consolidated Financial Statements</w:t>
              </w:r>
            </w:hyperlink>
          </w:p>
        </w:tc>
        <w:tc>
          <w:tcPr>
            <w:tcW w:w="4380" w:type="dxa"/>
            <w:vAlign w:val="bottom"/>
            <w:tcBorders>
              <w:top w:val="single" w:sz="8" w:color="0000EE"/>
            </w:tcBorders>
            <w:gridSpan w:val="5"/>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43</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45</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1"/>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1"/>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1"/>
              <w:spacing w:after="0"/>
              <w:rPr>
                <w:sz w:val="20"/>
                <w:szCs w:val="20"/>
                <w:color w:val="auto"/>
              </w:rPr>
            </w:pPr>
            <w:r>
              <w:rPr>
                <w:rFonts w:ascii="Arial" w:cs="Arial" w:eastAsia="Arial" w:hAnsi="Arial"/>
                <w:sz w:val="14"/>
                <w:szCs w:val="14"/>
                <w:color w:val="auto"/>
                <w:w w:val="94"/>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1"/>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2015 and December 31, 2014 includes pledged fixed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$337 and $499,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9"/>
              </w:rPr>
              <w:t>Short-term investments, at September 30, 2015 and December 31, 2014 includes short term investments of $113 and $146,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respectively, related 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4,669</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1"/>
              </w:rPr>
              <w:t>Cash and cash equivalents, at September 30, 2015 and December 31, 2014 includes $248 and $136, respectively, of pledged cash related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$31 and $32, at September 30, 2015 and December 31, 2014,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13,845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1"/>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7,087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7"/>
              </w:rPr>
              <w:t>Redeemable non-controlling interest by 21% minority holder of ServiceLink Holdings, LLC as of September 30, 2015 and 33%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4"/>
              </w:rPr>
              <w:t>minority holder of Black Knight Financial Services, LLC and 35% minority holder of ServiceLink Holdings, LLC as of December 31,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60" w:type="dxa"/>
            <w:vAlign w:val="bottom"/>
            <w:gridSpan w:val="2"/>
          </w:tcPr>
          <w:p>
            <w:pPr>
              <w:ind w:left="280"/>
              <w:spacing w:after="0"/>
              <w:rPr>
                <w:sz w:val="20"/>
                <w:szCs w:val="20"/>
                <w:color w:val="auto"/>
              </w:rPr>
            </w:pPr>
            <w:r>
              <w:rPr>
                <w:rFonts w:ascii="Arial" w:cs="Arial" w:eastAsia="Arial" w:hAnsi="Arial"/>
                <w:sz w:val="16"/>
                <w:szCs w:val="16"/>
                <w:color w:val="auto"/>
              </w:rPr>
              <w:t>2014</w:t>
            </w:r>
          </w:p>
        </w:tc>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4"/>
              </w:rPr>
              <w:t>FNF Group common stock, $0.0001 par value; authorized 487,000,000 shares as of September 30, 2015 and December 31, 2014;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9"/>
              </w:rPr>
              <w:t>outstanding of 277,517,179 and 279,443,239 as of September 30, 2015 and December 31, 2014, respectively, and issued of</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281,342,841 and 279,824,125 as of September 30, 2015 and December 31, 2014, respectively</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3"/>
              </w:rPr>
              <w:t>FNFV Group common stock, $0.0001 par value; authorized 113,000,000 shares as of September 30, 2015 and December 31, 2014;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2"/>
              </w:rPr>
              <w:t>outstanding of 75,805,382 and 92,828,470 as of September 30, 2015 and December 31, 2014, respectively, and issued of 80,581,466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and 92,946,545 as of September 30, 2015 and December 31, 2014,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Less: treasury stock, 8,601,746 shares as of September 30, 2015 and 493,737 shares as of December 31, 2014, at cost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14,036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12700</wp:posOffset>
            </wp:positionV>
            <wp:extent cx="15176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26035"/>
                    </a:xfrm>
                    <a:prstGeom prst="rect">
                      <a:avLst/>
                    </a:prstGeom>
                    <a:noFill/>
                  </pic:spPr>
                </pic:pic>
              </a:graphicData>
            </a:graphic>
          </wp:anchor>
        </w:drawing>
      </w:r>
    </w:p>
    <w:p>
      <w:pPr>
        <w:sectPr>
          <w:pgSz w:w="11900" w:h="16838" w:orient="portrait"/>
          <w:cols w:equalWidth="0" w:num="1">
            <w:col w:w="11420"/>
          </w:cols>
          <w:pgMar w:left="240" w:top="108" w:right="239" w:bottom="6" w:gutter="0" w:footer="0" w:header="0"/>
        </w:sectPr>
      </w:pP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08" w:right="239" w:bottom="6"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millions)</w:t>
      </w:r>
    </w:p>
    <w:p>
      <w:pPr>
        <w:sectPr>
          <w:pgSz w:w="11900" w:h="16838" w:orient="portrait"/>
          <w:cols w:equalWidth="0" w:num="1">
            <w:col w:w="11420"/>
          </w:cols>
          <w:pgMar w:left="240" w:top="121" w:right="239" w:bottom="1440" w:gutter="0" w:footer="0" w:header="0"/>
        </w:sectPr>
      </w:pPr>
    </w:p>
    <w:p>
      <w:pPr>
        <w:spacing w:after="0" w:line="168" w:lineRule="exact"/>
        <w:rPr>
          <w:sz w:val="20"/>
          <w:szCs w:val="20"/>
          <w:color w:val="auto"/>
        </w:rPr>
      </w:pPr>
    </w:p>
    <w:p>
      <w:pPr>
        <w:jc w:val="center"/>
        <w:ind w:left="8040"/>
        <w:spacing w:after="0"/>
        <w:rPr>
          <w:sz w:val="20"/>
          <w:szCs w:val="20"/>
          <w:color w:val="auto"/>
        </w:rPr>
      </w:pPr>
      <w:r>
        <w:rPr>
          <w:rFonts w:ascii="Arial" w:cs="Arial" w:eastAsia="Arial" w:hAnsi="Arial"/>
          <w:sz w:val="12"/>
          <w:szCs w:val="12"/>
          <w:b w:val="1"/>
          <w:bCs w:val="1"/>
          <w:color w:val="auto"/>
        </w:rPr>
        <w:t>Three months ended</w:t>
      </w:r>
    </w:p>
    <w:p>
      <w:pPr>
        <w:spacing w:after="0" w:line="27"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1183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7" w:lineRule="exact"/>
        <w:rPr>
          <w:sz w:val="20"/>
          <w:szCs w:val="20"/>
          <w:color w:val="auto"/>
        </w:rPr>
      </w:pPr>
    </w:p>
    <w:p>
      <w:pPr>
        <w:ind w:left="8100"/>
        <w:spacing w:after="0"/>
        <w:tabs>
          <w:tab w:leader="none" w:pos="906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31115</wp:posOffset>
            </wp:positionV>
            <wp:extent cx="1183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0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p>
      <w:pPr>
        <w:sectPr>
          <w:pgSz w:w="11900" w:h="16838" w:orient="portrait"/>
          <w:cols w:equalWidth="0" w:num="2">
            <w:col w:w="9380" w:space="620"/>
            <w:col w:w="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1,488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Escrow, title related and other fees</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2,097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778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5,938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5,699</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09"/>
        </w:trPr>
        <w:tc>
          <w:tcPr>
            <w:tcW w:w="77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attributable to Old FNF common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 attributable to Old FNF common shareholders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Old FNF common shareholders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from continuing operations attributable to FNFV Group common shareholders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FNFV Group common shareholders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780"/>
              <w:spacing w:after="0"/>
              <w:rPr>
                <w:sz w:val="20"/>
                <w:szCs w:val="20"/>
                <w:color w:val="auto"/>
              </w:rPr>
            </w:pPr>
            <w:r>
              <w:rPr>
                <w:rFonts w:ascii="Arial" w:cs="Arial" w:eastAsia="Arial" w:hAnsi="Arial"/>
                <w:sz w:val="16"/>
                <w:szCs w:val="16"/>
                <w:color w:val="auto"/>
                <w:w w:val="92"/>
              </w:rPr>
              <w:t>See Notes to Condensed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EARNINGS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except per share data)</w:t>
      </w:r>
    </w:p>
    <w:p>
      <w:pPr>
        <w:sectPr>
          <w:pgSz w:w="11900" w:h="16838" w:orient="portrait"/>
          <w:cols w:equalWidth="0" w:num="1">
            <w:col w:w="11420"/>
          </w:cols>
          <w:pgMar w:left="240" w:top="121" w:right="239" w:bottom="1440" w:gutter="0" w:footer="0" w:header="0"/>
        </w:sectPr>
      </w:pPr>
    </w:p>
    <w:p>
      <w:pPr>
        <w:spacing w:after="0" w:line="144"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4" w:lineRule="exact"/>
        <w:rPr>
          <w:sz w:val="20"/>
          <w:szCs w:val="20"/>
          <w:color w:val="auto"/>
        </w:rPr>
      </w:pPr>
    </w:p>
    <w:p>
      <w:pPr>
        <w:sectPr>
          <w:pgSz w:w="11900" w:h="16838" w:orient="portrait"/>
          <w:cols w:equalWidth="0" w:num="2">
            <w:col w:w="9420" w:space="580"/>
            <w:col w:w="14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Earnings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share from continuing operations attributable to FNFV Group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 per share from discontinued operations attributable to FNFV Group common shareholders</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share from continuing operations attributable to FNFV Group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 per share from discontinued operations attributable to FNFV Group common shareholders</w:t>
            </w:r>
          </w:p>
        </w:tc>
        <w:tc>
          <w:tcPr>
            <w:tcW w:w="24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paid per share Old FNF common stock</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left="254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left="8140"/>
        <w:spacing w:after="0"/>
        <w:rPr>
          <w:sz w:val="20"/>
          <w:szCs w:val="20"/>
          <w:color w:val="auto"/>
        </w:rPr>
      </w:pPr>
      <w:r>
        <w:rPr>
          <w:rFonts w:ascii="Arial" w:cs="Arial" w:eastAsia="Arial" w:hAnsi="Arial"/>
          <w:sz w:val="12"/>
          <w:szCs w:val="12"/>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31115</wp:posOffset>
            </wp:positionV>
            <wp:extent cx="1080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9400" w:space="580"/>
            <w:col w:w="1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(loss) gain on investments and other financial instruments, net (excluding investments in</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 (1)</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Unrealized loss on investments in unconsolidated affiliates (2)</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foreign currency translation (3)</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Reclassification adjustments for change in unrealized gains and losses included in net earnings (4)</w:t>
            </w:r>
          </w:p>
        </w:tc>
        <w:tc>
          <w:tcPr>
            <w:tcW w:w="2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Comprehensive earnings (loss) attributable to non-controlling interests</w:t>
            </w:r>
          </w:p>
        </w:tc>
        <w:tc>
          <w:tcPr>
            <w:tcW w:w="2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Old FNF common shareholders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FNFV Group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$(12) million and $(7) million for the three-month periods ended September 30, 2015 and 2014, respectively, and $(18) million and $5 million for the nine-month periods ended September 30, 2015 and 2014,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$12 million and $4 million for the three-month periods ended September 30, 2015 and 2014, respectively, and $15 million and $5 million for the nine-month periods ended September 30, 2015 and 2014,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$1 million and $5 million for the three-month periods ended September 30, 2015 and 2014, respectively, and $6 million and $3 million for the nine-month periods ended September 30, 2015 and 2014,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less than $1 million for the three-month period ended September 30, 2014.</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$2 million for both the three and nine-month periods ended September 30, 2015.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jc w:val="center"/>
              <w:ind w:left="317"/>
              <w:spacing w:after="0"/>
              <w:rPr>
                <w:sz w:val="20"/>
                <w:szCs w:val="20"/>
                <w:color w:val="auto"/>
              </w:rPr>
            </w:pPr>
            <w:r>
              <w:rPr>
                <w:rFonts w:ascii="Arial" w:cs="Arial" w:eastAsia="Arial" w:hAnsi="Arial"/>
                <w:sz w:val="13"/>
                <w:szCs w:val="13"/>
                <w:b w:val="1"/>
                <w:bCs w:val="1"/>
                <w:color w:val="auto"/>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left="317"/>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2014</w:t>
            </w:r>
          </w:p>
        </w:tc>
        <w:tc>
          <w:tcPr>
            <w:tcW w:w="460" w:type="dxa"/>
            <w:vAlign w:val="bottom"/>
          </w:tcPr>
          <w:p>
            <w:pPr>
              <w:jc w:val="right"/>
              <w:spacing w:after="0"/>
              <w:rPr>
                <w:sz w:val="20"/>
                <w:szCs w:val="20"/>
                <w:color w:val="auto"/>
              </w:rPr>
            </w:pPr>
            <w:r>
              <w:rPr>
                <w:rFonts w:ascii="Arial" w:cs="Arial" w:eastAsia="Arial" w:hAnsi="Arial"/>
                <w:sz w:val="13"/>
                <w:szCs w:val="13"/>
                <w:color w:val="auto"/>
              </w:rPr>
              <w:t>280</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  (13)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715</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Equity offering costs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Tax benefit associated with the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loss on investments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loss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loss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minimum pension liability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adjustment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 Alexander's Spin-off</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59</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Shares withheld for taxes and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Purchase of additional share in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consolidated subsidiaries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Proceeds from Black Knight IPO</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Gain on Black Knight IPO</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Reclassification of redeemable NCI</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resulting from IPO/share conversion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Contributions to non-controlling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Sale of non-controlling interest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Dilution of ownership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64"/>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September 30, 2015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For the nine months ended</w:t>
            </w: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116</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356</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losses of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Loss on sales of investments and other assets, net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Cascade Timberlands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Tax benefit associated with the exercise of stock options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pledged cash, pledged investments, and secured trust deposits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trade receivables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reserve for title claim losses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581</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other assets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(841)</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purchases of short-term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purchases of other long-term investments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Acquisition of Lender Processing Services, Inc., net of cash acquired</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(2,253)</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USA Industries, Inc., net of cash acquired</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Acquisition of BPG Holdings, LLC, net of cash acquired</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Compass and Prospective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 of Cascades Timberlands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(2,446)</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1,683</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 in non-controlling interest</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35% of Black Knight Financial Services, LLC and ServiceLink, LLC to minority interest holder</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Black Knight IPO</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Equity and debt issuance costs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benefit associated with the 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Distributions by BKFS to member</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w:t>
            </w: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excluding pledged cash related to secured trust deposits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1,630</w:t>
            </w:r>
          </w:p>
        </w:tc>
      </w:tr>
      <w:tr>
        <w:trPr>
          <w:trHeight w:val="205"/>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w:t>
            </w:r>
          </w:p>
        </w:tc>
      </w:tr>
    </w:tbl>
    <w:p>
      <w:pPr>
        <w:sectPr>
          <w:pgSz w:w="11900" w:h="16900" w:orient="portrait"/>
          <w:cols w:equalWidth="0" w:num="1">
            <w:col w:w="11420"/>
          </w:cols>
          <w:pgMar w:left="240" w:top="121" w:right="23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9360" w:type="dxa"/>
            <w:vAlign w:val="bottom"/>
          </w:tcPr>
          <w:p>
            <w:pPr>
              <w:ind w:left="40"/>
              <w:spacing w:after="0"/>
              <w:rPr>
                <w:sz w:val="20"/>
                <w:szCs w:val="20"/>
                <w:color w:val="auto"/>
              </w:rPr>
            </w:pPr>
            <w:r>
              <w:rPr>
                <w:rFonts w:ascii="Arial" w:cs="Arial" w:eastAsia="Arial" w:hAnsi="Arial"/>
                <w:sz w:val="14"/>
                <w:szCs w:val="14"/>
                <w:color w:val="auto"/>
              </w:rPr>
              <w:t>Supplemental cash flow information:</w:t>
            </w: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3"/>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taxes paid (received), net</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9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0"/>
        </w:trPr>
        <w:tc>
          <w:tcPr>
            <w:tcW w:w="9360" w:type="dxa"/>
            <w:vAlign w:val="bottom"/>
          </w:tcPr>
          <w:p>
            <w:pPr>
              <w:ind w:left="280"/>
              <w:spacing w:after="0"/>
              <w:rPr>
                <w:sz w:val="20"/>
                <w:szCs w:val="20"/>
                <w:color w:val="auto"/>
              </w:rPr>
            </w:pPr>
            <w:r>
              <w:rPr>
                <w:rFonts w:ascii="Arial" w:cs="Arial" w:eastAsia="Arial" w:hAnsi="Arial"/>
                <w:sz w:val="14"/>
                <w:szCs w:val="14"/>
                <w:color w:val="auto"/>
              </w:rPr>
              <w:t>Interest paid</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r>
      <w:tr>
        <w:trPr>
          <w:trHeight w:val="20"/>
        </w:trPr>
        <w:tc>
          <w:tcPr>
            <w:tcW w:w="9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8"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for the year ended December 31, 2014.</w:t>
      </w:r>
    </w:p>
    <w:p>
      <w:pPr>
        <w:spacing w:after="0" w:line="63"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2014 Condensed Consolidated Financial Statements to conform to classifications used in 2015.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2015,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title-related services used in the production and management of mortgage loans, including mortgage loans that experience default.</w:t>
      </w:r>
    </w:p>
    <w:p>
      <w:pPr>
        <w:spacing w:after="0" w:line="134"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30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Restaurant Group. </w:t>
      </w:r>
      <w:r>
        <w:rPr>
          <w:rFonts w:ascii="Arial" w:cs="Arial" w:eastAsia="Arial" w:hAnsi="Arial"/>
          <w:sz w:val="16"/>
          <w:szCs w:val="16"/>
          <w:color w:val="auto"/>
        </w:rPr>
        <w:t>As of September 30, 2015, this segment consists of the operations of ABRH, in which we have a 55% ownership interest. ABRH</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affiliates are the owners and operators of the O'Charley's, Ninety Nine Restaurants, Max &amp; Erma's, Village Inn, Bakers Square, and Legendary Baking concepts. The segment also includes the results of J. Alexander's, Inc. ("J. Alexander's") through September 28, 2015, the date it was distributed to FNFV shareholders. See the Recent Developments section below for further discussion of the distribution of J. Alexander's.</w:t>
      </w:r>
    </w:p>
    <w:p>
      <w:pPr>
        <w:spacing w:after="0" w:line="100" w:lineRule="exact"/>
        <w:rPr>
          <w:rFonts w:ascii="Arial" w:cs="Arial" w:eastAsia="Arial" w:hAnsi="Arial"/>
          <w:sz w:val="16"/>
          <w:szCs w:val="16"/>
          <w:i w:val="1"/>
          <w:iCs w:val="1"/>
          <w:color w:val="auto"/>
        </w:rPr>
      </w:pPr>
    </w:p>
    <w:p>
      <w:pPr>
        <w:ind w:left="660" w:right="20" w:hanging="409"/>
        <w:spacing w:after="0" w:line="308"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28, 2015, we announced that we are reevaluating the form and timing of the spin-off of ABRH to FNFV shareholders previously announced on July 30, 2015.</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is expected to generally be tax-free to FNFV shareholders for U.S. federal income tax purposes, except to the extent of any cash received in lieu of J. Alexander's fractional shares.</w:t>
      </w:r>
    </w:p>
    <w:p>
      <w:pPr>
        <w:spacing w:after="0" w:line="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May 27, 2015, Black Knight InfoServ, LLC (“BKIS”), a subsidiary of Black Knight, entered into a credit and guaranty agreement (the “BKIS Credit Agreement”) with an aggregate borrowing capacity of $1.6 billion, with JPMorgan Chase Bank, N.A. as administrative agent, the guarantors party thereto, the other agents party thereto and the lenders party thereto. FNF does not provide any guaranty or stock pledge under the BKIS Credit Agreement.</w:t>
      </w:r>
    </w:p>
    <w:p>
      <w:pPr>
        <w:spacing w:after="0" w:line="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Operating, LLC. Following the IPO, we own 55% of the outstanding shares of Black Knight in the form of Class B common stock, with a corresponding ownership interest in BKFS Operating, LLC.</w:t>
      </w:r>
    </w:p>
    <w:p>
      <w:pPr>
        <w:spacing w:after="0" w:line="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January 16,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land sold was in Other operating expenses in the Condensed Consolidated Statement of Operations in the nine months ended September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4, 2015, Digital Insurance closed on the purchase of Compass Consulting Group, Inc. ("Compass") and Prospective Risk Management Corporation ("Prospective"), pursuant to a certain Stock Purchase Agreement, for approximately $21 million. We first consolidated the results of Compass and Prospective as of June 30, 2015. Compass provides insurance and employee benefits consulting services for companies nationwide. Prospective is a third-party health care underwriting and consulting firm that offers risk assessment and risk consulting services to health insuring corporations, Professional Employer Organizations and Multiple Employer Welfare Arrangement organizations, single employer plans, and the agent/broker/health care consultant community.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12, 2015, we closed the purchase of BPG Holdings, LLC ("BPG"), pursuant to a certain Membership Interest Purchase Agreement, for $46 million. We first consolidated the results of BPG as of March 31, 2015. BPG is a recognized leader in home warranty, home inspection services and commercial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2014, we completed the distribution (the "Remy Spin-off") of all of the outstanding shares of common stock of our previously owned subsidiary Remy International, Inc. ("New Remy", NASDAQ: REMY) a manufacturer and distributer of auto parts to FNFV shareholders. We continue to hold $29 million in Remy term loans, which are included in Fixed maturities available for sale on the Condensed Consolidated Balance Sheet. Prior to the Remy Spin-off, these investments were eliminated in consolidation.</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Remy Spin-off, the results from New Remy are reflected in the Condensed Consolidated Statements of Earnings as discontinued operations for the three and nine months ended September 30, 2014. Total revenue included in discontinued operations was $290 million and $893 million for the three and nine months ended September 30, 2014, respectively. Pre-tax (losses) earnings included in discontinued operations were $(18) million and $0 for the three and nine months ended September 30, 2014,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operations of New Remy to the Statement of Earnings is shown below:</w:t>
      </w: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164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7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September 30, 2014</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244"/>
        </w:trPr>
        <w:tc>
          <w:tcPr>
            <w:tcW w:w="7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1640" w:type="dxa"/>
            <w:vAlign w:val="bottom"/>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9"/>
        </w:trPr>
        <w:tc>
          <w:tcPr>
            <w:tcW w:w="7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 parts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24"/>
        </w:trPr>
        <w:tc>
          <w:tcPr>
            <w:tcW w:w="7260" w:type="dxa"/>
            <w:vAlign w:val="bottom"/>
          </w:tcPr>
          <w:p>
            <w:pPr>
              <w:ind w:left="140"/>
              <w:spacing w:after="0"/>
              <w:rPr>
                <w:sz w:val="20"/>
                <w:szCs w:val="20"/>
                <w:color w:val="auto"/>
              </w:rPr>
            </w:pPr>
            <w:r>
              <w:rPr>
                <w:rFonts w:ascii="Arial" w:cs="Arial" w:eastAsia="Arial" w:hAnsi="Arial"/>
                <w:sz w:val="16"/>
                <w:szCs w:val="16"/>
                <w:color w:val="auto"/>
              </w:rPr>
              <w:t>Other revenues</w:t>
            </w:r>
          </w:p>
        </w:tc>
        <w:tc>
          <w:tcPr>
            <w:tcW w:w="200" w:type="dxa"/>
            <w:vAlign w:val="bottom"/>
          </w:tcPr>
          <w:p>
            <w:pPr>
              <w:spacing w:after="0"/>
              <w:rPr>
                <w:sz w:val="19"/>
                <w:szCs w:val="19"/>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29"/>
        </w:trPr>
        <w:tc>
          <w:tcPr>
            <w:tcW w:w="7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60" w:type="dxa"/>
            <w:vAlign w:val="bottom"/>
          </w:tcPr>
          <w:p>
            <w:pPr>
              <w:ind w:left="140"/>
              <w:spacing w:after="0"/>
              <w:rPr>
                <w:sz w:val="20"/>
                <w:szCs w:val="20"/>
                <w:color w:val="auto"/>
              </w:rPr>
            </w:pPr>
            <w:r>
              <w:rPr>
                <w:rFonts w:ascii="Arial" w:cs="Arial" w:eastAsia="Arial" w:hAnsi="Arial"/>
                <w:sz w:val="16"/>
                <w:szCs w:val="16"/>
                <w:color w:val="auto"/>
              </w:rPr>
              <w:t>Personnel costs</w:t>
            </w:r>
          </w:p>
        </w:tc>
        <w:tc>
          <w:tcPr>
            <w:tcW w:w="200" w:type="dxa"/>
            <w:vAlign w:val="bottom"/>
          </w:tcPr>
          <w:p>
            <w:pPr>
              <w:spacing w:after="0"/>
              <w:rPr>
                <w:sz w:val="19"/>
                <w:szCs w:val="19"/>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4"/>
        </w:trPr>
        <w:tc>
          <w:tcPr>
            <w:tcW w:w="7260" w:type="dxa"/>
            <w:vAlign w:val="bottom"/>
          </w:tcPr>
          <w:p>
            <w:pPr>
              <w:ind w:left="140"/>
              <w:spacing w:after="0"/>
              <w:rPr>
                <w:sz w:val="20"/>
                <w:szCs w:val="20"/>
                <w:color w:val="auto"/>
              </w:rPr>
            </w:pPr>
            <w:r>
              <w:rPr>
                <w:rFonts w:ascii="Arial" w:cs="Arial" w:eastAsia="Arial" w:hAnsi="Arial"/>
                <w:sz w:val="16"/>
                <w:szCs w:val="16"/>
                <w:color w:val="auto"/>
              </w:rPr>
              <w:t>Cost of auto parts revenues</w:t>
            </w:r>
          </w:p>
        </w:tc>
        <w:tc>
          <w:tcPr>
            <w:tcW w:w="200" w:type="dxa"/>
            <w:vAlign w:val="bottom"/>
          </w:tcPr>
          <w:p>
            <w:pPr>
              <w:spacing w:after="0"/>
              <w:rPr>
                <w:sz w:val="19"/>
                <w:szCs w:val="19"/>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240" w:type="dxa"/>
            <w:vAlign w:val="bottom"/>
          </w:tcPr>
          <w:p>
            <w:pPr>
              <w:spacing w:after="0"/>
              <w:rPr>
                <w:sz w:val="19"/>
                <w:szCs w:val="19"/>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Depreciation &amp;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72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26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260" w:type="dxa"/>
            <w:vAlign w:val="bottom"/>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Net (loss) earnings from discontinued operations attributable to Fidelity National Financial, Inc. common</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6"/>
                <w:szCs w:val="16"/>
                <w:color w:val="auto"/>
              </w:rPr>
              <w:t>Cash flow from discontinued operations data:</w:t>
            </w: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72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own to the total weighted average diluted shares of Black Knight outstanding and multiply the ratio by their net earnings. The result is used as a substitution for Black Knight's net earnings attributable to FNF included in our consolidated net earnings in the numerator for our diluted EPS calculation. As the effect was antidilutive for the nine months ended September 30, 2015 and had no effect for the three months ended September 30, 2015, there were no adjustments made to net earnings attributable to FNF in our calculation of diluted EPS. There are no adjustments to earnings attributable to FNF in our calculation of basic EPS. There are no adjustments made to net earnings attributable to FNFV in our calculation of basic or diluted EPS.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during the three and nine months ended September 30, 2015 and September 30, 2014, respectively.</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close of business on June 30, 2014, we completed the recapitalization of our previously outstanding FNF Class A common stock ("Old FNF common stock") into two tracking stocks, FNF Group common stock and FNFV Group common stock.</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recapitalization, the weighted average shares outstanding presented on the Condensed Consolidated Statements of Earnings for the nine month period ended September 30, 2014 includes shares of Old FNF common stock. The weighted average shares outstanding presented on the Condensed Consolidated Statements of Earnings for the three and nine month periods ended September 30, 2015 include shares of FNF Group common stock and FNFV Group common stock. Earnings per share for all periods presented are attributed to the related class of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Sales of Stock by a Subsidiary</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Black Knight closed its IPO on May 26, 2015. Black Knight received net proceeds of $475 million from the offering, net of underwriting discounts and fees. As a result, we recorded a $53 million gain to additional paid in capital, a decrease in non-controlling interest in consolidated subsidiary of $96 million and an increase to deferred tax liability of $43 million as of and for the nine months ended September 30,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2015, the Financial Accounting Standards Board ("FASB") issued Accounting Standards Update ("ASU") No. 2015-02 </w:t>
      </w:r>
      <w:r>
        <w:rPr>
          <w:rFonts w:ascii="Arial" w:cs="Arial" w:eastAsia="Arial" w:hAnsi="Arial"/>
          <w:sz w:val="16"/>
          <w:szCs w:val="16"/>
          <w:i w:val="1"/>
          <w:iCs w:val="1"/>
          <w:color w:val="auto"/>
        </w:rPr>
        <w:t>Consolidation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810): Amendments to the Consolidation Analysis</w:t>
      </w:r>
      <w:r>
        <w:rPr>
          <w:rFonts w:ascii="Arial" w:cs="Arial" w:eastAsia="Arial" w:hAnsi="Arial"/>
          <w:sz w:val="16"/>
          <w:szCs w:val="16"/>
          <w:color w:val="auto"/>
        </w:rPr>
        <w:t>. This ASU changes the way reporting enterprises evaluate whether (a) they should consolidate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prior periods. We are evaluating the effect this new guidance will have on our consolidated financial statements and related disclosures and have not yet determined the effect of the standard on our ongoing financial reporting. This update is effective for annual and interim periods beginning on or after December 15, 2015, with early application permitted.</w:t>
      </w:r>
    </w:p>
    <w:p>
      <w:pPr>
        <w:spacing w:after="0" w:line="6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The ASU was issued as part of FASB's current plan to simplify overly complex standards. To simplify presentation of debt issuance costs,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this ASU. The update requires retrospective application to all prior period amounts presented. This update is effective for annual and interim periods beginning on or after December 15, 2015, with early application permitted. We early adopted the standard as of June 30, 2015 and have retrospectively applied the standard to all periods presented. Accordingly, unamortized debt issuance costs of $34 million and $23 million have been reclassified from Other intangible assets to offset Notes payable in the Condensed Consolidated Balance Sheets as of September 30, 2015 and December 31, 2014, respectively. Had we adopted this ASU as of March 31, 2015, $23 million of debt issuance costs would have been reclassified from Other intangible assets to offset Note payable in our March 31, 2015 Condensed Consolidated Balance Sheet. The reclassification had no effect on income or retained earnings in any period.</w:t>
      </w:r>
    </w:p>
    <w:p>
      <w:pPr>
        <w:spacing w:after="0" w:line="6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2015, the FASB issued ASU No. 2015-09 </w:t>
      </w:r>
      <w:r>
        <w:rPr>
          <w:rFonts w:ascii="Arial" w:cs="Arial" w:eastAsia="Arial" w:hAnsi="Arial"/>
          <w:sz w:val="17"/>
          <w:szCs w:val="17"/>
          <w:i w:val="1"/>
          <w:iCs w:val="1"/>
          <w:color w:val="auto"/>
        </w:rPr>
        <w:t>Financial Services - Insurance (Topic 944): Disclosures about Short-Duration Contracts</w:t>
      </w:r>
      <w:r>
        <w:rPr>
          <w:rFonts w:ascii="Arial" w:cs="Arial" w:eastAsia="Arial" w:hAnsi="Arial"/>
          <w:sz w:val="17"/>
          <w:szCs w:val="17"/>
          <w:color w:val="auto"/>
        </w:rPr>
        <w:t>.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and interim periods beginning after December 15, 2015, and interim periods within annual periods beginning after December 15, 2016, with early application permitted. We do not expect this update to have a significant effect on our ongoing financial reporting as our primary insurance products are not short-duration contracts. However, we are still evaluating the totality of the effects the update will have on our disclosures.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2015, the FASB issued ASU No.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The amendments in this ASU defer the effective date of the guidance in Update 2014-09 which provides a new comprehensive revenue recognition model that requires companies to recognize revenue to depict the transfer of goods or services to a customer at an amount that reflects the consideration it expects to receive in exchange for those goods or services. Update 2014-09 also requires additional disclosure about the nature, amount, timing and uncertainty of revenue and cash flows arising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customer contracts. Update 2015-14 makes the amendments in Update 2014-09 effective for annual and interim periods beginning after December 15, 2017, including interim periods within that reporting period. Early application is permitted only as of reporting periods beginning after December 15, 2016. Update 2014-09 permits the use of either the retrospective or cumulative effect transition method. We are evaluating the effect this new guidance will have on our consolidated financial statements and related disclosures. We have not yet selected a transition method nor have we determined the effect of the standard on our consolidated financial statements and related disclosures.</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Business Combinations (Topic 805): Simplifying the Accounting for Measurement-Period</w:t>
      </w:r>
      <w:r>
        <w:rPr>
          <w:rFonts w:ascii="Arial" w:cs="Arial" w:eastAsia="Arial" w:hAnsi="Arial"/>
          <w:sz w:val="17"/>
          <w:szCs w:val="17"/>
          <w:color w:val="auto"/>
        </w:rPr>
        <w:t xml:space="preserve"> </w:t>
      </w:r>
      <w:r>
        <w:rPr>
          <w:rFonts w:ascii="Arial" w:cs="Arial" w:eastAsia="Arial" w:hAnsi="Arial"/>
          <w:sz w:val="17"/>
          <w:szCs w:val="17"/>
          <w:i w:val="1"/>
          <w:iCs w:val="1"/>
          <w:color w:val="auto"/>
        </w:rPr>
        <w:t>Adjustments</w:t>
      </w:r>
      <w:r>
        <w:rPr>
          <w:rFonts w:ascii="Arial" w:cs="Arial" w:eastAsia="Arial" w:hAnsi="Arial"/>
          <w:sz w:val="17"/>
          <w:szCs w:val="17"/>
          <w:color w:val="auto"/>
        </w:rPr>
        <w:t>. The amendments in this ASU require that an acquirer recognize adjustments to provisional amounts that are identified during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the reporting period in which the adjustment amounts are determined. The acquirer will be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While we are currently evaluating the effect this new guidance will have on our consolidated financial statements and related disclosures, the ASU would potentially have a material effect in future periods on large acquisitions with significant measurement period adjustments.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September 30, 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1,820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2015 and December 31, 2014 we held no assets nor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2015 and December 31, 2014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1,567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323</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1,820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2015</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$1,255 million and $1,258 million in amortized cost and fair value, respectively, of fixed maturity securities with make-whole call provisions as of September 30, 2015.</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2015 and December 31, 2014,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748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2014</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recorded $9 million in impairment charges on fixed maturity securities during the three and nine-month periods ended September 30, 2015 relating to investments that were determined to be other-than-temporarily impaired. The impairment charges were for fixed maturity securities that we determined the credit risk of the holdings was high and the ability of the issuer to pay the full amount of the principal was unlikely. We recorded no impairment charges relating to investments during the three or nine-month periods ended September 30, 2014. As of September 30, 2015 and December 31, 2014, we held $2 million and $5 million, respectively, in fixed maturity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ectPr>
          <w:pgSz w:w="11900" w:h="16838" w:orient="portrait"/>
          <w:cols w:equalWidth="0" w:num="1">
            <w:col w:w="11420"/>
          </w:cols>
          <w:pgMar w:left="240" w:top="121" w:right="2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nine-month periods ended September 30, 2015 and 2014,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23495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1" w:lineRule="exact"/>
        <w:rPr>
          <w:sz w:val="20"/>
          <w:szCs w:val="20"/>
          <w:color w:val="auto"/>
        </w:rPr>
      </w:pPr>
    </w:p>
    <w:tbl>
      <w:tblPr>
        <w:tblLayout w:type="fixed"/>
        <w:tblInd w:w="32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Net Realized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Realized</w:t>
            </w:r>
          </w:p>
        </w:tc>
        <w:tc>
          <w:tcPr>
            <w:tcW w:w="118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Gains (Losses)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Nine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44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45" w:lineRule="exact"/>
        <w:rPr>
          <w:sz w:val="20"/>
          <w:szCs w:val="20"/>
          <w:color w:val="auto"/>
        </w:rPr>
      </w:pPr>
    </w:p>
    <w:p>
      <w:pPr>
        <w:sectPr>
          <w:pgSz w:w="11900" w:h="16838" w:orient="portrait"/>
          <w:cols w:equalWidth="0" w:num="2">
            <w:col w:w="7460" w:space="120"/>
            <w:col w:w="38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 for</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89"/>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Debt extinguishment costs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jc w:val="center"/>
              <w:ind w:left="457"/>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93"/>
              </w:rPr>
              <w:t>Nine months ended September 30, 2014</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Gross Realized</w:t>
            </w:r>
          </w:p>
        </w:tc>
        <w:tc>
          <w:tcPr>
            <w:tcW w:w="300" w:type="dxa"/>
            <w:vAlign w:val="bottom"/>
          </w:tcPr>
          <w:p>
            <w:pPr>
              <w:spacing w:after="0"/>
              <w:rPr>
                <w:sz w:val="13"/>
                <w:szCs w:val="13"/>
                <w:color w:val="auto"/>
              </w:rPr>
            </w:pPr>
          </w:p>
        </w:tc>
        <w:tc>
          <w:tcPr>
            <w:tcW w:w="6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Net Realized</w:t>
            </w:r>
          </w:p>
        </w:tc>
        <w:tc>
          <w:tcPr>
            <w:tcW w:w="114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Gross Proceeds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88"/>
              </w:rPr>
              <w:t>Gross</w:t>
            </w:r>
          </w:p>
        </w:tc>
        <w:tc>
          <w:tcPr>
            <w:tcW w:w="9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3"/>
              </w:rPr>
              <w:t>Net 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Gains (Losses)</w:t>
            </w:r>
          </w:p>
        </w:tc>
        <w:tc>
          <w:tcPr>
            <w:tcW w:w="11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138"/>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sale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78"/>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September 30, 2015 and December 31, 2014,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2015, Ceridian sold a portion of its holdings of Fleetcor common stock. The sale resulted in distributions from Ceridian to us of $135 million in the nine months ended September 30, 2015 which reduced our associated balance of investments in unconsolidated affiliates.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investment in Ceridian bonds is included in Fixed maturity securities available for sale on the Condensed Consolidated Balance Sheets and had a fair value of $27 million and $32 million as of September 30, 2015 and December 31, 2014, respectively. We did not purchase or dispose of any Ceridian Bonds for the three or nine-month periods ended September 30, 2015.</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historically accounted for our equity in Ceridian on a three-month lag. However, during the first quarter of 2014, we began to account for our equity in Ceridian on a real-time basis. Accordingly, our net earnings for the nine-month period ended September 30, 2014 includes our equity in Ceridian's earnings for the 12-month period ended September 30, 2014. Our net earnings for the three and nine-month periods ended September 30, 2015 includes our equity in Ceridian's earnings for the corresponding three and nine-month periods ended September 30,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 periods ended September 30, 2015 and 2014, we recorded $21 million and $9 million, in equity in losses of Ceridian, respectively. During the nine month periods ended September 30, 2015 and 2014, we recorded $21 million and $44 million, in equity in losses of Ceridian, respectively. There was $2 million in equity in earnings of other unconsolidated affiliates during both of the three month periods ended September 30, 2015 and 2014. There were $5 million and $1 million in equity in earnings of other unconsolidated affiliates during the nine month periods ended September 30, 2015 and 2014, respectively.</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for Ceridian for the relevant dates and time periods included in Investments in unconsolidated affiliates and Equity in earnings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196"/>
        </w:trPr>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4,957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1,168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Pr>
          <w:p>
            <w:pPr>
              <w:spacing w:after="0"/>
              <w:rPr>
                <w:sz w:val="14"/>
                <w:szCs w:val="14"/>
                <w:color w:val="auto"/>
              </w:rPr>
            </w:pPr>
          </w:p>
        </w:tc>
        <w:tc>
          <w:tcPr>
            <w:tcW w:w="1580" w:type="dxa"/>
            <w:vAlign w:val="bottom"/>
          </w:tcPr>
          <w:p>
            <w:pPr>
              <w:jc w:val="right"/>
              <w:ind w:right="199"/>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1660" w:type="dxa"/>
            <w:vAlign w:val="bottom"/>
          </w:tcPr>
          <w:p>
            <w:pPr>
              <w:jc w:val="right"/>
              <w:ind w:right="257"/>
              <w:spacing w:after="0"/>
              <w:rPr>
                <w:sz w:val="20"/>
                <w:szCs w:val="20"/>
                <w:color w:val="auto"/>
              </w:rPr>
            </w:pPr>
            <w:r>
              <w:rPr>
                <w:rFonts w:ascii="Arial" w:cs="Arial" w:eastAsia="Arial" w:hAnsi="Arial"/>
                <w:sz w:val="14"/>
                <w:szCs w:val="14"/>
                <w:b w:val="1"/>
                <w:bCs w:val="1"/>
                <w:color w:val="auto"/>
                <w:w w:val="99"/>
              </w:rPr>
              <w:t>Nine Months Ended</w:t>
            </w:r>
          </w:p>
        </w:tc>
        <w:tc>
          <w:tcPr>
            <w:tcW w:w="260" w:type="dxa"/>
            <w:vAlign w:val="bottom"/>
          </w:tcPr>
          <w:p>
            <w:pPr>
              <w:spacing w:after="0"/>
              <w:rPr>
                <w:sz w:val="14"/>
                <w:szCs w:val="14"/>
                <w:color w:val="auto"/>
              </w:rPr>
            </w:pPr>
          </w:p>
        </w:tc>
        <w:tc>
          <w:tcPr>
            <w:tcW w:w="174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Twelve Months Ended</w:t>
            </w:r>
          </w:p>
        </w:tc>
      </w:tr>
      <w:tr>
        <w:trPr>
          <w:trHeight w:val="192"/>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September 30, 2015</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September 30, 2014</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9"/>
              </w:rPr>
              <w:t>September 30, 2015</w:t>
            </w: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September 30, 2014</w:t>
            </w:r>
          </w:p>
        </w:tc>
      </w:tr>
      <w:tr>
        <w:trPr>
          <w:trHeight w:val="196"/>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gridSpan w:val="3"/>
          </w:tcPr>
          <w:p>
            <w:pPr>
              <w:jc w:val="right"/>
              <w:ind w:right="1277"/>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3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15, 2015, FNFV received gross proceeds of approximately $136 million from the indirect sale of approximately 912,000 shares of Fleetcor common stock in September 2015. The net, after-tax proceeds were approximately $108 million. We now own approximately 600,000 shares of FleetCor common stock that are valued at approximately $87 million. The remaining shares are being held in escrow, with 200,000 shares being released in each of November 2015, 2016 and 2017.</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D —Notes Payable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FNF Term Loan, interest payable monthly at LIBOR + 1.63%, due January 2019</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2"/>
              </w:rPr>
              <w:t>Revolving Credit Facility, unsecured, unused portion of $800 at September 30, 2015, due July 2018 with interest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+ 1.45%</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Unsecured Black Knight InfoServ notes, including premium, interest payable semi-annually at 5.75%, due April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8"/>
              </w:rPr>
              <w:t>Black Knight Term A Facility, due May 27, 2020 with interest currently payable monthly at LIBOR + 2.25%</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(2.50% at September 30, 2015)</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Black Knight Term B Facility, due May 27, 2022 with interest currently payable quarterly at LIBOR + 3.00%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at September 30, 2015)</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Black Knight Revolving Credit Facility, unused portion of $300, due May 27, 2020 with interest currently</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+ 2.25% (2.50% at September 30, 2015)</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ABRH Term Loan, interest payable monthly at LIBOR + 2.75% (2.94% at September 30, 2015), due August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4"/>
              </w:rPr>
              <w:t>Digital Insurance Revolving Credit Facility, unused portion of $26 at September 30, 2015, due March 31, 2020</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with interest payable monthly at LIBOR + 2.50% - 3.50% (3.77% at September 30, 2015)</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ABRH Revolving Credit Facility, unused portion of $73 at September 30, 2015, due August 2019 with interest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+ 2.75% (2.94% at September 30, 2015)</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September 30, 2015, the estimated fair value of our long-term debt was approximately $3,169 million or $324 million higher than its carrying value, excluding $34 million of unamortized debt issuance costs. The carrying values of our ABRH term loan, ABRH revolving credit facility and Digital Insurance revolving credit facility approximate the fair values at September 30, 2015 as they are variable rate instruments with short reset periods which reflect current market rates. The fair value of our unsecured notes payable was $1,715 million as of September 30, 2015. The fair values of our unsecured notes payable are based on established market prices for the securities on September 30, 2015 and are considered Level 2 financial liabilities. The carrying value of the Black Knight Term A and Term B facilities approximate fair value at September 30, 2015. The revolving credit facilities are considered Level 2 financial liabilities.</w:t>
      </w:r>
    </w:p>
    <w:p>
      <w:pPr>
        <w:spacing w:after="0" w:line="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27, 2015, BKIS entered into a credit and guaranty agreement (the “BKIS Credit Agreement”) with an aggregate borrowing capacity of $1.6 billion with JPMorgan Chase Bank, N.A. as administrative agent, the guarantors party thereto, the other agents party thereto and the lenders party thereto. The BKIS Credit Agreement provides for (i) an $800 million term loan A facility (the “Term A Facility”), (ii) a $400 million term loan B facility (the “Term B Facility”) and (iii) a $400 million revolving credit facility (the “Revolving Credit Facility”, and collectively with the Term A Facility and Term B Facility, the “Facilities”). The loans under the Term A Facility and the Revolving Credit Facility mature on May 27, 2020 and the loans under the Term B Facility mature on May 27, 2022. The Facilities are guaranteed by all of BKIS’s wholly-owned domestic restricted subsidiaries and BKFS Operating, LLC, a Delaware limited liability company and the direct parent company of BKIS (“Holdings”), and are secured by associated collateral agreements which pledge a lien on virtually all of the BKIS’s assets, including fixed assets and intangibles, and the assets of the guarantors. The Term A Facility and the Revolving Credit Facility bear interest at rates based upon, at the option of BKIS, either (i) the base rate plus a margin of between 50 and 125 basis points depending on the total leverage ratio of Holdings and its restricted subsidiaries on a consolidated basis (the “Consolidated Leverage Ratio”) and (ii) the Eurodollar rate plus a margin of between 150 and 225 basis points depending on the Consolidated Leverage Ratio. Until the delivery of the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initial financial statements under the BKIS Credit Agreement, the Term A Facility and the Revolving Credit Facility bear interest, at the option of BKIS, at either (i) the base rate plus a margin of 125 basis points or (ii) the Eurodollar rate plus a margin of 225 basis points. The Term B Facility bears interest at rates based upon, at the option of BKIS, either (i) the base rate plus a margin of 175 or 200 basis points depending on the Consolidated Leverage Ratio and (ii) the Eurodollar rate plus a margin of 275 or 300 basis points depending on the Consolidated Leverage Ratio; subject to a Eurodollar rate floor of 75 basis points. Until the delivery of the initial financial statements under the BKIS Credit Agreement, the Term B Facility bears interest, at the option of BKIS, at either (i) the base rate plus a margin of 200 basis points or (ii) the Eurodollar rate plus a margin of 300 basis points. In addition, BKIS will pay an unused commitment fee of between 25 and 35 basis points on the undrawn commitments under the Revolving Credit Facility, also depending on the Consolidated Leverage Ratio. As of September 30, 2015 BKIS had aggregate outstanding debt of $1,269 million under the BKIS Credit Agreement, net of debt issuance costs. We hold approximately $50 million of the outstanding Term B notes which eliminate in consolidation.</w:t>
      </w:r>
    </w:p>
    <w:p>
      <w:pPr>
        <w:spacing w:after="0" w:line="4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Digital Insurance Facility provides for a maximum revolving loan of up to $120 million with a maturity date of March 31, 2020. The Digital Insurance Facility is guaranteed by Digital Insurance Holdings, Inc. (“DIH”) and each subsidiary of Digital Insurance (together with DIH, the “Loan Parties”) and secured by (i) a lien on all equity interests in Digital Insurance and each of its present and future subsidiaries, (ii) all property and assets of Digital Insurance and (iii) all proceeds and products of the property described in (i) and (ii) above. Pricing under the Digital Insurance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 between 25 and 40 basis points on the actual daily unused portions of the Digital Insurance Facility. The Digital Insurance Facility also allows Digital Insurance to request up to $15 million in letters of credit commitments and $10 million in swingline debt from Bank of America. The Digital Insurance Facility allows Digital Insurance to elect to increase the amount of revolving commitments by up to $40 million so long as (i) no default or event of default exists under the Digital Insurance Facility at the time of such request and (ii) Digital Insurance is in compliance with its financial covenants on a pro forma basis after giving effect to such request. The Digital Insurance facility is subject to affirmative, negative and financial covenants customary for financings of this type, including, among other things, limits on Digital Insurance’s creation of liens, incurrence of indebtedness, dispositions of assets, restricted payments and transactions with affiliates. The Digital Insurance Facility includes customary events of default for 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September 30, 2015, Digital Insurance had outstanding debt of $97 million under the Digital Insurance Facility.</w:t>
      </w:r>
    </w:p>
    <w:p>
      <w:pPr>
        <w:spacing w:after="0" w:line="19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As of September 30, 2015, ABRH has $11 million in outstanding borrowings under the ABRH Revolver.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is also due at a rate per annum equal to between 32.5 and 40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ABRH's creation of liens, sales of assets, incurrence of indebtedness, restricted payments and transactions with affiliates. The covenants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$1.5 million if such dividend occurs on or before June 15, 2016. The ABRH Credit Facility 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$16 million of outstanding letters of credit and $73 million of remaining borrowing capacity under the ABRH Credit Facility as of September 30, 2015.</w:t>
      </w:r>
    </w:p>
    <w:p>
      <w:pPr>
        <w:spacing w:after="0" w:line="17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in 2023, initially issued by BKIS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Prior to October 15, 2017, BKIS may redeem some or all of the Black Knight Senior Notes by paying a “make-whole” premium based on U.S. Treasury rates. On or after October 15, 2017, BKIS may redeem some or all of the Black Knight Senior Notes at the redemption prices described in the Black Knight Senior Notes indenture, plus accrued and unpaid interest. In addition, if a change of control occurs, BKIS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BKIS's ability and the ability of certain of its subsidiaries (a) to incur or guarantee additional indebtedness or issue preferred stock, (b) to make certain restricted payments, including dividends or distributions on equity interests held by persons other than BKIS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BKIS or certain other subsidiaries, (ii) repay any debt or make any loans or advances to BKIS or certain other subsidiaries or (iii) transfer any property or assets to BKIS or certain other subsidiaries, (f) to sell or dispose of assets of BKIS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BKIS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BKIS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BKIS or certain subsidiaries), the trustee or holders of at least 25% of the Black Knight Senior Notes then outstanding may accelerate the Black Knight Senior Notes by giving us appropriate notice. If, however, a bankruptcy default occurs with respect to BKIS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principal of its Black Knight Senior Notes at a price of 105.75% under the note feature allowing redemption using proceeds from an equity offering.</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permitted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163 basis points over LIBOR.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Revolving Credit Facility. On October 27, 2013, we amended the Term Loan Agreement to permit us to incur the indebtedness in respect of the Bridge Facility and incorporate technical changes to describe the structure of the LPS merger. As part of the acquisition of LPS on January 2, 2014, the Term Loan Agreement was fully funded. In May 2015 we repaid the entire $1.1 billion outstanding balance of the term loan.</w:t>
      </w:r>
    </w:p>
    <w:p>
      <w:pPr>
        <w:spacing w:after="0" w:line="6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amended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1.0%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Credit Agreement, except that the total debt to total capitalization ratio limit of 35% increased to 37.5% for a period of one year after the closing of the LPS acquisition and the net worth test was reset. As of September 30, 2015, there was no outstanding balance under the Revolving Credit Facility and $5 million in unamortized debt issuance costs.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August 28, 2012, FNF completed an offering of $400 million in aggregate principal amount of 5.50% notes due September 2022 (the "5.50% notes"), pursuant to an effective registration statement previously filed with the SEC.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and $50 million outstanding on our revolving credit facility, with the remainder being used for general corporate purposes.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14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10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Beginning October 1, 2013, these notes are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4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May 5, 2010, FNF completed an offering of $300 million in aggregate principal amount of our 6.60% notes due May 2017 (the "6.60% Notes"), pursuant to an effective registration statement previously filed with the SEC.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2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0020" w:type="dxa"/>
            <w:vAlign w:val="bottom"/>
          </w:tcPr>
          <w:p>
            <w:pPr>
              <w:ind w:left="160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37"/>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2015 are as follows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2015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2,849</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$87 million as of September 30, 2015 and $95 million as of December 31,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5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Following a review by the Board of Governors of the Federal Reserve System, the Federal Deposit Insurance Corporation, the Office of the Comptroller of the Currency and the Office of Thrift Supervision (collectively, the “banking agencies”), Black Knight's predecessor (Lender Processing Services, Inc or "LPS") entered into a consent order (the “Order”) dated April 13, 2011 with the banking agencies. The banking agencies’ review of LPS’s services included the services provided by LPS’s default operations to mortgage servicers regulated by the banking agencies, including document execution services. The Order does not make any findings of fact or conclusions of wrongdoing, nor did LPS admit any fault or liability. Under the Order, LPS agreed to further study the issues identified in the review and to enhance the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will continue to take longer to complete than the Company originally anticipated. In addition, the LPS default operations that were subject to the Order were contributed to ServiceLink in connection with the LPS acquisition and reorganization. To the extent such review, once completed, requires additional remediation of mortgage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documents or identifies any financial injury from the document execution services LPS provided, ServiceLink (as a result of the contribution of the underlying LPS business) has agreed to implement an appropriate plan to address the issues. The Order contains various deadlines to accomplish the undertakings set forth therein, including the preparation of a remediation plan following the completion of the document execution review. We or the LPS default operations contributed to ServiceLink will continue to make periodic reports to the banking agencies on the progress with respect to each of the undertakings in the Order. Although the Order does not include any fine or other monetary penalty, the banking agencies reserved their right to impose civil monetary penalties at any time. Based on discussions with the banking agencies and actions taken by the banking agencies with respect to other companies, we believe the likelihood that the banking agencies will assess a civil monetary penalty is both probable and reasonably estimable, and ServiceLink Holdings, LLC has included an estimate of such loss in its accrual for loss contingencies. This matter is subject to a Cross-Indemnity Agreement dated December 22, 2014, between Black Knight Financial Services, LLC and ServiceLink Holdings, LLC.</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27, 2015, our Board of Directors declared cash dividends of $0.21 per share, payable on December 31, 2015, to FNF Group common shareholders of record as of December 17,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1,171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823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852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349</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1,994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1,796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369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2,392</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159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8,559</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12,549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1,487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14,036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4,731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and for the three months ended September 30, 2014:</w:t>
      </w:r>
    </w:p>
    <w:p>
      <w:pPr>
        <w:spacing w:after="0" w:line="157"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FNFV</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9"/>
              </w:rPr>
              <w:t>Corporate</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1"/>
              </w:rPr>
              <w:t>FNF Core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Total FNF</w:t>
            </w: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7"/>
              </w:rPr>
              <w:t>and Other (1)</w:t>
            </w: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3"/>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900" w:type="dxa"/>
            <w:vAlign w:val="bottom"/>
            <w:vMerge w:val="continue"/>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color w:val="auto"/>
                <w:w w:val="84"/>
              </w:rPr>
              <w:t>Restaurant</w:t>
            </w:r>
          </w:p>
        </w:tc>
        <w:tc>
          <w:tcPr>
            <w:tcW w:w="1040" w:type="dxa"/>
            <w:vAlign w:val="bottom"/>
          </w:tcPr>
          <w:p>
            <w:pPr>
              <w:jc w:val="center"/>
              <w:spacing w:after="0" w:line="131" w:lineRule="exact"/>
              <w:rPr>
                <w:sz w:val="20"/>
                <w:szCs w:val="20"/>
                <w:color w:val="auto"/>
              </w:rPr>
            </w:pPr>
            <w:r>
              <w:rPr>
                <w:rFonts w:ascii="Arial" w:cs="Arial" w:eastAsia="Arial" w:hAnsi="Arial"/>
                <w:sz w:val="13"/>
                <w:szCs w:val="13"/>
                <w:color w:val="auto"/>
              </w:rPr>
              <w:t>(2)</w:t>
            </w: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Title</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Black Knight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Other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Core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Group</w:t>
            </w:r>
          </w:p>
        </w:tc>
        <w:tc>
          <w:tcPr>
            <w:tcW w:w="10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FNFV</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708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736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343</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1,701</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1,510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1,726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2,093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 earnings of unconsolidated affiliates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(loss)</w:t>
            </w: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of unconsolidated affiliates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8,393</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3,609</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11,977</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2,777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14,754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4,957</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Assets as of September 30, 2014 include $1,297 million for Remy, which is now presented as discontinued operations.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as of September 30, 2014 includes $262 million for Remy, which is now presented as discontinued operations.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3,173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2,345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2,517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1,084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4,830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5,518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1,256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4,924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5,601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6,848</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636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643</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219</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399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424</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8,559</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12,549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1,487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14,036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and for the nine months ended September 30, 2014:</w:t>
      </w:r>
    </w:p>
    <w:p>
      <w:pPr>
        <w:spacing w:after="0" w:line="157" w:lineRule="exact"/>
        <w:rPr>
          <w:sz w:val="20"/>
          <w:szCs w:val="20"/>
          <w:color w:val="auto"/>
        </w:rPr>
      </w:pPr>
    </w:p>
    <w:tbl>
      <w:tblPr>
        <w:tblLayout w:type="fixed"/>
        <w:tblInd w:w="480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FNFV</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Corporate</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1"/>
              </w:rPr>
              <w:t>FNF Core</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Total FNF</w:t>
            </w:r>
          </w:p>
        </w:tc>
        <w:tc>
          <w:tcPr>
            <w:tcW w:w="8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7"/>
              </w:rPr>
              <w:t>and Other (1)</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780" w:type="dxa"/>
            <w:vAlign w:val="bottom"/>
          </w:tcPr>
          <w:p>
            <w:pPr>
              <w:jc w:val="center"/>
              <w:ind w:left="37"/>
              <w:spacing w:after="0" w:line="131" w:lineRule="exact"/>
              <w:rPr>
                <w:sz w:val="20"/>
                <w:szCs w:val="20"/>
                <w:color w:val="auto"/>
              </w:rPr>
            </w:pPr>
            <w:r>
              <w:rPr>
                <w:rFonts w:ascii="Arial" w:cs="Arial" w:eastAsia="Arial" w:hAnsi="Arial"/>
                <w:sz w:val="13"/>
                <w:szCs w:val="13"/>
                <w:color w:val="auto"/>
                <w:w w:val="87"/>
              </w:rPr>
              <w:t>Black</w:t>
            </w:r>
          </w:p>
        </w:tc>
        <w:tc>
          <w:tcPr>
            <w:tcW w:w="1020" w:type="dxa"/>
            <w:vAlign w:val="bottom"/>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840" w:type="dxa"/>
            <w:vAlign w:val="bottom"/>
            <w:vMerge w:val="continue"/>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w w:val="84"/>
              </w:rPr>
              <w:t>Restaurant</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rPr>
              <w:t>(2)</w:t>
            </w:r>
          </w:p>
        </w:tc>
        <w:tc>
          <w:tcPr>
            <w:tcW w:w="7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Title</w:t>
            </w:r>
          </w:p>
        </w:tc>
        <w:tc>
          <w:tcPr>
            <w:tcW w:w="78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97"/>
              </w:rPr>
              <w:t>Knight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Other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Core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Group</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FNFV</w:t>
            </w: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2,699</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632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2,097</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1"/>
              </w:rPr>
              <w:t>1,055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1,055</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4,714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1,137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5,851</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4,182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1,136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5,938</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 equity in</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w:t>
            </w: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of 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3"/>
        </w:trPr>
        <w:tc>
          <w:tcPr>
            <w:tcW w:w="48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9"/>
              </w:rPr>
              <w:t>Earnings (loss) from continuing operations, before equity in earnings (loss) of</w:t>
            </w: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00" w:type="dxa"/>
            <w:vAlign w:val="bottom"/>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8,393</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3,609</w:t>
            </w:r>
          </w:p>
        </w:tc>
        <w:tc>
          <w:tcPr>
            <w:tcW w:w="14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11,977</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2,777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14,754</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4,957</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Assets as of September 30, 2014 include $1,297 million for Remy, which is now presented as discontinued operations.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as of September 30, 2014 includes $262 million for Remy, which is now presented as discontinued operations.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the production and management of mortgage loans, including mortgage loans that experience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2015, this segment consists of the operations of ABRH, in which we have a 55% ownership interest. ABRH and its affiliates are the owners and operators of the O'Charley's, Ninety Nine Restaurants, Max &amp; Erma's, Village Inn, Bakers Square, and Legendary Baking concepts. The segment also includes the results of J. Alexander's through September 28, 2015, the date it was distributed to FNFV shareholders.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H.</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76"/>
        </w:trPr>
        <w:tc>
          <w:tcPr>
            <w:tcW w:w="900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189"/>
        </w:trPr>
        <w:tc>
          <w:tcPr>
            <w:tcW w:w="9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Treasury stock purchases payable at period end</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Net Income Attributable to FNF Group Shareholders and Change in Total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effect of the change in our ownership percentage in Black Knight Financial Services, LLC on equity attributable to FNF.</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6"/>
              </w:rPr>
              <w:t>Three months ended September 30,</w:t>
            </w: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Nine months ended September</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8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Net income attributable to FNF Group shareholders</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Increase in FNF's additional paid in capital for reduction in ownership percentage in Black</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Knight Financial Services, LLC</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w w:val="98"/>
              </w:rPr>
              <w:t>Decrease in noncontrolling interests resulting from decreased ownership percentage</w:t>
            </w:r>
          </w:p>
        </w:tc>
        <w:tc>
          <w:tcPr>
            <w:tcW w:w="7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total equity</w:t>
            </w: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80" w:type="dxa"/>
            <w:vAlign w:val="bottom"/>
          </w:tcPr>
          <w:p>
            <w:pPr>
              <w:ind w:left="20"/>
              <w:spacing w:after="0"/>
              <w:rPr>
                <w:sz w:val="20"/>
                <w:szCs w:val="20"/>
                <w:color w:val="auto"/>
              </w:rPr>
            </w:pPr>
            <w:r>
              <w:rPr>
                <w:rFonts w:ascii="Arial" w:cs="Arial" w:eastAsia="Arial" w:hAnsi="Arial"/>
                <w:sz w:val="18"/>
                <w:szCs w:val="18"/>
                <w:color w:val="auto"/>
                <w:w w:val="98"/>
              </w:rPr>
              <w:t>Change from net income attributable to FNF Group shareholders and change in total</w:t>
            </w:r>
          </w:p>
        </w:tc>
        <w:tc>
          <w:tcPr>
            <w:tcW w:w="7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86"/>
              </w:rPr>
              <w:t>150</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2"/>
        </w:trPr>
        <w:tc>
          <w:tcPr>
            <w:tcW w:w="6680" w:type="dxa"/>
            <w:vAlign w:val="bottom"/>
          </w:tcPr>
          <w:p>
            <w:pPr>
              <w:ind w:left="20"/>
              <w:spacing w:after="0"/>
              <w:rPr>
                <w:sz w:val="20"/>
                <w:szCs w:val="20"/>
                <w:color w:val="auto"/>
              </w:rPr>
            </w:pPr>
            <w:r>
              <w:rPr>
                <w:rFonts w:ascii="Arial" w:cs="Arial" w:eastAsia="Arial" w:hAnsi="Arial"/>
                <w:sz w:val="18"/>
                <w:szCs w:val="18"/>
                <w:color w:val="auto"/>
              </w:rPr>
              <w:t>equity</w:t>
            </w:r>
          </w:p>
        </w:tc>
        <w:tc>
          <w:tcPr>
            <w:tcW w:w="7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5400"/>
              <w:spacing w:after="0"/>
              <w:rPr>
                <w:sz w:val="20"/>
                <w:szCs w:val="20"/>
                <w:color w:val="auto"/>
              </w:rPr>
            </w:pPr>
            <w:r>
              <w:rPr>
                <w:rFonts w:ascii="Arial" w:cs="Arial" w:eastAsia="Arial" w:hAnsi="Arial"/>
                <w:sz w:val="18"/>
                <w:szCs w:val="18"/>
                <w:color w:val="auto"/>
              </w:rPr>
              <w:t>28</w:t>
            </w: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6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Form 10-K for the year ended December 31, 2014 and other filings with the SEC.</w:t>
      </w:r>
    </w:p>
    <w:p>
      <w:pPr>
        <w:spacing w:after="0" w:line="61" w:lineRule="exact"/>
        <w:rPr>
          <w:sz w:val="20"/>
          <w:szCs w:val="20"/>
          <w:color w:val="auto"/>
        </w:rPr>
      </w:pPr>
    </w:p>
    <w:p>
      <w:pPr>
        <w:ind w:right="1400" w:firstLine="324"/>
        <w:spacing w:after="0" w:line="402"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2014. </w:t>
      </w:r>
      <w:r>
        <w:rPr>
          <w:rFonts w:ascii="Arial" w:cs="Arial" w:eastAsia="Arial" w:hAnsi="Arial"/>
          <w:sz w:val="18"/>
          <w:szCs w:val="18"/>
          <w:b w:val="1"/>
          <w:bCs w:val="1"/>
          <w:color w:val="auto"/>
        </w:rPr>
        <w:t>Overview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five reporting segments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 related services used in the production and management of mortgage loans, including mortgage loans that experience default.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insurance-related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2015, this segment consists of the operations of ABRH, in which we have a 55% ownership interest. ABRH and its affiliates are the owners and operators of the O'Charley's, Ninety Nine Restaurants, Max &amp; Erma's, Village Inn, Bakers Square, and Legendary Baking concepts. The segment also includes the results of J. Alexander's, Inc. ("J. Alexander's") through September 28, 2015, the date it was distributed to FNFV shareholders. See the Recent Developments section below for further discussion of the distribution of J. Alexander's.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28, 2015, we announced that we are reevaluating the form and timing of the spin-off of ABRH to FNFV shareholders previously announced on July 30, 2015.</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is expected to generally be tax-free to FNFV shareholders for U.S. federal income tax purposes, except to the extent of any cash received in lieu of J. Alexander's fractional shares.</w:t>
      </w:r>
    </w:p>
    <w:p>
      <w:pPr>
        <w:spacing w:after="0" w:line="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Operating, LLC") prior to the IPO. Class B common stock is not publicly traded and does not entitle the holders thereof to any of the economic rights, including rights to dividends and distributions upon liquidation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that would be provided to holders of Class A common stock. Prior to the IPO, we owned 67% of the membership interests in BKFS Operating, LLC. Following the IPO, we own 55% of the outstanding shares of Black Knight in the form of Class B common stock, with a corresponding ownership interest in BKFS Operating, LLC.</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16,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Condensed Consolidated Statement of Operations in the nine months ended September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4, 2015, Digital Insurance closed on the purchase of Compass Consulting Group, Inc. ("Compass") and Prospective Risk Management Corporation ("Prospective"), pursuant to a certain Stock Purchase Agreement, for approximately $21 million. We consolidated the results of Compass and Prospective as of June 30, 2015. Compass provides insurance and employee benefits consulting services for companies nationwide. Prospective is a third-party health care underwriting and consulting firm that offers risk assessment and risk consulting services to health insuring corporations, Professional Employer Organizations and Multiple Employer Welfare Arrangement organizations, single employer plans, and the agent/broker/health care consultant community.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12, 2015, we closed the purchase of BPG Holdings, LLC ("BPG"), pursuant to a certain Membership Interest Purchase Agreement, for $46 million. We consolidated the results of BPG as of March 31, 2015. BPG is a recognized leader in home warranty, home inspection services and commercial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2014, we completed the distribution (the "Remy Spin-off") of all of the outstanding shares of common stock of our previously owned subsidiary Remy International, Inc. ("New Remy", NASDAQ: REMY) a manufacturer and distributer of auto parts to FNFV shareholders. We continue to hold $29 million in Remy term loans, which are included in Fixed maturities available for sale on the Condensed Consolidated Balance Sheet. Prior to the Remy Spin-off, these investments were eliminated in consolidation.</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Remy Spin-off, the results from New Remy are reflected in the Condensed Consolidated Statements of Earnings as discontinued operations for the three and nine months ended September 30, 2014. Total revenue included in discontinued operations was $290 million and $893 million for the three and nine months ended September 30, 2014, respectively. Pre-tax earnings (losses) included in discontinued operations were $(18) million and $0 for the three and nine months ended September 30, 2014,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segment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December 2008, the Federal Reserve has held the federal funds rate at 0.0%-0.25%. The Federal Reserve recently reiterated its intentions to raise the federal funds rate; however, there are no assurances as to the timing or severity of the increase. Mortgage interest rates were at historically low levels through the beginning of 2013. During the last half of 2013, however, interest rates rose to their highest level since 2011. Through 2014, mortgage interest rates declined moderately. In the fourth quarter of 2014, interest rates dropped below 4.00% and have remained between 3.50% and 4.25% through the end of September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20, 2015, the Mortgage Bankers Association ("MBA") estimated the size of the U.S. mortgage originations market as shown in the following table for 2014 - 2017 in their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2014 the mix of mortgage originations between purchase and refinance transactions returned closer to historical norms. Driven by the decrease in refinance activity following an extended period of low interest rates, the ratio of refinances to total originations was approximately 40% and is projected to continue to decline through 2017 by the MBA. The MBA predicts mortgage originations in 2015 through 2017 to remain flat compared to the 2014 period with a slight increase in purchase transactions expected to be offset by a slight decrease in refinance transactions. We expect the predicted change in mix, if it materializes, to have a positive effect on our earnings because purchase transactions involve the issuance of both a lender’s policy and an owner’s policy, resulting in higher fees, whereas refinance transactions only require a lender’s policy, resulting in lower fees.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the nine months ended September 30, 2015, we have experienced an increase in volume and fee per file of commercial transactions from the previous years, indicating strong commercial markets.</w:t>
      </w:r>
    </w:p>
    <w:p>
      <w:pPr>
        <w:spacing w:after="0" w:line="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20, 2013, the CFPB issued additional rules regarding mortgage forms and other mortgage related disclosures with the intent to provide "easier-to-use" mortgage disclosure forms for the consumer. The additional disclosure requirements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Rule”) to consolidate existing loan disclosures under TILA and RESPA for closed-end credit transactions secured by real property. The TILA-RESPA Rule will require (i) timely delivery of a loan estimate upon receipt a consumer’s application and (ii) timely delivery of a closing disclosure prior to consummation. The TILA-RESPA Rule will also impose certain restrictions, including the prohibition of imposing fees prior to provision of an estimate and the prohibition of providing estimates prior to a consumer’s submission of verifying documents. These changes could lead to lower mortgage volumes and/or delays in mortgage processing, particularly in the early stages of implementation. We do not believe the changes will have a significant effect on long term mortgage volumes, but could have the effect of delaying mortgage closings to 2016 that absent the rule may have closed in 2015. We do not anticipate this having a material impact on our current year results from operations.</w:t>
      </w:r>
    </w:p>
    <w:p>
      <w:pPr>
        <w:spacing w:after="0" w:line="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Readiness for and compliance with the TILA-RESPA Rule required extensive planning; changes to systems, forms and processes; as well as heightened coordination among market participants. Although there can be no assurance that FNF, its agents or other market participants will be successful in their implementation efforts, we have reviewed the new requirements, and reviewed and updated our policies, procedures and technology resources as appropriate. It is our experience that mortgage lenders have become more focused on the risk of non-compliance with these evolving regulations and are focused on technologies and solutions that help them to comply with the increased regulatory oversight and burdens. Black Knight has developed solutions that target this need, which has resulted in additional revenue.</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Several pieces of legislation were enacted to address the struggling mortgage market and the weak economic and financial environment in 2008 through 2010.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In June 2014, the FHFA announced that the modified HARP program had been extended through December 2016. We believe the modified HARP program had a positive effect on our results during 2012 through 2014, but has had a minimal effect on our 2015 earnings as total refinancing transactions under the program have tapered off.</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2015, we have seen seasonality trends return to historical patterns.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impacted differently by the level of mortgage originations, including refinancing transactions. Black Knight's mortgage servicing platform is generally less affected by varying levels of mortgage originations because it earns revenues based on the total number of mortgage loans it processes, which tend to stay more constant than the market for originations. Black Knight's origination technology and some of their data businesses are directly affected by the volume of real estate transactions and mortgage originations, but many of their client contracts for origination technology contain minimum charges.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are also impacted by general economic conditions. For example, in the event that a difficult economy or other factors lead to a decline in levels of home ownership and a reduction in the number of mortgage loans outstanding and Black Knight is not able to counter the impact of those events with increased market share or higher fees, it could have a material adverse effect on our mortgage processing revenues. In contrast, we believe that a weaker economy tends to increase the volume of consumer mortgage defaults, which can increase the revenues in Black Knight's specialty servicing technology business that is used to service residential mortgage loans in default. Also, interest rates tend to decline in a weaker economy driving higher than normal refinance transactions that provide potential volume increases to Black Knight's origination technology offerings, most specifically the RealEC Exchange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48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2,097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1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5,938</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5,699</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and equity in losses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of unconsolidated affiliates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revenues increased $299 million in the three months ended September 30, 2015, compared to the 2014 period. The increase consisted of a $297 million increase at FNF Core and a $2 million increase at FNFV. Total revenues increased $910 million in the nine months ended September 30, 2015, compared to the 2014 period. The increase consisted of a $799 million increase at FNF Core and a $111 million increase at FNFV.</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net earnings from continuing operations increased $38 million in the three months ended September 30, 2015, compared to the 2014 period. The increase consisted of a $52 million increase at FNF Core and $14 million decrease at FNFV. Total net earnings from continuing operations increased $291 million in the nine months ended September 30, 2015, compared to the 2014 period. The increase consisted of a $263 million increase at FNF Core and $28 million increase at FNFV.</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Core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are incurred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taken necessary actions to maintain expense levels consistent with revenue streams. However, a short time lag exists in reducing variable costs and certain fixed costs are incurred regardless of revenue levels.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Income tax expense was $81 million and $65 million in the three-month periods ended September 30, 2015 and 2014, respectively, and $219 million and $79 million in the nine-month periods ended September 30, 2015 and 2014, respectively. Income tax expense as a percentage of earnings before income taxes was 34% and 38% for the three-month periods ended September 30, 2015 and 2014, respectively, and 34% and 33% for the nine-month periods ended September 30, 2015 and 2014, respectively. Income taxes as a percentage of earnings (loss) before income taxes fluctuates depending on our estimate of ultimate income tax liability and changes in the characteristics of net earnings, such as the weighting of operating income versus investment income. Included in income tax expense in the nine-months ended September 30, 2014 is a $12 million income tax benefit related to our portion of $35 million equity in losses recorded during the period related to our minority investment in Ceridian.</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Equity in losses of unconsolidated affiliates was $19 million and $7 million for the three-month periods ended September 30, 2015 and 2014, respectively, and $16 million and $43 million in the nine-month periods ended September 30, 2015 and 2014, respectively. The equity in losses in 2015 and 2014 consisted primarily of net losses related to our investment in Ceridian, which is described further at the segment level below.</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1,796</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8"/>
              </w:rPr>
              <w:t>Earnings from continuing operations before income taxes and equity in earnings of</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for the Title segment increased $286 million, or 19%, in the three months ended September 30, 2015 from the 2014 period and increased $742 million, or 18%, in the nine months ended September 30, 2015 from the 2014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647</w:t>
            </w:r>
          </w:p>
        </w:tc>
        <w:tc>
          <w:tcPr>
            <w:tcW w:w="1080" w:type="dxa"/>
            <w:vAlign w:val="bottom"/>
            <w:gridSpan w:val="2"/>
          </w:tcPr>
          <w:p>
            <w:pPr>
              <w:jc w:val="right"/>
              <w:ind w:right="10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1,685</w:t>
            </w: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54</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increased 18% in the three months ended September 30, 2015 as compared to the 2014 period. The increase was made up of an increase in premiums from direct operations of $59 million, or 13%, and an increase in premiums from agency operations of $119 million, or 23% in the three months ended September 30, 2015. Title premiums increased 18% in the nine months ended September 30, 2015 as compared to the 2014 period. The increase was made up of an increase in premiums from direct operations of $239 million, or 19%, and an increase in premiums from agency operations of $235 million, or 16% in the nine months ended September 30,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7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3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Title premiums from direct operations increased in the three and nine months ended September 30, 2015 as compared to 2014 primarily due to an increase in closed order volumes. The increase in closed order volumes was driven by a significant increase in purchase and refinance transactions in the three and nine months ended September 30, 2015 as compared to 2014. Closed order volumes were 378,000 and 1,132,000 in the three and nine months ended September 30, 2015, respectively, compared with 348,000 and 985,000 in the three and nine months ended September 30, 2014, respectively. This represented an increase of 9% and 15%, respectively. Open title orders increased consistently with closed orders over the three and nine months ended September 30, 2015 as compared to 2014. The average fee per file in our direct operations was $2,133 and $2,003 in the three and nine months ended September 30, 2015, respectively, compared to $2,066 and $1,974 in the three and nine months ended September 30, 2014, respectively. The increase in average fee per file reflects an increase in commercial transactions which have a higher fee per file, offset by a higher proportion of refinance to purchase transactions from our residential title revenue.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title premiums from agency operations is primarily the result of the overall increase in real estate activity over the comparable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consistent with the increase in direct operations, described above.</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Escrow, title related and other fees increased by $103 million, or 21%, in the three months ended September 30, 2015 from 2014 and increased $263 million, or 19%, in the nine months ended September 30, 2015 from 2014. Escrow fees, which are more closely related to our direct operations, increased $32 million, or 20%, in the three months ended September 30, 2015 compared to the 2014 period and increased $91 million or 21% in the nine months ended September 30, 2015 compared to the 2014 period. In both periods the increase is consistent with the increase in direct title premiums. Other fees in the Title segment, excluding escrow fees, increased $73 million, or 22%, in the three months ended September 30, 2015 from 2014 and increased $176 million, or 18%, in the nine months ended September 30, 2015 from 2014. The increase in other fees is consistent with the increase in our direct premiums and is also driven by $57 million and $135 million in revenue for the three and nine months ended September 30, 2015, respectively, from Pacific Union, a luxury real estate broker based in California in which we acquired a controlling stake in December 2014, and an increase in our home warranty revenue resulting from our acquisition of BPG.</w:t>
      </w:r>
    </w:p>
    <w:p>
      <w:pPr>
        <w:spacing w:after="0" w:line="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increased $2 million in the three months ended September 30, 2015 compared to the 2014 period. The increase is attributable to increases in common and preferred stock dividends offset by a decrease in bond holdings and yield. Interest and investment income increased $3 million in the nine months ended September 30, 2015 compared to the 2014 period and was driven by similar factors as the change over the quarter.</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There was a $64 million, or 13% increase in the three-month period ended September 30, 2015 compared to the 2014 period. The increase is primarily due to higher commissions and bonuses associated with the higher direct title premium revenue and higher headcount associated with the increase in order volume in the three months ended September 30, 2015 from the 2014 period. There was a $156 million, or 11% increase in the nine-month period ended September 30, 2015 compared to the 2014 period. The increase is primarily due to higher commissions and bonuses associated with the higher direct title premium revenue and higher headcount associated with the increase in order volume and acquisitions in the nine-month period ended September 30, 2015 compared to the 2014 period. Personnel costs as a percentage of total revenues from direct title premiums and escrow, title-related and other fees were 49% and 50% for the three and nine month periods ended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September 30, 2015 and 50% and 53% for the three and nine-month periods ended September 30, 2014. The decrease in personnel costs as a percentage of revenue is consistent with the increase in revenues discussed above, offset by a lower percentage increase in personnel costs and is consistent with historical trends. Average employee count in the Title segment was 21,444 and 19,550 in the three-month periods ended September 30, 2015 and 2014, respectively, and 20,696 and 18,928 in the nine-month periods ended September 30, 2015 and 2014, respectively. The increase in personnel is attributable to the increased order volume discussed above.</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$64 million, or 18% in the three months ended September 30, 2015 from 2014. Other operating expenses increased $114 million, or 11% in the nine months ended September 30, 2015 from 2014. The increase in other operating expenses is consistent with the increase in revenue and was also driven by additional expenses of $48 million and $112 million in the three and nine months ended September 30, 2015 associated with Pacific Union in which we acquired a controlling stake in December 2014.</w:t>
      </w:r>
    </w:p>
    <w:p>
      <w:pPr>
        <w:spacing w:after="0" w:line="5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1,685</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495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1,279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was flat in the three months ended September 30, 2015 compared to the 2014 period. Depreciation and amortization in the title segment decreased $1 million in the nine months ended September 30, 2015 from the 2014 period.</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primarily due to favorable development on more recent policy year claims.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claim loss provision for title insurance was $65 million and $59 million for the three-month periods ended September 30, 2015 and 2014, respectively, and reflects an average provision rate of 5.5% and 6% of title premiums, respectively. The claim loss provision for title insurance was $185 million and $169 million for the nine-month periods ended September 30, 2015 and 2014, respectively, and reflects an average provision rate of 5.8% and 6.3% of title premiums, respectively.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the FNF Core segment reflected in the three and nine months ended September 30, 2015 and 2014 include the results of Black Knight and subsidiaries. The following table presents the results from operations of Black Knight: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r>
      <w:tr>
        <w:trPr>
          <w:trHeight w:val="196"/>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632</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632</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2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342</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142</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47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666</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results of the Black Knight segment were positively affected by a $20 million and $56 million increase in total revenues in the three and nine-month periods ended September 30, 2015 compared to the 2014 periods. The increase in revenue in the three and nine-month periods were primarily driven by higher loan counts, increased usage and communication fees, increased professional services and processing revenues from loan origination systems clients, revenue recognition from a large Closing Insight client, as well as additional revenue from long term strategic data deals.</w:t>
      </w:r>
    </w:p>
    <w:p>
      <w:pPr>
        <w:spacing w:after="0" w:line="6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of the Black Knight segment were also improved by the reduction in costs related to the acquisition and integration of LPS by FNF on January 2, 2014. Transition and integration costs were $111 million in the nine months ended September 30, 2014 compared to $7 million in the 2015 period. These additional costs in the 2014 period resulted in the increase in the current period earnings.</w:t>
      </w:r>
    </w:p>
    <w:p>
      <w:pPr>
        <w:spacing w:after="0" w:line="7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Earnings from continuing operations before income taxes increased $15 million and $136 million in the three and nine months ended September 30, 2015 compared to the 2014 period. The increase is primarily attributable to the increased revenue and decreased costs discussed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FNF Core Corporate and Other segment generated revenues of $(7) million and $2 million for the three months ended September 30, 2015 and September 30, 2014, and revenues of $(11) million and $(12) million in the nine-month periods ended September 30, 2015 and 2014, respectively. The revenue in all periods represents the elimination of revenues between our Black Knight segment and our Title segment offset by revenue at other small subsidiaries within the segment.</w:t>
      </w:r>
    </w:p>
    <w:p>
      <w:pPr>
        <w:spacing w:after="0" w:line="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Other operating expenses in the FNF Core Corporate and Other segment were $(2) million and $3 million for the three months ended September 30, 2015 and 2014, respectively, and $4 million and $(13) million for the nine-month periods ended September 30, 2015 and 2014, respectively. Both periods reflect the elimination of management fees and other intercompany fees between our Black Knight segment and our Title segment.</w:t>
      </w:r>
    </w:p>
    <w:p>
      <w:pPr>
        <w:spacing w:after="0" w:line="5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Interest expense was $15 million and $24 million for the three months ended September 30, 2015 and 2014, respectively, and $56 million and $70 million for the nine-month periods ended September 30, 2015 and 2014, respectively. The decrease is attributable to the lower average outstanding balance on the FNF revolving credit facility over the period as well as the repayment of the $1.1 billion FNF term loan in the second quarter of 2015.</w:t>
      </w:r>
    </w:p>
    <w:p>
      <w:pPr>
        <w:spacing w:after="0" w:line="5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This segment generated pretax losses of $29 million and $35 million for the three months ended September 30, 2015 and 2014, respectively, and $93 million and $90 million for the nine months ended September 30, 2015 and 2014, respectively. The change was due to the reasons discussed above, primarily the decrease in Interest expense and Other operating expenses for the three months ended September 30, 2015 and the increase in Other operating expenses offset by the decrease in Interest expense for the nine months ended September 30, 2015 .</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Restaurant Group</w:t>
            </w:r>
          </w:p>
        </w:tc>
        <w:tc>
          <w:tcPr>
            <w:tcW w:w="200" w:type="dxa"/>
            <w:vAlign w:val="bottom"/>
          </w:tcPr>
          <w:p>
            <w:pPr>
              <w:spacing w:after="0"/>
              <w:rPr>
                <w:sz w:val="21"/>
                <w:szCs w:val="21"/>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1"/>
                <w:szCs w:val="21"/>
                <w:color w:val="auto"/>
              </w:rPr>
            </w:pPr>
          </w:p>
        </w:tc>
        <w:tc>
          <w:tcPr>
            <w:tcW w:w="2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899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1,041</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from continuing operations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Restaurant group segment decreased $5 million, or 1%, in the three months ended September 30, 2015, from the 2014 period and increased $19 million, or 2%, in the nine months ended September 30, 2015 from the 2014 period.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continuing operations before income taxes increased $10 million in the three months ended September 30, 2015, from the 2014 period and earnings decreased by $9 million in the nine months ended September 30, 2015 from the 2014 period. The change in both the three and nine-month periods is attributable to impairments of assets of $10 million taken in the third quarter of 2015 at ABRH.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and other smaller operations which are not title related. This segment also includes our Long Term Incentive Plan ("LTIP") established during 2012 which was tied to the fair value of certain of our FNFV investments. During 2014, the LTIP was frozen and then was terminated on December 31, 2014. During 2014, we replaced the LTIP with the Investment Success Incentive Program ("ISIP") which is tied to monetization or liquidity events producing realized or realizable economic gains relating to our investments.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generated revenues of $31 million and $24 million for the three months ended September 30, 2015 and 2014, respectively, and $174 million and $82 million for the nine months ended September 30, 2015 and 2014, respectively. The increase in the nine month period is primarily attributable to the sale of Cascade Timberlands in the first quarter of 2015 and an increase in revenue of $16 million in the nine months ended September 30, 2015 from the 2014 period at Digital Insurance. Digital Insurance made acquisitions subsequent to September 30, 2014, which account for this growth in revenue.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were $22 million and $23 million for the three months ended September 30, 2015 and 2014, respectively, and $65 million and $62 million for the nine months ended September 30, 2015 and 2014, respectively. The increase in the nine month period is primarily attributable to the aforementioned acquisitions by Digital Insurance.</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generated pretax losses of $3 million and $6 million for the three months ended September 30, 2015 and 2014, respectively, and pretax earnings of $3 million and losses of $3 million for the nine months ended September 30, 2015 and 2014, respectively. The change in the nine month period is primarily due to the increase in revenue discussed above, offset by increased other operating expenses related to costs associated with the distribution of J. Alexanders.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Equity in losses of unconsolidated affiliates was $21 million and $8 million for the three months ended September 30, 2015 and 2014, respectively, and $20 million and $46 million for the nine months ended September 30, 2015 and 2014, respectively. The increased losses in the three months ended September 30, 2015 is primarily a result of impairments taken at Ceridian. The equity in losses of unconsolidated affiliates for the nine months ended September 30, 2014 includes twelve months of Ceridian's results, as in the first quarter of 2014 we transitioned Ceridian to a real-time financial reporting schedule as opposed to the historical one-quarter lag. As a result, the results for the nine month period ended September 30, 2014 includes our portion of Ceridian's net losses for the twelve-month period ended September 30, 2014 as well as the settlement of Ceridian's U.S. Fueling Merchants lawsuit.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$0.21 per share for the third quarter of 2015, or approximately $58 million to our FNF Group common shareholders. On October 27, 2015, our Board of Directors declared cash dividends of $0.21 per share, payable on December 31, 2015, to FNF Group common shareholders of record as of December 17, 2015.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2014, $2,108 million of our net assets were restricted from dividend payments without prior approval from the relevant departments of insurance. As of September 30, 2015, our title subsidiaries could pay or make distributions to us of approximately $94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 our equity interests in ABRH,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Group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flows provided by operations for the nine months ended September 30, 2015 and 2014 totaled $660 million and $289 million, respectively. The increase of $371 million is primarily due to higher net income in the nine months ended September 30, 2015 as compared to the 2014 period. The higher net income is driven by improved revenue in our Title and Black Knight segments as well as the reduction of expenses in the current period from those incurred in the prior year period related to the acquisition and integration of LPS.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$172 million and $144 million for the nine-month periods ended September 30, 2015 and 2014, respectively, with the increase primarily related to expenditures on property and equipment and capitalized software at Black Knight.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D included in Item 1 of Part 1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into 2015, we saw seasonality trends return to historical patterns.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segment, average weekly sales per restaurant are typically higher in the first and fourth quarters, and accordingly we typically generate a disproportionate share of our earnings from operations in those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 term contractual obligations since the 10-K filed on March 2, 2015,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as described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2015, we repaid the $1.1 billion balance of term loans outstanding under our Term Loan Agreement with Bank of America, N.A.</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Digital Insurance entered into a credit agreement (the "Digital Insurance Credit Facility") with Bank of America, N.A. as Administrative Agent, Swingline Lender and Issuing Lender. The Digital Insurance Credit Facility provides for a maximum revolving loan of $120 million (the "DI Revolver") with a maturity date of March 31, 2020.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D to the Condensed Consolidated Financial Statements included in Part I, Item 1 of this Form 10-Q for further discussion on our notes payable.</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September 16, 2015, J. Alexander's Holding, Inc. ("J. Alexander's") and FNF entered into a Separation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effective September 29, 2015. The Distribution is expected to generally be tax-free to FNFV shareholders for U.S. federal income tax purposes, except to the extent of any cash received in lieu of J. Alexander's fractional shares.</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repurchased 4,599,882 shares under this program during the nine months ended September 30, 2015 for approximately $67 million, or an average of $14.47 per share. Subsequent to September 30, 2015 through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close on October 29, 2015, we purchased 380,000 additional shares for approximately $4 million, or an average of $11.79 per share. Since the original commencement of this program, we have repurchased a total of 5,095,982 shares for $73 million, or an average of $14.26 per share, and there are 4,904,018 shares available to be repurchased under this program.</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July 21, 2012, our Board of Directors approved a three-year stock purchase program, effective August 1, 2012, under which we can repurchase up to 15 million shares of our FNF Group common stock through July 31, 2015. On July 20, 2015, our Board of Directors approved a new three-year stock repurchase program under which we can purchase up to 25 million shares through July 30, 2018. We may make repurchases from time to time in the open market, in block purchases or in privately negotiated transactions, depending on market conditions and other factors. We repurchased 3,450,000 shares of FNF Group common stock during the nine months ended September 30, 2015 for approximately $129 million, or an average of $37.33 per share. Subsequent to September 30, 2015 through market close on October 29, 2015, we purchased 250,000 additional shares for $9 million, or an average of $36.26 per share. Since the original commencement of the plan announced on July 20, 2015, we have repurchased a total of 2,400,000 shares of FNF Group common stock for $90 million, or an average of $37.36 per share, and there are 22,600,000 shares available to be repurchased under the program.</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Off-Balance Sheet Arrangements. </w:t>
      </w:r>
      <w:r>
        <w:rPr>
          <w:rFonts w:ascii="Arial" w:cs="Arial" w:eastAsia="Arial" w:hAnsi="Arial"/>
          <w:sz w:val="16"/>
          <w:szCs w:val="16"/>
          <w:color w:val="auto"/>
        </w:rPr>
        <w:t>We do not engage in off-balance sheet activities other than facility and equipment leasing arrangements. On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September 30, 2015 of $71 million. We are currently evaluating our options for extension of the amended synthetic lease.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our Annual Report on Form 10-K for our fiscal year ended December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discussion of legal proceedings in Note E to the Condensed Consolidated Financial Statements included in Item 1 of Part I of this Report, which is incorporated by reference into this Part II, Item 1, as well as Item 3. Legal Proceedings, in our Annual Report on Form 10-K for the year ended December 31, 2014.</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FNFV during the three months ended September 30, 2015:</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Average Price Paid per</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Plans or Programs (1)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50"/>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7/1/2015 - 7/31/2015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7,356,550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8/1/2015 - 8/31/2015</w:t>
            </w:r>
          </w:p>
        </w:tc>
        <w:tc>
          <w:tcPr>
            <w:tcW w:w="12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1,393,000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1,393,000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5,963,550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9/1/2015 - 9/30/2015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679,532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679,532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5,284,018</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2,276,532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2,276,532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5,284,018</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42964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three months ended September 30, 2015:</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Average Price Paid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5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0" w:type="dxa"/>
            <w:vAlign w:val="bottom"/>
          </w:tcPr>
          <w:p>
            <w:pPr>
              <w:spacing w:after="0"/>
              <w:rPr>
                <w:sz w:val="1"/>
                <w:szCs w:val="1"/>
                <w:color w:val="auto"/>
              </w:rPr>
            </w:pPr>
          </w:p>
        </w:tc>
      </w:tr>
      <w:tr>
        <w:trPr>
          <w:trHeight w:val="250"/>
        </w:trPr>
        <w:tc>
          <w:tcPr>
            <w:tcW w:w="3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7/1/2015 - 7/31/2015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250,000</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24,950,000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8/1/2015 - 8/31/2015</w:t>
            </w:r>
          </w:p>
        </w:tc>
        <w:tc>
          <w:tcPr>
            <w:tcW w:w="10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1,050,000</w:t>
            </w:r>
          </w:p>
        </w:tc>
        <w:tc>
          <w:tcPr>
            <w:tcW w:w="5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23,900,000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9/1/2015 - 9/30/2015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1,050,000</w:t>
            </w:r>
          </w:p>
        </w:tc>
        <w:tc>
          <w:tcPr>
            <w:tcW w:w="5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22,850,000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2,350,000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2,350,000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22.85</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22,850,000</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980" w:hanging="648"/>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21, 2012, our Board of Directors approved a three-year stock purchase program, effective August 1, 2012, under which we can repurchase up to 15 million shares of our FNF Group common stock through July 31, 2015. On July 20, 2015, our Board of Directors approved a new three-year stock repurchase program. Under the new stock repurchase program, we can repurchase up to 25 million shares of our common stock through July 30, 2018.</w:t>
      </w:r>
    </w:p>
    <w:p>
      <w:pPr>
        <w:spacing w:after="0" w:line="5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-730885</wp:posOffset>
            </wp:positionV>
            <wp:extent cx="4433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94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324"/>
        </w:trPr>
        <w:tc>
          <w:tcPr>
            <w:tcW w:w="196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440" w:type="dxa"/>
            <w:vAlign w:val="bottom"/>
          </w:tcPr>
          <w:p>
            <w:pPr>
              <w:spacing w:after="0"/>
              <w:rPr>
                <w:sz w:val="24"/>
                <w:szCs w:val="24"/>
                <w:color w:val="auto"/>
              </w:rPr>
            </w:pPr>
          </w:p>
        </w:tc>
      </w:tr>
      <w:tr>
        <w:trPr>
          <w:trHeight w:val="594"/>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FNF Group Tracking Stock</w:t>
            </w:r>
          </w:p>
        </w:tc>
      </w:tr>
      <w:tr>
        <w:trPr>
          <w:trHeight w:val="432"/>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FNFV Group Tracking Stock</w:t>
            </w:r>
          </w:p>
        </w:tc>
      </w:tr>
      <w:tr>
        <w:trPr>
          <w:trHeight w:val="445"/>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6"/>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6"/>
              </w:rPr>
              <w:t>The following materials from Fidelity National Financial, Inc.'s Quarterly Report on Form 10-Q for the quarter ended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5"/>
              </w:rPr>
              <w:t>September 30, 2015, formatted in Extensible Business Reporting Language (XBRL): (i) the Condensed Consolidated</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0"/>
              </w:rPr>
              <w:t>Balance Sheets, (ii) the Condensed Consolidated Statements of Earnings, (iii) the Condensed Consolidated Statements of</w:t>
            </w:r>
          </w:p>
        </w:tc>
      </w:tr>
      <w:tr>
        <w:trPr>
          <w:trHeight w:val="216"/>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6"/>
              </w:rPr>
              <w:t>Comprehensive Earnings, (iv) the Condensed Consolidated Statements of Stockholders' Equity, (v) the Condensed</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702"/>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00"/>
          </w:cols>
          <w:pgMar w:left="240" w:top="108"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October 29, 2015</w:t>
            </w: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340" w:type="dxa"/>
            <w:vAlign w:val="bottom"/>
          </w:tcPr>
          <w:p>
            <w:pPr>
              <w:spacing w:after="0"/>
              <w:rPr>
                <w:sz w:val="20"/>
                <w:szCs w:val="20"/>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(registrant)</w:t>
            </w:r>
          </w:p>
        </w:tc>
      </w:tr>
      <w:tr>
        <w:trPr>
          <w:trHeight w:val="486"/>
        </w:trPr>
        <w:tc>
          <w:tcPr>
            <w:tcW w:w="3340" w:type="dxa"/>
            <w:vAlign w:val="bottom"/>
          </w:tcPr>
          <w:p>
            <w:pPr>
              <w:spacing w:after="0"/>
              <w:rPr>
                <w:sz w:val="24"/>
                <w:szCs w:val="24"/>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3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34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900" w:type="dxa"/>
            <w:vAlign w:val="bottom"/>
          </w:tcPr>
          <w:p>
            <w:pPr>
              <w:spacing w:after="0"/>
              <w:rPr>
                <w:sz w:val="24"/>
                <w:szCs w:val="24"/>
                <w:color w:val="auto"/>
              </w:rPr>
            </w:pPr>
          </w:p>
        </w:tc>
      </w:tr>
      <w:tr>
        <w:trPr>
          <w:trHeight w:val="209"/>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7"/>
              </w:rPr>
              <w:t>No.</w:t>
            </w:r>
          </w:p>
        </w:tc>
        <w:tc>
          <w:tcPr>
            <w:tcW w:w="890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41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1480" w:type="dxa"/>
            <w:vAlign w:val="bottom"/>
          </w:tcPr>
          <w:p>
            <w:pPr>
              <w:spacing w:after="0"/>
              <w:rPr>
                <w:sz w:val="24"/>
                <w:szCs w:val="24"/>
                <w:color w:val="auto"/>
              </w:rPr>
            </w:pPr>
          </w:p>
        </w:tc>
        <w:tc>
          <w:tcPr>
            <w:tcW w:w="8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FNF Group Tracking Stock</w:t>
            </w:r>
          </w:p>
        </w:tc>
      </w:tr>
      <w:tr>
        <w:trPr>
          <w:trHeight w:val="48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FNFV Group Tracking Stock</w:t>
            </w:r>
          </w:p>
        </w:tc>
      </w:tr>
      <w:tr>
        <w:trPr>
          <w:trHeight w:val="472"/>
        </w:trPr>
        <w:tc>
          <w:tcPr>
            <w:tcW w:w="10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6"/>
              </w:rPr>
              <w:t>The following materials from Fidelity National Financial, Inc.'s Quarterly Report on Form 10-Q for the quarter ended</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5"/>
              </w:rPr>
              <w:t>September 30, 2015, formatted in Extensible Business Reporting Language (XBRL): (i) the Condensed Consolidated</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Balance Sheets, (ii) the Condensed Consolidated Statements of Earnings, (iii) the Condensed Consolidated Statements of</w:t>
            </w:r>
          </w:p>
        </w:tc>
      </w:tr>
      <w:tr>
        <w:trPr>
          <w:trHeight w:val="216"/>
        </w:trPr>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6"/>
              </w:rPr>
              <w:t>Comprehensive Earnings, (iv) the Condensed Consolidated Statements of Stockholders' Equity, (v) the Condensed</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Consolidated Statements of Cash Flows, and (vi) the Notes to the Consolidated Financial Statements.</w:t>
            </w:r>
          </w:p>
        </w:tc>
      </w:tr>
      <w:tr>
        <w:trPr>
          <w:trHeight w:val="702"/>
        </w:trPr>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900" w:type="dxa"/>
            <w:vAlign w:val="bottom"/>
          </w:tcPr>
          <w:p>
            <w:pPr>
              <w:ind w:left="31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2015</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29, 2015</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29, 2015</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Core Operations (“we,” “our,” or "FNF Group"). The financial information in this Exhibit should be read in conjunction with our unaudited condensed consolidated financial statements for the period ended September 30, 2015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Core Operations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 related services used in production and management of mortgage loans, including mortgage loans that experience default.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1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will be reflected in the attributed financial information of the FNF Core Operations and the FNFV Group (see Exhibit 99.2).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following attribution of assets, liabilities, revenue, expenses and cash flows to FNF Group, our tracking stock structure does not affect the ownership or the respective legal title to our assets or responsibility for our liabilities. We and our subsidiaries are each responsible for our respective liabilities. Holders of FNF Group common stock are subject to risks associated with an investment in our company and all of our businesses, assets and liabilities.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9"/>
              </w:rPr>
              <w:t>Fixed maturity securities available for sale, at fair value, at September 30, 2015 and December 31, 2014 includes pledged fixed maturity</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securities of $337 and $499, respectively, related to secured trust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2,661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Short-term investments, at September 30, 2015 and December 31, 2014 includes short term investments of $113 and $146, respectively, related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secured trust deposits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3,698</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Cash and cash equivalents, at September 30, 2015 and December 31, 2014 includes $248 and $136, respectively, of pledged cash related to secured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trust deposits</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$31 and $32 at September 30, 2015 and December 31, 2014, respectively</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software,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plant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11,944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Due to affiliates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6,672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9"/>
              </w:rPr>
              <w:t>Redeemable non-controlling interest by 21% minority holder of ServiceLink Holdings, LLC as of September 30, 2015 and 33% minority</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holder of Black Knight Financial Services, LLC and 35% minority holder of ServiceLink Holdings, LLC as of December 31, 2014</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September 30, 2015 and December 31, 2014; outstanding</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3"/>
              </w:rPr>
              <w:t>of 277,517,179 and 279,443,239 as of September 30, 2015 and December 31, 2014, respectively, and issued of 281,342,841 and 279,824,125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as of September 30, 2015 and December 31, 2014, respectively</w:t>
            </w: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3,825,662 and 375,662 shares as of September 30, 2015 and December 31, 2014, respectively</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0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07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214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Nine months ended September</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89"/>
              </w:rPr>
              <w:t>30,</w:t>
            </w:r>
          </w:p>
        </w:tc>
        <w:tc>
          <w:tcPr>
            <w:tcW w:w="78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8"/>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2014</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920" w:type="dxa"/>
            <w:vAlign w:val="bottom"/>
            <w:gridSpan w:val="5"/>
          </w:tcPr>
          <w:p>
            <w:pPr>
              <w:jc w:val="center"/>
              <w:ind w:right="118"/>
              <w:spacing w:after="0"/>
              <w:rPr>
                <w:sz w:val="20"/>
                <w:szCs w:val="20"/>
                <w:color w:val="auto"/>
              </w:rPr>
            </w:pPr>
            <w:r>
              <w:rPr>
                <w:rFonts w:ascii="Arial" w:cs="Arial" w:eastAsia="Arial" w:hAnsi="Arial"/>
                <w:sz w:val="16"/>
                <w:szCs w:val="16"/>
                <w:b w:val="1"/>
                <w:bCs w:val="1"/>
                <w:color w:val="auto"/>
                <w:w w:val="94"/>
              </w:rPr>
              <w:t>(Unaudited)</w:t>
            </w: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1,249</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1,450</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 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2,015</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88</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4,802</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1,774</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1,098</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1,186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253</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169</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93</w:t>
            </w: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4,573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92</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137</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140</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0.37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6980" w:type="dxa"/>
            <w:vAlign w:val="bottom"/>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1.42</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0.41</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30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0.36</w:t>
            </w: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0.40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980" w:type="dxa"/>
            <w:vAlign w:val="bottom"/>
          </w:tcPr>
          <w:p>
            <w:pPr>
              <w:ind w:left="4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183</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189</w:t>
            </w: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92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94</w:t>
            </w:r>
          </w:p>
        </w:tc>
      </w:tr>
      <w:tr>
        <w:trPr>
          <w:trHeight w:val="27"/>
        </w:trPr>
        <w:tc>
          <w:tcPr>
            <w:tcW w:w="6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September 30,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120</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321</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 of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purchases of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BPG Holdings, LLC,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(2,316)</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1,504</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Additional investment in non-controlling interest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BKFS IPO</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Tax benefit associated with the 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by BKFS to member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1,118</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r>
      <w:tr>
        <w:trPr>
          <w:trHeight w:val="237"/>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1,475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r>
      <w:tr>
        <w:trPr>
          <w:trHeight w:val="20"/>
        </w:trPr>
        <w:tc>
          <w:tcPr>
            <w:tcW w:w="9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360"/>
          </w:cols>
          <w:pgMar w:left="280" w:top="364" w:right="259" w:bottom="138"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138"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Group is a leading provider of title insurance, technology and transaction services to the real estate and mortgage industries. FNF Group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Group also provides industry-leading mortgage technology solutions and transaction services, including MSP®, the leading residential mortgage servicing technology platform in the U.S., through its majority-owned subsidiaries, Black Knight Financial Services, Inc. ("Black Knight") and ServiceLink Holdings, LLC ("ServiceLink").</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their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Black Knight Operating LLC. Following the IPO, we own 55% of the outstanding shares of Black Knight in the form of Class B common stock, with a corresponding ownership interest in Black Knight Operating, LLC.</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September 30, 2015 included in this Quarterly Report on Form 10-Q.</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and Digital Insurance, Inc. ("Digital Insurance").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30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Restaurant Group. </w:t>
      </w:r>
      <w:r>
        <w:rPr>
          <w:rFonts w:ascii="Arial" w:cs="Arial" w:eastAsia="Arial" w:hAnsi="Arial"/>
          <w:sz w:val="16"/>
          <w:szCs w:val="16"/>
          <w:color w:val="auto"/>
        </w:rPr>
        <w:t>As of September 30, 2015, this segment consists of the operations of ABRH, in which we have a 55% ownership interest. ABRH</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affiliates are the owners and operators of the O'Charley's, Ninety Nine Restaurants, Max &amp; Erma's, Village Inn, Bakers Square, and Legendary Baking concepts. The segment also includes the results of J. Alexander's, Inc. ("J. Alexander's") through September 28, 2015, the date it was distributed to FNFV shareholders. See the Recent Developments section below for further discussion of the distribution of J. Alexander's.</w:t>
      </w:r>
    </w:p>
    <w:p>
      <w:pPr>
        <w:spacing w:after="0" w:line="100" w:lineRule="exact"/>
        <w:rPr>
          <w:rFonts w:ascii="Arial" w:cs="Arial" w:eastAsia="Arial" w:hAnsi="Arial"/>
          <w:sz w:val="16"/>
          <w:szCs w:val="16"/>
          <w:i w:val="1"/>
          <w:iCs w:val="1"/>
          <w:color w:val="auto"/>
        </w:rPr>
      </w:pPr>
    </w:p>
    <w:p>
      <w:pPr>
        <w:ind w:left="660" w:right="20" w:hanging="409"/>
        <w:spacing w:after="0" w:line="308" w:lineRule="auto"/>
        <w:tabs>
          <w:tab w:leader="none" w:pos="6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Fidelity National Financial ("FNF")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will be reflected in the attributed financial information of the FNF Group (see Exhibit 99.1) and the FNFV Group.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FNFV, our tracking stock structure does not affect the ownership or the respective legal title to our assets or responsibility for our liabilities. We and our subsidiaries are each responsible for our respective liabilities. Holders of FNFV Group common stock are subject to risks associated with an investment in our company and all of our businesses, assets and liabilities. The issuance of FNFV Group common stock does not affect the rights of our creditors or creditors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755</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from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1,923</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FNFV Group common stock, $0.0001 par value; authorized 113,000,000 shares as of September 30, 2015 and December 31,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2014; outstanding of 75,805,382 and 92,828,470 as of September 30, 2015 and December 31, 2014, respectively, and issued of</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80,581,466 and 92,946,545 as of September 30, 2015 and December 31, 2014,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treasury stock, 4,776,084 and 118,075 shares as of September 30, 2015 and December 31, 2014,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1,378</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1,923</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Three months ended September</w:t>
            </w:r>
          </w:p>
        </w:tc>
        <w:tc>
          <w:tcPr>
            <w:tcW w:w="200" w:type="dxa"/>
            <w:vAlign w:val="bottom"/>
          </w:tcPr>
          <w:p>
            <w:pPr>
              <w:spacing w:after="0"/>
              <w:rPr>
                <w:sz w:val="14"/>
                <w:szCs w:val="14"/>
                <w:color w:val="auto"/>
              </w:rPr>
            </w:pPr>
          </w:p>
        </w:tc>
        <w:tc>
          <w:tcPr>
            <w:tcW w:w="15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58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income taxes and equity in losses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earnings from continuing operations before equity in losses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 earnings from continuing operations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 earnings</w:t>
            </w: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earnings attributable to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96"/>
        </w:trPr>
        <w:tc>
          <w:tcPr>
            <w:tcW w:w="7440" w:type="dxa"/>
            <w:vAlign w:val="bottom"/>
          </w:tcPr>
          <w:p>
            <w:pPr>
              <w:ind w:left="40"/>
              <w:spacing w:after="0"/>
              <w:rPr>
                <w:sz w:val="20"/>
                <w:szCs w:val="20"/>
                <w:color w:val="auto"/>
              </w:rPr>
            </w:pPr>
            <w:r>
              <w:rPr>
                <w:rFonts w:ascii="Arial" w:cs="Arial" w:eastAsia="Arial" w:hAnsi="Arial"/>
                <w:sz w:val="14"/>
                <w:szCs w:val="14"/>
                <w:color w:val="auto"/>
              </w:rPr>
              <w:t>Net loss attributable to FNFV Group common shareholders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1"/>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attributable to Old FNF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per share from discontinued operations attributable to FNFV Group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Old FNF common shareholders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40" w:type="dxa"/>
            <w:vAlign w:val="bottom"/>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(0.24)</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discontinued operations attributable to FNFV Group common shareholders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per share attributable to FNFV Group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Old FNF common stock, basic basis (1)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Weighted average shares outstanding Old FNF common stock, diluted basis (1)</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ind w:left="980" w:hanging="972"/>
        <w:spacing w:after="0" w:line="27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are presented and used to calculate earnings per share for the first six months of the nine months ended September 30,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90"/>
              </w:rPr>
              <w:t>Nine months ended</w:t>
            </w:r>
          </w:p>
        </w:tc>
      </w:tr>
      <w:tr>
        <w:trPr>
          <w:trHeight w:val="210"/>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r>
      <w:tr>
        <w:trPr>
          <w:trHeight w:val="270"/>
        </w:trPr>
        <w:tc>
          <w:tcPr>
            <w:tcW w:w="9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33"/>
        </w:trPr>
        <w:tc>
          <w:tcPr>
            <w:tcW w:w="9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r>
      <w:tr>
        <w:trPr>
          <w:trHeight w:val="217"/>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4"/>
              </w:rPr>
              <w:t>(Unaudited)</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Impairment of assets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(increase) in prepaid expenses and other assets</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short-term 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Acquisition of Compass/Prospective, net of cash acquired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Equity and debt issuance costs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from Parent</w:t>
            </w:r>
          </w:p>
        </w:tc>
        <w:tc>
          <w:tcPr>
            <w:tcW w:w="2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134" w:lineRule="exact"/>
        <w:rPr>
          <w:sz w:val="20"/>
          <w:szCs w:val="20"/>
          <w:color w:val="auto"/>
        </w:rPr>
      </w:pPr>
    </w:p>
    <w:p>
      <w:pPr>
        <w:ind w:left="340" w:right="260"/>
        <w:spacing w:after="0" w:line="360" w:lineRule="auto"/>
        <w:rPr>
          <w:sz w:val="20"/>
          <w:szCs w:val="20"/>
          <w:color w:val="auto"/>
        </w:rPr>
      </w:pPr>
      <w:r>
        <w:rPr>
          <w:rFonts w:ascii="Arial" w:cs="Arial" w:eastAsia="Arial" w:hAnsi="Arial"/>
          <w:sz w:val="18"/>
          <w:szCs w:val="18"/>
          <w:color w:val="auto"/>
        </w:rPr>
        <w:t xml:space="preserve">In our FNFV group, we own majority and minority equity investment stakes in a number of entities, including ABRH, Ceridian and Digital Insurance. </w:t>
      </w:r>
      <w:r>
        <w:rPr>
          <w:rFonts w:ascii="Arial" w:cs="Arial" w:eastAsia="Arial" w:hAnsi="Arial"/>
          <w:sz w:val="18"/>
          <w:szCs w:val="18"/>
          <w:b w:val="1"/>
          <w:bCs w:val="1"/>
          <w:i w:val="1"/>
          <w:iCs w:val="1"/>
          <w:color w:val="auto"/>
        </w:rPr>
        <w:t>Recent Developments</w:t>
      </w:r>
    </w:p>
    <w:p>
      <w:pPr>
        <w:jc w:val="both"/>
        <w:ind w:firstLine="324"/>
        <w:spacing w:after="0" w:line="277" w:lineRule="auto"/>
        <w:rPr>
          <w:sz w:val="20"/>
          <w:szCs w:val="20"/>
          <w:color w:val="auto"/>
        </w:rPr>
      </w:pPr>
      <w:r>
        <w:rPr>
          <w:rFonts w:ascii="Arial" w:cs="Arial" w:eastAsia="Arial" w:hAnsi="Arial"/>
          <w:sz w:val="18"/>
          <w:szCs w:val="18"/>
          <w:color w:val="auto"/>
        </w:rPr>
        <w:t>On October 28, 2015, we announced that we are reevaluating the form and timing of the spin-off of ABRH to FNFV shareholders previously announced on July 30, 2015.</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is expected to generally be tax-free to FNFV shareholders for U.S. federal income tax purposes, except to the extent of any cash received in lieu of J. Alexander's fractional shares.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16,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Condensed Consolidated Statement of Operations in the six months ended June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5" w:name="page66"/>
    <w:bookmarkEnd w:id="65"/>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non-GAAP adjustments: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r>
      <w:tr>
        <w:trPr>
          <w:trHeight w:val="270"/>
        </w:trPr>
        <w:tc>
          <w:tcPr>
            <w:tcW w:w="8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159</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 Alexander's, LLC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Digital Insurance, LLC</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149</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Ceridian/Fleetcor (32% minority equity interest)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632</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Cascade Timberlands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164</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ventures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r>
      <w:tr>
        <w:trPr>
          <w:trHeight w:val="257"/>
        </w:trPr>
        <w:tc>
          <w:tcPr>
            <w:tcW w:w="8740" w:type="dxa"/>
            <w:vAlign w:val="bottom"/>
          </w:tcPr>
          <w:p>
            <w:pPr>
              <w:ind w:left="260"/>
              <w:spacing w:after="0"/>
              <w:rPr>
                <w:sz w:val="20"/>
                <w:szCs w:val="20"/>
                <w:color w:val="auto"/>
              </w:rPr>
            </w:pPr>
            <w:r>
              <w:rPr>
                <w:rFonts w:ascii="Arial" w:cs="Arial" w:eastAsia="Arial" w:hAnsi="Arial"/>
                <w:sz w:val="18"/>
                <w:szCs w:val="18"/>
                <w:color w:val="auto"/>
              </w:rPr>
              <w:t>Total FNFV Book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1,014</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1,378</w:t>
            </w:r>
          </w:p>
        </w:tc>
      </w:tr>
      <w:tr>
        <w:trPr>
          <w:trHeight w:val="20"/>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2019-12-29T14:10:07Z</dcterms:created>
  <dcterms:modified xsi:type="dcterms:W3CDTF">2019-12-29T14:10:07Z</dcterms:modified>
</cp:coreProperties>
</file>