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6010</w:t>
      </w:r>
    </w:p>
    <w:p>
      <w:pPr>
        <w:spacing w:after="0" w:line="201" w:lineRule="exact"/>
        <w:rPr>
          <w:sz w:val="24"/>
          <w:szCs w:val="24"/>
          <w:color w:val="auto"/>
        </w:rPr>
      </w:pPr>
    </w:p>
    <w:p>
      <w:pPr>
        <w:jc w:val="right"/>
        <w:ind w:right="2099"/>
        <w:spacing w:after="0"/>
        <w:rPr>
          <w:sz w:val="20"/>
          <w:szCs w:val="20"/>
          <w:color w:val="auto"/>
        </w:rPr>
      </w:pPr>
      <w:r>
        <w:rPr>
          <w:rFonts w:ascii="Courier New" w:cs="Courier New" w:eastAsia="Courier New" w:hAnsi="Courier New"/>
          <w:sz w:val="18"/>
          <w:szCs w:val="18"/>
          <w:color w:val="auto"/>
        </w:rPr>
        <w:t>July 29, 2005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Raymond R. Quirk</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Fidelity National Title Group, Inc.</w:t>
      </w:r>
    </w:p>
    <w:p>
      <w:pPr>
        <w:spacing w:after="0" w:line="237" w:lineRule="auto"/>
        <w:rPr>
          <w:sz w:val="20"/>
          <w:szCs w:val="20"/>
          <w:color w:val="auto"/>
        </w:rPr>
      </w:pPr>
      <w:r>
        <w:rPr>
          <w:rFonts w:ascii="Courier New" w:cs="Courier New" w:eastAsia="Courier New" w:hAnsi="Courier New"/>
          <w:sz w:val="18"/>
          <w:szCs w:val="18"/>
          <w:color w:val="auto"/>
        </w:rPr>
        <w:t>601 Riverside Avenue</w:t>
      </w:r>
    </w:p>
    <w:p>
      <w:pPr>
        <w:spacing w:after="0" w:line="238" w:lineRule="auto"/>
        <w:rPr>
          <w:sz w:val="20"/>
          <w:szCs w:val="20"/>
          <w:color w:val="auto"/>
        </w:rPr>
      </w:pPr>
      <w:r>
        <w:rPr>
          <w:rFonts w:ascii="Courier New" w:cs="Courier New" w:eastAsia="Courier New" w:hAnsi="Courier New"/>
          <w:sz w:val="18"/>
          <w:szCs w:val="18"/>
          <w:color w:val="auto"/>
        </w:rPr>
        <w:t>Jacksonville, Florida 32204</w:t>
      </w:r>
    </w:p>
    <w:p>
      <w:pPr>
        <w:spacing w:after="0" w:line="202"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Fidelity National Title Group, Inc.</w:t>
      </w:r>
    </w:p>
    <w:p>
      <w:pPr>
        <w:ind w:left="1700"/>
        <w:spacing w:after="0" w:line="238" w:lineRule="auto"/>
        <w:rPr>
          <w:sz w:val="20"/>
          <w:szCs w:val="20"/>
          <w:color w:val="auto"/>
        </w:rPr>
      </w:pPr>
      <w:r>
        <w:rPr>
          <w:rFonts w:ascii="Courier New" w:cs="Courier New" w:eastAsia="Courier New" w:hAnsi="Courier New"/>
          <w:sz w:val="18"/>
          <w:szCs w:val="18"/>
          <w:color w:val="auto"/>
        </w:rPr>
        <w:t>Registration Statement on Form S-1</w:t>
      </w:r>
    </w:p>
    <w:p>
      <w:pPr>
        <w:ind w:left="1700"/>
        <w:spacing w:after="0"/>
        <w:rPr>
          <w:sz w:val="20"/>
          <w:szCs w:val="20"/>
          <w:color w:val="auto"/>
        </w:rPr>
      </w:pPr>
      <w:r>
        <w:rPr>
          <w:rFonts w:ascii="Courier New" w:cs="Courier New" w:eastAsia="Courier New" w:hAnsi="Courier New"/>
          <w:sz w:val="18"/>
          <w:szCs w:val="18"/>
          <w:color w:val="auto"/>
        </w:rPr>
        <w:t>Filed July 6, 2005</w:t>
      </w:r>
    </w:p>
    <w:p>
      <w:pPr>
        <w:ind w:left="1700"/>
        <w:spacing w:after="0" w:line="237" w:lineRule="auto"/>
        <w:rPr>
          <w:sz w:val="20"/>
          <w:szCs w:val="20"/>
          <w:color w:val="auto"/>
        </w:rPr>
      </w:pPr>
      <w:r>
        <w:rPr>
          <w:rFonts w:ascii="Courier New" w:cs="Courier New" w:eastAsia="Courier New" w:hAnsi="Courier New"/>
          <w:sz w:val="18"/>
          <w:szCs w:val="18"/>
          <w:color w:val="auto"/>
        </w:rPr>
        <w:t>File No. 333-126402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Quirk:</w:t>
      </w:r>
    </w:p>
    <w:p>
      <w:pPr>
        <w:spacing w:after="0" w:line="207" w:lineRule="exact"/>
        <w:rPr>
          <w:sz w:val="24"/>
          <w:szCs w:val="24"/>
          <w:color w:val="auto"/>
        </w:rPr>
      </w:pPr>
    </w:p>
    <w:p>
      <w:pPr>
        <w:ind w:right="2939" w:firstLine="843"/>
        <w:spacing w:after="0" w:line="236" w:lineRule="auto"/>
        <w:rPr>
          <w:sz w:val="20"/>
          <w:szCs w:val="20"/>
          <w:color w:val="auto"/>
        </w:rPr>
      </w:pPr>
      <w:r>
        <w:rPr>
          <w:rFonts w:ascii="Courier New" w:cs="Courier New" w:eastAsia="Courier New" w:hAnsi="Courier New"/>
          <w:sz w:val="18"/>
          <w:szCs w:val="18"/>
          <w:color w:val="auto"/>
        </w:rPr>
        <w:t>We have reviewed your filing and have the following comments. Where indicated, we think you should revise your document in response</w:t>
      </w:r>
    </w:p>
    <w:p>
      <w:pPr>
        <w:spacing w:after="0" w:line="6"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to these comments. If you disagree, we will consider your explanation</w:t>
      </w:r>
    </w:p>
    <w:p>
      <w:pPr>
        <w:spacing w:after="0" w:line="6" w:lineRule="exact"/>
        <w:rPr>
          <w:sz w:val="24"/>
          <w:szCs w:val="24"/>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as to why our comment is inapplicable or a revision is unnecessary.</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Please be as detailed as necessary in your explanation. In some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comments, we may ask you to provide us with information so we may</w:t>
      </w:r>
    </w:p>
    <w:p>
      <w:pPr>
        <w:spacing w:after="0" w:line="6"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better understand your disclosure. After reviewing this information,</w:t>
      </w:r>
    </w:p>
    <w:p>
      <w:pPr>
        <w:spacing w:after="0"/>
        <w:rPr>
          <w:sz w:val="20"/>
          <w:szCs w:val="20"/>
          <w:color w:val="auto"/>
        </w:rPr>
      </w:pPr>
      <w:r>
        <w:rPr>
          <w:rFonts w:ascii="Courier New" w:cs="Courier New" w:eastAsia="Courier New" w:hAnsi="Courier New"/>
          <w:sz w:val="18"/>
          <w:szCs w:val="18"/>
          <w:color w:val="auto"/>
        </w:rPr>
        <w:t>we may raise additional comments.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look forward to working with you in these respects. We welcome any</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questions you may have about our comments or any other aspect of our</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review. Feel free to call us at the telephone numbers listed at the</w:t>
      </w:r>
    </w:p>
    <w:p>
      <w:pPr>
        <w:spacing w:after="0"/>
        <w:rPr>
          <w:sz w:val="20"/>
          <w:szCs w:val="20"/>
          <w:color w:val="auto"/>
        </w:rPr>
      </w:pPr>
      <w:r>
        <w:rPr>
          <w:rFonts w:ascii="Courier New" w:cs="Courier New" w:eastAsia="Courier New" w:hAnsi="Courier New"/>
          <w:sz w:val="18"/>
          <w:szCs w:val="18"/>
          <w:color w:val="auto"/>
        </w:rPr>
        <w:t>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S-1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Letters to FNF Shareholders and FNT Shareholders</w:t>
      </w:r>
    </w:p>
    <w:p>
      <w:pPr>
        <w:spacing w:after="0" w:line="207" w:lineRule="exact"/>
        <w:rPr>
          <w:sz w:val="24"/>
          <w:szCs w:val="24"/>
          <w:color w:val="auto"/>
        </w:rPr>
      </w:pPr>
    </w:p>
    <w:p>
      <w:pPr>
        <w:ind w:right="377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state in the FNT letter and better highlight, using boldface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larger type, that the receipt of FNT shares is a taxable event.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Cover Page</w:t>
      </w:r>
    </w:p>
    <w:p>
      <w:pPr>
        <w:spacing w:after="0" w:line="207" w:lineRule="exact"/>
        <w:rPr>
          <w:sz w:val="24"/>
          <w:szCs w:val="24"/>
          <w:color w:val="auto"/>
        </w:rPr>
      </w:pPr>
    </w:p>
    <w:p>
      <w:pPr>
        <w:ind w:right="335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cover letters and the Summary, where you state that the Class A stockholders will have 17.5% of the common stock, please also</w:t>
      </w:r>
    </w:p>
    <w:p>
      <w:pPr>
        <w:spacing w:after="0" w:line="6"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disclose, as you disclose on page 10, that FNF will hold 97.9% of the</w:t>
      </w:r>
    </w:p>
    <w:p>
      <w:pPr>
        <w:spacing w:after="0" w:line="5"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voting power because of the Class B common stock`s ten-to-one voting</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Summary, page 1</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Overview," "Competitive Strengths," "Strategy,"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History" discussions in the Summary are repeated almost verbatim on pages 37-39 in the Business section of your document. Please revise to provide a shorter summary of the information that is</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contained in the Business section, rather than repeating entire paragraphs of your document in the Summary.</w:t>
      </w:r>
    </w:p>
    <w:p>
      <w:pPr>
        <w:spacing w:after="0" w:line="208" w:lineRule="exact"/>
        <w:rPr>
          <w:rFonts w:ascii="Courier New" w:cs="Courier New" w:eastAsia="Courier New" w:hAnsi="Courier New"/>
          <w:sz w:val="18"/>
          <w:szCs w:val="18"/>
          <w:color w:val="auto"/>
        </w:rPr>
      </w:pPr>
    </w:p>
    <w:p>
      <w:pPr>
        <w:ind w:right="325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summary does not present a balanced view of your business. Currently, your summary is a detailed discussion of only the positive</w:t>
      </w:r>
    </w:p>
    <w:p>
      <w:pPr>
        <w:sectPr>
          <w:pgSz w:w="11900" w:h="16853" w:orient="portrait"/>
          <w:cols w:equalWidth="0" w:num="1">
            <w:col w:w="10219"/>
          </w:cols>
          <w:pgMar w:left="240" w:top="447" w:right="1440" w:bottom="0" w:gutter="0" w:footer="0" w:header="0"/>
        </w:sectPr>
      </w:pPr>
    </w:p>
    <w:bookmarkStart w:id="1" w:name="page2"/>
    <w:bookmarkEnd w:id="1"/>
    <w:p>
      <w:pPr>
        <w:ind w:right="3359"/>
        <w:spacing w:after="0" w:line="235" w:lineRule="auto"/>
        <w:rPr>
          <w:sz w:val="20"/>
          <w:szCs w:val="20"/>
          <w:color w:val="auto"/>
        </w:rPr>
      </w:pPr>
      <w:r>
        <w:rPr>
          <w:rFonts w:ascii="Courier New" w:cs="Courier New" w:eastAsia="Courier New" w:hAnsi="Courier New"/>
          <w:sz w:val="18"/>
          <w:szCs w:val="18"/>
          <w:color w:val="auto"/>
        </w:rPr>
        <w:t>aspects of your business and strategy. Please revise the summary to</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present a balanced picture. The balancing disclosure you provide should be no less prominent than your positive disclosure and should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appear under appropriate headings. Also, since you discuss your strengths and strategy, the balancing disclosure in each of those subsections should discuss the difficulties you face and the obstacles</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you will need to overcome to accomplish your strategy objectives. Among other things, you should discuss the fact that A.M. Best downgraded your financial strength rating.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page 7</w:t>
      </w:r>
    </w:p>
    <w:p>
      <w:pPr>
        <w:spacing w:after="0" w:line="207" w:lineRule="exact"/>
        <w:rPr>
          <w:sz w:val="20"/>
          <w:szCs w:val="20"/>
          <w:color w:val="auto"/>
        </w:rPr>
      </w:pPr>
    </w:p>
    <w:p>
      <w:pPr>
        <w:ind w:right="377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state laws regulate the price of your policies? If so, please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 a risk factor addressing this issue.</w:t>
      </w:r>
    </w:p>
    <w:p>
      <w:pPr>
        <w:spacing w:after="0" w:line="207" w:lineRule="exact"/>
        <w:rPr>
          <w:rFonts w:ascii="Courier New" w:cs="Courier New" w:eastAsia="Courier New" w:hAnsi="Courier New"/>
          <w:sz w:val="18"/>
          <w:szCs w:val="18"/>
          <w:color w:val="auto"/>
        </w:rPr>
      </w:pPr>
    </w:p>
    <w:p>
      <w:pPr>
        <w:ind w:right="367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first two risk factors allude to risks that may affect your</w:t>
      </w:r>
    </w:p>
    <w:p>
      <w:pPr>
        <w:spacing w:after="0" w:line="5"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operating results, and financial condition, without fully</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describing those risks. For example, your first risk factor discusses</w:t>
      </w:r>
    </w:p>
    <w:p>
      <w:pPr>
        <w:spacing w:after="0" w:line="5" w:lineRule="exact"/>
        <w:rPr>
          <w:rFonts w:ascii="Courier New" w:cs="Courier New" w:eastAsia="Courier New" w:hAnsi="Courier New"/>
          <w:sz w:val="18"/>
          <w:szCs w:val="18"/>
          <w:color w:val="auto"/>
        </w:rPr>
      </w:pPr>
    </w:p>
    <w:p>
      <w:pPr>
        <w:ind w:right="3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rates, general and specific economic conditions, and seasonality. Your second risk factor mentions prevailing economic,</w:t>
      </w:r>
    </w:p>
    <w:p>
      <w:pPr>
        <w:spacing w:after="0" w:line="6"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competitive and other conditions in California. Either</w:t>
      </w:r>
    </w:p>
    <w:p>
      <w:pPr>
        <w:spacing w:after="0" w:line="5" w:lineRule="exact"/>
        <w:rPr>
          <w:rFonts w:ascii="Courier New" w:cs="Courier New" w:eastAsia="Courier New" w:hAnsi="Courier New"/>
          <w:sz w:val="18"/>
          <w:szCs w:val="18"/>
          <w:color w:val="auto"/>
        </w:rPr>
      </w:pPr>
    </w:p>
    <w:p>
      <w:pPr>
        <w:ind w:right="33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expand these two risk factors to more completely and specifically describe the mentioned risks or create separate risk factors to adequately and completely describe all of the material risks.</w:t>
      </w:r>
    </w:p>
    <w:p>
      <w:pPr>
        <w:spacing w:after="0" w:line="38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Our subsidiaries engage in insurance-related businesses . . . , page 8</w:t>
      </w:r>
    </w:p>
    <w:p>
      <w:pPr>
        <w:spacing w:after="0" w:line="208"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specific regulation has presented a material difficulty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w:t>
      </w:r>
    </w:p>
    <w:p>
      <w:pPr>
        <w:spacing w:after="0" w:line="4" w:lineRule="exact"/>
        <w:rPr>
          <w:rFonts w:ascii="Courier New" w:cs="Courier New" w:eastAsia="Courier New" w:hAnsi="Courier New"/>
          <w:sz w:val="16"/>
          <w:szCs w:val="16"/>
          <w:color w:val="auto"/>
        </w:rPr>
      </w:pPr>
    </w:p>
    <w:p>
      <w:pPr>
        <w:ind w:right="35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your business, please identify the regulation and discuss the situation. It may be appropriate to place this disclosure in a separate risk factor.</w:t>
      </w:r>
    </w:p>
    <w:p>
      <w:pPr>
        <w:spacing w:after="0" w:line="208"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discuss the investigations of the California Department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spacing w:after="0" w:line="4" w:lineRule="exact"/>
        <w:rPr>
          <w:rFonts w:ascii="Courier New" w:cs="Courier New" w:eastAsia="Courier New" w:hAnsi="Courier New"/>
          <w:sz w:val="16"/>
          <w:szCs w:val="16"/>
          <w:color w:val="auto"/>
        </w:rPr>
      </w:pPr>
    </w:p>
    <w:p>
      <w:pPr>
        <w:ind w:right="32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Insurance and National Association of Insurance Commissioners in a separate risk factor. Also, explain in more detail the subject matter</w:t>
      </w:r>
    </w:p>
    <w:p>
      <w:pPr>
        <w:spacing w:after="0" w:line="6" w:lineRule="exact"/>
        <w:rPr>
          <w:rFonts w:ascii="Courier New" w:cs="Courier New" w:eastAsia="Courier New" w:hAnsi="Courier New"/>
          <w:sz w:val="16"/>
          <w:szCs w:val="16"/>
          <w:color w:val="auto"/>
        </w:rPr>
      </w:pPr>
    </w:p>
    <w:p>
      <w:pPr>
        <w:ind w:right="4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these investigations. For example, which "reinsurance practices"</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are being investigated?</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If the rating agencies further downgrade our company . . . , page 8</w:t>
      </w:r>
    </w:p>
    <w:p>
      <w:pPr>
        <w:spacing w:after="0" w:line="208" w:lineRule="exact"/>
        <w:rPr>
          <w:sz w:val="20"/>
          <w:szCs w:val="20"/>
          <w:color w:val="auto"/>
        </w:rPr>
      </w:pPr>
    </w:p>
    <w:p>
      <w:pPr>
        <w:ind w:right="3359" w:firstLine="8"/>
        <w:spacing w:after="0" w:line="290"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state how many ratings each of the five rating agencies have, and state where your ratings rank in these totals.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Distribution, page 13</w:t>
      </w:r>
    </w:p>
    <w:p>
      <w:pPr>
        <w:spacing w:after="0" w:line="207" w:lineRule="exact"/>
        <w:rPr>
          <w:sz w:val="20"/>
          <w:szCs w:val="20"/>
          <w:color w:val="auto"/>
        </w:rPr>
      </w:pPr>
    </w:p>
    <w:p>
      <w:pPr>
        <w:ind w:right="3359" w:firstLine="8"/>
        <w:spacing w:after="0" w:line="23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state that Fidelity National Financial, Inc. is both a selling shareholder and an underwriter in this transaction and provide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required selling shareholder disclosure.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Fractional Shares, page 14</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approximate per share value that will be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used</w:t>
      </w:r>
    </w:p>
    <w:p>
      <w:pPr>
        <w:spacing w:after="0" w:line="4"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cash payment made in connection with the fractional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 page 15</w:t>
      </w:r>
    </w:p>
    <w:p>
      <w:pPr>
        <w:spacing w:after="0" w:line="207" w:lineRule="exact"/>
        <w:rPr>
          <w:sz w:val="20"/>
          <w:szCs w:val="20"/>
          <w:color w:val="auto"/>
        </w:rPr>
      </w:pPr>
    </w:p>
    <w:p>
      <w:pPr>
        <w:ind w:right="399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second and third paragraphs of this section seem to suggest</w:t>
      </w:r>
    </w:p>
    <w:p>
      <w:pPr>
        <w:spacing w:after="0" w:line="5" w:lineRule="exact"/>
        <w:rPr>
          <w:rFonts w:ascii="Courier New" w:cs="Courier New" w:eastAsia="Courier New" w:hAnsi="Courier New"/>
          <w:sz w:val="18"/>
          <w:szCs w:val="18"/>
          <w:color w:val="auto"/>
        </w:rPr>
      </w:pPr>
    </w:p>
    <w:p>
      <w:pPr>
        <w:ind w:right="32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Risk Factors section is incomplete. The Risk Factors section should include all risks you believe are material, and it is inappropriate to refer in the Risk Factors section or in any other</w:t>
      </w:r>
    </w:p>
    <w:p>
      <w:pPr>
        <w:sectPr>
          <w:pgSz w:w="11900" w:h="16838" w:orient="portrait"/>
          <w:cols w:equalWidth="0" w:num="1">
            <w:col w:w="10219"/>
          </w:cols>
          <w:pgMar w:left="240" w:top="142" w:right="1440" w:bottom="0" w:gutter="0" w:footer="0" w:header="0"/>
        </w:sectPr>
      </w:pPr>
    </w:p>
    <w:bookmarkStart w:id="2" w:name="page3"/>
    <w:bookmarkEnd w:id="2"/>
    <w:p>
      <w:pPr>
        <w:ind w:right="3779"/>
        <w:spacing w:after="0" w:line="235" w:lineRule="auto"/>
        <w:rPr>
          <w:sz w:val="20"/>
          <w:szCs w:val="20"/>
          <w:color w:val="auto"/>
        </w:rPr>
      </w:pPr>
      <w:r>
        <w:rPr>
          <w:rFonts w:ascii="Courier New" w:cs="Courier New" w:eastAsia="Courier New" w:hAnsi="Courier New"/>
          <w:sz w:val="18"/>
          <w:szCs w:val="18"/>
          <w:color w:val="auto"/>
        </w:rPr>
        <w:t>part of your document to risks that are not material. Please revise</w:t>
      </w:r>
    </w:p>
    <w:p>
      <w:pPr>
        <w:spacing w:after="0" w:line="6"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or delete the second and third paragraphs of the Forward-Looking Statements section so they are consistent with this policy.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 page 15</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Describe briefly the regulatory restrictions on your ability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 dividends.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Historical Financial Information, page 17</w:t>
      </w:r>
    </w:p>
    <w:p>
      <w:pPr>
        <w:spacing w:after="0" w:line="20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current presentation that includes labeling each column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creates the impression that the columns not marked as such</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have been audited. Please clarify for us whether the auditors performed an audit in compliance with SAS 42 of this information or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revise the presentation accordingly.</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 page 22</w:t>
      </w:r>
    </w:p>
    <w:p>
      <w:pPr>
        <w:spacing w:after="0" w:line="207" w:lineRule="exact"/>
        <w:rPr>
          <w:sz w:val="20"/>
          <w:szCs w:val="20"/>
          <w:color w:val="auto"/>
        </w:rPr>
      </w:pPr>
    </w:p>
    <w:p>
      <w:pPr>
        <w:ind w:right="3999" w:firstLine="8"/>
        <w:spacing w:after="0" w:line="236"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file as an exhibit the agreement underlying your acquisition of Service Link. See Item 601(b)(2) and (b)(10)(ii)(C) of</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Regulation S-K. Also, provide us with your analysis of the applicability of Item 3-05 of Regulation S-X with respect to the acquisition of Service Link.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page 23</w:t>
      </w:r>
    </w:p>
    <w:p>
      <w:pPr>
        <w:spacing w:after="0" w:line="207" w:lineRule="exact"/>
        <w:rPr>
          <w:sz w:val="20"/>
          <w:szCs w:val="20"/>
          <w:color w:val="auto"/>
        </w:rPr>
      </w:pPr>
    </w:p>
    <w:p>
      <w:pPr>
        <w:ind w:right="409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the discussion of the critical accounting policies</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appears to reiterate in some regards the information included in the</w:t>
      </w:r>
    </w:p>
    <w:p>
      <w:pPr>
        <w:spacing w:after="0" w:line="5"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the financial statements. Please revise your critical accounting policies which we believe should be described as critical</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"estimates" to disclose the uncertainties involved in applying each principle and discuss the variability that is reasonably</w:t>
      </w:r>
    </w:p>
    <w:p>
      <w:pPr>
        <w:spacing w:after="0" w:line="6"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likely to result from the application. For each estimate identified,</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ensure that you have analyzed and disclosed to the extent possible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factors: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How management arrived at the estimate;</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b. How accurate management`s estimate/assumption has been in the past;</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 Whether the estimate/assumption is reasonably likely to change in</w:t>
      </w:r>
    </w:p>
    <w:p>
      <w:pPr>
        <w:spacing w:after="0"/>
        <w:rPr>
          <w:sz w:val="20"/>
          <w:szCs w:val="20"/>
          <w:color w:val="auto"/>
        </w:rPr>
      </w:pPr>
      <w:r>
        <w:rPr>
          <w:rFonts w:ascii="Courier New" w:cs="Courier New" w:eastAsia="Courier New" w:hAnsi="Courier New"/>
          <w:sz w:val="18"/>
          <w:szCs w:val="18"/>
          <w:color w:val="auto"/>
        </w:rPr>
        <w:t>the future; and</w:t>
      </w:r>
    </w:p>
    <w:p>
      <w:pPr>
        <w:spacing w:after="0" w:line="4"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d. Evaluate the sensitivity to change of critical accounting policies.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Refer to Release 33-8350.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Reserve for Claim Losses, page 23</w:t>
      </w:r>
    </w:p>
    <w:p>
      <w:pPr>
        <w:spacing w:after="0" w:line="207" w:lineRule="exact"/>
        <w:rPr>
          <w:sz w:val="20"/>
          <w:szCs w:val="20"/>
          <w:color w:val="auto"/>
        </w:rPr>
      </w:pPr>
    </w:p>
    <w:p>
      <w:pPr>
        <w:ind w:right="377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believe your disclosure in Management`s Discussion and Analysis</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regarding the reserve for claim losses could be improved to better explain the judgments and uncertainties surrounding this estimate and</w:t>
      </w:r>
    </w:p>
    <w:p>
      <w:pPr>
        <w:spacing w:after="0" w:line="6"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impact on your financial statements. We believe that</w:t>
      </w:r>
    </w:p>
    <w:p>
      <w:pPr>
        <w:spacing w:after="0" w:line="5"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disclosures explaining the likelihood that materially different amounts would be reported under different conditions or using different assumptions is consistent with the objective of Management`s</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Discussion and Analysis. Accordingly, please revise MD&amp;A to include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information for each of your lines of business.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Please disclose the reserves accrued as of the latest balance</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sheet</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date presented. The total of theses amounts should agree to the amount presented on the balance sheet.</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b. Please disclose the range of loss reserve estimates as determined</w:t>
      </w:r>
    </w:p>
    <w:p>
      <w:pPr>
        <w:spacing w:after="0" w:line="6"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by your actuaries. Discuss the key assumptions used to arrive at management`s best estimate of loss reserves within that range and what</w:t>
      </w:r>
    </w:p>
    <w:p>
      <w:pPr>
        <w:spacing w:after="0" w:line="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specific factors led management to believe this amount rather than any</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other amount within the range represented the best estimate of incurred losses.</w:t>
      </w:r>
    </w:p>
    <w:p>
      <w:pPr>
        <w:spacing w:after="0" w:line="6"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c. If you do not calculate a range around your loss reserve, but instead use point estimates please include the following disclosures:</w:t>
      </w:r>
    </w:p>
    <w:p>
      <w:pPr>
        <w:spacing w:after="0" w:line="6" w:lineRule="exact"/>
        <w:rPr>
          <w:sz w:val="20"/>
          <w:szCs w:val="20"/>
          <w:color w:val="auto"/>
        </w:rPr>
      </w:pPr>
    </w:p>
    <w:p>
      <w:pPr>
        <w:ind w:right="3259" w:firstLine="8"/>
        <w:spacing w:after="0" w:line="236" w:lineRule="auto"/>
        <w:tabs>
          <w:tab w:leader="none" w:pos="31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 the various methods considered and the method that was selected to calculate the reserves. If multiple point estimates are</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generated, include the range of these point estimates. Include a discussion of why the method selected was more appropriate over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methods.</w:t>
      </w:r>
    </w:p>
    <w:p>
      <w:pPr>
        <w:spacing w:after="0" w:line="4" w:lineRule="exact"/>
        <w:rPr>
          <w:rFonts w:ascii="Courier New" w:cs="Courier New" w:eastAsia="Courier New" w:hAnsi="Courier New"/>
          <w:sz w:val="18"/>
          <w:szCs w:val="18"/>
          <w:color w:val="auto"/>
        </w:rPr>
      </w:pPr>
    </w:p>
    <w:p>
      <w:pPr>
        <w:ind w:right="3259" w:firstLine="8"/>
        <w:spacing w:after="0" w:line="237" w:lineRule="auto"/>
        <w:tabs>
          <w:tab w:leader="none" w:pos="31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 how management determined the most appropriate point estimate and why the other point estimates were not chosen. Also clarify whether the company actually records to the point estimate 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not, how that estimate is used.</w:t>
      </w:r>
    </w:p>
    <w:p>
      <w:pPr>
        <w:spacing w:after="0" w:line="4" w:lineRule="exact"/>
        <w:rPr>
          <w:rFonts w:ascii="Courier New" w:cs="Courier New" w:eastAsia="Courier New" w:hAnsi="Courier New"/>
          <w:sz w:val="18"/>
          <w:szCs w:val="18"/>
          <w:color w:val="auto"/>
        </w:rPr>
      </w:pPr>
    </w:p>
    <w:p>
      <w:pPr>
        <w:ind w:right="3259" w:firstLine="8"/>
        <w:spacing w:after="0" w:line="237" w:lineRule="auto"/>
        <w:tabs>
          <w:tab w:leader="none" w:pos="31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quantified and narrative disclosure of the impact that reasonably likely changes in one or more of the variables (i.e. actuarially method and/or assumptions used) would have on reported results, financial position and liquidity.</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 Because IBNR reserve estimates are more imprecise, please disclose</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IBNR separately from case reserves for all lines of business.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Comparisons of Three Months Ended March 31, 2005 and 2004, page 24</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page 24</w:t>
      </w:r>
    </w:p>
    <w:p>
      <w:pPr>
        <w:spacing w:after="0" w:line="207" w:lineRule="exact"/>
        <w:rPr>
          <w:sz w:val="20"/>
          <w:szCs w:val="20"/>
          <w:color w:val="auto"/>
        </w:rPr>
      </w:pPr>
    </w:p>
    <w:p>
      <w:pPr>
        <w:ind w:right="3259" w:firstLine="8"/>
        <w:spacing w:after="0" w:line="236"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a better discussion of what the metrics "Orders opened by direct title operations" and "Orders closed by direct title</w:t>
      </w:r>
    </w:p>
    <w:p>
      <w:pPr>
        <w:spacing w:after="0" w:line="6"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represent. Include how the amounts disclosed for each impact operations in the current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 page 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requirements, page 31</w:t>
      </w:r>
    </w:p>
    <w:p>
      <w:pPr>
        <w:spacing w:after="0" w:line="201"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most of your liquidity discussion appears to be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holding company perspective. Please revise your MD&amp;A to address</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information at the operating subsidiary level. Specifically include a more robust discussion of the reasonably likely impact the</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claims will have on known trends and uncertainties, in particular cash outflows from operations. Specifically address your</w:t>
      </w:r>
    </w:p>
    <w:p>
      <w:pPr>
        <w:spacing w:after="0" w:line="6"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asset/liability management process and whether there are any significant variations between the maturity of your investments and</w:t>
      </w:r>
    </w:p>
    <w:p>
      <w:pPr>
        <w:spacing w:after="0" w:line="6"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expected payment of your loss reserves. Include a discussion of</w:t>
      </w:r>
    </w:p>
    <w:p>
      <w:pPr>
        <w:spacing w:after="0" w:line="5" w:lineRule="exact"/>
        <w:rPr>
          <w:rFonts w:ascii="Courier New" w:cs="Courier New" w:eastAsia="Courier New" w:hAnsi="Courier New"/>
          <w:sz w:val="18"/>
          <w:szCs w:val="18"/>
          <w:color w:val="auto"/>
        </w:rPr>
      </w:pPr>
    </w:p>
    <w:p>
      <w:pPr>
        <w:jc w:val="both"/>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selling securities before anticipated or the use of credit facilities to pay for policy liabilities will have on your future liquidity and results of operations.</w:t>
      </w:r>
    </w:p>
    <w:p>
      <w:pPr>
        <w:spacing w:after="0" w:line="208" w:lineRule="exact"/>
        <w:rPr>
          <w:rFonts w:ascii="Courier New" w:cs="Courier New" w:eastAsia="Courier New" w:hAnsi="Courier New"/>
          <w:sz w:val="18"/>
          <w:szCs w:val="18"/>
          <w:color w:val="auto"/>
        </w:rPr>
      </w:pPr>
    </w:p>
    <w:p>
      <w:pPr>
        <w:ind w:right="325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page 3, you state that you are currently upgrading your operating system to improve ordering and delivery. If this will result in material capital expenditures, state the amount of those expenditures here.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 page 32</w:t>
      </w:r>
    </w:p>
    <w:p>
      <w:pPr>
        <w:spacing w:after="0" w:line="207" w:lineRule="exact"/>
        <w:rPr>
          <w:sz w:val="20"/>
          <w:szCs w:val="20"/>
          <w:color w:val="auto"/>
        </w:rPr>
      </w:pPr>
    </w:p>
    <w:p>
      <w:pPr>
        <w:ind w:right="3479" w:firstLine="8"/>
        <w:spacing w:after="0" w:line="235"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your presentation of the "Title claim reserve" to be</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in the contractual obligation table with your other obligations.</w:t>
      </w:r>
    </w:p>
    <w:p>
      <w:pPr>
        <w:sectPr>
          <w:pgSz w:w="11900" w:h="16838" w:orient="portrait"/>
          <w:cols w:equalWidth="0" w:num="1">
            <w:col w:w="10219"/>
          </w:cols>
          <w:pgMar w:left="240" w:top="136" w:right="1440" w:bottom="0" w:gutter="0" w:footer="0" w:header="0"/>
        </w:sectPr>
      </w:pPr>
    </w:p>
    <w:bookmarkStart w:id="4" w:name="page5"/>
    <w:bookmarkEnd w:id="4"/>
    <w:p>
      <w:pPr>
        <w:jc w:val="both"/>
        <w:ind w:right="3479" w:firstLine="8"/>
        <w:spacing w:after="0" w:line="237"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Elsewhere in the filing, you disclose the estimated payments relating to pension and postretirement plans. As these payments represent future obligations of the Company, we believe the inclusion</w:t>
      </w:r>
    </w:p>
    <w:p>
      <w:pPr>
        <w:spacing w:after="0" w:line="4" w:lineRule="exact"/>
        <w:rPr>
          <w:rFonts w:ascii="Courier New" w:cs="Courier New" w:eastAsia="Courier New" w:hAnsi="Courier New"/>
          <w:sz w:val="18"/>
          <w:szCs w:val="18"/>
          <w:color w:val="auto"/>
        </w:rPr>
      </w:pPr>
    </w:p>
    <w:p>
      <w:pPr>
        <w:ind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estimated pension and postretirement payments in the contractual</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table or a related footnote disclosure will provide investors increased transparency of your cash flow. Based on the above factors, please revise your contractual obligations table to include these payments or supplement the table with additional information that will assist the investor with understanding the Company`s cash requirements. Lastly, consider the need to incorporate</w:t>
      </w:r>
    </w:p>
    <w:p>
      <w:pPr>
        <w:spacing w:after="0" w:line="8"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to describe any known trends and uncertainties related to</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 pension plan that will likely result in a material change in your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results of operations, financial condition, or your liquidity.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Competitive Strengths, page 37</w:t>
      </w:r>
    </w:p>
    <w:p>
      <w:pPr>
        <w:spacing w:after="0" w:line="201"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what your operating margins are, and explain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basis for your belief that they are among the best in the industry.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Reinsurance and Coinsurance, page 41</w:t>
      </w:r>
    </w:p>
    <w:p>
      <w:pPr>
        <w:spacing w:after="0" w:line="207"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you reinsure certain risks, and you assume reinsurance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other title insurers.</w:t>
      </w:r>
    </w:p>
    <w:p>
      <w:pPr>
        <w:spacing w:after="0" w:line="207" w:lineRule="exact"/>
        <w:rPr>
          <w:sz w:val="20"/>
          <w:szCs w:val="20"/>
          <w:color w:val="auto"/>
        </w:rPr>
      </w:pPr>
    </w:p>
    <w:p>
      <w:pPr>
        <w:ind w:right="4199" w:firstLine="8"/>
        <w:spacing w:after="0" w:line="235" w:lineRule="auto"/>
        <w:tabs>
          <w:tab w:leader="none" w:pos="21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amount of premiums earned from your customers,</w:t>
      </w:r>
    </w:p>
    <w:p>
      <w:pPr>
        <w:spacing w:after="0" w:line="5" w:lineRule="exact"/>
        <w:rPr>
          <w:rFonts w:ascii="Courier New" w:cs="Courier New" w:eastAsia="Courier New" w:hAnsi="Courier New"/>
          <w:sz w:val="18"/>
          <w:szCs w:val="18"/>
          <w:color w:val="auto"/>
        </w:rPr>
      </w:pPr>
    </w:p>
    <w:p>
      <w:pPr>
        <w:ind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opposed to other title insurers for whom you assume reinsurance,</w:t>
      </w:r>
    </w:p>
    <w:p>
      <w:pPr>
        <w:spacing w:after="0" w:line="5"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two years, and state how much of these premiums you</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passed along to reinsurers.</w:t>
      </w:r>
    </w:p>
    <w:p>
      <w:pPr>
        <w:spacing w:after="0" w:line="4" w:lineRule="exact"/>
        <w:rPr>
          <w:rFonts w:ascii="Courier New" w:cs="Courier New" w:eastAsia="Courier New" w:hAnsi="Courier New"/>
          <w:sz w:val="18"/>
          <w:szCs w:val="18"/>
          <w:color w:val="auto"/>
        </w:rPr>
      </w:pPr>
    </w:p>
    <w:p>
      <w:pPr>
        <w:ind w:right="3479" w:firstLine="8"/>
        <w:spacing w:after="0" w:line="235" w:lineRule="auto"/>
        <w:tabs>
          <w:tab w:leader="none" w:pos="21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Identify your principal reinsurers, and state how much of your premiums you ceded to each one.</w:t>
      </w:r>
    </w:p>
    <w:p>
      <w:pPr>
        <w:spacing w:after="0" w:line="5" w:lineRule="exact"/>
        <w:rPr>
          <w:rFonts w:ascii="Courier New" w:cs="Courier New" w:eastAsia="Courier New" w:hAnsi="Courier New"/>
          <w:sz w:val="18"/>
          <w:szCs w:val="18"/>
          <w:color w:val="auto"/>
        </w:rPr>
      </w:pPr>
    </w:p>
    <w:p>
      <w:pPr>
        <w:ind w:right="4199" w:firstLine="8"/>
        <w:spacing w:after="0" w:line="235" w:lineRule="auto"/>
        <w:tabs>
          <w:tab w:leader="none" w:pos="21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 the percentage of your risk that you currently reinsure.</w:t>
      </w:r>
    </w:p>
    <w:p>
      <w:pPr>
        <w:spacing w:after="0" w:line="5" w:lineRule="exact"/>
        <w:rPr>
          <w:rFonts w:ascii="Courier New" w:cs="Courier New" w:eastAsia="Courier New" w:hAnsi="Courier New"/>
          <w:sz w:val="18"/>
          <w:szCs w:val="18"/>
          <w:color w:val="auto"/>
        </w:rPr>
      </w:pPr>
    </w:p>
    <w:p>
      <w:pPr>
        <w:jc w:val="both"/>
        <w:ind w:right="3579" w:firstLine="8"/>
        <w:spacing w:after="0" w:line="268" w:lineRule="auto"/>
        <w:tabs>
          <w:tab w:leader="none" w:pos="21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disclose the amount of revenues you earned by assuming reinsurance for other title insurers during the past two years.</w:t>
      </w:r>
    </w:p>
    <w:p>
      <w:pPr>
        <w:ind w:right="4099" w:firstLine="8"/>
        <w:spacing w:after="0" w:line="235" w:lineRule="auto"/>
        <w:tabs>
          <w:tab w:leader="none" w:pos="21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file as exhibits the written agreements with your principal</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reinsurers and with the companies for whom you assume reinsurance, and</w:t>
      </w:r>
    </w:p>
    <w:p>
      <w:pPr>
        <w:spacing w:after="0" w:line="5" w:lineRule="exact"/>
        <w:rPr>
          <w:rFonts w:ascii="Courier New" w:cs="Courier New" w:eastAsia="Courier New" w:hAnsi="Courier New"/>
          <w:sz w:val="18"/>
          <w:szCs w:val="18"/>
          <w:color w:val="auto"/>
        </w:rPr>
      </w:pPr>
    </w:p>
    <w:p>
      <w:pPr>
        <w:jc w:val="both"/>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discuss the material terms of the agreements in the body of your filing. These terms would include the type of policies to which the</w:t>
      </w:r>
    </w:p>
    <w:p>
      <w:pPr>
        <w:spacing w:after="0" w:line="6" w:lineRule="exact"/>
        <w:rPr>
          <w:rFonts w:ascii="Courier New" w:cs="Courier New" w:eastAsia="Courier New" w:hAnsi="Courier New"/>
          <w:sz w:val="18"/>
          <w:szCs w:val="18"/>
          <w:color w:val="auto"/>
        </w:rPr>
      </w:pPr>
    </w:p>
    <w:p>
      <w:pPr>
        <w:jc w:val="both"/>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apply, both parties` financial obligations under the agreements, expiration date and termination provisions, and any other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rights and obligations of the parties.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 page 45</w:t>
      </w:r>
    </w:p>
    <w:p>
      <w:pPr>
        <w:spacing w:after="0" w:line="207" w:lineRule="exact"/>
        <w:rPr>
          <w:sz w:val="20"/>
          <w:szCs w:val="20"/>
          <w:color w:val="auto"/>
        </w:rPr>
      </w:pPr>
    </w:p>
    <w:p>
      <w:pPr>
        <w:ind w:right="3679" w:firstLine="8"/>
        <w:spacing w:after="0" w:line="235"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explain in more detail the allegations in the class action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suit in California.</w:t>
      </w:r>
    </w:p>
    <w:p>
      <w:pPr>
        <w:spacing w:after="0" w:line="207" w:lineRule="exact"/>
        <w:rPr>
          <w:rFonts w:ascii="Courier New" w:cs="Courier New" w:eastAsia="Courier New" w:hAnsi="Courier New"/>
          <w:sz w:val="18"/>
          <w:szCs w:val="18"/>
          <w:color w:val="auto"/>
        </w:rPr>
      </w:pPr>
    </w:p>
    <w:p>
      <w:pPr>
        <w:ind w:right="3359" w:firstLine="8"/>
        <w:spacing w:after="0" w:line="236"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every lawsuit discussed in this section, please state the amount of potential damages or, if you have settled, the amount you</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agreed to pay.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Regulation, page 47</w:t>
      </w:r>
    </w:p>
    <w:p>
      <w:pPr>
        <w:spacing w:after="0" w:line="201"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state whether or not you are currently in compliance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laws, rules and regulations you mention in this section.</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Also, describe any incidence of noncompliance over the past three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page 51</w:t>
      </w:r>
    </w:p>
    <w:p>
      <w:pPr>
        <w:sectPr>
          <w:pgSz w:w="11900" w:h="16838" w:orient="portrait"/>
          <w:cols w:equalWidth="0" w:num="1">
            <w:col w:w="10219"/>
          </w:cols>
          <w:pgMar w:left="240" w:top="142" w:right="1440" w:bottom="0" w:gutter="0" w:footer="0" w:header="0"/>
        </w:sectPr>
      </w:pPr>
    </w:p>
    <w:bookmarkStart w:id="5" w:name="page6"/>
    <w:bookmarkEnd w:id="5"/>
    <w:p>
      <w:pPr>
        <w:ind w:right="4099" w:firstLine="8"/>
        <w:spacing w:after="0" w:line="235"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appears Mr. Foley is the only director who has been selected as</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now, as the other individuals are labeled as various types of officers. Please explain when and how you will select your initial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FNF Common Stock, page 55</w:t>
      </w:r>
    </w:p>
    <w:p>
      <w:pPr>
        <w:spacing w:after="0" w:line="207" w:lineRule="exact"/>
        <w:rPr>
          <w:sz w:val="20"/>
          <w:szCs w:val="20"/>
          <w:color w:val="auto"/>
        </w:rPr>
      </w:pPr>
    </w:p>
    <w:p>
      <w:pPr>
        <w:ind w:left="420" w:hanging="412"/>
        <w:spacing w:after="0"/>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 includes everyone you have identified on page 51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w:t>
      </w:r>
    </w:p>
    <w:p>
      <w:pPr>
        <w:spacing w:after="0" w:line="4" w:lineRule="exact"/>
        <w:rPr>
          <w:rFonts w:ascii="Courier New" w:cs="Courier New" w:eastAsia="Courier New" w:hAnsi="Courier New"/>
          <w:sz w:val="16"/>
          <w:szCs w:val="16"/>
          <w:color w:val="auto"/>
        </w:rPr>
      </w:pPr>
    </w:p>
    <w:p>
      <w:pPr>
        <w:ind w:right="36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 or director except for Mr. Foley, yet the total shares held by</w:t>
      </w:r>
    </w:p>
    <w:p>
      <w:pPr>
        <w:spacing w:after="0" w:line="5"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officers and directors is much higher than the sum of the amounts held</w:t>
      </w:r>
    </w:p>
    <w:p>
      <w:pPr>
        <w:spacing w:after="0" w:line="5"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each individual officer/director. Please explain or reconcile this</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difference.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FNF Corporate Services Agreements, page 66</w:t>
      </w:r>
    </w:p>
    <w:p>
      <w:pPr>
        <w:spacing w:after="0" w:line="207" w:lineRule="exact"/>
        <w:rPr>
          <w:sz w:val="20"/>
          <w:szCs w:val="20"/>
          <w:color w:val="auto"/>
        </w:rPr>
      </w:pPr>
    </w:p>
    <w:p>
      <w:pPr>
        <w:ind w:right="4099" w:firstLine="8"/>
        <w:spacing w:after="0" w:line="235"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payment terms and durations of the corporate</w:t>
      </w:r>
    </w:p>
    <w:p>
      <w:pPr>
        <w:spacing w:after="0" w:line="5" w:lineRule="exact"/>
        <w:rPr>
          <w:rFonts w:ascii="Courier New" w:cs="Courier New" w:eastAsia="Courier New" w:hAnsi="Courier New"/>
          <w:sz w:val="18"/>
          <w:szCs w:val="18"/>
          <w:color w:val="auto"/>
        </w:rPr>
      </w:pPr>
    </w:p>
    <w:p>
      <w:pPr>
        <w:ind w:right="3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services agreements. Also, for each, disclose the amount you will receive and pay to FNF. Provide similar disclosure regarding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services agreement discussed on pages 69-70.</w:t>
      </w:r>
    </w:p>
    <w:p>
      <w:pPr>
        <w:spacing w:after="0" w:line="20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that you have yet to file any of these agreements and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we</w:t>
      </w:r>
    </w:p>
    <w:p>
      <w:pPr>
        <w:spacing w:after="0" w:line="4"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have not had the benefit of reviewing them. However, please ensure</w:t>
      </w:r>
    </w:p>
    <w:p>
      <w:pPr>
        <w:spacing w:after="0" w:line="5"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all of the disclosure required by Item 404 of Regulation S-K is</w:t>
      </w:r>
    </w:p>
    <w:p>
      <w:pPr>
        <w:spacing w:after="0" w:line="5" w:lineRule="exact"/>
        <w:rPr>
          <w:rFonts w:ascii="Courier New" w:cs="Courier New" w:eastAsia="Courier New" w:hAnsi="Courier New"/>
          <w:sz w:val="16"/>
          <w:szCs w:val="16"/>
          <w:color w:val="auto"/>
        </w:rPr>
      </w:pPr>
    </w:p>
    <w:p>
      <w:pPr>
        <w:ind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disclosed concerning these contracts. This disclosure should be more</w:t>
      </w:r>
    </w:p>
    <w:p>
      <w:pPr>
        <w:spacing w:after="0" w:line="5" w:lineRule="exact"/>
        <w:rPr>
          <w:rFonts w:ascii="Courier New" w:cs="Courier New" w:eastAsia="Courier New" w:hAnsi="Courier New"/>
          <w:sz w:val="16"/>
          <w:szCs w:val="16"/>
          <w:color w:val="auto"/>
        </w:rPr>
      </w:pPr>
    </w:p>
    <w:p>
      <w:pPr>
        <w:ind w:right="3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comprehensive and detailed than the disclosure describing arms-length</w:t>
      </w:r>
    </w:p>
    <w:p>
      <w:pPr>
        <w:spacing w:after="0" w:line="5" w:lineRule="exact"/>
        <w:rPr>
          <w:rFonts w:ascii="Courier New" w:cs="Courier New" w:eastAsia="Courier New" w:hAnsi="Courier New"/>
          <w:sz w:val="16"/>
          <w:szCs w:val="16"/>
          <w:color w:val="auto"/>
        </w:rPr>
      </w:pPr>
    </w:p>
    <w:p>
      <w:pPr>
        <w:ind w:right="4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contracts. Also, additional information will have to be disclosed.</w:t>
      </w:r>
    </w:p>
    <w:p>
      <w:pPr>
        <w:spacing w:after="0" w:line="5"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example, as to any transaction involving the purchase or sale of</w:t>
      </w:r>
    </w:p>
    <w:p>
      <w:pPr>
        <w:spacing w:after="0" w:line="5"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assets by or to FNT, otherwise than in the ordinary course of business, state the cost of the assets to the purchaser and, if acquired by the seller within two years prior to the transaction, the</w:t>
      </w:r>
    </w:p>
    <w:p>
      <w:pPr>
        <w:spacing w:after="0" w:line="4" w:lineRule="exact"/>
        <w:rPr>
          <w:rFonts w:ascii="Courier New" w:cs="Courier New" w:eastAsia="Courier New" w:hAnsi="Courier New"/>
          <w:sz w:val="16"/>
          <w:szCs w:val="16"/>
          <w:color w:val="auto"/>
        </w:rPr>
      </w:pPr>
    </w:p>
    <w:p>
      <w:pPr>
        <w:ind w:right="34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cost thereof to the seller. Indicate the principle followed in determining the registrant`s purchase or sale price and the name of</w:t>
      </w:r>
    </w:p>
    <w:p>
      <w:pPr>
        <w:spacing w:after="0" w:line="6" w:lineRule="exact"/>
        <w:rPr>
          <w:rFonts w:ascii="Courier New" w:cs="Courier New" w:eastAsia="Courier New" w:hAnsi="Courier New"/>
          <w:sz w:val="16"/>
          <w:szCs w:val="16"/>
          <w:color w:val="auto"/>
        </w:rPr>
      </w:pPr>
    </w:p>
    <w:p>
      <w:pPr>
        <w:jc w:val="both"/>
        <w:ind w:right="36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person making such determination. This disclosure must be provided for each such transaction. See Instruction 5 of Item 404(a)</w:t>
      </w:r>
    </w:p>
    <w:p>
      <w:pPr>
        <w:spacing w:after="0" w:line="6" w:lineRule="exact"/>
        <w:rPr>
          <w:rFonts w:ascii="Courier New" w:cs="Courier New" w:eastAsia="Courier New" w:hAnsi="Courier New"/>
          <w:sz w:val="16"/>
          <w:szCs w:val="16"/>
          <w:color w:val="auto"/>
        </w:rPr>
      </w:pPr>
    </w:p>
    <w:p>
      <w:pPr>
        <w:ind w:right="32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Regulation S-K. We note the intellectual property agreement in particular.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Notes Payable to FNF, page 67</w:t>
      </w:r>
    </w:p>
    <w:p>
      <w:pPr>
        <w:spacing w:after="0" w:line="207" w:lineRule="exact"/>
        <w:rPr>
          <w:sz w:val="20"/>
          <w:szCs w:val="20"/>
          <w:color w:val="auto"/>
        </w:rPr>
      </w:pPr>
    </w:p>
    <w:p>
      <w:pPr>
        <w:ind w:right="6199" w:firstLine="8"/>
        <w:spacing w:after="0" w:line="536"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file the notes as exhibits. Employee Matters Agreement, page 68</w:t>
      </w: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describe the terms of this agreement in more detail.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w:t>
      </w:r>
    </w:p>
    <w:p>
      <w:pPr>
        <w:spacing w:after="0" w:line="4"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example, what responsibilities and liabilities will you have? What is</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approximate amount you will be required to pay to the employee benefit plans or to reimburse to FNF?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Intellectual Property Cross License Agreement, page 69</w:t>
      </w:r>
    </w:p>
    <w:p>
      <w:pPr>
        <w:spacing w:after="0" w:line="207" w:lineRule="exact"/>
        <w:rPr>
          <w:sz w:val="20"/>
          <w:szCs w:val="20"/>
          <w:color w:val="auto"/>
        </w:rPr>
      </w:pPr>
    </w:p>
    <w:p>
      <w:pPr>
        <w:ind w:right="3579" w:firstLine="8"/>
        <w:spacing w:after="0" w:line="236"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describe the terms of this agreement in more detail. Discuss any payments you will make or receive, identify the subjects</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licenses, state the duration and termination provisions, and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describe any other material terms of the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 Agreement, page 71</w:t>
      </w:r>
    </w:p>
    <w:p>
      <w:pPr>
        <w:spacing w:after="0" w:line="207" w:lineRule="exact"/>
        <w:rPr>
          <w:sz w:val="20"/>
          <w:szCs w:val="20"/>
          <w:color w:val="auto"/>
        </w:rPr>
      </w:pPr>
    </w:p>
    <w:p>
      <w:pPr>
        <w:jc w:val="both"/>
        <w:ind w:right="3259" w:firstLine="8"/>
        <w:spacing w:after="0" w:line="290" w:lineRule="auto"/>
        <w:tabs>
          <w:tab w:leader="none" w:pos="42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disclose the amount you will be required to pay for the lease. Also, disclose the payment terms and amount for the Master</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Information Technology Services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 page 73</w:t>
      </w:r>
    </w:p>
    <w:p>
      <w:pPr>
        <w:spacing w:after="0" w:line="207" w:lineRule="exact"/>
        <w:rPr>
          <w:sz w:val="20"/>
          <w:szCs w:val="20"/>
          <w:color w:val="auto"/>
        </w:rPr>
      </w:pPr>
    </w:p>
    <w:p>
      <w:pPr>
        <w:ind w:right="3359" w:firstLine="8"/>
        <w:spacing w:after="0" w:line="236"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amount paid or received pursuant to every agreement discussed in this section. Also, please ensure that every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discussed in this section is filed as an exhibit.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page 77</w:t>
      </w:r>
    </w:p>
    <w:p>
      <w:pPr>
        <w:spacing w:after="0" w:line="207" w:lineRule="exact"/>
        <w:rPr>
          <w:sz w:val="20"/>
          <w:szCs w:val="20"/>
          <w:color w:val="auto"/>
        </w:rPr>
      </w:pPr>
    </w:p>
    <w:p>
      <w:pPr>
        <w:ind w:right="4319" w:firstLine="8"/>
        <w:spacing w:after="0" w:line="235" w:lineRule="auto"/>
        <w:tabs>
          <w:tab w:leader="none" w:pos="42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whether the Class B Common Stock has cumulative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of our Certificate of Incorporation Relating to</w:t>
      </w:r>
    </w:p>
    <w:p>
      <w:pPr>
        <w:spacing w:after="0" w:line="238" w:lineRule="auto"/>
        <w:rPr>
          <w:sz w:val="20"/>
          <w:szCs w:val="20"/>
          <w:color w:val="auto"/>
        </w:rPr>
      </w:pPr>
      <w:r>
        <w:rPr>
          <w:rFonts w:ascii="Courier New" w:cs="Courier New" w:eastAsia="Courier New" w:hAnsi="Courier New"/>
          <w:sz w:val="18"/>
          <w:szCs w:val="18"/>
          <w:color w:val="auto"/>
        </w:rPr>
        <w:t>Corporate</w:t>
      </w:r>
    </w:p>
    <w:p>
      <w:pPr>
        <w:spacing w:after="0"/>
        <w:rPr>
          <w:sz w:val="20"/>
          <w:szCs w:val="20"/>
          <w:color w:val="auto"/>
        </w:rPr>
      </w:pPr>
      <w:r>
        <w:rPr>
          <w:rFonts w:ascii="Courier New" w:cs="Courier New" w:eastAsia="Courier New" w:hAnsi="Courier New"/>
          <w:sz w:val="18"/>
          <w:szCs w:val="18"/>
          <w:color w:val="auto"/>
        </w:rPr>
        <w:t>Opportunities, page 80</w:t>
      </w:r>
    </w:p>
    <w:p>
      <w:pPr>
        <w:spacing w:after="0" w:line="206" w:lineRule="exact"/>
        <w:rPr>
          <w:sz w:val="20"/>
          <w:szCs w:val="20"/>
          <w:color w:val="auto"/>
        </w:rPr>
      </w:pPr>
    </w:p>
    <w:p>
      <w:pPr>
        <w:ind w:right="3479" w:firstLine="8"/>
        <w:spacing w:after="0" w:line="236"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compare and contrast your officers` and directors` fiduciary duties as defined by your certificate of incorporation with</w:t>
      </w:r>
    </w:p>
    <w:p>
      <w:pPr>
        <w:spacing w:after="0" w:line="6"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those defined by state law. Disclose, if true, that state law will</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override your certificate of incorporation in the event of a conflict.</w:t>
      </w:r>
    </w:p>
    <w:p>
      <w:pPr>
        <w:spacing w:after="0" w:line="5"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any statute, regulation, or case law addresses situations in which</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officers and directors work for two affiliated companies, discuss these laws. We may have further comments.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Federal Income Tax Considerations, page 81</w:t>
      </w:r>
    </w:p>
    <w:p>
      <w:pPr>
        <w:spacing w:after="0" w:line="207" w:lineRule="exact"/>
        <w:rPr>
          <w:sz w:val="20"/>
          <w:szCs w:val="20"/>
          <w:color w:val="auto"/>
        </w:rPr>
      </w:pPr>
    </w:p>
    <w:p>
      <w:pPr>
        <w:ind w:right="3259" w:firstLine="8"/>
        <w:spacing w:after="0" w:line="236"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tax opinion addresses the "principal United States federal income tax consequences" of the transaction. Please replace</w:t>
      </w:r>
    </w:p>
    <w:p>
      <w:pPr>
        <w:spacing w:after="0" w:line="6" w:lineRule="exact"/>
        <w:rPr>
          <w:rFonts w:ascii="Courier New" w:cs="Courier New" w:eastAsia="Courier New" w:hAnsi="Courier New"/>
          <w:sz w:val="18"/>
          <w:szCs w:val="18"/>
          <w:color w:val="auto"/>
        </w:rPr>
      </w:pPr>
    </w:p>
    <w:p>
      <w:pPr>
        <w:jc w:val="both"/>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word "principal" with "material," and revise the opinion as necessary so that it discusses all material tax consequences of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delete the first sentence of the third full paragraph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w:t>
      </w:r>
    </w:p>
    <w:p>
      <w:pPr>
        <w:spacing w:after="0" w:line="4" w:lineRule="exact"/>
        <w:rPr>
          <w:rFonts w:ascii="Courier New" w:cs="Courier New" w:eastAsia="Courier New" w:hAnsi="Courier New"/>
          <w:sz w:val="18"/>
          <w:szCs w:val="18"/>
          <w:color w:val="auto"/>
        </w:rPr>
      </w:pPr>
    </w:p>
    <w:p>
      <w:pPr>
        <w:ind w:right="36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82, which reads, "This summary is for general information purposes only and is not intended to be, and should not be construed</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be, legal or tax advice to any particular shareholder." Also, delete the first sentence of the legend constituting the fourth full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on page 84.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 December 31, 2004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Statements of Equity and Comprehensive Earnings, page F-5</w:t>
      </w:r>
    </w:p>
    <w:p>
      <w:pPr>
        <w:spacing w:after="0" w:line="224" w:lineRule="exact"/>
        <w:rPr>
          <w:sz w:val="20"/>
          <w:szCs w:val="20"/>
          <w:color w:val="auto"/>
        </w:rPr>
      </w:pPr>
    </w:p>
    <w:p>
      <w:pPr>
        <w:ind w:right="4099" w:firstLine="8"/>
        <w:spacing w:after="0" w:line="235"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your current presentation it appears that the operations</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company are not a separate legal entity within FNF. Please include in your notes a discussion of the current capital structure as</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well as a discussion of what the capital structure will be like after</w:t>
      </w:r>
    </w:p>
    <w:p>
      <w:pPr>
        <w:spacing w:after="0" w:line="5"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distribution of your shares including disclosing the debt issuances and dividends to FNF that will take place prior to the distribution. Also provide to us any consideration given to the presentation of earnings per share based on the new capital structure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will be in place at the time of the distribution.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Combined Statements of Cash Flows, page F-6</w:t>
      </w:r>
    </w:p>
    <w:p>
      <w:pPr>
        <w:spacing w:after="0" w:line="201" w:lineRule="exact"/>
        <w:rPr>
          <w:sz w:val="20"/>
          <w:szCs w:val="20"/>
          <w:color w:val="auto"/>
        </w:rPr>
      </w:pPr>
    </w:p>
    <w:p>
      <w:pPr>
        <w:ind w:left="420" w:hanging="412"/>
        <w:spacing w:after="0"/>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to us a discussion of how you determined that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8"/>
          <w:szCs w:val="18"/>
          <w:color w:val="auto"/>
        </w:rPr>
      </w:pPr>
    </w:p>
    <w:p>
      <w:pPr>
        <w:ind w:right="3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 presentation related to the secured trust deposits is appropriate. Specifically include a discussion of the appropriateness</w:t>
      </w:r>
    </w:p>
    <w:p>
      <w:pPr>
        <w:spacing w:after="0" w:line="6"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recognizing these assets within your financial statements in addition to the cash flow presentation. Include references to any specific paragraphs within the authoritative literature upon which you</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relied in this determination.</w:t>
      </w:r>
    </w:p>
    <w:p>
      <w:pPr>
        <w:sectPr>
          <w:pgSz w:w="11900" w:h="16838" w:orient="portrait"/>
          <w:cols w:equalWidth="0" w:num="1">
            <w:col w:w="10219"/>
          </w:cols>
          <w:pgMar w:left="240" w:top="136"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A. Summary of Significant Accounting Policies, page F-7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Business, page F-7</w:t>
      </w:r>
    </w:p>
    <w:p>
      <w:pPr>
        <w:spacing w:after="0" w:line="201" w:lineRule="exact"/>
        <w:rPr>
          <w:sz w:val="20"/>
          <w:szCs w:val="20"/>
          <w:color w:val="auto"/>
        </w:rPr>
      </w:pPr>
    </w:p>
    <w:p>
      <w:pPr>
        <w:ind w:left="420" w:hanging="412"/>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make the statement in the last sentence of this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w:t>
      </w:r>
    </w:p>
    <w:p>
      <w:pPr>
        <w:spacing w:after="0" w:line="4"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operate you business as one segment. We note in other portions of</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document that it appears that segregate you revenues between several product types including residential, commercial, refinance,</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sales, etc. Please revise your notes to include the revenues generated by these various product types. Refer to paragraph 37 of</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SFAS 131.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Reinsurance, page F-13</w:t>
      </w:r>
    </w:p>
    <w:p>
      <w:pPr>
        <w:spacing w:after="0" w:line="207" w:lineRule="exact"/>
        <w:rPr>
          <w:sz w:val="20"/>
          <w:szCs w:val="20"/>
          <w:color w:val="auto"/>
        </w:rPr>
      </w:pPr>
    </w:p>
    <w:p>
      <w:pPr>
        <w:ind w:left="420" w:hanging="412"/>
        <w:spacing w:after="0"/>
        <w:tabs>
          <w:tab w:leader="none" w:pos="4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include the disclosure required by paragraphs 27-28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SFAS</w:t>
      </w:r>
    </w:p>
    <w:p>
      <w:pPr>
        <w:ind w:left="420" w:hanging="412"/>
        <w:spacing w:after="0" w:line="238"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to your reinsurance agreements.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Acquisitions, pages F-14 - F-15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of Micro General Corporation, page F-15</w:t>
      </w:r>
    </w:p>
    <w:p>
      <w:pPr>
        <w:spacing w:after="0" w:line="207" w:lineRule="exact"/>
        <w:rPr>
          <w:sz w:val="20"/>
          <w:szCs w:val="20"/>
          <w:color w:val="auto"/>
        </w:rPr>
      </w:pPr>
    </w:p>
    <w:p>
      <w:pPr>
        <w:ind w:right="3359" w:firstLine="8"/>
        <w:spacing w:after="0" w:line="237"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and revise your disclosure to state how you accounted for the acquisition of Micro General Corporation in the historical financial statements. Cite appropriate accounting literature as appropriate.</w:t>
      </w:r>
    </w:p>
    <w:p>
      <w:pPr>
        <w:spacing w:after="0" w:line="202" w:lineRule="exact"/>
        <w:rPr>
          <w:sz w:val="20"/>
          <w:szCs w:val="20"/>
          <w:color w:val="auto"/>
        </w:rPr>
      </w:pPr>
    </w:p>
    <w:p>
      <w:pPr>
        <w:ind w:left="420" w:hanging="412"/>
        <w:spacing w:after="0"/>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 page F-20</w:t>
      </w:r>
    </w:p>
    <w:p>
      <w:pPr>
        <w:spacing w:after="0" w:line="207" w:lineRule="exact"/>
        <w:rPr>
          <w:sz w:val="20"/>
          <w:szCs w:val="20"/>
          <w:color w:val="auto"/>
        </w:rPr>
      </w:pPr>
    </w:p>
    <w:p>
      <w:pPr>
        <w:ind w:left="420" w:hanging="412"/>
        <w:spacing w:after="0"/>
        <w:tabs>
          <w:tab w:leader="none" w:pos="4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explain to us why your "Insurance reserve discounting"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line</w:t>
      </w:r>
    </w:p>
    <w:p>
      <w:pPr>
        <w:spacing w:after="0" w:line="4"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items presented in the tables on pages F-20 and F-21 changed from a</w:t>
      </w:r>
    </w:p>
    <w:p>
      <w:pPr>
        <w:spacing w:after="0" w:line="5" w:lineRule="exact"/>
        <w:rPr>
          <w:rFonts w:ascii="Courier New" w:cs="Courier New" w:eastAsia="Courier New" w:hAnsi="Courier New"/>
          <w:sz w:val="16"/>
          <w:szCs w:val="16"/>
          <w:color w:val="auto"/>
        </w:rPr>
      </w:pPr>
    </w:p>
    <w:p>
      <w:pPr>
        <w:ind w:right="3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significant asset in the prior year to a significant liability in the</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current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Commitments and Contingencies, pages F-22 - F-24</w:t>
      </w:r>
    </w:p>
    <w:p>
      <w:pPr>
        <w:spacing w:after="0" w:line="207" w:lineRule="exact"/>
        <w:rPr>
          <w:sz w:val="20"/>
          <w:szCs w:val="20"/>
          <w:color w:val="auto"/>
        </w:rPr>
      </w:pPr>
    </w:p>
    <w:p>
      <w:pPr>
        <w:ind w:right="3579" w:firstLine="8"/>
        <w:spacing w:after="0" w:line="235" w:lineRule="auto"/>
        <w:tabs>
          <w:tab w:leader="none" w:pos="4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regarding several pending lawsuits. It is</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unclear whether or not the losses relating to these lawsuits are probable and estimable. For each pending lawsuit disclosed where a</w:t>
      </w:r>
    </w:p>
    <w:p>
      <w:pPr>
        <w:spacing w:after="0" w:line="6" w:lineRule="exact"/>
        <w:rPr>
          <w:rFonts w:ascii="Courier New" w:cs="Courier New" w:eastAsia="Courier New" w:hAnsi="Courier New"/>
          <w:sz w:val="18"/>
          <w:szCs w:val="18"/>
          <w:color w:val="auto"/>
        </w:rPr>
      </w:pPr>
    </w:p>
    <w:p>
      <w:pPr>
        <w:ind w:right="3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complaint has been filed against you, please provide us the information that should have been disclosed per paragraphs 9 and</w:t>
      </w:r>
    </w:p>
    <w:p>
      <w:pPr>
        <w:ind w:left="320" w:hanging="312"/>
        <w:spacing w:after="0" w:line="238" w:lineRule="auto"/>
        <w:tabs>
          <w:tab w:leader="none" w:pos="3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SFAS 5. The disclosure should include, at a minimum should include</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what the other party in the lawsuit is seeking. To the extent settlements are material, include a discussion of those amounts as well.</w:t>
      </w:r>
    </w:p>
    <w:p>
      <w:pPr>
        <w:spacing w:after="0" w:line="200" w:lineRule="exact"/>
        <w:rPr>
          <w:sz w:val="20"/>
          <w:szCs w:val="20"/>
          <w:color w:val="auto"/>
        </w:rPr>
      </w:pPr>
    </w:p>
    <w:p>
      <w:pPr>
        <w:spacing w:after="0" w:line="211" w:lineRule="exact"/>
        <w:rPr>
          <w:sz w:val="20"/>
          <w:szCs w:val="20"/>
          <w:color w:val="auto"/>
        </w:rPr>
      </w:pPr>
    </w:p>
    <w:p>
      <w:pPr>
        <w:ind w:right="6319" w:firstLine="8"/>
        <w:spacing w:after="0" w:line="470"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Plans, page F-25 Stock Option Plans, page F-26</w:t>
      </w:r>
    </w:p>
    <w:p>
      <w:pPr>
        <w:spacing w:after="0" w:line="6" w:lineRule="exact"/>
        <w:rPr>
          <w:sz w:val="20"/>
          <w:szCs w:val="20"/>
          <w:color w:val="auto"/>
        </w:rPr>
      </w:pPr>
    </w:p>
    <w:p>
      <w:pPr>
        <w:ind w:left="420" w:hanging="412"/>
        <w:spacing w:after="0"/>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first paragraph on page F-27 you make the statement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w:t>
      </w:r>
    </w:p>
    <w:p>
      <w:pPr>
        <w:spacing w:after="0" w:line="4"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disclosures required by SFAS No.123 have not been provided because the SFAS No. 123 pro forma expense disclosures were prepared</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an allocation methodology that allocates to the Company expenses associated with portions of individual awards, rather than</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entire awards." Please better explain to us what this means and why</w:t>
      </w:r>
    </w:p>
    <w:p>
      <w:pPr>
        <w:spacing w:after="0" w:line="5" w:lineRule="exact"/>
        <w:rPr>
          <w:rFonts w:ascii="Courier New" w:cs="Courier New" w:eastAsia="Courier New" w:hAnsi="Courier New"/>
          <w:sz w:val="18"/>
          <w:szCs w:val="18"/>
          <w:color w:val="auto"/>
        </w:rPr>
      </w:pPr>
    </w:p>
    <w:p>
      <w:pPr>
        <w:ind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feel that it precludes your ability to provide this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 and Financial Statement Schedules, page II-2</w:t>
      </w:r>
    </w:p>
    <w:p>
      <w:pPr>
        <w:spacing w:after="0" w:line="207" w:lineRule="exact"/>
        <w:rPr>
          <w:sz w:val="20"/>
          <w:szCs w:val="20"/>
          <w:color w:val="auto"/>
        </w:rPr>
      </w:pPr>
    </w:p>
    <w:p>
      <w:pPr>
        <w:ind w:right="3259" w:firstLine="8"/>
        <w:spacing w:after="0" w:line="236" w:lineRule="auto"/>
        <w:tabs>
          <w:tab w:leader="none" w:pos="42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several of your exhibits are not yet filed. Please be aware that once these exhibits are filed, we will need time to examine</w:t>
      </w:r>
    </w:p>
    <w:p>
      <w:pPr>
        <w:sectPr>
          <w:pgSz w:w="11900" w:h="16838" w:orient="portrait"/>
          <w:cols w:equalWidth="0" w:num="1">
            <w:col w:w="10219"/>
          </w:cols>
          <w:pgMar w:left="240" w:top="339"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them prior to effectiveness, and we may have comments on them.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Schedules, page II-4</w:t>
      </w:r>
    </w:p>
    <w:p>
      <w:pPr>
        <w:spacing w:after="0" w:line="201" w:lineRule="exact"/>
        <w:rPr>
          <w:sz w:val="20"/>
          <w:szCs w:val="20"/>
          <w:color w:val="auto"/>
        </w:rPr>
      </w:pPr>
    </w:p>
    <w:p>
      <w:pPr>
        <w:ind w:left="420" w:hanging="412"/>
        <w:spacing w:after="0"/>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to us your analysis related to the decision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 the information required by Schedule II as required by Rule 7-</w:t>
      </w:r>
    </w:p>
    <w:p>
      <w:pPr>
        <w:spacing w:after="0" w:line="1"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Regulation S-X.</w:t>
      </w:r>
    </w:p>
    <w:p>
      <w:pPr>
        <w:spacing w:after="0" w:line="202"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3159" w:firstLine="843"/>
        <w:spacing w:after="0" w:line="236"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information. Detailed cover letters greatly facilitate our review. Please understand that we may</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have additional comments after reviewing your amendment and responses</w:t>
      </w:r>
    </w:p>
    <w:p>
      <w:pPr>
        <w:spacing w:after="0"/>
        <w:rPr>
          <w:sz w:val="20"/>
          <w:szCs w:val="20"/>
          <w:color w:val="auto"/>
        </w:rPr>
      </w:pPr>
      <w:r>
        <w:rPr>
          <w:rFonts w:ascii="Courier New" w:cs="Courier New" w:eastAsia="Courier New" w:hAnsi="Courier New"/>
          <w:sz w:val="18"/>
          <w:szCs w:val="18"/>
          <w:color w:val="auto"/>
        </w:rPr>
        <w:t>to our comments.</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w:t>
      </w:r>
    </w:p>
    <w:p>
      <w:pPr>
        <w:spacing w:after="0" w:line="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includes all information required under the Securities Act of 1933 and</w:t>
      </w:r>
    </w:p>
    <w:p>
      <w:pPr>
        <w:spacing w:after="0" w:line="6"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that they have provided all information investors require for an informed investment decision. Since the company and its management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in possession of all facts relating to a company`s disclosure,</w:t>
      </w:r>
    </w:p>
    <w:p>
      <w:pPr>
        <w:spacing w:after="0" w:line="238" w:lineRule="auto"/>
        <w:rPr>
          <w:sz w:val="20"/>
          <w:szCs w:val="20"/>
          <w:color w:val="auto"/>
        </w:rPr>
      </w:pPr>
      <w:r>
        <w:rPr>
          <w:rFonts w:ascii="Courier New" w:cs="Courier New" w:eastAsia="Courier New" w:hAnsi="Courier New"/>
          <w:sz w:val="18"/>
          <w:szCs w:val="18"/>
          <w:color w:val="auto"/>
        </w:rPr>
        <w:t>they are responsible for the accuracy and adequacy of the</w:t>
      </w:r>
    </w:p>
    <w:p>
      <w:pPr>
        <w:spacing w:after="0"/>
        <w:rPr>
          <w:sz w:val="20"/>
          <w:szCs w:val="20"/>
          <w:color w:val="auto"/>
        </w:rPr>
      </w:pPr>
      <w:r>
        <w:rPr>
          <w:rFonts w:ascii="Courier New" w:cs="Courier New" w:eastAsia="Courier New" w:hAnsi="Courier New"/>
          <w:sz w:val="18"/>
          <w:szCs w:val="18"/>
          <w:color w:val="auto"/>
        </w:rPr>
        <w:t>disclosures</w:t>
      </w:r>
    </w:p>
    <w:p>
      <w:pPr>
        <w:spacing w:after="0" w:line="237" w:lineRule="auto"/>
        <w:rPr>
          <w:sz w:val="20"/>
          <w:szCs w:val="20"/>
          <w:color w:val="auto"/>
        </w:rPr>
      </w:pPr>
      <w:r>
        <w:rPr>
          <w:rFonts w:ascii="Courier New" w:cs="Courier New" w:eastAsia="Courier New" w:hAnsi="Courier New"/>
          <w:sz w:val="18"/>
          <w:szCs w:val="18"/>
          <w:color w:val="auto"/>
        </w:rPr>
        <w:t>they have made.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Notwithstanding our comments, in the event the company</w:t>
      </w:r>
    </w:p>
    <w:p>
      <w:pPr>
        <w:spacing w:after="0" w:line="238" w:lineRule="auto"/>
        <w:rPr>
          <w:sz w:val="20"/>
          <w:szCs w:val="20"/>
          <w:color w:val="auto"/>
        </w:rPr>
      </w:pPr>
      <w:r>
        <w:rPr>
          <w:rFonts w:ascii="Courier New" w:cs="Courier New" w:eastAsia="Courier New" w:hAnsi="Courier New"/>
          <w:sz w:val="18"/>
          <w:szCs w:val="18"/>
          <w:color w:val="auto"/>
        </w:rPr>
        <w:t>requests</w:t>
      </w:r>
    </w:p>
    <w:p>
      <w:pPr>
        <w:spacing w:after="0"/>
        <w:rPr>
          <w:sz w:val="20"/>
          <w:szCs w:val="20"/>
          <w:color w:val="auto"/>
        </w:rPr>
      </w:pPr>
      <w:r>
        <w:rPr>
          <w:rFonts w:ascii="Courier New" w:cs="Courier New" w:eastAsia="Courier New" w:hAnsi="Courier New"/>
          <w:sz w:val="18"/>
          <w:szCs w:val="18"/>
          <w:color w:val="auto"/>
        </w:rPr>
        <w:t>acceleration of the effective date of the pending registration</w:t>
      </w:r>
    </w:p>
    <w:p>
      <w:pPr>
        <w:spacing w:after="0" w:line="237" w:lineRule="auto"/>
        <w:rPr>
          <w:sz w:val="20"/>
          <w:szCs w:val="20"/>
          <w:color w:val="auto"/>
        </w:rPr>
      </w:pPr>
      <w:r>
        <w:rPr>
          <w:rFonts w:ascii="Courier New" w:cs="Courier New" w:eastAsia="Courier New" w:hAnsi="Courier New"/>
          <w:sz w:val="18"/>
          <w:szCs w:val="18"/>
          <w:color w:val="auto"/>
        </w:rPr>
        <w:t>statement, it should furnish a letter, at the time of such</w:t>
      </w:r>
    </w:p>
    <w:p>
      <w:pPr>
        <w:spacing w:after="0" w:line="238" w:lineRule="auto"/>
        <w:rPr>
          <w:sz w:val="20"/>
          <w:szCs w:val="20"/>
          <w:color w:val="auto"/>
        </w:rPr>
      </w:pPr>
      <w:r>
        <w:rPr>
          <w:rFonts w:ascii="Courier New" w:cs="Courier New" w:eastAsia="Courier New" w:hAnsi="Courier New"/>
          <w:sz w:val="18"/>
          <w:szCs w:val="18"/>
          <w:color w:val="auto"/>
        </w:rPr>
        <w:t>request,</w:t>
      </w:r>
    </w:p>
    <w:p>
      <w:pPr>
        <w:spacing w:after="0"/>
        <w:rPr>
          <w:sz w:val="20"/>
          <w:szCs w:val="20"/>
          <w:color w:val="auto"/>
        </w:rPr>
      </w:pPr>
      <w:r>
        <w:rPr>
          <w:rFonts w:ascii="Courier New" w:cs="Courier New" w:eastAsia="Courier New" w:hAnsi="Courier New"/>
          <w:sz w:val="18"/>
          <w:szCs w:val="18"/>
          <w:color w:val="auto"/>
        </w:rPr>
        <w:t>acknowledging that:</w:t>
      </w:r>
    </w:p>
    <w:p>
      <w:pPr>
        <w:spacing w:after="0" w:line="206" w:lineRule="exact"/>
        <w:rPr>
          <w:sz w:val="20"/>
          <w:szCs w:val="20"/>
          <w:color w:val="auto"/>
        </w:rPr>
      </w:pPr>
    </w:p>
    <w:p>
      <w:pPr>
        <w:jc w:val="both"/>
        <w:ind w:right="3259" w:firstLine="8"/>
        <w:spacing w:after="0" w:line="279" w:lineRule="auto"/>
        <w:tabs>
          <w:tab w:leader="none" w:pos="21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Commission or the staff, acting pursuant to delegated authority, declare the filing effective, it does not foreclose the Commission from taking any action with respect to the filing;</w:t>
      </w:r>
    </w:p>
    <w:p>
      <w:pPr>
        <w:spacing w:after="0" w:line="178" w:lineRule="exact"/>
        <w:rPr>
          <w:rFonts w:ascii="Courier New" w:cs="Courier New" w:eastAsia="Courier New" w:hAnsi="Courier New"/>
          <w:sz w:val="16"/>
          <w:szCs w:val="16"/>
          <w:color w:val="auto"/>
        </w:rPr>
      </w:pPr>
    </w:p>
    <w:p>
      <w:pPr>
        <w:ind w:right="3359" w:firstLine="8"/>
        <w:spacing w:after="0" w:line="237" w:lineRule="auto"/>
        <w:tabs>
          <w:tab w:leader="none" w:pos="21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207" w:lineRule="exact"/>
        <w:rPr>
          <w:rFonts w:ascii="Courier New" w:cs="Courier New" w:eastAsia="Courier New" w:hAnsi="Courier New"/>
          <w:sz w:val="18"/>
          <w:szCs w:val="18"/>
          <w:color w:val="auto"/>
        </w:rPr>
      </w:pPr>
    </w:p>
    <w:p>
      <w:pPr>
        <w:ind w:right="3259" w:firstLine="8"/>
        <w:spacing w:after="0" w:line="237" w:lineRule="auto"/>
        <w:tabs>
          <w:tab w:leader="none" w:pos="21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7" w:lineRule="exact"/>
        <w:rPr>
          <w:sz w:val="20"/>
          <w:szCs w:val="20"/>
          <w:color w:val="auto"/>
        </w:rPr>
      </w:pPr>
    </w:p>
    <w:p>
      <w:pPr>
        <w:ind w:right="3999" w:firstLine="843"/>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has access to all information you provide to the staff of the Division</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of Corporation Finance in connection with our review of your filing or</w:t>
      </w:r>
    </w:p>
    <w:p>
      <w:pPr>
        <w:spacing w:after="0"/>
        <w:rPr>
          <w:sz w:val="20"/>
          <w:szCs w:val="20"/>
          <w:color w:val="auto"/>
        </w:rPr>
      </w:pPr>
      <w:r>
        <w:rPr>
          <w:rFonts w:ascii="Courier New" w:cs="Courier New" w:eastAsia="Courier New" w:hAnsi="Courier New"/>
          <w:sz w:val="18"/>
          <w:szCs w:val="18"/>
          <w:color w:val="auto"/>
        </w:rPr>
        <w:t>in response to our comments on your filing.</w:t>
      </w:r>
    </w:p>
    <w:p>
      <w:pPr>
        <w:spacing w:after="0" w:line="207" w:lineRule="exact"/>
        <w:rPr>
          <w:sz w:val="20"/>
          <w:szCs w:val="20"/>
          <w:color w:val="auto"/>
        </w:rPr>
      </w:pPr>
    </w:p>
    <w:p>
      <w:pPr>
        <w:ind w:right="3259" w:firstLine="843"/>
        <w:spacing w:after="0" w:line="236" w:lineRule="auto"/>
        <w:rPr>
          <w:sz w:val="20"/>
          <w:szCs w:val="20"/>
          <w:color w:val="auto"/>
        </w:rPr>
      </w:pPr>
      <w:r>
        <w:rPr>
          <w:rFonts w:ascii="Courier New" w:cs="Courier New" w:eastAsia="Courier New" w:hAnsi="Courier New"/>
          <w:sz w:val="18"/>
          <w:szCs w:val="18"/>
          <w:color w:val="auto"/>
        </w:rPr>
        <w:t>We will consider a written request for acceleration of the effective date of the registration statement as confirmation of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fact that those requesting acceleration are aware of their respective</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responsibilities under the Securities Act of 1933 and the Securities</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Exchange Act of 1934 as they relate to the proposed public offering of</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securities specified in the above registration statement. We will</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act on the request and, pursuant to delegated authority, grant acceleration of the effective date.</w:t>
      </w:r>
    </w:p>
    <w:p>
      <w:pPr>
        <w:sectPr>
          <w:pgSz w:w="11900" w:h="16838" w:orient="portrait"/>
          <w:cols w:equalWidth="0" w:num="1">
            <w:col w:w="10219"/>
          </w:cols>
          <w:pgMar w:left="240" w:top="136" w:right="1440" w:bottom="0" w:gutter="0" w:footer="0" w:header="0"/>
        </w:sectPr>
      </w:pPr>
    </w:p>
    <w:bookmarkStart w:id="9" w:name="page10"/>
    <w:bookmarkEnd w:id="9"/>
    <w:p>
      <w:pPr>
        <w:ind w:right="3259" w:firstLine="843"/>
        <w:spacing w:after="0" w:line="237" w:lineRule="auto"/>
        <w:rPr>
          <w:sz w:val="20"/>
          <w:szCs w:val="20"/>
          <w:color w:val="auto"/>
        </w:rPr>
      </w:pPr>
      <w:r>
        <w:rPr>
          <w:rFonts w:ascii="Courier New" w:cs="Courier New" w:eastAsia="Courier New" w:hAnsi="Courier New"/>
          <w:sz w:val="18"/>
          <w:szCs w:val="18"/>
          <w:color w:val="auto"/>
        </w:rPr>
        <w:t>We direct your attention to Rules 460 and 461 regarding requesting acceleration of a registration statement. Please allow adequate time after the filing of any amendment for further review before submitting a request for acceleration. Please provide this request at least two business days in advance of the requested effective date.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You may contact Tabatha Akins at (202) 551-3658 or James</w:t>
      </w:r>
    </w:p>
    <w:p>
      <w:pPr>
        <w:spacing w:after="0" w:line="238" w:lineRule="auto"/>
        <w:rPr>
          <w:sz w:val="20"/>
          <w:szCs w:val="20"/>
          <w:color w:val="auto"/>
        </w:rPr>
      </w:pPr>
      <w:r>
        <w:rPr>
          <w:rFonts w:ascii="Courier New" w:cs="Courier New" w:eastAsia="Courier New" w:hAnsi="Courier New"/>
          <w:sz w:val="18"/>
          <w:szCs w:val="18"/>
          <w:color w:val="auto"/>
        </w:rPr>
        <w:t>Atkinson</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at (202) 551-3674 if you have questions regarding comments on the financial statements and related matters. Please contact Greg Belliston at (202) 551-3861, Michael Reedich at (202) 551-3612, or me</w:t>
      </w:r>
    </w:p>
    <w:p>
      <w:pPr>
        <w:spacing w:after="0"/>
        <w:rPr>
          <w:sz w:val="20"/>
          <w:szCs w:val="20"/>
          <w:color w:val="auto"/>
        </w:rPr>
      </w:pPr>
      <w:r>
        <w:rPr>
          <w:rFonts w:ascii="Courier New" w:cs="Courier New" w:eastAsia="Courier New" w:hAnsi="Courier New"/>
          <w:sz w:val="18"/>
          <w:szCs w:val="18"/>
          <w:color w:val="auto"/>
        </w:rPr>
        <w:t>at (202) 551-3715 with any other questions.</w:t>
      </w:r>
    </w:p>
    <w:p>
      <w:pPr>
        <w:spacing w:after="0" w:line="200"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Jeffrey Riedler</w:t>
      </w:r>
    </w:p>
    <w:p>
      <w:pPr>
        <w:spacing w:after="0" w:line="4"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Assistant Director</w:t>
      </w:r>
    </w:p>
    <w:p>
      <w:pPr>
        <w:spacing w:after="0" w:line="218" w:lineRule="exact"/>
        <w:rPr>
          <w:sz w:val="20"/>
          <w:szCs w:val="20"/>
          <w:color w:val="auto"/>
        </w:rPr>
      </w:pPr>
    </w:p>
    <w:p>
      <w:pPr>
        <w:ind w:left="860" w:hanging="852"/>
        <w:spacing w:after="0"/>
        <w:tabs>
          <w:tab w:leader="none" w:pos="8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S. Rachofsky</w:t>
      </w:r>
    </w:p>
    <w:p>
      <w:pPr>
        <w:spacing w:after="0" w:line="4" w:lineRule="exact"/>
        <w:rPr>
          <w:rFonts w:ascii="Courier New" w:cs="Courier New" w:eastAsia="Courier New" w:hAnsi="Courier New"/>
          <w:sz w:val="18"/>
          <w:szCs w:val="18"/>
          <w:color w:val="auto"/>
        </w:rPr>
      </w:pPr>
    </w:p>
    <w:p>
      <w:pPr>
        <w:ind w:left="86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LeBoeuf, Lamb, Greene &amp; MacRae LLP 125 West 55th Street</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10019-5389</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Raymond R. Quirk</w:t>
      </w:r>
    </w:p>
    <w:p>
      <w:pPr>
        <w:spacing w:after="0" w:line="238" w:lineRule="auto"/>
        <w:rPr>
          <w:sz w:val="20"/>
          <w:szCs w:val="20"/>
          <w:color w:val="auto"/>
        </w:rPr>
      </w:pPr>
      <w:r>
        <w:rPr>
          <w:rFonts w:ascii="Courier New" w:cs="Courier New" w:eastAsia="Courier New" w:hAnsi="Courier New"/>
          <w:sz w:val="18"/>
          <w:szCs w:val="18"/>
          <w:color w:val="auto"/>
        </w:rPr>
        <w:t>Fidelity National Title Group, Inc.</w:t>
      </w:r>
    </w:p>
    <w:p>
      <w:pPr>
        <w:spacing w:after="0"/>
        <w:rPr>
          <w:sz w:val="20"/>
          <w:szCs w:val="20"/>
          <w:color w:val="auto"/>
        </w:rPr>
      </w:pPr>
      <w:r>
        <w:rPr>
          <w:rFonts w:ascii="Courier New" w:cs="Courier New" w:eastAsia="Courier New" w:hAnsi="Courier New"/>
          <w:sz w:val="18"/>
          <w:szCs w:val="18"/>
          <w:color w:val="auto"/>
        </w:rPr>
        <w:t>July 29, 2005</w:t>
      </w:r>
    </w:p>
    <w:p>
      <w:pPr>
        <w:spacing w:after="0" w:line="237" w:lineRule="auto"/>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2"/>
    </w:lvl>
  </w:abstractNum>
  <w:abstractNum w:abstractNumId="2">
    <w:nsid w:val="54E49EB4"/>
    <w:multiLevelType w:val="hybridMultilevel"/>
    <w:lvl w:ilvl="0">
      <w:lvlJc w:val="left"/>
      <w:lvlText w:val="%1."/>
      <w:numFmt w:val="decimal"/>
      <w:start w:val="3"/>
    </w:lvl>
  </w:abstractNum>
  <w:abstractNum w:abstractNumId="3">
    <w:nsid w:val="71F32454"/>
    <w:multiLevelType w:val="hybridMultilevel"/>
    <w:lvl w:ilvl="0">
      <w:lvlJc w:val="left"/>
      <w:lvlText w:val="%1."/>
      <w:numFmt w:val="decimal"/>
      <w:start w:val="5"/>
    </w:lvl>
  </w:abstractNum>
  <w:abstractNum w:abstractNumId="4">
    <w:nsid w:val="2CA88611"/>
    <w:multiLevelType w:val="hybridMultilevel"/>
    <w:lvl w:ilvl="0">
      <w:lvlJc w:val="left"/>
      <w:lvlText w:val="%1."/>
      <w:numFmt w:val="decimal"/>
      <w:start w:val="7"/>
    </w:lvl>
  </w:abstractNum>
  <w:abstractNum w:abstractNumId="5">
    <w:nsid w:val="836C40E"/>
    <w:multiLevelType w:val="hybridMultilevel"/>
    <w:lvl w:ilvl="0">
      <w:lvlJc w:val="left"/>
      <w:lvlText w:val="%1."/>
      <w:numFmt w:val="decimal"/>
      <w:start w:val="9"/>
    </w:lvl>
  </w:abstractNum>
  <w:abstractNum w:abstractNumId="6">
    <w:nsid w:val="2901D82"/>
    <w:multiLevelType w:val="hybridMultilevel"/>
    <w:lvl w:ilvl="0">
      <w:lvlJc w:val="left"/>
      <w:lvlText w:val="%1."/>
      <w:numFmt w:val="decimal"/>
      <w:start w:val="10"/>
    </w:lvl>
  </w:abstractNum>
  <w:abstractNum w:abstractNumId="7">
    <w:nsid w:val="3A95F874"/>
    <w:multiLevelType w:val="hybridMultilevel"/>
    <w:lvl w:ilvl="0">
      <w:lvlJc w:val="left"/>
      <w:lvlText w:val="%1."/>
      <w:numFmt w:val="decimal"/>
      <w:start w:val="11"/>
    </w:lvl>
  </w:abstractNum>
  <w:abstractNum w:abstractNumId="8">
    <w:nsid w:val="8138641"/>
    <w:multiLevelType w:val="hybridMultilevel"/>
    <w:lvl w:ilvl="0">
      <w:lvlJc w:val="left"/>
      <w:lvlText w:val="%1."/>
      <w:numFmt w:val="decimal"/>
      <w:start w:val="12"/>
    </w:lvl>
  </w:abstractNum>
  <w:abstractNum w:abstractNumId="9">
    <w:nsid w:val="1E7FF521"/>
    <w:multiLevelType w:val="hybridMultilevel"/>
    <w:lvl w:ilvl="0">
      <w:lvlJc w:val="left"/>
      <w:lvlText w:val="%1."/>
      <w:numFmt w:val="decimal"/>
      <w:start w:val="13"/>
    </w:lvl>
  </w:abstractNum>
  <w:abstractNum w:abstractNumId="10">
    <w:nsid w:val="7C3DBD3D"/>
    <w:multiLevelType w:val="hybridMultilevel"/>
    <w:lvl w:ilvl="0">
      <w:lvlJc w:val="left"/>
      <w:lvlText w:val="%1."/>
      <w:numFmt w:val="decimal"/>
      <w:start w:val="14"/>
    </w:lvl>
  </w:abstractNum>
  <w:abstractNum w:abstractNumId="11">
    <w:nsid w:val="737B8DDC"/>
    <w:multiLevelType w:val="hybridMultilevel"/>
    <w:lvl w:ilvl="0">
      <w:lvlJc w:val="left"/>
      <w:lvlText w:val="%1."/>
      <w:numFmt w:val="decimal"/>
      <w:start w:val="15"/>
    </w:lvl>
  </w:abstractNum>
  <w:abstractNum w:abstractNumId="12">
    <w:nsid w:val="6CEAF087"/>
    <w:multiLevelType w:val="hybridMultilevel"/>
    <w:lvl w:ilvl="0">
      <w:lvlJc w:val="left"/>
      <w:lvlText w:val="%1."/>
      <w:numFmt w:val="decimal"/>
      <w:start w:val="16"/>
    </w:lvl>
  </w:abstractNum>
  <w:abstractNum w:abstractNumId="13">
    <w:nsid w:val="22221A70"/>
    <w:multiLevelType w:val="hybridMultilevel"/>
    <w:lvl w:ilvl="0">
      <w:lvlJc w:val="left"/>
      <w:lvlText w:val="%1."/>
      <w:numFmt w:val="decimal"/>
      <w:start w:val="17"/>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8"/>
    </w:lvl>
  </w:abstractNum>
  <w:abstractNum w:abstractNumId="16">
    <w:nsid w:val="614FD4A1"/>
    <w:multiLevelType w:val="hybridMultilevel"/>
    <w:lvl w:ilvl="0">
      <w:lvlJc w:val="left"/>
      <w:lvlText w:val="%1."/>
      <w:numFmt w:val="decimal"/>
      <w:start w:val="19"/>
    </w:lvl>
  </w:abstractNum>
  <w:abstractNum w:abstractNumId="17">
    <w:nsid w:val="419AC241"/>
    <w:multiLevelType w:val="hybridMultilevel"/>
    <w:lvl w:ilvl="0">
      <w:lvlJc w:val="left"/>
      <w:lvlText w:val="%1."/>
      <w:numFmt w:val="decimal"/>
      <w:start w:val="21"/>
    </w:lvl>
  </w:abstractNum>
  <w:abstractNum w:abstractNumId="18">
    <w:nsid w:val="5577F8E1"/>
    <w:multiLevelType w:val="hybridMultilevel"/>
    <w:lvl w:ilvl="0">
      <w:lvlJc w:val="left"/>
      <w:lvlText w:val="%1."/>
      <w:numFmt w:val="decimal"/>
      <w:start w:val="22"/>
    </w:lvl>
  </w:abstractNum>
  <w:abstractNum w:abstractNumId="19">
    <w:nsid w:val="440BADFC"/>
    <w:multiLevelType w:val="hybridMultilevel"/>
    <w:lvl w:ilvl="0">
      <w:lvlJc w:val="left"/>
      <w:lvlText w:val="%1."/>
      <w:numFmt w:val="decimal"/>
      <w:start w:val="23"/>
    </w:lvl>
  </w:abstractNum>
  <w:abstractNum w:abstractNumId="20">
    <w:nsid w:val="5072367"/>
    <w:multiLevelType w:val="hybridMultilevel"/>
    <w:lvl w:ilvl="0">
      <w:lvlJc w:val="left"/>
      <w:lvlText w:val="%1."/>
      <w:numFmt w:val="decimal"/>
      <w:start w:val="24"/>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25"/>
    </w:lvl>
  </w:abstractNum>
  <w:abstractNum w:abstractNumId="23">
    <w:nsid w:val="7724C67E"/>
    <w:multiLevelType w:val="hybridMultilevel"/>
    <w:lvl w:ilvl="0">
      <w:lvlJc w:val="left"/>
      <w:lvlText w:val="%1."/>
      <w:numFmt w:val="decimal"/>
      <w:start w:val="27"/>
    </w:lvl>
  </w:abstractNum>
  <w:abstractNum w:abstractNumId="24">
    <w:nsid w:val="5C482A97"/>
    <w:multiLevelType w:val="hybridMultilevel"/>
    <w:lvl w:ilvl="0">
      <w:lvlJc w:val="left"/>
      <w:lvlText w:val="%1."/>
      <w:numFmt w:val="decimal"/>
      <w:start w:val="28"/>
    </w:lvl>
  </w:abstractNum>
  <w:abstractNum w:abstractNumId="25">
    <w:nsid w:val="2463B9EA"/>
    <w:multiLevelType w:val="hybridMultilevel"/>
    <w:lvl w:ilvl="0">
      <w:lvlJc w:val="left"/>
      <w:lvlText w:val="%1."/>
      <w:numFmt w:val="decimal"/>
      <w:start w:val="29"/>
    </w:lvl>
  </w:abstractNum>
  <w:abstractNum w:abstractNumId="26">
    <w:nsid w:val="5E884ADC"/>
    <w:multiLevelType w:val="hybridMultilevel"/>
    <w:lvl w:ilvl="0">
      <w:lvlJc w:val="left"/>
      <w:lvlText w:val="%1."/>
      <w:numFmt w:val="decimal"/>
      <w:start w:val="30"/>
    </w:lvl>
  </w:abstractNum>
  <w:abstractNum w:abstractNumId="27">
    <w:nsid w:val="51EAD36B"/>
    <w:multiLevelType w:val="hybridMultilevel"/>
    <w:lvl w:ilvl="0">
      <w:lvlJc w:val="left"/>
      <w:lvlText w:val="%1."/>
      <w:numFmt w:val="decimal"/>
      <w:start w:val="32"/>
    </w:lvl>
  </w:abstractNum>
  <w:abstractNum w:abstractNumId="28">
    <w:nsid w:val="2D517796"/>
    <w:multiLevelType w:val="hybridMultilevel"/>
    <w:lvl w:ilvl="0">
      <w:lvlJc w:val="left"/>
      <w:lvlText w:val="%1."/>
      <w:numFmt w:val="decimal"/>
      <w:start w:val="34"/>
    </w:lvl>
  </w:abstractNum>
  <w:abstractNum w:abstractNumId="29">
    <w:nsid w:val="580BD78F"/>
    <w:multiLevelType w:val="hybridMultilevel"/>
    <w:lvl w:ilvl="0">
      <w:lvlJc w:val="left"/>
      <w:lvlText w:val="%1."/>
      <w:numFmt w:val="decimal"/>
      <w:start w:val="35"/>
    </w:lvl>
  </w:abstractNum>
  <w:abstractNum w:abstractNumId="30">
    <w:nsid w:val="153EA438"/>
    <w:multiLevelType w:val="hybridMultilevel"/>
    <w:lvl w:ilvl="0">
      <w:lvlJc w:val="left"/>
      <w:lvlText w:val="%1."/>
      <w:numFmt w:val="decimal"/>
      <w:start w:val="36"/>
    </w:lvl>
  </w:abstractNum>
  <w:abstractNum w:abstractNumId="31">
    <w:nsid w:val="3855585C"/>
    <w:multiLevelType w:val="hybridMultilevel"/>
    <w:lvl w:ilvl="0">
      <w:lvlJc w:val="left"/>
      <w:lvlText w:val="%1."/>
      <w:numFmt w:val="decimal"/>
      <w:start w:val="37"/>
    </w:lvl>
  </w:abstractNum>
  <w:abstractNum w:abstractNumId="32">
    <w:nsid w:val="70A64E2A"/>
    <w:multiLevelType w:val="hybridMultilevel"/>
    <w:lvl w:ilvl="0">
      <w:lvlJc w:val="left"/>
      <w:lvlText w:val="%1."/>
      <w:numFmt w:val="decimal"/>
      <w:start w:val="38"/>
    </w:lvl>
  </w:abstractNum>
  <w:abstractNum w:abstractNumId="33">
    <w:nsid w:val="6A2342EC"/>
    <w:multiLevelType w:val="hybridMultilevel"/>
    <w:lvl w:ilvl="0">
      <w:lvlJc w:val="left"/>
      <w:lvlText w:val="%1."/>
      <w:numFmt w:val="decimal"/>
      <w:start w:val="39"/>
    </w:lvl>
  </w:abstractNum>
  <w:abstractNum w:abstractNumId="34">
    <w:nsid w:val="2A487CB0"/>
    <w:multiLevelType w:val="hybridMultilevel"/>
    <w:lvl w:ilvl="0">
      <w:lvlJc w:val="left"/>
      <w:lvlText w:val="%1."/>
      <w:numFmt w:val="decimal"/>
      <w:start w:val="41"/>
    </w:lvl>
  </w:abstractNum>
  <w:abstractNum w:abstractNumId="35">
    <w:nsid w:val="1D4ED43B"/>
    <w:multiLevelType w:val="hybridMultilevel"/>
    <w:lvl w:ilvl="0">
      <w:lvlJc w:val="left"/>
      <w:lvlText w:val="%1."/>
      <w:numFmt w:val="decimal"/>
      <w:start w:val="42"/>
    </w:lvl>
  </w:abstractNum>
  <w:abstractNum w:abstractNumId="36">
    <w:nsid w:val="725A06FB"/>
    <w:multiLevelType w:val="hybridMultilevel"/>
    <w:lvl w:ilvl="0">
      <w:lvlJc w:val="left"/>
      <w:lvlText w:val="%1."/>
      <w:numFmt w:val="decimal"/>
      <w:start w:val="43"/>
    </w:lvl>
  </w:abstractNum>
  <w:abstractNum w:abstractNumId="37">
    <w:nsid w:val="2CD89A32"/>
    <w:multiLevelType w:val="hybridMultilevel"/>
    <w:lvl w:ilvl="0">
      <w:lvlJc w:val="left"/>
      <w:lvlText w:val="%1."/>
      <w:numFmt w:val="decimal"/>
      <w:start w:val="44"/>
    </w:lvl>
  </w:abstractNum>
  <w:abstractNum w:abstractNumId="38">
    <w:nsid w:val="57E4CCAF"/>
    <w:multiLevelType w:val="hybridMultilevel"/>
    <w:lvl w:ilvl="0">
      <w:lvlJc w:val="left"/>
      <w:lvlText w:val="%1"/>
      <w:numFmt w:val="decimal"/>
      <w:start w:val="113"/>
    </w:lvl>
  </w:abstractNum>
  <w:abstractNum w:abstractNumId="39">
    <w:nsid w:val="7A6D8D3C"/>
    <w:multiLevelType w:val="hybridMultilevel"/>
    <w:lvl w:ilvl="0">
      <w:lvlJc w:val="left"/>
      <w:lvlText w:val="%1."/>
      <w:numFmt w:val="decimal"/>
      <w:start w:val="45"/>
    </w:lvl>
  </w:abstractNum>
  <w:abstractNum w:abstractNumId="40">
    <w:nsid w:val="4B588F54"/>
    <w:multiLevelType w:val="hybridMultilevel"/>
    <w:lvl w:ilvl="0">
      <w:lvlJc w:val="left"/>
      <w:lvlText w:val="%1."/>
      <w:numFmt w:val="upperLetter"/>
      <w:start w:val="8"/>
    </w:lvl>
  </w:abstractNum>
  <w:abstractNum w:abstractNumId="41">
    <w:nsid w:val="542289EC"/>
    <w:multiLevelType w:val="hybridMultilevel"/>
    <w:lvl w:ilvl="0">
      <w:lvlJc w:val="left"/>
      <w:lvlText w:val="%1."/>
      <w:numFmt w:val="decimal"/>
      <w:start w:val="46"/>
    </w:lvl>
  </w:abstractNum>
  <w:abstractNum w:abstractNumId="42">
    <w:nsid w:val="6DE91B18"/>
    <w:multiLevelType w:val="hybridMultilevel"/>
    <w:lvl w:ilvl="0">
      <w:lvlJc w:val="left"/>
      <w:lvlText w:val="%1."/>
      <w:numFmt w:val="decimal"/>
      <w:start w:val="47"/>
    </w:lvl>
  </w:abstractNum>
  <w:abstractNum w:abstractNumId="43">
    <w:nsid w:val="38437FDB"/>
    <w:multiLevelType w:val="hybridMultilevel"/>
    <w:lvl w:ilvl="0">
      <w:lvlJc w:val="left"/>
      <w:lvlText w:val="%1"/>
      <w:numFmt w:val="decimal"/>
      <w:start w:val="10"/>
    </w:lvl>
  </w:abstractNum>
  <w:abstractNum w:abstractNumId="44">
    <w:nsid w:val="7644A45C"/>
    <w:multiLevelType w:val="hybridMultilevel"/>
    <w:lvl w:ilvl="0">
      <w:lvlJc w:val="left"/>
      <w:lvlText w:val="%1."/>
      <w:numFmt w:val="upperLetter"/>
      <w:start w:val="12"/>
    </w:lvl>
  </w:abstractNum>
  <w:abstractNum w:abstractNumId="45">
    <w:nsid w:val="32FFF902"/>
    <w:multiLevelType w:val="hybridMultilevel"/>
    <w:lvl w:ilvl="0">
      <w:lvlJc w:val="left"/>
      <w:lvlText w:val="%1."/>
      <w:numFmt w:val="decimal"/>
      <w:start w:val="48"/>
    </w:lvl>
  </w:abstractNum>
  <w:abstractNum w:abstractNumId="46">
    <w:nsid w:val="684A481A"/>
    <w:multiLevelType w:val="hybridMultilevel"/>
    <w:lvl w:ilvl="0">
      <w:lvlJc w:val="left"/>
      <w:lvlText w:val="%1."/>
      <w:numFmt w:val="decimal"/>
      <w:start w:val="49"/>
    </w:lvl>
  </w:abstractNum>
  <w:abstractNum w:abstractNumId="47">
    <w:nsid w:val="579478FE"/>
    <w:multiLevelType w:val="hybridMultilevel"/>
    <w:lvl w:ilvl="0">
      <w:lvlJc w:val="left"/>
      <w:lvlText w:val="%1."/>
      <w:numFmt w:val="decimal"/>
      <w:start w:val="50"/>
    </w:lvl>
  </w:abstractNum>
  <w:abstractNum w:abstractNumId="48">
    <w:nsid w:val="749ABB43"/>
    <w:multiLevelType w:val="hybridMultilevel"/>
    <w:lvl w:ilvl="0">
      <w:lvlJc w:val="left"/>
      <w:lvlText w:val="%1"/>
      <w:numFmt w:val="decimal"/>
      <w:start w:val="5"/>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2019-12-15T10:11:58Z</dcterms:created>
  <dcterms:modified xsi:type="dcterms:W3CDTF">2019-12-15T10:11:58Z</dcterms:modified>
</cp:coreProperties>
</file>