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485775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452120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7"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86360</wp:posOffset>
            </wp:positionV>
            <wp:extent cx="2381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11"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114300</wp:posOffset>
            </wp:positionV>
            <wp:extent cx="2381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507" w:right="480" w:hanging="436"/>
        <w:spacing w:after="0" w:line="249" w:lineRule="auto"/>
        <w:tabs>
          <w:tab w:leader="none" w:pos="507"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6"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85"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9" w:lineRule="exact"/>
        <w:rPr>
          <w:sz w:val="24"/>
          <w:szCs w:val="24"/>
          <w:color w:val="auto"/>
        </w:rPr>
      </w:pPr>
    </w:p>
    <w:p>
      <w:pPr>
        <w:ind w:left="547" w:right="420" w:hanging="547"/>
        <w:spacing w:after="0" w:line="181" w:lineRule="auto"/>
        <w:tabs>
          <w:tab w:leader="none" w:pos="547" w:val="left"/>
        </w:tabs>
        <w:numPr>
          <w:ilvl w:val="0"/>
          <w:numId w:val="2"/>
        </w:numPr>
        <w:rPr>
          <w:rFonts w:ascii="MS PGothic" w:cs="MS PGothic" w:eastAsia="MS PGothic" w:hAnsi="MS PGothic"/>
          <w:sz w:val="41"/>
          <w:szCs w:val="41"/>
          <w:color w:val="auto"/>
          <w:vertAlign w:val="subscript"/>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92075</wp:posOffset>
            </wp:positionV>
            <wp:extent cx="3660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2759710</wp:posOffset>
            </wp:positionH>
            <wp:positionV relativeFrom="paragraph">
              <wp:posOffset>184150</wp:posOffset>
            </wp:positionV>
            <wp:extent cx="1682750" cy="698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2750" cy="698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867" w:type="dxa"/>
        <w:tblCellMar>
          <w:top w:w="0" w:type="dxa"/>
          <w:left w:w="0" w:type="dxa"/>
          <w:bottom w:w="0" w:type="dxa"/>
          <w:right w:w="0" w:type="dxa"/>
        </w:tblCellMar>
      </w:tblPr>
      <w:tr>
        <w:trPr>
          <w:trHeight w:val="281"/>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7"/>
          </w:tcPr>
          <w:p>
            <w:pPr>
              <w:jc w:val="center"/>
              <w:ind w:right="2160"/>
              <w:spacing w:after="0"/>
              <w:rPr>
                <w:sz w:val="20"/>
                <w:szCs w:val="20"/>
                <w:color w:val="auto"/>
              </w:rPr>
            </w:pPr>
            <w:r>
              <w:rPr>
                <w:rFonts w:ascii="Times New Roman" w:cs="Times New Roman" w:eastAsia="Times New Roman" w:hAnsi="Times New Roman"/>
                <w:sz w:val="21"/>
                <w:szCs w:val="21"/>
                <w:b w:val="1"/>
                <w:bCs w:val="1"/>
                <w:color w:val="auto"/>
              </w:rPr>
              <w:t>FIDELITY NATIONAL FINANCIAL, INC.</w:t>
            </w:r>
          </w:p>
        </w:tc>
      </w:tr>
      <w:tr>
        <w:trPr>
          <w:trHeight w:val="242"/>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r>
      <w:tr>
        <w:trPr>
          <w:trHeight w:val="118"/>
        </w:trPr>
        <w:tc>
          <w:tcPr>
            <w:tcW w:w="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353"/>
        </w:trPr>
        <w:tc>
          <w:tcPr>
            <w:tcW w:w="580" w:type="dxa"/>
            <w:vAlign w:val="bottom"/>
          </w:tcPr>
          <w:p>
            <w:pPr>
              <w:spacing w:after="0"/>
              <w:rPr>
                <w:sz w:val="24"/>
                <w:szCs w:val="24"/>
                <w:color w:val="auto"/>
              </w:rPr>
            </w:pPr>
          </w:p>
        </w:tc>
        <w:tc>
          <w:tcPr>
            <w:tcW w:w="196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60" w:type="dxa"/>
            <w:vAlign w:val="bottom"/>
            <w:gridSpan w:val="4"/>
          </w:tcPr>
          <w:p>
            <w:pPr>
              <w:jc w:val="center"/>
              <w:ind w:left="1981"/>
              <w:spacing w:after="0"/>
              <w:rPr>
                <w:sz w:val="20"/>
                <w:szCs w:val="20"/>
                <w:color w:val="auto"/>
              </w:rPr>
            </w:pPr>
            <w:r>
              <w:rPr>
                <w:rFonts w:ascii="Times New Roman" w:cs="Times New Roman" w:eastAsia="Times New Roman" w:hAnsi="Times New Roman"/>
                <w:sz w:val="18"/>
                <w:szCs w:val="18"/>
                <w:b w:val="1"/>
                <w:bCs w:val="1"/>
                <w:color w:val="auto"/>
                <w:w w:val="98"/>
              </w:rPr>
              <w:t>16-1725106</w:t>
            </w:r>
          </w:p>
        </w:tc>
      </w:tr>
      <w:tr>
        <w:trPr>
          <w:trHeight w:val="146"/>
        </w:trPr>
        <w:tc>
          <w:tcPr>
            <w:tcW w:w="2540" w:type="dxa"/>
            <w:vAlign w:val="bottom"/>
            <w:gridSpan w:val="4"/>
          </w:tcPr>
          <w:p>
            <w:pPr>
              <w:jc w:val="center"/>
              <w:ind w:right="66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40" w:type="dxa"/>
            <w:vAlign w:val="bottom"/>
            <w:gridSpan w:val="2"/>
          </w:tcPr>
          <w:p>
            <w:pPr>
              <w:jc w:val="center"/>
              <w:ind w:left="369"/>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54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4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601 Riverside Avenue</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8"/>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Jacksonville, Florida, 32204</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463"/>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20" w:type="dxa"/>
            <w:vAlign w:val="bottom"/>
            <w:gridSpan w:val="3"/>
          </w:tcPr>
          <w:p>
            <w:pPr>
              <w:jc w:val="center"/>
              <w:ind w:left="939"/>
              <w:spacing w:after="0"/>
              <w:rPr>
                <w:sz w:val="20"/>
                <w:szCs w:val="20"/>
                <w:color w:val="auto"/>
              </w:rPr>
            </w:pPr>
            <w:r>
              <w:rPr>
                <w:rFonts w:ascii="Times New Roman" w:cs="Times New Roman" w:eastAsia="Times New Roman" w:hAnsi="Times New Roman"/>
                <w:sz w:val="18"/>
                <w:szCs w:val="18"/>
                <w:b w:val="1"/>
                <w:bCs w:val="1"/>
                <w:color w:val="auto"/>
                <w:w w:val="97"/>
              </w:rPr>
              <w:t>(904) 854-8100</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3"/>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11"/>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70"/>
        </w:trPr>
        <w:tc>
          <w:tcPr>
            <w:tcW w:w="580" w:type="dxa"/>
            <w:vAlign w:val="bottom"/>
          </w:tcPr>
          <w:p>
            <w:pPr>
              <w:spacing w:after="0"/>
              <w:rPr>
                <w:sz w:val="14"/>
                <w:szCs w:val="14"/>
                <w:color w:val="auto"/>
              </w:rPr>
            </w:pPr>
          </w:p>
        </w:tc>
        <w:tc>
          <w:tcPr>
            <w:tcW w:w="19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35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8"/>
        </w:trPr>
        <w:tc>
          <w:tcPr>
            <w:tcW w:w="25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color w:val="auto"/>
              </w:rPr>
              <w:t>FNF Common Stock, $0.0001 par value</w:t>
            </w:r>
          </w:p>
        </w:tc>
        <w:tc>
          <w:tcPr>
            <w:tcW w:w="980" w:type="dxa"/>
            <w:vAlign w:val="bottom"/>
          </w:tcPr>
          <w:p>
            <w:pPr>
              <w:spacing w:after="0"/>
              <w:rPr>
                <w:sz w:val="18"/>
                <w:szCs w:val="18"/>
                <w:color w:val="auto"/>
              </w:rPr>
            </w:pPr>
          </w:p>
        </w:tc>
        <w:tc>
          <w:tcPr>
            <w:tcW w:w="254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color w:val="auto"/>
              </w:rPr>
              <w:t>FNF</w:t>
            </w:r>
          </w:p>
        </w:tc>
        <w:tc>
          <w:tcPr>
            <w:tcW w:w="220" w:type="dxa"/>
            <w:vAlign w:val="bottom"/>
          </w:tcPr>
          <w:p>
            <w:pPr>
              <w:spacing w:after="0"/>
              <w:rPr>
                <w:sz w:val="18"/>
                <w:szCs w:val="18"/>
                <w:color w:val="auto"/>
              </w:rPr>
            </w:pPr>
          </w:p>
        </w:tc>
        <w:tc>
          <w:tcPr>
            <w:tcW w:w="2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99695</wp:posOffset>
            </wp:positionV>
            <wp:extent cx="3660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60" w:lineRule="exact"/>
        <w:rPr>
          <w:sz w:val="24"/>
          <w:szCs w:val="24"/>
          <w:color w:val="auto"/>
        </w:rPr>
      </w:pPr>
    </w:p>
    <w:p>
      <w:pPr>
        <w:ind w:left="47"/>
        <w:spacing w:after="0" w:line="24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 No </w:t>
      </w:r>
      <w:r>
        <w:rPr>
          <w:rFonts w:ascii="MS PGothic" w:cs="MS PGothic" w:eastAsia="MS PGothic" w:hAnsi="MS PGothic"/>
          <w:sz w:val="21"/>
          <w:szCs w:val="21"/>
          <w:color w:val="auto"/>
        </w:rPr>
        <w:t>☐</w:t>
      </w:r>
    </w:p>
    <w:p>
      <w:pPr>
        <w:spacing w:after="0" w:line="37" w:lineRule="exact"/>
        <w:rPr>
          <w:sz w:val="24"/>
          <w:szCs w:val="24"/>
          <w:color w:val="auto"/>
        </w:rPr>
      </w:pPr>
    </w:p>
    <w:p>
      <w:pPr>
        <w:ind w:left="47"/>
        <w:spacing w:after="0" w:line="247"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or No</w:t>
      </w:r>
      <w:r>
        <w:rPr>
          <w:rFonts w:ascii="MS PGothic" w:cs="MS PGothic" w:eastAsia="MS PGothic" w:hAnsi="MS PGothic"/>
          <w:sz w:val="14"/>
          <w:szCs w:val="14"/>
          <w:color w:val="auto"/>
        </w:rPr>
        <w:t>☐</w:t>
      </w:r>
    </w:p>
    <w:p>
      <w:pPr>
        <w:spacing w:after="0" w:line="28" w:lineRule="exact"/>
        <w:rPr>
          <w:sz w:val="24"/>
          <w:szCs w:val="24"/>
          <w:color w:val="auto"/>
        </w:rPr>
      </w:pPr>
    </w:p>
    <w:p>
      <w:pPr>
        <w:ind w:left="47"/>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596265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7"/>
          </w:cols>
          <w:pgMar w:left="273" w:top="227" w:right="339" w:bottom="1440" w:gutter="0" w:footer="0" w:header="0"/>
        </w:sectPr>
      </w:pPr>
    </w:p>
    <w:bookmarkStart w:id="1" w:name="page2"/>
    <w:bookmarkEnd w:id="1"/>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r>
        <w:rPr>
          <w:rFonts w:ascii="MS PGothic" w:cs="MS PGothic" w:eastAsia="MS PGothic" w:hAnsi="MS PGothic"/>
          <w:sz w:val="21"/>
          <w:szCs w:val="21"/>
          <w:color w:val="auto"/>
        </w:rPr>
        <w:t>☒</w:t>
      </w:r>
    </w:p>
    <w:p>
      <w:pPr>
        <w:spacing w:after="0" w:line="148" w:lineRule="exact"/>
        <w:rPr>
          <w:sz w:val="20"/>
          <w:szCs w:val="20"/>
          <w:color w:val="auto"/>
        </w:rPr>
      </w:pPr>
    </w:p>
    <w:p>
      <w:pPr>
        <w:jc w:val="right"/>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7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0" w:lineRule="exact"/>
        <w:rPr>
          <w:sz w:val="20"/>
          <w:szCs w:val="20"/>
          <w:color w:val="auto"/>
        </w:rPr>
      </w:pPr>
    </w:p>
    <w:p>
      <w:pPr>
        <w:sectPr>
          <w:pgSz w:w="11900" w:h="16838" w:orient="portrait"/>
          <w:cols w:equalWidth="0" w:num="4">
            <w:col w:w="4000" w:space="720"/>
            <w:col w:w="240" w:space="680"/>
            <w:col w:w="3320" w:space="720"/>
            <w:col w:w="1360"/>
          </w:cols>
          <w:pgMar w:left="320" w:top="1244" w:right="539" w:bottom="1440" w:gutter="0" w:footer="0" w:header="0"/>
        </w:sectPr>
      </w:pPr>
    </w:p>
    <w:p>
      <w:pPr>
        <w:spacing w:after="0" w:line="24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0"/>
          <w:szCs w:val="20"/>
          <w:color w:val="auto"/>
        </w:rPr>
      </w:pPr>
    </w:p>
    <w:p>
      <w:pPr>
        <w:spacing w:after="0" w:line="242"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w:t>
        <w:tab/>
        <w:t xml:space="preserve">No </w:t>
      </w:r>
      <w:r>
        <w:rPr>
          <w:rFonts w:ascii="MS PGothic" w:cs="MS PGothic" w:eastAsia="MS PGothic" w:hAnsi="MS PGothic"/>
          <w:sz w:val="21"/>
          <w:szCs w:val="21"/>
          <w:color w:val="auto"/>
        </w:rPr>
        <w: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July 31, 2025 were:</w:t>
      </w:r>
    </w:p>
    <w:p>
      <w:pPr>
        <w:spacing w:after="0" w:line="111" w:lineRule="exact"/>
        <w:rPr>
          <w:sz w:val="20"/>
          <w:szCs w:val="20"/>
          <w:color w:val="auto"/>
        </w:rPr>
      </w:pPr>
    </w:p>
    <w:p>
      <w:pPr>
        <w:ind w:left="320"/>
        <w:spacing w:after="0"/>
        <w:tabs>
          <w:tab w:leader="none" w:pos="1960" w:val="left"/>
        </w:tabs>
        <w:rPr>
          <w:sz w:val="20"/>
          <w:szCs w:val="20"/>
          <w:color w:val="auto"/>
        </w:rPr>
      </w:pPr>
      <w:r>
        <w:rPr>
          <w:rFonts w:ascii="Times New Roman" w:cs="Times New Roman" w:eastAsia="Times New Roman" w:hAnsi="Times New Roman"/>
          <w:sz w:val="18"/>
          <w:szCs w:val="18"/>
          <w:color w:val="auto"/>
        </w:rPr>
        <w:t>FNF Common Stock</w:t>
      </w:r>
      <w:r>
        <w:rPr>
          <w:sz w:val="20"/>
          <w:szCs w:val="20"/>
          <w:color w:val="auto"/>
        </w:rPr>
        <w:tab/>
      </w:r>
      <w:r>
        <w:rPr>
          <w:rFonts w:ascii="Times New Roman" w:cs="Times New Roman" w:eastAsia="Times New Roman" w:hAnsi="Times New Roman"/>
          <w:sz w:val="17"/>
          <w:szCs w:val="17"/>
          <w:color w:val="auto"/>
        </w:rPr>
        <w:t>271,722,556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793115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040"/>
          </w:cols>
          <w:pgMar w:left="320" w:top="1244" w:right="5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gridSpan w:val="4"/>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gridSpan w:val="6"/>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6"/>
              </w:rPr>
              <w:t>QUARTERLY REPORT</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20" w:type="dxa"/>
            <w:vAlign w:val="bottom"/>
            <w:gridSpan w:val="7"/>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7"/>
              </w:rPr>
              <w:t>Quarter Ended June 30, 2025</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gridSpan w:val="6"/>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20" w:type="dxa"/>
            <w:vAlign w:val="bottom"/>
            <w:gridSpan w:val="5"/>
          </w:tcPr>
          <w:p>
            <w:pPr>
              <w:jc w:val="center"/>
              <w:ind w:left="1436"/>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20" w:type="dxa"/>
            <w:vAlign w:val="bottom"/>
            <w:gridSpan w:val="11"/>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7"/>
              </w:rPr>
              <w:t>PART I. FINANCIAL INFORMATION</w:t>
            </w:r>
          </w:p>
        </w:tc>
        <w:tc>
          <w:tcPr>
            <w:tcW w:w="1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40" w:type="dxa"/>
            <w:vAlign w:val="bottom"/>
            <w:gridSpan w:val="20"/>
          </w:tcPr>
          <w:p>
            <w:pPr>
              <w:spacing w:after="0" w:line="178" w:lineRule="exact"/>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0000FF"/>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0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0000FF"/>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040" w:type="dxa"/>
            <w:vAlign w:val="bottom"/>
            <w:tcBorders>
              <w:bottom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Statements of Earnings (unaudited)</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3"/>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Statements of Comprehensive Earnings (unaudited)</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3"/>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Statements of Equity (unaudited)</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800" w:type="dxa"/>
            <w:vAlign w:val="bottom"/>
            <w:tcBorders>
              <w:bottom w:val="single" w:sz="8" w:color="0000FF"/>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960" w:type="dxa"/>
            <w:vAlign w:val="bottom"/>
            <w:tcBorders>
              <w:bottom w:val="single" w:sz="8" w:color="0000FF"/>
            </w:tcBorders>
            <w:gridSpan w:val="6"/>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65</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580" w:type="dxa"/>
            <w:vAlign w:val="bottom"/>
          </w:tcPr>
          <w:p>
            <w:pPr>
              <w:spacing w:after="0"/>
              <w:rPr>
                <w:sz w:val="16"/>
                <w:szCs w:val="16"/>
                <w:color w:val="auto"/>
              </w:rPr>
            </w:pPr>
          </w:p>
        </w:tc>
        <w:tc>
          <w:tcPr>
            <w:tcW w:w="180" w:type="dxa"/>
            <w:vAlign w:val="bottom"/>
            <w:tcBorders>
              <w:bottom w:val="single" w:sz="8" w:color="0000FF"/>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960" w:type="dxa"/>
            <w:vAlign w:val="bottom"/>
            <w:tcBorders>
              <w:bottom w:val="single" w:sz="8" w:color="0000FF"/>
            </w:tcBorders>
            <w:gridSpan w:val="6"/>
          </w:tcPr>
          <w:p>
            <w:pPr>
              <w:spacing w:after="0" w:line="20" w:lineRule="exact"/>
              <w:rPr>
                <w:sz w:val="1"/>
                <w:szCs w:val="1"/>
                <w:color w:val="auto"/>
              </w:rPr>
            </w:pPr>
          </w:p>
        </w:tc>
        <w:tc>
          <w:tcPr>
            <w:tcW w:w="2080" w:type="dxa"/>
            <w:vAlign w:val="bottom"/>
            <w:tcBorders>
              <w:bottom w:val="single" w:sz="8" w:color="0000FF"/>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020" w:type="dxa"/>
            <w:vAlign w:val="bottom"/>
            <w:gridSpan w:val="19"/>
          </w:tcPr>
          <w:p>
            <w:pPr>
              <w:spacing w:after="0" w:line="192" w:lineRule="exact"/>
              <w:rPr>
                <w:sz w:val="20"/>
                <w:szCs w:val="20"/>
                <w:color w:val="auto"/>
              </w:rPr>
            </w:pPr>
            <w:r>
              <w:rPr>
                <w:rFonts w:ascii="Times New Roman" w:cs="Times New Roman" w:eastAsia="Times New Roman" w:hAnsi="Times New Roman"/>
                <w:sz w:val="18"/>
                <w:szCs w:val="18"/>
                <w:color w:val="0E32E1"/>
              </w:rPr>
              <w:t>Item 3. Quantitative and Qualitative Disclosures about Market Risk</w:t>
            </w:r>
          </w:p>
        </w:tc>
        <w:tc>
          <w:tcPr>
            <w:tcW w:w="1760" w:type="dxa"/>
            <w:vAlign w:val="bottom"/>
            <w:gridSpan w:val="4"/>
          </w:tcPr>
          <w:p>
            <w:pPr>
              <w:jc w:val="center"/>
              <w:ind w:left="1496"/>
              <w:spacing w:after="0" w:line="192" w:lineRule="exact"/>
              <w:rPr>
                <w:sz w:val="20"/>
                <w:szCs w:val="20"/>
                <w:color w:val="auto"/>
              </w:rPr>
            </w:pPr>
            <w:r>
              <w:rPr>
                <w:rFonts w:ascii="Times New Roman" w:cs="Times New Roman" w:eastAsia="Times New Roman" w:hAnsi="Times New Roman"/>
                <w:sz w:val="18"/>
                <w:szCs w:val="18"/>
                <w:color w:val="0000FF"/>
                <w:w w:val="99"/>
              </w:rPr>
              <w:t>89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960" w:type="dxa"/>
            <w:vAlign w:val="bottom"/>
            <w:gridSpan w:val="6"/>
            <w:shd w:val="clear" w:color="auto" w:fill="0E32E1"/>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1760" w:type="dxa"/>
            <w:vAlign w:val="bottom"/>
            <w:gridSpan w:val="4"/>
          </w:tcPr>
          <w:p>
            <w:pPr>
              <w:jc w:val="center"/>
              <w:ind w:left="1496"/>
              <w:spacing w:after="0" w:line="205" w:lineRule="exact"/>
              <w:rPr>
                <w:sz w:val="20"/>
                <w:szCs w:val="20"/>
                <w:color w:val="auto"/>
              </w:rPr>
            </w:pPr>
            <w:r>
              <w:rPr>
                <w:rFonts w:ascii="Times New Roman" w:cs="Times New Roman" w:eastAsia="Times New Roman" w:hAnsi="Times New Roman"/>
                <w:sz w:val="18"/>
                <w:szCs w:val="18"/>
                <w:color w:val="0000FF"/>
                <w:w w:val="99"/>
              </w:rPr>
              <w:t>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220" w:type="dxa"/>
            <w:vAlign w:val="bottom"/>
            <w:gridSpan w:val="11"/>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7"/>
              </w:rPr>
              <w:t>PART II. OTHER INFORMATION</w:t>
            </w:r>
          </w:p>
        </w:tc>
        <w:tc>
          <w:tcPr>
            <w:tcW w:w="1580" w:type="dxa"/>
            <w:vAlign w:val="bottom"/>
          </w:tcPr>
          <w:p>
            <w:pPr>
              <w:spacing w:after="0"/>
              <w:rPr>
                <w:sz w:val="24"/>
                <w:szCs w:val="24"/>
                <w:color w:val="auto"/>
              </w:rPr>
            </w:pPr>
          </w:p>
        </w:tc>
        <w:tc>
          <w:tcPr>
            <w:tcW w:w="180" w:type="dxa"/>
            <w:vAlign w:val="bottom"/>
            <w:tcBorders>
              <w:top w:val="single" w:sz="8" w:color="0000FF"/>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040" w:type="dxa"/>
            <w:vAlign w:val="bottom"/>
            <w:gridSpan w:val="20"/>
          </w:tcPr>
          <w:p>
            <w:pPr>
              <w:spacing w:after="0" w:line="178" w:lineRule="exact"/>
              <w:rPr>
                <w:sz w:val="20"/>
                <w:szCs w:val="20"/>
                <w:color w:val="auto"/>
              </w:rPr>
            </w:pPr>
            <w:r>
              <w:rPr>
                <w:rFonts w:ascii="Times New Roman" w:cs="Times New Roman" w:eastAsia="Times New Roman" w:hAnsi="Times New Roman"/>
                <w:sz w:val="18"/>
                <w:szCs w:val="18"/>
                <w:color w:val="0000FF"/>
              </w:rPr>
              <w:t>Item 1. Legal Proceedings</w:t>
            </w:r>
          </w:p>
        </w:tc>
        <w:tc>
          <w:tcPr>
            <w:tcW w:w="1580" w:type="dxa"/>
            <w:vAlign w:val="bottom"/>
          </w:tcPr>
          <w:p>
            <w:pPr>
              <w:spacing w:after="0"/>
              <w:rPr>
                <w:sz w:val="16"/>
                <w:szCs w:val="16"/>
                <w:color w:val="auto"/>
              </w:rPr>
            </w:pPr>
          </w:p>
        </w:tc>
        <w:tc>
          <w:tcPr>
            <w:tcW w:w="180" w:type="dxa"/>
            <w:vAlign w:val="bottom"/>
            <w:tcBorders>
              <w:bottom w:val="single" w:sz="8" w:color="0000FF"/>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1A. Risk Factors</w:t>
            </w:r>
          </w:p>
        </w:tc>
        <w:tc>
          <w:tcPr>
            <w:tcW w:w="1580" w:type="dxa"/>
            <w:vAlign w:val="bottom"/>
          </w:tcPr>
          <w:p>
            <w:pPr>
              <w:spacing w:after="0"/>
              <w:rPr>
                <w:sz w:val="16"/>
                <w:szCs w:val="16"/>
                <w:color w:val="auto"/>
              </w:rPr>
            </w:pPr>
          </w:p>
        </w:tc>
        <w:tc>
          <w:tcPr>
            <w:tcW w:w="180" w:type="dxa"/>
            <w:vAlign w:val="bottom"/>
            <w:tcBorders>
              <w:bottom w:val="single" w:sz="8" w:color="0E32E1"/>
            </w:tcBorders>
            <w:gridSpan w:val="3"/>
          </w:tcPr>
          <w:p>
            <w:pPr>
              <w:jc w:val="center"/>
              <w:spacing w:after="0" w:line="192" w:lineRule="exact"/>
              <w:rPr>
                <w:sz w:val="20"/>
                <w:szCs w:val="20"/>
                <w:color w:val="auto"/>
              </w:rPr>
            </w:pPr>
            <w:r>
              <w:rPr>
                <w:rFonts w:ascii="Times New Roman" w:cs="Times New Roman" w:eastAsia="Times New Roman" w:hAnsi="Times New Roman"/>
                <w:sz w:val="18"/>
                <w:szCs w:val="18"/>
                <w:color w:val="0E32E1"/>
                <w:w w:val="99"/>
              </w:rPr>
              <w:t>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2. Unregistered Sales of Equity Securities, Use of Proceeds and Issuer Purchases of Equity Securities</w:t>
            </w:r>
          </w:p>
        </w:tc>
        <w:tc>
          <w:tcPr>
            <w:tcW w:w="1580" w:type="dxa"/>
            <w:vAlign w:val="bottom"/>
          </w:tcPr>
          <w:p>
            <w:pPr>
              <w:spacing w:after="0"/>
              <w:rPr>
                <w:sz w:val="16"/>
                <w:szCs w:val="16"/>
                <w:color w:val="auto"/>
              </w:rPr>
            </w:pPr>
          </w:p>
        </w:tc>
        <w:tc>
          <w:tcPr>
            <w:tcW w:w="180" w:type="dxa"/>
            <w:vAlign w:val="bottom"/>
            <w:tcBorders>
              <w:bottom w:val="single" w:sz="8" w:color="0000FF"/>
            </w:tcBorders>
            <w:gridSpan w:val="3"/>
          </w:tcPr>
          <w:p>
            <w:pPr>
              <w:jc w:val="center"/>
              <w:spacing w:after="0" w:line="192" w:lineRule="exact"/>
              <w:rPr>
                <w:sz w:val="20"/>
                <w:szCs w:val="20"/>
                <w:color w:val="auto"/>
              </w:rPr>
            </w:pPr>
            <w:r>
              <w:rPr>
                <w:rFonts w:ascii="Times New Roman" w:cs="Times New Roman" w:eastAsia="Times New Roman" w:hAnsi="Times New Roman"/>
                <w:sz w:val="18"/>
                <w:szCs w:val="18"/>
                <w:color w:val="0000FF"/>
                <w:w w:val="99"/>
              </w:rPr>
              <w:t>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980" w:type="dxa"/>
            <w:vAlign w:val="bottom"/>
            <w:tcBorders>
              <w:bottom w:val="single" w:sz="8" w:color="0000FF"/>
            </w:tcBorders>
            <w:gridSpan w:val="3"/>
          </w:tcPr>
          <w:p>
            <w:pPr>
              <w:spacing w:after="0" w:line="20" w:lineRule="exact"/>
              <w:rPr>
                <w:sz w:val="1"/>
                <w:szCs w:val="1"/>
                <w:color w:val="auto"/>
              </w:rPr>
            </w:pPr>
          </w:p>
        </w:tc>
        <w:tc>
          <w:tcPr>
            <w:tcW w:w="4700" w:type="dxa"/>
            <w:vAlign w:val="bottom"/>
            <w:tcBorders>
              <w:bottom w:val="single" w:sz="8" w:color="0000FF"/>
            </w:tcBorders>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1580" w:type="dxa"/>
            <w:vAlign w:val="bottom"/>
          </w:tcPr>
          <w:p>
            <w:pPr>
              <w:spacing w:after="0"/>
              <w:rPr>
                <w:sz w:val="16"/>
                <w:szCs w:val="16"/>
                <w:color w:val="auto"/>
              </w:rPr>
            </w:pPr>
          </w:p>
        </w:tc>
        <w:tc>
          <w:tcPr>
            <w:tcW w:w="180" w:type="dxa"/>
            <w:vAlign w:val="bottom"/>
            <w:tcBorders>
              <w:bottom w:val="single" w:sz="8" w:color="0000FF"/>
            </w:tcBorders>
            <w:gridSpan w:val="3"/>
          </w:tcPr>
          <w:p>
            <w:pPr>
              <w:jc w:val="center"/>
              <w:spacing w:after="0" w:line="192" w:lineRule="exact"/>
              <w:rPr>
                <w:sz w:val="20"/>
                <w:szCs w:val="20"/>
                <w:color w:val="auto"/>
              </w:rPr>
            </w:pPr>
            <w:r>
              <w:rPr>
                <w:rFonts w:ascii="Times New Roman" w:cs="Times New Roman" w:eastAsia="Times New Roman" w:hAnsi="Times New Roman"/>
                <w:sz w:val="18"/>
                <w:szCs w:val="18"/>
                <w:color w:val="0000FF"/>
                <w:w w:val="99"/>
              </w:rPr>
              <w:t>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980" w:type="dxa"/>
            <w:vAlign w:val="bottom"/>
            <w:tcBorders>
              <w:bottom w:val="single" w:sz="8" w:color="0000FF"/>
            </w:tcBorders>
            <w:gridSpan w:val="3"/>
          </w:tcPr>
          <w:p>
            <w:pPr>
              <w:spacing w:after="0" w:line="20" w:lineRule="exact"/>
              <w:rPr>
                <w:sz w:val="1"/>
                <w:szCs w:val="1"/>
                <w:color w:val="auto"/>
              </w:rPr>
            </w:pPr>
          </w:p>
        </w:tc>
        <w:tc>
          <w:tcPr>
            <w:tcW w:w="6220" w:type="dxa"/>
            <w:vAlign w:val="bottom"/>
            <w:gridSpan w:val="11"/>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580" w:type="dxa"/>
            <w:vAlign w:val="bottom"/>
          </w:tcPr>
          <w:p>
            <w:pPr>
              <w:spacing w:after="0"/>
              <w:rPr>
                <w:sz w:val="16"/>
                <w:szCs w:val="16"/>
                <w:color w:val="auto"/>
              </w:rPr>
            </w:pPr>
          </w:p>
        </w:tc>
        <w:tc>
          <w:tcPr>
            <w:tcW w:w="180" w:type="dxa"/>
            <w:vAlign w:val="bottom"/>
            <w:tcBorders>
              <w:bottom w:val="single" w:sz="8" w:color="0000FF"/>
            </w:tcBorders>
            <w:gridSpan w:val="3"/>
          </w:tcPr>
          <w:p>
            <w:pPr>
              <w:jc w:val="center"/>
              <w:spacing w:after="0" w:line="192" w:lineRule="exact"/>
              <w:rPr>
                <w:sz w:val="20"/>
                <w:szCs w:val="20"/>
                <w:color w:val="auto"/>
              </w:rPr>
            </w:pPr>
            <w:r>
              <w:rPr>
                <w:rFonts w:ascii="Times New Roman" w:cs="Times New Roman" w:eastAsia="Times New Roman" w:hAnsi="Times New Roman"/>
                <w:sz w:val="18"/>
                <w:szCs w:val="18"/>
                <w:color w:val="0000FF"/>
                <w:w w:val="99"/>
              </w:rPr>
              <w:t>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440" w:type="dxa"/>
            <w:vAlign w:val="bottom"/>
            <w:tcBorders>
              <w:bottom w:val="single" w:sz="8" w:color="0000FF"/>
            </w:tcBorders>
            <w:gridSpan w:val="2"/>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4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0000FF"/>
                <w:w w:val="97"/>
              </w:rPr>
              <w:t>Item 5. Other Information</w:t>
            </w:r>
          </w:p>
        </w:tc>
        <w:tc>
          <w:tcPr>
            <w:tcW w:w="7200" w:type="dxa"/>
            <w:vAlign w:val="bottom"/>
            <w:gridSpan w:val="14"/>
          </w:tcPr>
          <w:p>
            <w:pPr>
              <w:spacing w:after="0"/>
              <w:rPr>
                <w:sz w:val="16"/>
                <w:szCs w:val="16"/>
                <w:color w:val="auto"/>
              </w:rPr>
            </w:pPr>
          </w:p>
        </w:tc>
        <w:tc>
          <w:tcPr>
            <w:tcW w:w="1760" w:type="dxa"/>
            <w:vAlign w:val="bottom"/>
            <w:gridSpan w:val="4"/>
          </w:tcPr>
          <w:p>
            <w:pPr>
              <w:jc w:val="center"/>
              <w:ind w:left="1496"/>
              <w:spacing w:after="0" w:line="192" w:lineRule="exact"/>
              <w:rPr>
                <w:sz w:val="20"/>
                <w:szCs w:val="20"/>
                <w:color w:val="auto"/>
              </w:rPr>
            </w:pPr>
            <w:r>
              <w:rPr>
                <w:rFonts w:ascii="Times New Roman" w:cs="Times New Roman" w:eastAsia="Times New Roman" w:hAnsi="Times New Roman"/>
                <w:sz w:val="18"/>
                <w:szCs w:val="18"/>
                <w:color w:val="0000FF"/>
                <w:w w:val="99"/>
              </w:rPr>
              <w:t>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40" w:type="dxa"/>
            <w:vAlign w:val="bottom"/>
            <w:tcBorders>
              <w:top w:val="single" w:sz="8" w:color="0000FF"/>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7200" w:type="dxa"/>
            <w:vAlign w:val="bottom"/>
            <w:gridSpan w:val="14"/>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line="192" w:lineRule="exact"/>
              <w:rPr>
                <w:sz w:val="20"/>
                <w:szCs w:val="20"/>
                <w:color w:val="auto"/>
              </w:rPr>
            </w:pPr>
            <w:r>
              <w:rPr>
                <w:rFonts w:ascii="Times New Roman" w:cs="Times New Roman" w:eastAsia="Times New Roman" w:hAnsi="Times New Roman"/>
                <w:sz w:val="18"/>
                <w:szCs w:val="18"/>
                <w:color w:val="0000FF"/>
                <w:w w:val="99"/>
              </w:rPr>
              <w:t>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900" w:type="dxa"/>
            <w:vAlign w:val="bottom"/>
            <w:gridSpan w:val="16"/>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Signatures</w:t>
            </w:r>
          </w:p>
        </w:tc>
        <w:tc>
          <w:tcPr>
            <w:tcW w:w="1580" w:type="dxa"/>
            <w:vAlign w:val="bottom"/>
          </w:tcPr>
          <w:p>
            <w:pPr>
              <w:spacing w:after="0"/>
              <w:rPr>
                <w:sz w:val="16"/>
                <w:szCs w:val="16"/>
                <w:color w:val="auto"/>
              </w:rPr>
            </w:pPr>
          </w:p>
        </w:tc>
        <w:tc>
          <w:tcPr>
            <w:tcW w:w="180" w:type="dxa"/>
            <w:vAlign w:val="bottom"/>
            <w:tcBorders>
              <w:bottom w:val="single" w:sz="8" w:color="0000FF"/>
            </w:tcBorders>
            <w:gridSpan w:val="3"/>
          </w:tcPr>
          <w:p>
            <w:pPr>
              <w:jc w:val="center"/>
              <w:spacing w:after="0" w:line="192" w:lineRule="exact"/>
              <w:rPr>
                <w:sz w:val="20"/>
                <w:szCs w:val="20"/>
                <w:color w:val="auto"/>
              </w:rPr>
            </w:pPr>
            <w:r>
              <w:rPr>
                <w:rFonts w:ascii="Times New Roman" w:cs="Times New Roman" w:eastAsia="Times New Roman" w:hAnsi="Times New Roman"/>
                <w:sz w:val="18"/>
                <w:szCs w:val="18"/>
                <w:color w:val="0000FF"/>
                <w:w w:val="99"/>
              </w:rPr>
              <w:t>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par values)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7"/>
        </w:trPr>
        <w:tc>
          <w:tcPr>
            <w:tcW w:w="8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4"/>
          </w:tcPr>
          <w:p>
            <w:pPr>
              <w:jc w:val="right"/>
              <w:ind w:right="761"/>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0" w:type="dxa"/>
            <w:vAlign w:val="bottom"/>
          </w:tcPr>
          <w:p>
            <w:pPr>
              <w:spacing w:after="0"/>
              <w:rPr>
                <w:sz w:val="1"/>
                <w:szCs w:val="1"/>
                <w:color w:val="auto"/>
              </w:rPr>
            </w:pPr>
          </w:p>
        </w:tc>
      </w:tr>
      <w:tr>
        <w:trPr>
          <w:trHeight w:val="204"/>
        </w:trPr>
        <w:tc>
          <w:tcPr>
            <w:tcW w:w="890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Fixed maturity securities available for sale, at fair value, as of June 30, 2025 and December 31, 2024, at an amortized cost of $55,028</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90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6"/>
                <w:szCs w:val="16"/>
                <w:color w:val="auto"/>
              </w:rPr>
              <w:t>and $51,681, respectively, net of allowance for credit losses of $103 and $67, respectively, and includes pledged fixed maturity</w:t>
            </w:r>
          </w:p>
        </w:tc>
        <w:tc>
          <w:tcPr>
            <w:tcW w:w="2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52,047</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48,218</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securities of $445 and $495, respectively, related to secured trust deposits</w:t>
            </w:r>
          </w:p>
        </w:tc>
        <w:tc>
          <w:tcPr>
            <w:tcW w:w="2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securities, at fair value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Derivative investments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loans, net of allowance for credit losses of $75 and $70 as of June 30, 2025 and December 31, 2024, respectively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0" w:type="dxa"/>
            <w:vAlign w:val="bottom"/>
          </w:tcPr>
          <w:p>
            <w:pPr>
              <w:spacing w:after="0"/>
              <w:rPr>
                <w:sz w:val="1"/>
                <w:szCs w:val="1"/>
                <w:color w:val="auto"/>
              </w:rPr>
            </w:pPr>
          </w:p>
        </w:tc>
      </w:tr>
      <w:tr>
        <w:trPr>
          <w:trHeight w:val="207"/>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investments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63,615</w:t>
            </w:r>
          </w:p>
        </w:tc>
        <w:tc>
          <w:tcPr>
            <w:tcW w:w="0" w:type="dxa"/>
            <w:vAlign w:val="bottom"/>
          </w:tcPr>
          <w:p>
            <w:pPr>
              <w:spacing w:after="0"/>
              <w:rPr>
                <w:sz w:val="1"/>
                <w:szCs w:val="1"/>
                <w:color w:val="auto"/>
              </w:rPr>
            </w:pPr>
          </w:p>
        </w:tc>
      </w:tr>
      <w:tr>
        <w:trPr>
          <w:trHeight w:val="159"/>
        </w:trPr>
        <w:tc>
          <w:tcPr>
            <w:tcW w:w="89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Cash and cash equivalents, as of June 30, 2025 and December 31, 2024 includes $390 and $69, respectively, of pledged cash related to</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trust deposits</w:t>
            </w: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and notes receivables, net of allowance for credit losses of $33 as of June 30, 2025 and December 31, 2024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recoverable, net of allowance for credit losses of $18 and $20 as of June 30, 2025 and December 31, 2024, respectively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13,380</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 asset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assets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plants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7"/>
        </w:trPr>
        <w:tc>
          <w:tcPr>
            <w:tcW w:w="8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102,331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95,263</w:t>
            </w: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900" w:type="dxa"/>
            <w:vAlign w:val="bottom"/>
            <w:shd w:val="clear" w:color="auto" w:fill="CCEEFF"/>
          </w:tcPr>
          <w:p>
            <w:pPr>
              <w:ind w:left="47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Contractholder funds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56,404</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benefits liability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Reserve for title claim losses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 withheld for reinsurance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10,758</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trust deposits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7"/>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86,731</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w w:val="99"/>
              </w:rPr>
              <w:t>FNF common stock, $0.0001 par value; authorized 600 shares as of June 30, 2025 and December 31, 2024; outstanding of 272 and 275</w:t>
            </w:r>
          </w:p>
        </w:tc>
        <w:tc>
          <w:tcPr>
            <w:tcW w:w="2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 of June 30, 2025 and December 31, 2024, respectively</w:t>
            </w: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 authorized 50 shares; issued and outstanding, none</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 60 and 56 shares as of June 30, 2025 and December 31, 2024, at cost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0" w:type="dxa"/>
            <w:vAlign w:val="bottom"/>
          </w:tcPr>
          <w:p>
            <w:pPr>
              <w:spacing w:after="0"/>
              <w:rPr>
                <w:sz w:val="1"/>
                <w:szCs w:val="1"/>
                <w:color w:val="auto"/>
              </w:rPr>
            </w:pPr>
          </w:p>
        </w:tc>
      </w:tr>
      <w:tr>
        <w:trPr>
          <w:trHeight w:val="207"/>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Fidelity National Financial, Inc. shareholders’ equity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0" w:type="dxa"/>
            <w:vAlign w:val="bottom"/>
          </w:tcPr>
          <w:p>
            <w:pPr>
              <w:spacing w:after="0"/>
              <w:rPr>
                <w:sz w:val="1"/>
                <w:szCs w:val="1"/>
                <w:color w:val="auto"/>
              </w:rPr>
            </w:pPr>
          </w:p>
        </w:tc>
      </w:tr>
      <w:tr>
        <w:trPr>
          <w:trHeight w:val="207"/>
        </w:trPr>
        <w:tc>
          <w:tcPr>
            <w:tcW w:w="8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102,331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95,263</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jc w:val="center"/>
        <w:spacing w:after="0"/>
        <w:rPr>
          <w:sz w:val="20"/>
          <w:szCs w:val="20"/>
          <w:color w:val="auto"/>
        </w:rPr>
      </w:pPr>
      <w:r>
        <w:rPr>
          <w:rFonts w:ascii="Times New Roman" w:cs="Times New Roman" w:eastAsia="Times New Roman" w:hAnsi="Times New Roman"/>
          <w:sz w:val="14"/>
          <w:szCs w:val="14"/>
          <w:color w:val="auto"/>
        </w:rPr>
        <w:t>(In millions,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7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80" w:type="dxa"/>
            <w:vAlign w:val="bottom"/>
          </w:tcPr>
          <w:p>
            <w:pPr>
              <w:spacing w:after="0"/>
              <w:rPr>
                <w:sz w:val="13"/>
                <w:szCs w:val="13"/>
                <w:color w:val="auto"/>
              </w:rPr>
            </w:pPr>
          </w:p>
        </w:tc>
        <w:tc>
          <w:tcPr>
            <w:tcW w:w="1500" w:type="dxa"/>
            <w:vAlign w:val="bottom"/>
            <w:gridSpan w:val="5"/>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9"/>
              </w:rPr>
              <w:t>Six months ended June</w:t>
            </w:r>
          </w:p>
        </w:tc>
      </w:tr>
      <w:tr>
        <w:trPr>
          <w:trHeight w:val="192"/>
        </w:trPr>
        <w:tc>
          <w:tcPr>
            <w:tcW w:w="6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30,</w:t>
            </w:r>
          </w:p>
        </w:tc>
        <w:tc>
          <w:tcPr>
            <w:tcW w:w="580" w:type="dxa"/>
            <w:vAlign w:val="bottom"/>
            <w:tcBorders>
              <w:bottom w:val="single" w:sz="8" w:color="auto"/>
            </w:tcBorders>
          </w:tcPr>
          <w:p>
            <w:pPr>
              <w:spacing w:after="0"/>
              <w:rPr>
                <w:sz w:val="16"/>
                <w:szCs w:val="16"/>
                <w:color w:val="auto"/>
              </w:rPr>
            </w:pPr>
          </w:p>
        </w:tc>
      </w:tr>
      <w:tr>
        <w:trPr>
          <w:trHeight w:val="192"/>
        </w:trPr>
        <w:tc>
          <w:tcPr>
            <w:tcW w:w="6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5"/>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5"/>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8"/>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1940" w:type="dxa"/>
            <w:vAlign w:val="bottom"/>
            <w:gridSpan w:val="2"/>
          </w:tcPr>
          <w:p>
            <w:pPr>
              <w:ind w:left="18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3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r>
      <w:tr>
        <w:trPr>
          <w:trHeight w:val="210"/>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Recognized gains and losses, net</w:t>
            </w:r>
          </w:p>
        </w:tc>
        <w:tc>
          <w:tcPr>
            <w:tcW w:w="1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07"/>
        </w:trPr>
        <w:tc>
          <w:tcPr>
            <w:tcW w:w="6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revenues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w:t>
            </w: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Agent commissions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Benefits and other changes in policy reserves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Market risk benefit (gains) losses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title claim losses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0"/>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7"/>
        </w:trPr>
        <w:tc>
          <w:tcPr>
            <w:tcW w:w="6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expenses</w:t>
            </w:r>
          </w:p>
        </w:tc>
        <w:tc>
          <w:tcPr>
            <w:tcW w:w="1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2,700</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w:t>
            </w:r>
          </w:p>
        </w:tc>
      </w:tr>
      <w:tr>
        <w:trPr>
          <w:trHeight w:val="20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income taxes and equity in earnings of unconsolidated affiliates</w:t>
            </w: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0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equity in earnings of unconsolidated affiliates</w:t>
            </w: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interests</w:t>
            </w:r>
          </w:p>
        </w:tc>
        <w:tc>
          <w:tcPr>
            <w:tcW w:w="1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79"/>
        </w:trPr>
        <w:tc>
          <w:tcPr>
            <w:tcW w:w="618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Net earnings attributable to Fidelity National Financial, Inc. common shareholders</w:t>
            </w:r>
          </w:p>
        </w:tc>
        <w:tc>
          <w:tcPr>
            <w:tcW w:w="1780" w:type="dxa"/>
            <w:vAlign w:val="bottom"/>
          </w:tcPr>
          <w:p>
            <w:pPr>
              <w:spacing w:after="0"/>
              <w:rPr>
                <w:sz w:val="15"/>
                <w:szCs w:val="15"/>
                <w:color w:val="auto"/>
              </w:rPr>
            </w:pPr>
          </w:p>
        </w:tc>
        <w:tc>
          <w:tcPr>
            <w:tcW w:w="160" w:type="dxa"/>
            <w:vAlign w:val="bottom"/>
            <w:tcBorders>
              <w:bottom w:val="single" w:sz="8" w:color="auto"/>
            </w:tcBorders>
          </w:tcPr>
          <w:p>
            <w:pPr>
              <w:ind w:left="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278</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361</w:t>
            </w: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554</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9"/>
        </w:trPr>
        <w:tc>
          <w:tcPr>
            <w:tcW w:w="61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Earnings per share</w:t>
            </w:r>
          </w:p>
        </w:tc>
        <w:tc>
          <w:tcPr>
            <w:tcW w:w="1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5"/>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share attributable to common shareholders, basic</w:t>
            </w:r>
          </w:p>
        </w:tc>
        <w:tc>
          <w:tcPr>
            <w:tcW w:w="1940" w:type="dxa"/>
            <w:vAlign w:val="bottom"/>
            <w:gridSpan w:val="2"/>
          </w:tcPr>
          <w:p>
            <w:pPr>
              <w:ind w:left="18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3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18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Net earnings per share attributable to common shareholders, diluted</w:t>
            </w:r>
          </w:p>
        </w:tc>
        <w:tc>
          <w:tcPr>
            <w:tcW w:w="1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1.02</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1.12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1.32</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2.04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1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8"/>
        </w:trPr>
        <w:tc>
          <w:tcPr>
            <w:tcW w:w="6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9"/>
        </w:trPr>
        <w:tc>
          <w:tcPr>
            <w:tcW w:w="6180" w:type="dxa"/>
            <w:vAlign w:val="bottom"/>
          </w:tcPr>
          <w:p>
            <w:pPr>
              <w:ind w:left="3720"/>
              <w:spacing w:after="0"/>
              <w:rPr>
                <w:sz w:val="20"/>
                <w:szCs w:val="20"/>
                <w:color w:val="auto"/>
              </w:rPr>
            </w:pPr>
            <w:r>
              <w:rPr>
                <w:rFonts w:ascii="Times New Roman" w:cs="Times New Roman" w:eastAsia="Times New Roman" w:hAnsi="Times New Roman"/>
                <w:sz w:val="16"/>
                <w:szCs w:val="16"/>
                <w:color w:val="auto"/>
                <w:w w:val="96"/>
              </w:rPr>
              <w:t>See Notes to Condensed Consolidated</w:t>
            </w:r>
            <w:r>
              <w:rPr>
                <w:rFonts w:ascii="Times New Roman" w:cs="Times New Roman" w:eastAsia="Times New Roman" w:hAnsi="Times New Roman"/>
                <w:sz w:val="17"/>
                <w:szCs w:val="17"/>
                <w:color w:val="auto"/>
                <w:w w:val="96"/>
              </w:rPr>
              <w:t>4</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Financial Statements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1"/>
        </w:trPr>
        <w:tc>
          <w:tcPr>
            <w:tcW w:w="61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FIDELITY NATIONAL FINANCIAL, INC. AND SUBSIDIARIES CONDENSED CONSOLIDATED STATEMENTS OF COMPREHENSIVE EARNINGS </w:t>
      </w:r>
      <w:r>
        <w:rPr>
          <w:rFonts w:ascii="Times New Roman" w:cs="Times New Roman" w:eastAsia="Times New Roman" w:hAnsi="Times New Roman"/>
          <w:sz w:val="18"/>
          <w:szCs w:val="18"/>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8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7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1"/>
        </w:trPr>
        <w:tc>
          <w:tcPr>
            <w:tcW w:w="7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7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25"/>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Unrealized gain (loss) on investments and other financial instruments (excluding investments in</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unconsolidated affiliates) (1)</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5"/>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investments in unconsolidated affiliates (2)</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foreign currency translation (3)</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5"/>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adjustments for change in unrealized gains and losses included in net earnings (4)</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current discount rate - future policy benefits (5)</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5"/>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instrument-specific credit risk - market risk benefits (6)</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(loss) earnings attributable to non-controlling interest (7)</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5"/>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earnings attributable to non-controlling interests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Fidelity National Financial, Inc.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71" w:lineRule="exact"/>
        <w:rPr>
          <w:sz w:val="20"/>
          <w:szCs w:val="20"/>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$33 million and $(42) million for the three months ended June 30, 2025 and 2024 respectively, and $96 million and $(42) million for the six months ended June 30, 2025 and 2024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$1 million for the three months ended June 30, 2024, and $2 million and $5 million for the six months ended June 30, 2025 and 2024,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$6 million and $(1) million for the three months ended June 30, 2025 and 2024, respectively, and $7 million and $(2) million for the six months ended June 30, 2025 and 2024,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$16 million and $5 million for the three months ended June 30, 2025 and 2024, respectively, and $16 million and $1 million for the six months ended June 30, 2025 and 2024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$(14) million and $25 million for the three months ended June 30, 2025 and 2024, respectively, and $(35) million and $49 million for the six months ended June 30, 2025 and 2024,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$(8) million and $5 million for the three months ended June 30, 2025 and 2024, respectively, and $(2) million and $5 million for the six months ended June 30, 2025 and 2024,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$(3) million and $3 million for the three months ended June 30, 2025 and 2024, respectively, and $(11) million and $(2) million for the six months ended June 30, 2025 and 2024.</w:t>
      </w:r>
    </w:p>
    <w:p>
      <w:pPr>
        <w:spacing w:after="0" w:line="200" w:lineRule="exact"/>
        <w:rPr>
          <w:sz w:val="20"/>
          <w:szCs w:val="20"/>
          <w:color w:val="auto"/>
        </w:rPr>
      </w:pPr>
    </w:p>
    <w:p>
      <w:pPr>
        <w:spacing w:after="0" w:line="30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2"/>
                <w:szCs w:val="12"/>
                <w:b w:val="1"/>
                <w:bCs w:val="1"/>
                <w:color w:val="auto"/>
              </w:rPr>
              <w:t>Fidelity National Financial, Inc. Common Shareholders</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FNF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5"/>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3"/>
        </w:trPr>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gridSpan w:val="3"/>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controlling</w:t>
            </w:r>
          </w:p>
        </w:tc>
        <w:tc>
          <w:tcPr>
            <w:tcW w:w="100" w:type="dxa"/>
            <w:vAlign w:val="bottom"/>
          </w:tcPr>
          <w:p>
            <w:pPr>
              <w:spacing w:after="0"/>
              <w:rPr>
                <w:sz w:val="15"/>
                <w:szCs w:val="15"/>
                <w:color w:val="auto"/>
              </w:rPr>
            </w:pPr>
          </w:p>
        </w:tc>
        <w:tc>
          <w:tcPr>
            <w:tcW w:w="56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6"/>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56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March 31, 2024</w:t>
            </w:r>
          </w:p>
        </w:tc>
        <w:tc>
          <w:tcPr>
            <w:tcW w:w="6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329</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5,924</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5,361</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(2,029)</w:t>
            </w:r>
          </w:p>
        </w:tc>
        <w:tc>
          <w:tcPr>
            <w:tcW w:w="12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7,837</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Purchase of incremental share in consolidated subs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loss - unrealized loss on investments and</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financial instruments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Other comprehensive loss - unrealized loss on foreign currency</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translation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8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8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Dilution from share issuance by consolidated sub</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$0.48 per common 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earnings associated with noncontrolling</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w:t>
            </w:r>
          </w:p>
        </w:tc>
      </w:tr>
      <w:tr>
        <w:trPr>
          <w:trHeight w:val="197"/>
        </w:trPr>
        <w:tc>
          <w:tcPr>
            <w:tcW w:w="3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June 30, 2024</w:t>
            </w:r>
          </w:p>
        </w:tc>
        <w:tc>
          <w:tcPr>
            <w:tcW w:w="6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5,536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7,981</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3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172"/>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March 31, 2025</w:t>
            </w: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5,928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8,797</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Purchase of incremental share in consolidated subs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earnings - unrealized gain on foreign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8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loss associated with noncontrolling</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Repurchases of treasury stock</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Dilution from share issuance by consolidated sub</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Dividends declared, $0.50 per common share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278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w:t>
            </w:r>
          </w:p>
        </w:tc>
      </w:tr>
      <w:tr>
        <w:trPr>
          <w:trHeight w:val="197"/>
        </w:trPr>
        <w:tc>
          <w:tcPr>
            <w:tcW w:w="3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June 30, 2025</w:t>
            </w:r>
          </w:p>
        </w:tc>
        <w:tc>
          <w:tcPr>
            <w:tcW w:w="6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6,071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8,819</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2"/>
                <w:szCs w:val="12"/>
                <w:b w:val="1"/>
                <w:bCs w:val="1"/>
                <w:color w:val="auto"/>
              </w:rPr>
              <w:t>Fidelity National Financial, Inc. Common Shareholders</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FNF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5"/>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3"/>
        </w:trPr>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gridSpan w:val="3"/>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controlling</w:t>
            </w:r>
          </w:p>
        </w:tc>
        <w:tc>
          <w:tcPr>
            <w:tcW w:w="100" w:type="dxa"/>
            <w:vAlign w:val="bottom"/>
          </w:tcPr>
          <w:p>
            <w:pPr>
              <w:spacing w:after="0"/>
              <w:rPr>
                <w:sz w:val="15"/>
                <w:szCs w:val="15"/>
                <w:color w:val="auto"/>
              </w:rPr>
            </w:pPr>
          </w:p>
        </w:tc>
        <w:tc>
          <w:tcPr>
            <w:tcW w:w="56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6"/>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56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January 1, 2024</w:t>
            </w:r>
          </w:p>
        </w:tc>
        <w:tc>
          <w:tcPr>
            <w:tcW w:w="6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329</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5,913</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5,244</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(2,119)</w:t>
            </w:r>
          </w:p>
        </w:tc>
        <w:tc>
          <w:tcPr>
            <w:tcW w:w="12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(2,130)</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7,460</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Purchase of incremental share in consolidated subs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loss - unrealized loss on investments and</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financial instruments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Other comprehensive loss - unrealized loss on foreign currency</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translation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loss associated with noncontrolling</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Dilution from share issuance by consolidated subsidiary</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Shares withheld for taxes in treasury</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$0.96 per common 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Noncontrolling interest associated with current period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acquisitions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r>
      <w:tr>
        <w:trPr>
          <w:trHeight w:val="18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554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w:t>
            </w:r>
          </w:p>
        </w:tc>
      </w:tr>
      <w:tr>
        <w:trPr>
          <w:trHeight w:val="197"/>
        </w:trPr>
        <w:tc>
          <w:tcPr>
            <w:tcW w:w="3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June 30, 2024</w:t>
            </w:r>
          </w:p>
        </w:tc>
        <w:tc>
          <w:tcPr>
            <w:tcW w:w="6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5,536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7,981</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3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172"/>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January 1, 2025</w:t>
            </w: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5,982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(2,052)</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8,532</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Treasury stock repurchased</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Purchase of incremental share in consolidated subs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Other comprehensive earnings — unrealized gain on foreign</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loss associated with noncontrolling</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Dilution from share issuance by consolidated subsidiary</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F&amp;G common stock offering</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$1.00 per common 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Subsidiary equity repurchases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w:t>
            </w:r>
          </w:p>
        </w:tc>
      </w:tr>
      <w:tr>
        <w:trPr>
          <w:trHeight w:val="197"/>
        </w:trPr>
        <w:tc>
          <w:tcPr>
            <w:tcW w:w="3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June 30, 2025</w:t>
            </w:r>
          </w:p>
        </w:tc>
        <w:tc>
          <w:tcPr>
            <w:tcW w:w="6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6,071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8,819</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9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9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9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6"/>
                <w:szCs w:val="16"/>
                <w:color w:val="auto"/>
              </w:rPr>
            </w:pPr>
          </w:p>
        </w:tc>
      </w:tr>
      <w:tr>
        <w:trPr>
          <w:trHeight w:val="187"/>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
        </w:trPr>
        <w:tc>
          <w:tcPr>
            <w:tcW w:w="9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9"/>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earnings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Gain on sales of investments and other assets and asset impairments, net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credited/index credits to contractholder account balances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 in market risk benefits, net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policy acquisition costs and deferred sales inducements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Charges assessed to contractholders for mortality and admin</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Non-cash lease costs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Operating lease payments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Distributions from unconsolidated affiliates, return on investment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NAV of limited partnerships, net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 in valuation of derivatives, equity securities, preferred securities, and other assets, net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6"/>
        </w:trPr>
        <w:tc>
          <w:tcPr>
            <w:tcW w:w="9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Change in derivative collateral liabilities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191"/>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 in reinsurance recoverable</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6"/>
        </w:trPr>
        <w:tc>
          <w:tcPr>
            <w:tcW w:w="9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Change in future policy benefits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r>
      <w:tr>
        <w:trPr>
          <w:trHeight w:val="191"/>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 in funds withheld from reinsurers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r>
      <w:tr>
        <w:trPr>
          <w:trHeight w:val="206"/>
        </w:trPr>
        <w:tc>
          <w:tcPr>
            <w:tcW w:w="9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increase in trade receivables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1"/>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decrease in reserve for title claim losses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6"/>
        </w:trPr>
        <w:tc>
          <w:tcPr>
            <w:tcW w:w="9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2"/>
        </w:trPr>
        <w:tc>
          <w:tcPr>
            <w:tcW w:w="91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9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w:t>
            </w:r>
          </w:p>
        </w:tc>
      </w:tr>
      <w:tr>
        <w:trPr>
          <w:trHeight w:val="192"/>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5"/>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sales, calls and maturities of investment securities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Additions to property and equipment, capitalized software and title plants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(7,524)</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proceeds from sales and maturities of short-term investment securities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Acquisitions and dispositions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investments in unconsolidated affiliates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Distributions from unconsolidated affiliates, return of investment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92"/>
        </w:trPr>
        <w:tc>
          <w:tcPr>
            <w:tcW w:w="9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other investing activities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w:t>
            </w:r>
          </w:p>
        </w:tc>
      </w:tr>
      <w:tr>
        <w:trPr>
          <w:trHeight w:val="192"/>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5"/>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Borrowings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offering</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service payments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paid</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Subsidiary dividends paid to non-controlling interest shareholders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investment in consolidated subsidiary</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change in secured trust deposits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contingent consideration for prior period acquisitions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Contractholder account deposits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5,896</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Contractholder account withdrawals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(3,767)</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F&amp;G common stock offering</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5"/>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2,190</w:t>
            </w:r>
          </w:p>
        </w:tc>
      </w:tr>
      <w:tr>
        <w:trPr>
          <w:trHeight w:val="19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w:t>
            </w:r>
          </w:p>
        </w:tc>
      </w:tr>
      <w:tr>
        <w:trPr>
          <w:trHeight w:val="192"/>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2,767</w:t>
            </w:r>
          </w:p>
        </w:tc>
      </w:tr>
      <w:tr>
        <w:trPr>
          <w:trHeight w:val="224"/>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8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a leading provider of (i) title insurance, escrow and other title-related services, including loan sub-servicing, valuations, default services and home warranty, (ii)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majority-owned subsidiary, F&amp;G Annuities &amp; Life ("F&amp;G").</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information about our reportable segments refer to Note H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 Common Stock Issuance</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24, 2025, F&amp;G completed a public offering of 8,000,000 shares of F&amp;G common stock, par value $0.001 per share. In connection with the offering, F&amp;G entered into an underwriting agreement, pursuant to which they granted the underwriters of the offering a 30-day option to purchase up to an additional 1,200,000 shares of common stock. Pursuant to the underwriting agreement, the underwriters agreed to resell to FNF 4,500,000 shares of F&amp;G common stock at the same price per share paid by the underwriters, which was $33.60 per share. The underwriters option expired unexercised. F&amp;G is using the net proceeds from the offering for general corporate purposes, including the support of organic growth opportunities.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Redemption of 5.50% F&amp;G Senior Notes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On February 1, 2025, F&amp;G redeemed the outstanding $300 million aggregate principal amount of its 5.50% Senior Notes due May 1, 2025 (the "5.50% F&amp;G Senior Notes"). The notes were redeemed for a redemption price equal to 100% of the principal amount of the notes plus accrued and unpaid interest to, but excluding, the redemption date. For further information, refer to Note N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7.30% F&amp;G Junior Notes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On January 13, 2025, F&amp;G completed its public offering of its 7.30% Junior Subordinated Notes due 2065 with an aggregate principal amount of $375 million (the "7.30% F&amp;G Notes"). F&amp;G is using the net proceeds of this offering for general corporate purposes, including the repurchase, redemption or repayment at maturity of outstanding indebtedness. For further information, refer to Note N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89"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Income tax expense was $98 million and $116 million in the three months ended June 30, 2025 and 2024, respectively, and $127 million and $179 million in the six months ended June 30, 2025 and 2024, respectively. Income tax expense as a percentage of earnings before income taxes was 26% and 25% in the three months ended June 30, 2025 and 2024, respectively, and 26% and 23% in the six months ended June 30, 2025 and 2024, respectively. The increase in income tax expense as a percentage of earnings before taxes in the six months ended June 30, 2025 as compared to the corresponding period in 2024 is primarily attributable to an increase in the valuation allowance recorded in the six months ended June 30, 2025 as compared to the corresponding period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Basic earnings per share, as presented on the unaudited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stock options and shares of restricted stock, which have been treated as common share equivalents for purposes of calculating diluted earnings per share for periods in which positive earnings have been reported.</w:t>
      </w:r>
    </w:p>
    <w:p>
      <w:pPr>
        <w:spacing w:after="0" w:line="81"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Options or other instruments, which provide the ability to purchase shares of our common stock that are antidilutive, are excluded from the computation of diluted earnings per share. There were no antidilutive instruments outstanding during the three and six months ended June 30, 2025 and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Owned Distribution Investments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paid commissions on sales through our unconsolidated owned distribution investments and their affiliates of approximately $17 million and $44 million for the three months ended June 30, 2025 and 2024, respectively, and $32 million and $94 million for the six months ended June 30, 2025 and 2024, respectively. The acquisition expense is deferred and amortized in Depreciation and amortization on the accompanying unaudited Condensed Consolidated Statements of Earnings.</w:t>
      </w:r>
    </w:p>
    <w:p>
      <w:pPr>
        <w:spacing w:after="0" w:line="70"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25"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update enhance the transparency of the income tax disclosures by expanding on the disclosures required annually. The amendments require entities to disclose in their rate reconciliation table additional categories of information about federal, state, and foreign income taxes, in addition to providing details about the reconciling items in some categories if above a quantitative threshold. Additionally, the amendments require annual disclosure of income taxes paid (net of refunds received) disaggregated by jurisdiction based on a quantitative threshold. The amendments in this update are effective for public business entities for annual periods beginning after December 15, 2024.</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amendments in this update enhance transparency of certain expense captions by disclosing more granular information of specific expenses within those captions such as personnel costs, depreciation, and amortization. The amendments also require disclosure of qualitative description of amounts remaining in relevant expense captions that are not separately disaggregated. The amendments in this update are effective for all public companies for annual reporting periods beginning after December 15, 2026, and interim reporting periods beginning after December 15, 2027. Early adoption is permitted, and the amendments should be applied either prospectively to financial statements issued for reporting periods after the effective date or retrospectively to all prior periods presented in the financial statements. We do not expect to early adopt this standard and are in the process of assessing its impact on our disclosures upon adoption.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Updated Significant Accounting Policies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Since our Annual Report on Form 10-K for the year ended December 31, 2024, we have updated the following significant accounting policies for Derivative Financial Instruments and Funds Withheld Arrangements, which have been followed in preparing the accompanying unaudited Condensed Consolidated Financial Statements, primarily as a result of executing certain derivative transactions.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Freestanding Derivatives</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economically hedge certain portions of our exposure to product related equity market risk by entering into derivative transactions (primarily equity options). We also utilize certain interest rate swaps to reduce market risks from interest rate changes on our earnings associated with our floating rate investments. All such derivative instruments are recognized as either assets or liabilities in the unaudited Condensed Consolidated Balance Sheets at fair value. The changes in fair value of derivatives not designated to hedge relationships are reported within Recognized gains and losses, net in the unaudited Condensed Consolidated Statements of Earnings. The change in the fair value of these derivative instruments is included in operating activities in the unaudited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Hedge Accounting</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designate certain derivatives to fair value or cash flow hedge relationships that hedge exposures to interest rates, foreign currency, or both, associated with changes in the fair value of a recognized asset or liability (“fair value hedge”) or a forecasted transaction or variability of cash flows to be received or paid related to a recognized asset or liability (“cash flow hedge”).</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When a derivative is designated as a fair value hedge and is determined to be highly effective, changes in the fair value of the derivative included in the assessment of effectiveness are reported in the same line on the unaudited Condensed Consolidated Statements of Earnings that is used to report the earnings effect of the hedged item.</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When a derivative is designated as a cash flow hedge and is determined to be highly effective, changes in the fair value of the derivative included in the assessment of effectiveness are recorded in Accumulated Other Comprehensive Income ("AOCI") until earnings are affected by the variability of cash flows being hedged. At the time the variability of cash flows being hedged impacts net earnings, the related portion of deferred gains or losses on the derivative instrument is reclassified and reported in net earnings in the same line item on the unaudited Condensed Consolidated Statements of Earnings that is used to report the earnings effect of the hedged item.</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Any portion of the change in fair value of a derivative designated to a fair value or cash flow hedge relationship that is excluded from the assessment of effectiveness will be recorded in AOCI and amortized into earnings over the life of the remaining term of the hedge relationship.</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To qualify for hedge accounting, at hedge inception we formally document our risk management objective and strategy for entering into hedging relationships, as well as the designation of the hedge. In our hedge documentation, we explain how the hedging instrument is expected to hedge the designated risks related to the hedged item and the method that will used to test for hedge effectiveness on both a prospective and retrospective basis. A derivative designated as a hedging instrument must be assessed as being highly effective in offsetting the designated risk of the hedged item. Effectiveness of the hedge is formally assessed at inception and at least quarterly throughout the life of the hedging relationship.</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prospectively discontinue hedge accounting when (1) the criteria to qualify for hedge accounting is no longer met; (2) the derivative expires, is sold, terminated or is exercised; or (3) we de-designate the derivative from being the hedging instrument for a fair value or cash flow hedge.</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a fair value or cash flow hedge is discontinued, the derivative will continue to be carried at fair value on the unaudited Condensed Consolidated Balance Sheets, with changes in fair value recognized prospectively in Recognized gains and losses in the unaudited Condensed Consolidated Statements of Earnings.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discontinued fair value hedges, the hedged item will no longer be adjusted for changes in the hedged risk and any existing basis adjustment will be amortized into the unaudited Condensed Consolidated Statements of Earnings within the same line item that is used to report other earnings effects of the hedged item. Any amounts remaining in AOCI associated with a component of the change in derivative fair value excluded from the assessment of effectiveness will be amortized into earnings in a manner consistent with how any basis adjustment associated with the hedged item would be amortized.</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component of AOCI related to discontinued cash flow hedges where it is probable the hedged forecasted transaction will not occur, will be immediately reclassified from AOCI into earnings. In all other cases any amounts remaining in AOCI will be amortized into earnings consistent with the earnings impacts expected from the original hedged cash flows.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We purchase financial instruments that may contain embedded derivative instruments. If it is determined that the embedded derivative possesses economic characteristics that are not clearly and closely related to the economic characteristics of the host contract, and a separate instrument with the same terms would qualify as a derivative instrument, the embedded derivative is bifurcated from the host contract for measurement purposes. For further information, refer to Note E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Funds Withheld Arrangements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F&amp;G cedes certain business on a coinsurance funds withheld basis. Assets supporting the arrangements are reported within Funds withheld for reinsurance liabilities on our unaudited Condensed Consolidated Balance Sheets. All assets within Funds withheld for reinsurance liabilities are recorded in a manner consistent with each respective item of our accounting policies discussed in Note A </w:t>
      </w:r>
      <w:r>
        <w:rPr>
          <w:rFonts w:ascii="Times New Roman" w:cs="Times New Roman" w:eastAsia="Times New Roman" w:hAnsi="Times New Roman"/>
          <w:sz w:val="18"/>
          <w:szCs w:val="18"/>
          <w:i w:val="1"/>
          <w:iCs w:val="1"/>
          <w:color w:val="auto"/>
        </w:rPr>
        <w:t>Business and Summary of Significant Accounting Policies</w:t>
      </w:r>
      <w:r>
        <w:rPr>
          <w:rFonts w:ascii="Times New Roman" w:cs="Times New Roman" w:eastAsia="Times New Roman" w:hAnsi="Times New Roman"/>
          <w:sz w:val="18"/>
          <w:szCs w:val="18"/>
          <w:color w:val="auto"/>
        </w:rPr>
        <w:t>, of our Annual Report on Form 10-K for the year ended December 31, 2024. Investment results for the assets that support the coinsurance are segregated within the funds withheld account and are passed directly to the reinsurer pursuant to the contractual terms of the reinsurance agreement, which creates embedded derivatives considered to be total return swaps. These embedded derivatives are not clearly and closely related to the underlying reinsurance agreement and thus require bifurcation. The fair value of the total return swaps is based 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change in fair value of the underlying assets held in the funds withheld account. Beginning in the first quarter of 2025, these embedded derivatives are reported in Funds withheld for reinsurance liabilities, irrespective if in a net asset position or a net liability position, on the unaudited Condensed Consolidated Balance Sheets and prior periods have been reclassified from Prepaid expenses and other assets to conform with the current presentation. The related gains or losses are reported in Recognized gains and losses, net, on our unaudited Condensed Consolidated Statements of Earnings. Refer to Note C </w:t>
      </w:r>
      <w:r>
        <w:rPr>
          <w:rFonts w:ascii="Times New Roman" w:cs="Times New Roman" w:eastAsia="Times New Roman" w:hAnsi="Times New Roman"/>
          <w:sz w:val="18"/>
          <w:szCs w:val="18"/>
          <w:i w:val="1"/>
          <w:iCs w:val="1"/>
          <w:color w:val="auto"/>
        </w:rPr>
        <w:t>Fair Value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for descriptions of the fair value methodologies used for these and other derivative financial instruments and Note E</w:t>
      </w:r>
      <w:r>
        <w:rPr>
          <w:rFonts w:ascii="Times New Roman" w:cs="Times New Roman" w:eastAsia="Times New Roman" w:hAnsi="Times New Roman"/>
          <w:sz w:val="18"/>
          <w:szCs w:val="18"/>
          <w:i w:val="1"/>
          <w:iCs w:val="1"/>
          <w:color w:val="auto"/>
        </w:rPr>
        <w:t xml:space="preserve"> Derivatives,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on these and other derivatives.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Reserve for Title Claim Losses</w:t>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summary of the reserve for title claim losses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264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Pr>
          <w:p>
            <w:pPr>
              <w:spacing w:after="0"/>
              <w:rPr>
                <w:sz w:val="16"/>
                <w:szCs w:val="16"/>
                <w:color w:val="auto"/>
              </w:rPr>
            </w:pPr>
          </w:p>
        </w:tc>
      </w:tr>
      <w:tr>
        <w:trPr>
          <w:trHeight w:val="24"/>
        </w:trPr>
        <w:tc>
          <w:tcPr>
            <w:tcW w:w="7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r>
      <w:tr>
        <w:trPr>
          <w:trHeight w:val="192"/>
        </w:trPr>
        <w:tc>
          <w:tcPr>
            <w:tcW w:w="7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gridSpan w:val="3"/>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6"/>
                <w:szCs w:val="16"/>
                <w:color w:val="auto"/>
              </w:rPr>
            </w:pPr>
          </w:p>
        </w:tc>
      </w:tr>
      <w:tr>
        <w:trPr>
          <w:trHeight w:val="23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3"/>
              </w:rPr>
              <w:t>1,713</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1,770</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insurance recoverable</w:t>
            </w:r>
          </w:p>
        </w:tc>
        <w:tc>
          <w:tcPr>
            <w:tcW w:w="960" w:type="dxa"/>
            <w:vAlign w:val="bottom"/>
          </w:tcPr>
          <w:p>
            <w:pPr>
              <w:spacing w:after="0"/>
              <w:rPr>
                <w:sz w:val="19"/>
                <w:szCs w:val="19"/>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loss provision related to:</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5"/>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107</w:t>
            </w:r>
          </w:p>
        </w:tc>
      </w:tr>
      <w:tr>
        <w:trPr>
          <w:trHeight w:val="218"/>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title claim loss provision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107</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Claims paid, net of recoupments related to:</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(135)</w:t>
            </w:r>
          </w:p>
        </w:tc>
      </w:tr>
      <w:tr>
        <w:trPr>
          <w:trHeight w:val="218"/>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title claims paid, net of recoupments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(140)</w:t>
            </w:r>
          </w:p>
        </w:tc>
      </w:tr>
      <w:tr>
        <w:trPr>
          <w:trHeight w:val="21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of claim loss reserve for title insurance</w:t>
            </w:r>
          </w:p>
        </w:tc>
        <w:tc>
          <w:tcPr>
            <w:tcW w:w="9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93"/>
              </w:rPr>
              <w:t>1,695</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8"/>
              </w:rPr>
              <w:t>1,721</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title insurance claim losses as a percentage of title insurance premiums</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Several lawsuits were filed by various parties against Chicago Title Company and Chicago Title Insurance Company as its principal (collectively, the “Named Companies”) by plaintiffs claiming they were investors who were solicited by Gina Champion-Cain through her former company, ANI Development LLC (“ANI”), or other affiliates to provide funds placed in an escrow account that purportedly were to be used for high-interest, short-term loans to parties seeking to acquire California alcoholic beverage licenses. Plaintiffs further alleged that employees of Chicago Title Company assisted Ms. Champion-Cain and her entities in diverting the funds placed into an escrow account maintained by Chicago Title Company into which some of the plaintiffs’ funds were deposited.</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connection with the alcoholic beverage license scheme, the SEC filed a civil enforcement proceeding asserting claims for securities fraud against Champion-Cain and ANI in a lawsuit styled, </w:t>
      </w:r>
      <w:r>
        <w:rPr>
          <w:rFonts w:ascii="Times New Roman" w:cs="Times New Roman" w:eastAsia="Times New Roman" w:hAnsi="Times New Roman"/>
          <w:sz w:val="18"/>
          <w:szCs w:val="18"/>
          <w:i w:val="1"/>
          <w:iCs w:val="1"/>
          <w:color w:val="auto"/>
        </w:rPr>
        <w:t>Securities and Exchange Commission v. Gina Champion-Cain and ANI Development, LLC</w:t>
      </w:r>
      <w:r>
        <w:rPr>
          <w:rFonts w:ascii="Times New Roman" w:cs="Times New Roman" w:eastAsia="Times New Roman" w:hAnsi="Times New Roman"/>
          <w:sz w:val="18"/>
          <w:szCs w:val="18"/>
          <w:color w:val="auto"/>
        </w:rPr>
        <w:t xml:space="preserve">, pending in the United States District Court for the Southern District of California. The receiver, who was appointed by the court to preserve the assets of the defendant affiliated entities, then filed a lawsuit in San Diego County Superior Court against the Named Companies seeking damages in a lawsuit styled, </w:t>
      </w:r>
      <w:r>
        <w:rPr>
          <w:rFonts w:ascii="Times New Roman" w:cs="Times New Roman" w:eastAsia="Times New Roman" w:hAnsi="Times New Roman"/>
          <w:sz w:val="18"/>
          <w:szCs w:val="18"/>
          <w:i w:val="1"/>
          <w:iCs w:val="1"/>
          <w:color w:val="auto"/>
        </w:rPr>
        <w:t>Krista Freitag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Chicago Title Co. and Chicago Title Ins. Co. </w:t>
      </w:r>
      <w:r>
        <w:rPr>
          <w:rFonts w:ascii="Times New Roman" w:cs="Times New Roman" w:eastAsia="Times New Roman" w:hAnsi="Times New Roman"/>
          <w:sz w:val="18"/>
          <w:szCs w:val="18"/>
          <w:color w:val="auto"/>
        </w:rPr>
        <w:t>The Named Companies reached a global settlement with the receiver and several other investor claimants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jointly sought court approval of the global settlement and entry of an order barring any claims against the Named Companies related to the alcoholic beverage license scheme. On November 23, 2022, the federal court overruled any objections by non-joining investors and entered an order approving the global settlement barring further claims against the Named Companies, among others (“Settlement and Bar Orders”). After her receipt of the settlement funds, the receiver dismissed the lawsuit against the Named Companies.</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Some of the investor claimants who objected to the entry of the Settlement and Bar Orders appealed the decision to the United States Court of Appeals for the Ninth Circuit (Cases 22-56206, 22-56208, and 23-55083). On February 20, 2025, the Ninth Circuit affirmed the district court’s Settlement and Bar Orders, barring all ongoing and future litigation against CTC, among others, stemming from the scheme operated by Ms. Champion-Cain. On April 10, 2025, the appellants filed a petition for rehearing or rehearing en banc requesting the Ninth Circuit to reconsider its decision, but the petition was denied.</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investor claimants who unsuccessfully appealed the entry of the Settlement and Bar Orders to the Ninth Circuit filed petitions for writ of certiorari requesting that the U.S. Supreme Court review the lower court decisions. Their petitions argue that conflicting rulings among U.S. Circuit Courts of Appeal exist regarding the appropriateness of bar orders in equitable receiverships. The U.S. Supreme Court has not yet decided whether it will hear the cases (Cases 24-1192 and </w:t>
      </w:r>
      <w:r>
        <w:rPr>
          <w:rFonts w:ascii="Times New Roman" w:cs="Times New Roman" w:eastAsia="Times New Roman" w:hAnsi="Times New Roman"/>
          <w:sz w:val="18"/>
          <w:szCs w:val="18"/>
          <w:i w:val="1"/>
          <w:iCs w:val="1"/>
          <w:color w:val="auto"/>
        </w:rPr>
        <w:t>Kim Peterson, et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al., Petitioners v. Krista Freitag, Receiver, et al., Respondents</w:t>
      </w:r>
      <w:r>
        <w:rPr>
          <w:rFonts w:ascii="Times New Roman" w:cs="Times New Roman" w:eastAsia="Times New Roman" w:hAnsi="Times New Roman"/>
          <w:sz w:val="18"/>
          <w:szCs w:val="18"/>
          <w:color w:val="auto"/>
        </w:rPr>
        <w:t>). The remaining lawsuits pending in the Superior Court of San Diego County for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involving claimants/investors who objected to the Settlement and Bar Orders are stayed pending the conclusion of the appellate process.</w:t>
      </w:r>
    </w:p>
    <w:p>
      <w:pPr>
        <w:spacing w:after="0" w:line="5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Chicago Title Company has also resolved a number of other pre-suit claims and previously disclosed lawsuits from both individual and groups of alleged investors under confidential terms. Based on the facts and circumstances of the remaining claims, including the settlements already reached, we have recorded reserves included in our reserve for title claim losses, which we believe are adequate to cover losses related to this matter, and believe that our reserves for title claim losses are adequate.</w:t>
      </w:r>
    </w:p>
    <w:p>
      <w:pPr>
        <w:spacing w:after="0" w:line="6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additional reserve adjustments may be required in future periods to maintain our recorded reserve within a reasonable range of our actuary's central estimate.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Fair Value of Financial Instruments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along with net asset value. The three-level hierarchy for fair value measurement is defined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Values are unadjusted quoted prices for identical assets and liabilities in active markets accessible at the measurement date.</w:t>
      </w:r>
    </w:p>
    <w:p>
      <w:pPr>
        <w:spacing w:after="0" w:line="85"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or liabilities in active markets, quoted prices from those willing to trade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market data for the term of the instrument. Such inputs include market interest rates and volatilities, spreads, and yield curves.</w:t>
      </w:r>
    </w:p>
    <w:p>
      <w:pPr>
        <w:spacing w:after="0" w:line="4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Certain inputs are unobservable (supported by little or no market activity) and significant to the fair value measurement. Unobservable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Company’s best estimate of what hypothetical market participants would use to determine a transaction price for the asset or liability at the reporting date based on the best information available in the circumstances.</w:t>
      </w:r>
    </w:p>
    <w:p>
      <w:pPr>
        <w:spacing w:after="0" w:line="40" w:lineRule="exact"/>
        <w:rPr>
          <w:sz w:val="20"/>
          <w:szCs w:val="20"/>
          <w:color w:val="auto"/>
        </w:rPr>
      </w:pPr>
    </w:p>
    <w:p>
      <w:pPr>
        <w:jc w:val="both"/>
        <w:ind w:left="4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Net Asset Value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NAV</w:t>
      </w:r>
      <w:r>
        <w:rPr>
          <w:rFonts w:ascii="Times New Roman" w:cs="Times New Roman" w:eastAsia="Times New Roman" w:hAnsi="Times New Roman"/>
          <w:sz w:val="18"/>
          <w:szCs w:val="18"/>
          <w:color w:val="auto"/>
        </w:rPr>
        <w:t>") - Certain equity investments are measured using NAV as a practical expedient in determining fair value. In addition,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affiliates (primarily limited partnerships) are primarily accounted for using the equity method of accounting with fair value determined using NAV as a practical expedient. Our carrying value reflects our pro rata ownership percentage as indicated by NAV in the unconsolidated affiliate's financial statements, which we may adjust if we determine NAV is not calculated consistent with investment company fair value principles. The underlying investments of the unconsolidated affiliates may have significant unobservable inputs, which may include, but are not limited to, comparable multiples and weighted average cost of capital rates applied in valuation models or a discounted cash flow model. Additionally, management inquires quarterly with the general partner to determine whether any credit or other market events have occurred since prior period financial statements to ensure any material events are properly included in current period valuation and investment income.</w:t>
      </w:r>
    </w:p>
    <w:p>
      <w:pPr>
        <w:spacing w:after="0" w:line="9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inherently more difficult. In addition to the unobservable inputs, Level 3 fair value investments may include observable components, which are components that are actively quoted or can be validated to market-based sources.</w:t>
      </w:r>
    </w:p>
    <w:p>
      <w:pPr>
        <w:spacing w:after="0" w:line="15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3,272</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 ("ABS")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18,345</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5,390</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22,339</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receivable, included in Prepaid expenses and other assets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24"/>
        </w:trPr>
        <w:tc>
          <w:tcPr>
            <w:tcW w:w="55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assets at fair value</w:t>
            </w: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550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color w:val="auto"/>
              </w:rPr>
              <w:t>Indexed annuities/indexed universal life insurance ("IUL") embedded derivatives, included</w:t>
            </w: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100" w:type="dxa"/>
            <w:vAlign w:val="bottom"/>
          </w:tcPr>
          <w:p>
            <w:pPr>
              <w:spacing w:after="0"/>
              <w:rPr>
                <w:sz w:val="11"/>
                <w:szCs w:val="11"/>
                <w:color w:val="auto"/>
              </w:rPr>
            </w:pPr>
          </w:p>
        </w:tc>
        <w:tc>
          <w:tcPr>
            <w:tcW w:w="1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0" w:type="dxa"/>
            <w:vAlign w:val="bottom"/>
          </w:tcPr>
          <w:p>
            <w:pPr>
              <w:spacing w:after="0"/>
              <w:rPr>
                <w:sz w:val="1"/>
                <w:szCs w:val="1"/>
                <w:color w:val="auto"/>
              </w:rPr>
            </w:pPr>
          </w:p>
        </w:tc>
      </w:tr>
      <w:tr>
        <w:trPr>
          <w:trHeight w:val="189"/>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 Contractholder funds</w:t>
            </w:r>
          </w:p>
        </w:tc>
        <w:tc>
          <w:tcPr>
            <w:tcW w:w="22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50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Foreign currency swaps and other derivative instruments, included in Accounts payable and</w:t>
            </w: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50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color w:val="auto"/>
              </w:rPr>
              <w:t>Reinsurance related embedded derivatives, included in Funds withheld for reinsurance</w:t>
            </w:r>
          </w:p>
        </w:tc>
        <w:tc>
          <w:tcPr>
            <w:tcW w:w="2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9"/>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obligation, included in Accounts payable and accrued liabilities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24"/>
        </w:trPr>
        <w:tc>
          <w:tcPr>
            <w:tcW w:w="55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liabilities at fair value</w:t>
            </w: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receivable, included in Prepaid expenses and other assets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24"/>
        </w:trPr>
        <w:tc>
          <w:tcPr>
            <w:tcW w:w="55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assets at fair value</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57,195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Indexed annuities/IUL embedded derivatives, included in Contractholder funds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rate swaps, included in Accounts payable and accrued liabilities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options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0"/>
        </w:trPr>
        <w:tc>
          <w:tcPr>
            <w:tcW w:w="5500" w:type="dxa"/>
            <w:vAlign w:val="bottom"/>
            <w:shd w:val="clear" w:color="auto" w:fill="CCEEFF"/>
          </w:tcPr>
          <w:p>
            <w:pPr>
              <w:ind w:left="220"/>
              <w:spacing w:after="0" w:line="140" w:lineRule="exact"/>
              <w:rPr>
                <w:sz w:val="20"/>
                <w:szCs w:val="20"/>
                <w:color w:val="auto"/>
              </w:rPr>
            </w:pPr>
            <w:r>
              <w:rPr>
                <w:rFonts w:ascii="Times New Roman" w:cs="Times New Roman" w:eastAsia="Times New Roman" w:hAnsi="Times New Roman"/>
                <w:sz w:val="14"/>
                <w:szCs w:val="14"/>
                <w:color w:val="auto"/>
              </w:rPr>
              <w:t>Reinsurance related embedded derivatives, included in Funds withheld for reinsurance</w:t>
            </w:r>
          </w:p>
        </w:tc>
        <w:tc>
          <w:tcPr>
            <w:tcW w:w="2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 obligation, included in Accounts payable and accrued liabilities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192"/>
        </w:trPr>
        <w:tc>
          <w:tcPr>
            <w:tcW w:w="55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liabilities at fair value</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amounts reported in the unaudited Condensed Consolidated Balance Sheets for these instruments approximate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Preferred and Equity Securities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measure the fair value of our securities based on assumptions used by market participants in pricing the security. The most appropriate valuation methodology is selected based on the specific characteristics of the fixed maturity, preferred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analyze the third-party valuation methodologies and related inputs to perform assessments to determine the appropriate level within the fair value hierarchy. However, we did not adjust prices received from third parties as of June 30, 2025 or December 31, 2024.</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equity investments are measured using NAV as a practical expedient in determining fair value.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Derivative contracts can either be exchange traded or traded over the counter. Exchange traded derivatives typically fall within Level 1 of the fair value hierarchy if there is active trading activity. Two methods are used to value over-the-counter derivatives. When required inputs are available, certain derivatives are valued using valuation pricing models, which represent what we would expect to receive or pay at the balance sheet date if we cancelled or exercised the derivative or entered into offsetting positions. Valuation models require a variety of inputs, which include the use of market-observable inputs, including interest rate, yield curve volatilities, foreign currency exchange rates and other factors. These over-the-counter derivatives are typically classified within Level 2 of the fair value hierarchy as the majority trade in liquid markets, we can verify model inputs and model selection does not involve significant management judgment. When inputs are not available for valuation models, certain over-the-counter derivatives are valued using independent broker quotes, which are based on unobservable market data and classified within Level 3.</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the reinsurance-related embedded derivatives in our funds withheld reinsurance agreements are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w:t>
      </w:r>
    </w:p>
    <w:p>
      <w:pPr>
        <w:spacing w:after="0" w:line="7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fair value measurement of the indexed annuities/IUL embedded derivatives included in Contractholder funds and the reinsured indexed crediting feature embedded derivatives recorded as a component of the Reinsurance recoverable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equity options in future periods to fund the equity indexed linked feature), surrender rates, mortality multiplier and non-performance spread. The mortality multiplier at June 30, 2025 and December 31, 2024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elected the fair value option (“FVO”) for certain investments in unconsolidated affiliates as we believe this better aligns them with other investments in unconsolidated affiliates that are measured using NAV as a practical expedient in determining fair value. Investments measured using the FVO are included in Level 3 and the fair values of these investments are determined using a multiple of the affiliates’ earnings before interest, taxes, depreciation and amortization ("EBITDA"). The EBITDA is based on the affiliates’ financial information. The multiple is derived from market analysis of transactions involving comparable companies. The inputs are considered unobservable, as not all market participants have access to this data.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hold a fund-linked note, which provides for an additional payment at maturity based on the value of an embedded derivative based on the actual return of a dedicated return fund. Fair value of the embedded derivative is based on an unobservable input, the NAV of the fund at the balance sheet date. The embedded derivative is similar to an equity option on the NAV of the fund with a strike price of zero since F&amp;G will not be required to make any additional payments at maturity of the fund-linked note in order to receive the NAV of the fund on the maturity date. A Black-Scholes model determines the NAV of the fund as the fair value of the equity option regardless of the values used for the other inputs to the option pricing model. The NAV of the fund is provided by the fund manager at the end of each calendar month and represents the value an investor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E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the credit-linked note is based on a weighted average of a broker quote and a discounted cash flow analysis.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amounts reported in the unaudited Condensed Consolidated Balance Sheets for these instruments approximate fair value. Certain short-term investments are valued based on third-party pricing services or broker quotes and are classified as Level 2 or 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Obligation</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contingent consideration is measured at fair value using a discounted cash flow model applied using a Monte Carlo simulation of estimated EBITDA at each measurement period and for each simulated path relative to contractual EBITDA milestones. The Monte Carlo simulation utilizes a risk-adjusted discount rate, volatility assumption, and risk-free rates to assess the probability Roar, LLC's ("Roar") EBITDA trajectory reaches required milestones for the earn out payments to be made. The discounted cash flow approach applies a company-specific discount rate based on F&amp;G credit profile to future expected earn out payments to calculate the estimated fair value based on the average outcome from the simulation.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Mortgage servicing rights are measured at fair value using a discounted cash flow model, which incorporates assumptions that market participants use in estimating future net servicing income cash flows. These assumptions include estimates of prepayment rates, discount rates, cost to service (including delinquency and foreclosure costs), escrow account earnings, contractual servicing fee income, and ancillary income.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 Benefits ("MRBs")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MRBs (inclusive of reinsured MRBs) are measured at fair value using an attributed fee measurement approach where attributed fees are explicit rider charges collectible from the policyholder (or paid to the reinsurer) used to cover the excess benefits. The fair value is calculated using a risk neutral valuation method and is based on current net amounts at risk, market data, internal and industry experience, and other factors. The balances are computed using assumptions including mortality, full and partial surrender, rider benefit utilization, risk-free rates including non-performance spread and risk margin, market value of options, and economic scenarios. Policyholder behavior assumptions are reviewed at least annually, typically in the third quarter, for any revisions. Reinsured MRBs are valued using a methodology consistent with direct MRBs, with the exception of the non-performance spread, which reflects the credit of the reinsurer. See further discussion on MRBs in Note O </w:t>
      </w:r>
      <w:r>
        <w:rPr>
          <w:rFonts w:ascii="Times New Roman" w:cs="Times New Roman" w:eastAsia="Times New Roman" w:hAnsi="Times New Roman"/>
          <w:sz w:val="18"/>
          <w:szCs w:val="18"/>
          <w:i w:val="1"/>
          <w:iCs w:val="1"/>
          <w:color w:val="auto"/>
        </w:rPr>
        <w:t>Market Risk Benefits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Quantitative information regarding significant unobservable inputs used for recurring Level 3 fair value measurements of financial instruments carried at fair value as of June 30, 2025 and December 31, 2024, excluding assets and liabilities for which significant quantitative unobservable inputs are not developed internally and not readily available to the Company (primarily those valued using broker quotes and certain third-party pricing services), are as follows: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8"/>
                <w:szCs w:val="18"/>
                <w:color w:val="auto"/>
              </w:rPr>
            </w:pP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980" w:type="dxa"/>
            <w:vAlign w:val="bottom"/>
            <w:tcBorders>
              <w:bottom w:val="single" w:sz="8" w:color="CCEEFF"/>
            </w:tcBorders>
            <w:gridSpan w:val="2"/>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w w:val="99"/>
              </w:rPr>
              <w:t>5.27%</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- 7.43% (6.45%)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13.33%</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- 100.00% (97.22%)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Corporates</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w w:val="99"/>
              </w:rPr>
              <w:t>3.85%</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- 23.39% (6.41%)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5.36%</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- 5.36% (5.36%)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w w:val="99"/>
              </w:rPr>
              <w:t>5.70%</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- 5.70% (5.70%)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Governments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9.07%</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- 9.07% (9.07%)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100.00% - 100.00% (100.00%)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14.10%</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- 14.10% (14.10%)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Market Comparable Company</w:t>
            </w: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5.6x - 5.6x (5.6x)</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Analysis</w:t>
            </w:r>
          </w:p>
        </w:tc>
        <w:tc>
          <w:tcPr>
            <w:tcW w:w="1940" w:type="dxa"/>
            <w:vAlign w:val="bottom"/>
            <w:gridSpan w:val="2"/>
            <w:vMerge w:val="continue"/>
          </w:tcPr>
          <w:p>
            <w:pPr>
              <w:spacing w:after="0"/>
              <w:rPr>
                <w:sz w:val="16"/>
                <w:szCs w:val="16"/>
                <w:color w:val="auto"/>
              </w:rPr>
            </w:pPr>
          </w:p>
        </w:tc>
        <w:tc>
          <w:tcPr>
            <w:tcW w:w="23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6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Market Comparable Company</w:t>
            </w: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8.4x - 12.4x (9.80x)</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36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Analysis</w:t>
            </w:r>
          </w:p>
        </w:tc>
        <w:tc>
          <w:tcPr>
            <w:tcW w:w="1940" w:type="dxa"/>
            <w:vAlign w:val="bottom"/>
            <w:gridSpan w:val="2"/>
            <w:vMerge w:val="continue"/>
            <w:shd w:val="clear" w:color="auto" w:fill="CCEEFF"/>
          </w:tcPr>
          <w:p>
            <w:pPr>
              <w:spacing w:after="0"/>
              <w:rPr>
                <w:sz w:val="17"/>
                <w:szCs w:val="17"/>
                <w:color w:val="auto"/>
              </w:rPr>
            </w:pPr>
          </w:p>
        </w:tc>
        <w:tc>
          <w:tcPr>
            <w:tcW w:w="234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6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2"/>
                <w:szCs w:val="12"/>
                <w:color w:val="auto"/>
              </w:rPr>
            </w:pP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Black Scholes Model</w:t>
            </w:r>
          </w:p>
        </w:tc>
        <w:tc>
          <w:tcPr>
            <w:tcW w:w="194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Market Value of AnchorPath</w:t>
            </w:r>
          </w:p>
        </w:tc>
        <w:tc>
          <w:tcPr>
            <w:tcW w:w="2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36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vMerge w:val="continue"/>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w:t>
            </w:r>
          </w:p>
        </w:tc>
        <w:tc>
          <w:tcPr>
            <w:tcW w:w="234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 receivable</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6.81%</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- 6.81% (6.81%)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Collateral Volatility</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35.00%</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- 35.00% (35.00%)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7.66%</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- 12.52% (9.35%)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Conditional Prepayment Rate</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w w:val="99"/>
              </w:rPr>
              <w:t>5.95%</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-13.85% (8.19%)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80.00%</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- 115.00%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w w:val="99"/>
              </w:rPr>
              <w:t>0.25%</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- 30.00% (5.01%)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0.00%</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- 24.39% (2.48%)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w w:val="99"/>
              </w:rPr>
              <w:t>0.48%</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- 0.95% (0.75%)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50.00%</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- 75.00% (62.37%)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Total financial assets at fair value (a)</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336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2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60" w:type="dxa"/>
            <w:vAlign w:val="bottom"/>
            <w:gridSpan w:val="3"/>
            <w:shd w:val="clear" w:color="auto" w:fill="CCEEFF"/>
          </w:tcPr>
          <w:p>
            <w:pPr>
              <w:ind w:left="200"/>
              <w:spacing w:after="0" w:line="140" w:lineRule="exact"/>
              <w:rPr>
                <w:sz w:val="20"/>
                <w:szCs w:val="20"/>
                <w:color w:val="auto"/>
              </w:rPr>
            </w:pPr>
            <w:r>
              <w:rPr>
                <w:rFonts w:ascii="Times New Roman" w:cs="Times New Roman" w:eastAsia="Times New Roman" w:hAnsi="Times New Roman"/>
                <w:sz w:val="14"/>
                <w:szCs w:val="14"/>
                <w:color w:val="auto"/>
              </w:rPr>
              <w:t>Indexed annuities/ IUL embedded derivatives,</w:t>
            </w: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100" w:type="dxa"/>
            <w:vAlign w:val="bottom"/>
            <w:shd w:val="clear" w:color="auto" w:fill="CCEEFF"/>
          </w:tcPr>
          <w:p>
            <w:pPr>
              <w:spacing w:after="0"/>
              <w:rPr>
                <w:sz w:val="12"/>
                <w:szCs w:val="12"/>
                <w:color w:val="auto"/>
              </w:rPr>
            </w:pP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0.00%</w:t>
            </w:r>
          </w:p>
        </w:tc>
        <w:tc>
          <w:tcPr>
            <w:tcW w:w="1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- 20.78% (2.76%)</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included in Contractholder funds</w:t>
            </w:r>
          </w:p>
        </w:tc>
        <w:tc>
          <w:tcPr>
            <w:tcW w:w="16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vMerge w:val="continue"/>
            <w:shd w:val="clear" w:color="auto" w:fill="CCEEFF"/>
          </w:tcPr>
          <w:p>
            <w:pPr>
              <w:spacing w:after="0"/>
              <w:rPr>
                <w:sz w:val="17"/>
                <w:szCs w:val="17"/>
                <w:color w:val="auto"/>
              </w:rPr>
            </w:pPr>
          </w:p>
        </w:tc>
        <w:tc>
          <w:tcPr>
            <w:tcW w:w="1940" w:type="dxa"/>
            <w:vAlign w:val="bottom"/>
            <w:gridSpan w:val="2"/>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9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80.00%</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- 115.00% (100.00%)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0.25%</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- 50.00% (6.55%)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Withdrawals</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w w:val="99"/>
              </w:rPr>
              <w:t>2.00%</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- 37.04% (2.71%)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0.48%</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- 0.95% (0.75%)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w w:val="99"/>
              </w:rPr>
              <w:t>0.07%</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- 5.70% (2.75%)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12.50%</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- 12.50% (12.50%)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 Volatility</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35.00%</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- 35.00% (35.00%)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Counterparty Discount Rate</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w w:val="99"/>
              </w:rPr>
              <w:t>6.00%</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- 6.00% (6.00%)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80.00%</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- 115.00%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w w:val="99"/>
              </w:rPr>
              <w:t>0.25%</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- 30.00% (5.01%)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0.00%</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- 24.39% (2.48%)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w w:val="99"/>
              </w:rPr>
              <w:t>0.48%</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- 0.95% (0.75%)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50.00%</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- 75.00% (62.37%)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6,505</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
        <w:spacing w:after="0" w:line="290" w:lineRule="auto"/>
        <w:tabs>
          <w:tab w:leader="none" w:pos="19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of $11,784 million and liabilities of $5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8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840" w:type="dxa"/>
            <w:vAlign w:val="bottom"/>
            <w:tcBorders>
              <w:bottom w:val="single" w:sz="8" w:color="CCEEFF"/>
            </w:tcBorders>
            <w:gridSpan w:val="2"/>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9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11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4.83%</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- 7.15%% (6.33%)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2.00%</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- 22.53% (6.76%)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13.33%</w:t>
            </w: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- 100.00% (96.45%)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5.89%</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- 5.89% (5.89%)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Governments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12.14%</w:t>
            </w: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- 12.14% (12.14%)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 - 100.00%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4.80%</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- 14.10% (9.40%)</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Market Comparable</w:t>
            </w:r>
          </w:p>
        </w:tc>
        <w:tc>
          <w:tcPr>
            <w:tcW w:w="20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4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5.8x - 7.5x (7.0x)</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Analysis</w:t>
            </w:r>
          </w:p>
        </w:tc>
        <w:tc>
          <w:tcPr>
            <w:tcW w:w="2060" w:type="dxa"/>
            <w:vAlign w:val="bottom"/>
            <w:gridSpan w:val="2"/>
            <w:vMerge w:val="continue"/>
            <w:shd w:val="clear" w:color="auto" w:fill="CCEEFF"/>
          </w:tcPr>
          <w:p>
            <w:pPr>
              <w:spacing w:after="0"/>
              <w:rPr>
                <w:sz w:val="16"/>
                <w:szCs w:val="16"/>
                <w:color w:val="auto"/>
              </w:rPr>
            </w:pPr>
          </w:p>
        </w:tc>
        <w:tc>
          <w:tcPr>
            <w:tcW w:w="240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1"/>
                <w:szCs w:val="11"/>
                <w:color w:val="auto"/>
              </w:rPr>
            </w:pPr>
          </w:p>
        </w:tc>
        <w:tc>
          <w:tcPr>
            <w:tcW w:w="18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Market Comparable</w:t>
            </w: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8.7x - 23.6x (14.6xx)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Analysis</w:t>
            </w:r>
          </w:p>
        </w:tc>
        <w:tc>
          <w:tcPr>
            <w:tcW w:w="2060" w:type="dxa"/>
            <w:vAlign w:val="bottom"/>
            <w:gridSpan w:val="2"/>
            <w:vMerge w:val="continue"/>
          </w:tcPr>
          <w:p>
            <w:pPr>
              <w:spacing w:after="0"/>
              <w:rPr>
                <w:sz w:val="16"/>
                <w:szCs w:val="16"/>
                <w:color w:val="auto"/>
              </w:rPr>
            </w:pPr>
          </w:p>
        </w:tc>
        <w:tc>
          <w:tcPr>
            <w:tcW w:w="2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10.60%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- 12.00% (11.30%)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Conditional Prepayment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6.24%</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- 11.99% (9.12%)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1"/>
                <w:szCs w:val="11"/>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Black Scholes Model</w:t>
            </w:r>
          </w:p>
        </w:tc>
        <w:tc>
          <w:tcPr>
            <w:tcW w:w="20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Market Value of AnchorPath</w:t>
            </w:r>
          </w:p>
        </w:tc>
        <w:tc>
          <w:tcPr>
            <w:tcW w:w="2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Fund</w:t>
            </w:r>
          </w:p>
        </w:tc>
        <w:tc>
          <w:tcPr>
            <w:tcW w:w="2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Loan receivable</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7.22%</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- 7.22% (7.22%)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Volatility</w:t>
            </w: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35.00%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- 35.00% (35.00%)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80.00%</w:t>
            </w: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- 115.00% (100.00%)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- 30.00% (5.05%)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2.00%</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-24.39% (2.48%)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0.48%</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- 0.95% (0.75%)</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50.00%</w:t>
            </w:r>
          </w:p>
        </w:tc>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-75.00% (61.77%)</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financial assets at fair value (a)</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20" w:type="dxa"/>
            <w:vAlign w:val="bottom"/>
            <w:tcBorders>
              <w:top w:val="single" w:sz="8" w:color="CCEEFF"/>
              <w:bottom w:val="single" w:sz="8" w:color="CCEEFF"/>
            </w:tcBorders>
            <w:gridSpan w:val="3"/>
            <w:vMerge w:val="restart"/>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8"/>
                <w:szCs w:val="8"/>
                <w:color w:val="auto"/>
              </w:rPr>
            </w:pPr>
          </w:p>
        </w:tc>
        <w:tc>
          <w:tcPr>
            <w:tcW w:w="3220" w:type="dxa"/>
            <w:vAlign w:val="bottom"/>
            <w:gridSpan w:val="3"/>
            <w:vMerge w:val="continue"/>
          </w:tcPr>
          <w:p>
            <w:pPr>
              <w:spacing w:after="0"/>
              <w:rPr>
                <w:sz w:val="8"/>
                <w:szCs w:val="8"/>
                <w:color w:val="auto"/>
              </w:rPr>
            </w:pPr>
          </w:p>
        </w:tc>
        <w:tc>
          <w:tcPr>
            <w:tcW w:w="1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gridSpan w:val="3"/>
          </w:tcPr>
          <w:p>
            <w:pPr>
              <w:ind w:left="220"/>
              <w:spacing w:after="0" w:line="137" w:lineRule="exact"/>
              <w:rPr>
                <w:sz w:val="20"/>
                <w:szCs w:val="20"/>
                <w:color w:val="auto"/>
              </w:rPr>
            </w:pPr>
            <w:r>
              <w:rPr>
                <w:rFonts w:ascii="Times New Roman" w:cs="Times New Roman" w:eastAsia="Times New Roman" w:hAnsi="Times New Roman"/>
                <w:sz w:val="14"/>
                <w:szCs w:val="14"/>
                <w:color w:val="auto"/>
              </w:rPr>
              <w:t>Indexed annuities/ IUL embedded derivatives,</w:t>
            </w:r>
          </w:p>
        </w:tc>
        <w:tc>
          <w:tcPr>
            <w:tcW w:w="1180" w:type="dxa"/>
            <w:vAlign w:val="bottom"/>
            <w:vMerge w:val="restart"/>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100" w:type="dxa"/>
            <w:vAlign w:val="bottom"/>
          </w:tcPr>
          <w:p>
            <w:pPr>
              <w:spacing w:after="0"/>
              <w:rPr>
                <w:sz w:val="11"/>
                <w:szCs w:val="11"/>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0.00%</w:t>
            </w:r>
          </w:p>
        </w:tc>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- 20.81% (2.92%)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included in Contractholder funds</w:t>
            </w:r>
          </w:p>
        </w:tc>
        <w:tc>
          <w:tcPr>
            <w:tcW w:w="11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- 115.00%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- 50.00% (6.94%)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2.00%</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- 35.71% (2.72%)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0.48%</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- 0.95% (0.75%)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0.07%</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- 5.70% (2.68%)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13.50%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- 13.50% (13.50%)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 Volatility</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35.00%</w:t>
            </w: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- 35.00% (35.00%)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Counterparty Discount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6.50%</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- 6.50% (6.50%)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80.00%</w:t>
            </w: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- 115.00% (100.00%)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- 30.00% (5.05%)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2.00%</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- 24.39% (2.48%)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0.48%</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- 0.95% (0.75%)</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50.00%</w:t>
            </w:r>
          </w:p>
        </w:tc>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- 75.00% (61.77%)</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firstLine="6"/>
        <w:spacing w:after="0" w:line="271" w:lineRule="auto"/>
        <w:tabs>
          <w:tab w:leader="none" w:pos="1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of $10,301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summarize changes to the Company’s financial instruments carried at fair value and classified within Level 3 of the fair value hierarchy for the three and six months ended June 30, 2025 and 2024. The gains and losses below may include changes in fair value due in part to observable inputs that are a component of the valuation methodology.</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100" w:type="dxa"/>
            <w:vAlign w:val="bottom"/>
          </w:tcPr>
          <w:p>
            <w:pPr>
              <w:spacing w:after="0"/>
              <w:rPr>
                <w:sz w:val="4"/>
                <w:szCs w:val="4"/>
                <w:color w:val="auto"/>
              </w:rPr>
            </w:pPr>
          </w:p>
        </w:tc>
        <w:tc>
          <w:tcPr>
            <w:tcW w:w="7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100" w:type="dxa"/>
            <w:vAlign w:val="bottom"/>
          </w:tcPr>
          <w:p>
            <w:pPr>
              <w:spacing w:after="0"/>
              <w:rPr>
                <w:sz w:val="12"/>
                <w:szCs w:val="12"/>
                <w:color w:val="auto"/>
              </w:rPr>
            </w:pPr>
          </w:p>
        </w:tc>
        <w:tc>
          <w:tcPr>
            <w:tcW w:w="84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to (from)</w:t>
            </w:r>
          </w:p>
        </w:tc>
        <w:tc>
          <w:tcPr>
            <w:tcW w:w="100" w:type="dxa"/>
            <w:vAlign w:val="bottom"/>
          </w:tcPr>
          <w:p>
            <w:pPr>
              <w:spacing w:after="0"/>
              <w:rPr>
                <w:sz w:val="12"/>
                <w:szCs w:val="12"/>
                <w:color w:val="auto"/>
              </w:rPr>
            </w:pPr>
          </w:p>
        </w:tc>
        <w:tc>
          <w:tcPr>
            <w:tcW w:w="72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AOCI</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40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Fixed maturity securities available-for-</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w w:val="94"/>
              </w:rPr>
              <w:t>(55)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200"/>
              <w:spacing w:after="0" w:line="140" w:lineRule="exact"/>
              <w:rPr>
                <w:sz w:val="20"/>
                <w:szCs w:val="20"/>
                <w:color w:val="auto"/>
              </w:rPr>
            </w:pPr>
            <w:r>
              <w:rPr>
                <w:rFonts w:ascii="Times New Roman" w:cs="Times New Roman" w:eastAsia="Times New Roman" w:hAnsi="Times New Roman"/>
                <w:sz w:val="14"/>
                <w:szCs w:val="14"/>
                <w:color w:val="auto"/>
              </w:rPr>
              <w:t>Commercial mortgage-backed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w w:val="94"/>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Hybrids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200"/>
              <w:spacing w:after="0" w:line="140" w:lineRule="exact"/>
              <w:rPr>
                <w:sz w:val="20"/>
                <w:szCs w:val="20"/>
                <w:color w:val="auto"/>
              </w:rPr>
            </w:pPr>
            <w:r>
              <w:rPr>
                <w:rFonts w:ascii="Times New Roman" w:cs="Times New Roman" w:eastAsia="Times New Roman" w:hAnsi="Times New Roman"/>
                <w:sz w:val="14"/>
                <w:szCs w:val="14"/>
                <w:color w:val="auto"/>
              </w:rPr>
              <w:t>Residential mortgage-backed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 investments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200"/>
              <w:spacing w:after="0" w:line="140" w:lineRule="exact"/>
              <w:rPr>
                <w:sz w:val="20"/>
                <w:szCs w:val="20"/>
                <w:color w:val="auto"/>
              </w:rPr>
            </w:pPr>
            <w:r>
              <w:rPr>
                <w:rFonts w:ascii="Times New Roman" w:cs="Times New Roman" w:eastAsia="Times New Roman" w:hAnsi="Times New Roman"/>
                <w:sz w:val="14"/>
                <w:szCs w:val="14"/>
                <w:color w:val="auto"/>
              </w:rPr>
              <w:t>Available-for-sale embedded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derivative</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Loan receivable (b)</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left="3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20" w:type="dxa"/>
            <w:vAlign w:val="bottom"/>
            <w:shd w:val="clear" w:color="auto" w:fill="CCEEFF"/>
          </w:tcPr>
          <w:p>
            <w:pPr>
              <w:spacing w:after="0"/>
              <w:rPr>
                <w:sz w:val="10"/>
                <w:szCs w:val="10"/>
                <w:color w:val="auto"/>
              </w:rPr>
            </w:pPr>
          </w:p>
        </w:tc>
        <w:tc>
          <w:tcPr>
            <w:tcW w:w="2400" w:type="dxa"/>
            <w:vAlign w:val="bottom"/>
            <w:gridSpan w:val="3"/>
            <w:shd w:val="clear" w:color="auto" w:fill="CCEEFF"/>
          </w:tcPr>
          <w:p>
            <w:pPr>
              <w:ind w:left="320"/>
              <w:spacing w:after="0" w:line="119" w:lineRule="exact"/>
              <w:rPr>
                <w:sz w:val="20"/>
                <w:szCs w:val="20"/>
                <w:color w:val="auto"/>
              </w:rPr>
            </w:pPr>
            <w:r>
              <w:rPr>
                <w:rFonts w:ascii="Times New Roman" w:cs="Times New Roman" w:eastAsia="Times New Roman" w:hAnsi="Times New Roman"/>
                <w:sz w:val="13"/>
                <w:szCs w:val="13"/>
                <w:b w:val="1"/>
                <w:bCs w:val="1"/>
                <w:color w:val="auto"/>
              </w:rPr>
              <w:t>Subtotal Level 3 assets at fair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12,331</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36</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w w:val="94"/>
              </w:rPr>
              <w:t>(69)</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13,059</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Market risk benefits asset (c)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0" w:type="dxa"/>
            <w:vAlign w:val="bottom"/>
            <w:tcBorders>
              <w:top w:val="single" w:sz="8" w:color="CCEEFF"/>
              <w:bottom w:val="single" w:sz="8" w:color="CCEEFF"/>
            </w:tcBorders>
            <w:gridSpan w:val="3"/>
            <w:vMerge w:val="restart"/>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gridSpan w:val="3"/>
          </w:tcPr>
          <w:p>
            <w:pPr>
              <w:ind w:left="80"/>
              <w:spacing w:after="0" w:line="133" w:lineRule="exact"/>
              <w:rPr>
                <w:sz w:val="20"/>
                <w:szCs w:val="20"/>
                <w:color w:val="auto"/>
              </w:rPr>
            </w:pPr>
            <w:r>
              <w:rPr>
                <w:rFonts w:ascii="Times New Roman" w:cs="Times New Roman" w:eastAsia="Times New Roman" w:hAnsi="Times New Roman"/>
                <w:sz w:val="14"/>
                <w:szCs w:val="14"/>
                <w:color w:val="auto"/>
              </w:rPr>
              <w:t>Indexed annuities/ IUL embedded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color w:val="auto"/>
              </w:rPr>
              <w:t>derivatives, included in Contractholder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1"/>
                <w:szCs w:val="11"/>
                <w:color w:val="auto"/>
              </w:rPr>
            </w:pPr>
          </w:p>
        </w:tc>
        <w:tc>
          <w:tcPr>
            <w:tcW w:w="62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funds</w:t>
            </w:r>
          </w:p>
        </w:tc>
        <w:tc>
          <w:tcPr>
            <w:tcW w:w="1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400" w:type="dxa"/>
            <w:vAlign w:val="bottom"/>
            <w:gridSpan w:val="3"/>
            <w:shd w:val="clear" w:color="auto" w:fill="CCEEFF"/>
          </w:tcPr>
          <w:p>
            <w:pPr>
              <w:ind w:left="80"/>
              <w:spacing w:after="0" w:line="133" w:lineRule="exact"/>
              <w:rPr>
                <w:sz w:val="20"/>
                <w:szCs w:val="20"/>
                <w:color w:val="auto"/>
              </w:rPr>
            </w:pPr>
            <w:r>
              <w:rPr>
                <w:rFonts w:ascii="Times New Roman" w:cs="Times New Roman" w:eastAsia="Times New Roman" w:hAnsi="Times New Roman"/>
                <w:sz w:val="14"/>
                <w:szCs w:val="14"/>
                <w:color w:val="auto"/>
              </w:rPr>
              <w:t>Foreign currency swaps and other</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derivative instruments</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00" w:type="dxa"/>
            <w:vAlign w:val="bottom"/>
            <w:gridSpan w:val="3"/>
          </w:tcPr>
          <w:p>
            <w:pPr>
              <w:ind w:left="320"/>
              <w:spacing w:after="0" w:line="113" w:lineRule="exact"/>
              <w:rPr>
                <w:sz w:val="20"/>
                <w:szCs w:val="20"/>
                <w:color w:val="auto"/>
              </w:rPr>
            </w:pPr>
            <w:r>
              <w:rPr>
                <w:rFonts w:ascii="Times New Roman" w:cs="Times New Roman" w:eastAsia="Times New Roman" w:hAnsi="Times New Roman"/>
                <w:sz w:val="13"/>
                <w:szCs w:val="13"/>
                <w:b w:val="1"/>
                <w:bCs w:val="1"/>
                <w:color w:val="auto"/>
              </w:rPr>
              <w:t>Subtotal Level 3 liabilities at fair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9"/>
                <w:szCs w:val="9"/>
                <w:color w:val="auto"/>
              </w:rPr>
            </w:pPr>
          </w:p>
        </w:tc>
        <w:tc>
          <w:tcPr>
            <w:tcW w:w="62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liability (c)</w:t>
            </w: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00" w:type="dxa"/>
            <w:vAlign w:val="bottom"/>
            <w:gridSpan w:val="3"/>
          </w:tcPr>
          <w:p>
            <w:pPr>
              <w:ind w:left="320"/>
              <w:spacing w:after="0" w:line="113" w:lineRule="exact"/>
              <w:rPr>
                <w:sz w:val="20"/>
                <w:szCs w:val="20"/>
                <w:color w:val="auto"/>
              </w:rPr>
            </w:pPr>
            <w:r>
              <w:rPr>
                <w:rFonts w:ascii="Times New Roman" w:cs="Times New Roman" w:eastAsia="Times New Roman" w:hAnsi="Times New Roman"/>
                <w:sz w:val="13"/>
                <w:szCs w:val="13"/>
                <w:b w:val="1"/>
                <w:bCs w:val="1"/>
                <w:color w:val="auto"/>
              </w:rPr>
              <w:t>Total Level 3 liabilities at fair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6,510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4"/>
                <w:szCs w:val="14"/>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00" w:hanging="194"/>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to (from) Level 3 during the three months ended June 30, 2025 were exclusively from Level 2.</w:t>
      </w:r>
    </w:p>
    <w:p>
      <w:pPr>
        <w:spacing w:after="0" w:line="62"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Purchases represent advances on the loan commitment to Roar. Refer to Note F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for further details.</w:t>
      </w:r>
    </w:p>
    <w:p>
      <w:pPr>
        <w:spacing w:after="0" w:line="6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O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80" w:type="dxa"/>
            <w:vAlign w:val="bottom"/>
          </w:tcPr>
          <w:p>
            <w:pPr>
              <w:spacing w:after="0"/>
              <w:rPr>
                <w:sz w:val="13"/>
                <w:szCs w:val="13"/>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9"/>
              <w:spacing w:after="0" w:line="15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80" w:type="dxa"/>
            <w:vAlign w:val="bottom"/>
          </w:tcPr>
          <w:p>
            <w:pPr>
              <w:spacing w:after="0"/>
              <w:rPr>
                <w:sz w:val="12"/>
                <w:szCs w:val="12"/>
                <w:color w:val="auto"/>
              </w:rPr>
            </w:pPr>
          </w:p>
        </w:tc>
        <w:tc>
          <w:tcPr>
            <w:tcW w:w="860" w:type="dxa"/>
            <w:vAlign w:val="bottom"/>
            <w:gridSpan w:val="2"/>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80" w:type="dxa"/>
            <w:vAlign w:val="bottom"/>
          </w:tcPr>
          <w:p>
            <w:pPr>
              <w:spacing w:after="0"/>
              <w:rPr>
                <w:sz w:val="12"/>
                <w:szCs w:val="12"/>
                <w:color w:val="auto"/>
              </w:rPr>
            </w:pPr>
          </w:p>
        </w:tc>
        <w:tc>
          <w:tcPr>
            <w:tcW w:w="74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AOCI</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2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Fixed maturity securities available-for-</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Commercial mortgage-backed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20" w:type="dxa"/>
            <w:vAlign w:val="bottom"/>
            <w:gridSpan w:val="3"/>
          </w:tcPr>
          <w:p>
            <w:pPr>
              <w:ind w:left="200"/>
              <w:spacing w:after="0" w:line="137" w:lineRule="exact"/>
              <w:rPr>
                <w:sz w:val="20"/>
                <w:szCs w:val="20"/>
                <w:color w:val="auto"/>
              </w:rPr>
            </w:pPr>
            <w:r>
              <w:rPr>
                <w:rFonts w:ascii="Times New Roman" w:cs="Times New Roman" w:eastAsia="Times New Roman" w:hAnsi="Times New Roman"/>
                <w:sz w:val="14"/>
                <w:szCs w:val="14"/>
                <w:color w:val="auto"/>
              </w:rPr>
              <w:t>Residential mortgage-backed</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Derivative investments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Available-for-sale embedded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derivative</w:t>
            </w: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4"/>
                <w:szCs w:val="14"/>
                <w:color w:val="auto"/>
              </w:rPr>
              <w:t>Credit linked note</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420" w:type="dxa"/>
            <w:vAlign w:val="bottom"/>
            <w:gridSpan w:val="3"/>
            <w:shd w:val="clear" w:color="auto" w:fill="CCEEFF"/>
          </w:tcPr>
          <w:p>
            <w:pPr>
              <w:ind w:left="320"/>
              <w:spacing w:after="0" w:line="121" w:lineRule="exact"/>
              <w:rPr>
                <w:sz w:val="20"/>
                <w:szCs w:val="20"/>
                <w:color w:val="auto"/>
              </w:rPr>
            </w:pPr>
            <w:r>
              <w:rPr>
                <w:rFonts w:ascii="Times New Roman" w:cs="Times New Roman" w:eastAsia="Times New Roman" w:hAnsi="Times New Roman"/>
                <w:sz w:val="14"/>
                <w:szCs w:val="14"/>
                <w:b w:val="1"/>
                <w:bCs w:val="1"/>
                <w:color w:val="auto"/>
              </w:rPr>
              <w:t>Subtotal Level 3 assets at fair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10,381</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10,965</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4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Market risk benefits asset (b)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20" w:type="dxa"/>
            <w:vAlign w:val="bottom"/>
            <w:tcBorders>
              <w:top w:val="single" w:sz="8" w:color="CCEEFF"/>
              <w:bottom w:val="single" w:sz="8" w:color="CCEEFF"/>
            </w:tcBorders>
            <w:gridSpan w:val="3"/>
            <w:vMerge w:val="restart"/>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20" w:type="dxa"/>
            <w:vAlign w:val="bottom"/>
            <w:gridSpan w:val="3"/>
          </w:tcPr>
          <w:p>
            <w:pPr>
              <w:ind w:left="220"/>
              <w:spacing w:after="0" w:line="137" w:lineRule="exact"/>
              <w:rPr>
                <w:sz w:val="20"/>
                <w:szCs w:val="20"/>
                <w:color w:val="auto"/>
              </w:rPr>
            </w:pPr>
            <w:r>
              <w:rPr>
                <w:rFonts w:ascii="Times New Roman" w:cs="Times New Roman" w:eastAsia="Times New Roman" w:hAnsi="Times New Roman"/>
                <w:sz w:val="14"/>
                <w:szCs w:val="14"/>
                <w:color w:val="auto"/>
              </w:rPr>
              <w:t>Indexed annuities/IUL embedded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3"/>
          </w:tcPr>
          <w:p>
            <w:pPr>
              <w:ind w:left="380"/>
              <w:spacing w:after="0" w:line="142" w:lineRule="exact"/>
              <w:rPr>
                <w:sz w:val="20"/>
                <w:szCs w:val="20"/>
                <w:color w:val="auto"/>
              </w:rPr>
            </w:pPr>
            <w:r>
              <w:rPr>
                <w:rFonts w:ascii="Times New Roman" w:cs="Times New Roman" w:eastAsia="Times New Roman" w:hAnsi="Times New Roman"/>
                <w:sz w:val="14"/>
                <w:szCs w:val="14"/>
                <w:color w:val="auto"/>
              </w:rPr>
              <w:t>derivatives, included in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2"/>
                <w:szCs w:val="12"/>
                <w:color w:val="auto"/>
              </w:rPr>
            </w:pPr>
          </w:p>
        </w:tc>
        <w:tc>
          <w:tcPr>
            <w:tcW w:w="60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2"/>
                <w:szCs w:val="12"/>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contractholder funds</w:t>
            </w:r>
          </w:p>
        </w:tc>
        <w:tc>
          <w:tcPr>
            <w:tcW w:w="1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20" w:type="dxa"/>
            <w:vAlign w:val="bottom"/>
            <w:gridSpan w:val="3"/>
          </w:tcPr>
          <w:p>
            <w:pPr>
              <w:ind w:left="320"/>
              <w:spacing w:after="0" w:line="114" w:lineRule="exact"/>
              <w:rPr>
                <w:sz w:val="20"/>
                <w:szCs w:val="20"/>
                <w:color w:val="auto"/>
              </w:rPr>
            </w:pPr>
            <w:r>
              <w:rPr>
                <w:rFonts w:ascii="Times New Roman" w:cs="Times New Roman" w:eastAsia="Times New Roman" w:hAnsi="Times New Roman"/>
                <w:sz w:val="13"/>
                <w:szCs w:val="13"/>
                <w:b w:val="1"/>
                <w:bCs w:val="1"/>
                <w:color w:val="auto"/>
              </w:rPr>
              <w:t>Subtotal Level 3 liabilities at fair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9"/>
                <w:szCs w:val="9"/>
                <w:color w:val="auto"/>
              </w:rPr>
            </w:pPr>
          </w:p>
        </w:tc>
        <w:tc>
          <w:tcPr>
            <w:tcW w:w="60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4,939</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liability (b)</w:t>
            </w: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20" w:type="dxa"/>
            <w:vAlign w:val="bottom"/>
            <w:gridSpan w:val="3"/>
          </w:tcPr>
          <w:p>
            <w:pPr>
              <w:ind w:left="320"/>
              <w:spacing w:after="0" w:line="114" w:lineRule="exact"/>
              <w:rPr>
                <w:sz w:val="20"/>
                <w:szCs w:val="20"/>
                <w:color w:val="auto"/>
              </w:rPr>
            </w:pPr>
            <w:r>
              <w:rPr>
                <w:rFonts w:ascii="Times New Roman" w:cs="Times New Roman" w:eastAsia="Times New Roman" w:hAnsi="Times New Roman"/>
                <w:sz w:val="13"/>
                <w:szCs w:val="13"/>
                <w:b w:val="1"/>
                <w:bCs w:val="1"/>
                <w:color w:val="auto"/>
              </w:rPr>
              <w:t>Total Level 3 liabilities at fair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5,180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5,398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4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200" w:hanging="19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from Level 3 during the three months ended June 30, 2024 were exclusively to Level 2.</w:t>
      </w:r>
    </w:p>
    <w:p>
      <w:pPr>
        <w:spacing w:after="0" w:line="1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O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restart"/>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vMerge w:val="restart"/>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Net transfer</w:t>
            </w:r>
          </w:p>
        </w:tc>
        <w:tc>
          <w:tcPr>
            <w:tcW w:w="100" w:type="dxa"/>
            <w:vAlign w:val="bottom"/>
          </w:tcPr>
          <w:p>
            <w:pPr>
              <w:spacing w:after="0"/>
              <w:rPr>
                <w:sz w:val="8"/>
                <w:szCs w:val="8"/>
                <w:color w:val="auto"/>
              </w:rPr>
            </w:pPr>
          </w:p>
        </w:tc>
        <w:tc>
          <w:tcPr>
            <w:tcW w:w="720" w:type="dxa"/>
            <w:vAlign w:val="bottom"/>
            <w:vMerge w:val="restart"/>
          </w:tcPr>
          <w:p>
            <w:pPr>
              <w:jc w:val="right"/>
              <w:ind w:right="29"/>
              <w:spacing w:after="0" w:line="144" w:lineRule="exact"/>
              <w:rPr>
                <w:sz w:val="20"/>
                <w:szCs w:val="20"/>
                <w:color w:val="auto"/>
              </w:rPr>
            </w:pPr>
            <w:r>
              <w:rPr>
                <w:rFonts w:ascii="Times New Roman" w:cs="Times New Roman" w:eastAsia="Times New Roman" w:hAnsi="Times New Roman"/>
                <w:sz w:val="14"/>
                <w:szCs w:val="14"/>
                <w:b w:val="1"/>
                <w:bCs w:val="1"/>
                <w:color w:val="auto"/>
                <w:w w:val="95"/>
              </w:rPr>
              <w:t>Balance at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restart"/>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to (from)</w:t>
            </w:r>
          </w:p>
        </w:tc>
        <w:tc>
          <w:tcPr>
            <w:tcW w:w="100" w:type="dxa"/>
            <w:vAlign w:val="bottom"/>
          </w:tcPr>
          <w:p>
            <w:pPr>
              <w:spacing w:after="0"/>
              <w:rPr>
                <w:sz w:val="12"/>
                <w:szCs w:val="12"/>
                <w:color w:val="auto"/>
              </w:rPr>
            </w:pPr>
          </w:p>
        </w:tc>
        <w:tc>
          <w:tcPr>
            <w:tcW w:w="72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AOCI</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OCI</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4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30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(198)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(328)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Hybrids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 investments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Loan receivable (b)</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540" w:type="dxa"/>
            <w:vAlign w:val="bottom"/>
            <w:tcBorders>
              <w:top w:val="single" w:sz="8" w:color="CCEEFF"/>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Subtotal Level 3 assets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98"/>
              </w:rPr>
              <w:t>(526)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Market risk benefits asset (c)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540" w:type="dxa"/>
            <w:vAlign w:val="bottom"/>
            <w:tcBorders>
              <w:top w:val="single" w:sz="8" w:color="CCEEFF"/>
              <w:bottom w:val="single" w:sz="8" w:color="CCEEFF"/>
            </w:tcBorders>
            <w:gridSpan w:val="3"/>
            <w:vMerge w:val="restart"/>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540" w:type="dxa"/>
            <w:vAlign w:val="bottom"/>
            <w:gridSpan w:val="3"/>
            <w:shd w:val="clear" w:color="auto" w:fill="CCEEFF"/>
          </w:tcPr>
          <w:p>
            <w:pPr>
              <w:ind w:left="200"/>
              <w:spacing w:after="0" w:line="137" w:lineRule="exact"/>
              <w:rPr>
                <w:sz w:val="20"/>
                <w:szCs w:val="20"/>
                <w:color w:val="auto"/>
              </w:rPr>
            </w:pPr>
            <w:r>
              <w:rPr>
                <w:rFonts w:ascii="Times New Roman" w:cs="Times New Roman" w:eastAsia="Times New Roman" w:hAnsi="Times New Roman"/>
                <w:sz w:val="14"/>
                <w:szCs w:val="14"/>
                <w:color w:val="auto"/>
              </w:rPr>
              <w:t>Indexed annuity/ IUL embedded</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derivatives, included in contractholder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funds</w:t>
            </w: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40" w:type="dxa"/>
            <w:vAlign w:val="bottom"/>
            <w:gridSpan w:val="3"/>
          </w:tcPr>
          <w:p>
            <w:pPr>
              <w:ind w:left="200"/>
              <w:spacing w:after="0" w:line="137" w:lineRule="exact"/>
              <w:rPr>
                <w:sz w:val="20"/>
                <w:szCs w:val="20"/>
                <w:color w:val="auto"/>
              </w:rPr>
            </w:pPr>
            <w:r>
              <w:rPr>
                <w:rFonts w:ascii="Times New Roman" w:cs="Times New Roman" w:eastAsia="Times New Roman" w:hAnsi="Times New Roman"/>
                <w:sz w:val="14"/>
                <w:szCs w:val="14"/>
                <w:color w:val="auto"/>
              </w:rPr>
              <w:t>Foreign currency swaps and other</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derivative instruments</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40" w:type="dxa"/>
            <w:vAlign w:val="bottom"/>
            <w:gridSpan w:val="3"/>
          </w:tcPr>
          <w:p>
            <w:pPr>
              <w:ind w:left="320"/>
              <w:spacing w:after="0" w:line="114" w:lineRule="exact"/>
              <w:rPr>
                <w:sz w:val="20"/>
                <w:szCs w:val="20"/>
                <w:color w:val="auto"/>
              </w:rPr>
            </w:pPr>
            <w:r>
              <w:rPr>
                <w:rFonts w:ascii="Times New Roman" w:cs="Times New Roman" w:eastAsia="Times New Roman" w:hAnsi="Times New Roman"/>
                <w:sz w:val="13"/>
                <w:szCs w:val="13"/>
                <w:b w:val="1"/>
                <w:bCs w:val="1"/>
                <w:color w:val="auto"/>
              </w:rPr>
              <w:t>Subtotal Level 3 liabilities at fair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9"/>
                <w:szCs w:val="9"/>
                <w:color w:val="auto"/>
              </w:rPr>
            </w:pPr>
          </w:p>
        </w:tc>
        <w:tc>
          <w:tcPr>
            <w:tcW w:w="60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liability (c)</w:t>
            </w: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liabilities at fair value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to (from) Level 3 during the six months ended June 30, 2025 were exclusively from Level 2.</w:t>
      </w:r>
    </w:p>
    <w:p>
      <w:pPr>
        <w:spacing w:after="0" w:line="49"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Purchases represent advances on the loan commitment to Roar. Refer to Note F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for further details.</w:t>
      </w:r>
    </w:p>
    <w:p>
      <w:pPr>
        <w:spacing w:after="0" w:line="6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O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80" w:type="dxa"/>
            <w:vAlign w:val="bottom"/>
          </w:tcPr>
          <w:p>
            <w:pPr>
              <w:spacing w:after="0"/>
              <w:rPr>
                <w:sz w:val="4"/>
                <w:szCs w:val="4"/>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80" w:type="dxa"/>
            <w:vAlign w:val="bottom"/>
          </w:tcPr>
          <w:p>
            <w:pPr>
              <w:spacing w:after="0"/>
              <w:rPr>
                <w:sz w:val="12"/>
                <w:szCs w:val="12"/>
                <w:color w:val="auto"/>
              </w:rPr>
            </w:pPr>
          </w:p>
        </w:tc>
        <w:tc>
          <w:tcPr>
            <w:tcW w:w="860" w:type="dxa"/>
            <w:vAlign w:val="bottom"/>
            <w:gridSpan w:val="2"/>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80" w:type="dxa"/>
            <w:vAlign w:val="bottom"/>
          </w:tcPr>
          <w:p>
            <w:pPr>
              <w:spacing w:after="0"/>
              <w:rPr>
                <w:sz w:val="12"/>
                <w:szCs w:val="12"/>
                <w:color w:val="auto"/>
              </w:rPr>
            </w:pPr>
          </w:p>
        </w:tc>
        <w:tc>
          <w:tcPr>
            <w:tcW w:w="74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0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Fixed maturity securities available-for-</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Commercial mortgage-backed</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3"/>
          </w:tcPr>
          <w:p>
            <w:pPr>
              <w:ind w:left="200"/>
              <w:spacing w:after="0" w:line="137" w:lineRule="exact"/>
              <w:rPr>
                <w:sz w:val="20"/>
                <w:szCs w:val="20"/>
                <w:color w:val="auto"/>
              </w:rPr>
            </w:pPr>
            <w:r>
              <w:rPr>
                <w:rFonts w:ascii="Times New Roman" w:cs="Times New Roman" w:eastAsia="Times New Roman" w:hAnsi="Times New Roman"/>
                <w:sz w:val="14"/>
                <w:szCs w:val="14"/>
                <w:color w:val="auto"/>
              </w:rPr>
              <w:t>Residential mortgage-backed</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Derivative investments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Available-for-sale embedded</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derivative</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4"/>
                <w:szCs w:val="14"/>
                <w:color w:val="auto"/>
              </w:rPr>
              <w:t>Credit linked note</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400" w:type="dxa"/>
            <w:vAlign w:val="bottom"/>
            <w:gridSpan w:val="3"/>
            <w:shd w:val="clear" w:color="auto" w:fill="CCEEFF"/>
          </w:tcPr>
          <w:p>
            <w:pPr>
              <w:ind w:left="320"/>
              <w:spacing w:after="0" w:line="121" w:lineRule="exact"/>
              <w:rPr>
                <w:sz w:val="20"/>
                <w:szCs w:val="20"/>
                <w:color w:val="auto"/>
              </w:rPr>
            </w:pPr>
            <w:r>
              <w:rPr>
                <w:rFonts w:ascii="Times New Roman" w:cs="Times New Roman" w:eastAsia="Times New Roman" w:hAnsi="Times New Roman"/>
                <w:sz w:val="14"/>
                <w:szCs w:val="14"/>
                <w:b w:val="1"/>
                <w:bCs w:val="1"/>
                <w:color w:val="auto"/>
              </w:rPr>
              <w:t>Subtotal Level 3 assets at fair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9,589</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10,965</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Market risk benefits asset (b)</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0" w:type="dxa"/>
            <w:vAlign w:val="bottom"/>
            <w:tcBorders>
              <w:top w:val="single" w:sz="8" w:color="CCEEFF"/>
              <w:bottom w:val="single" w:sz="8" w:color="CCEEFF"/>
            </w:tcBorders>
            <w:gridSpan w:val="3"/>
            <w:vMerge w:val="restart"/>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0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Indexed annuity/IUL embedded</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derivatives, included in contractholder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funds</w:t>
            </w: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 (c)</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3"/>
          </w:tcPr>
          <w:p>
            <w:pPr>
              <w:ind w:left="320"/>
              <w:spacing w:after="0" w:line="114" w:lineRule="exact"/>
              <w:rPr>
                <w:sz w:val="20"/>
                <w:szCs w:val="20"/>
                <w:color w:val="auto"/>
              </w:rPr>
            </w:pPr>
            <w:r>
              <w:rPr>
                <w:rFonts w:ascii="Times New Roman" w:cs="Times New Roman" w:eastAsia="Times New Roman" w:hAnsi="Times New Roman"/>
                <w:sz w:val="13"/>
                <w:szCs w:val="13"/>
                <w:b w:val="1"/>
                <w:bCs w:val="1"/>
                <w:color w:val="auto"/>
              </w:rPr>
              <w:t>Subtotal Level 3 liabilities at fair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9"/>
                <w:szCs w:val="9"/>
                <w:color w:val="auto"/>
              </w:rPr>
            </w:pP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4,939</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liability (b)</w:t>
            </w: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3"/>
          </w:tcPr>
          <w:p>
            <w:pPr>
              <w:ind w:left="320"/>
              <w:spacing w:after="0" w:line="114" w:lineRule="exact"/>
              <w:rPr>
                <w:sz w:val="20"/>
                <w:szCs w:val="20"/>
                <w:color w:val="auto"/>
              </w:rPr>
            </w:pPr>
            <w:r>
              <w:rPr>
                <w:rFonts w:ascii="Times New Roman" w:cs="Times New Roman" w:eastAsia="Times New Roman" w:hAnsi="Times New Roman"/>
                <w:sz w:val="13"/>
                <w:szCs w:val="13"/>
                <w:b w:val="1"/>
                <w:bCs w:val="1"/>
                <w:color w:val="auto"/>
              </w:rPr>
              <w:t>Total Level 3 liabilities at fair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5,398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from Level 3 during the six months ended June 30, 2024 were exclusively to Level 2.</w:t>
      </w:r>
    </w:p>
    <w:p>
      <w:pPr>
        <w:spacing w:after="0" w:line="1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O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6"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contingent consideration recorded in the Roar transaction is included in purchases in the table above.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 and Associated Inputs for Financial Instruments Not Carried at Fair Value</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our F&amp;G segment, the carrying value of Investments in unconsolidated affiliates is primarily determined using NAV as a practical expedient and are included in the NAV column in the table below. Recognition of income and adjustments to the carrying amount are delayed due to the availability of the related financial statements, which are obtained from the general partner generally on a one to three-month delay. In our title segment, Investments in unconsolidated affiliates accounted for under the equity method of accounting were $167 million and $166 million as of June 30, 2025 and December 31, 2024,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Loans (included within Other long-term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Policy loans are reported at the unpaid principal balance and are fully collateralized by the cash surrender value of underlying insurance policies. The carrying value of the policy loans approximates the fair value and are classified as Level 3 in the fair value hierarchy.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Owned Life Insurance (included within Other long-term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Invested Assets (included within Other long-term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fair value of bank loans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Bank loans are classified as Level 3 within the fair value hierarchy. For cost method investments, our carrying value approximates fair value. Cost method investments are classified as Level 1 within the fair value hierarchy.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Contracts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Investment contracts include deferred annuities (indexed annuities and fixed rate annuities), IUL policies, funding agreements and pension risk transfers ("PRT"), and immediate annuity contracts without life contingencies. The indexed annuities/IUL embedded derivatives, included in contractholder funds, are excluded as they are carried at fair value. The fair value of the deferred annuities (indexed annuities and fixed rate annuities) and IUL contracts is based on their cash surrender value (i.e., the cost the Company would incur to extinguish the liability) as these contracts are generally issued without an annuitization date. The fair value of funding agreements and PRT and immediate annuity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Federal Home Loan Bank of Atlanta (“FHLB”) common stock is carried at cost, which approximates fair value. The carrying amount of FHLB common stock represents the value it can be sold back to the FHLB and is classified as Level 2 within the hierarchy.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debt, with the exception of the F&amp;G Credit Agreement is based on quoted market prices. The carrying value of the F&amp;G Credit</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Agreement would approximate fair value as the rates would be comparable to those at which we could currently borrow under similar terms. As of June 30, 2025 and December 31, 2024, there were no outstanding balances under the F&amp;G Credit Agreement. The inputs used to measure the fair value of our outstanding debt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following tables provide the carrying value and estimated fair value of our financial instruments that are carried on the unaudited Condensed Consolidated Balance Sheets at amounts other than fair value, summarized according to the fair value hierarchy previously described.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7"/>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2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100" w:type="dxa"/>
            <w:vAlign w:val="bottom"/>
          </w:tcPr>
          <w:p>
            <w:pPr>
              <w:spacing w:after="0"/>
              <w:rPr>
                <w:sz w:val="11"/>
                <w:szCs w:val="11"/>
                <w:color w:val="auto"/>
              </w:rPr>
            </w:pPr>
          </w:p>
        </w:tc>
        <w:tc>
          <w:tcPr>
            <w:tcW w:w="1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Carrying Amount</w:t>
            </w:r>
          </w:p>
        </w:tc>
        <w:tc>
          <w:tcPr>
            <w:tcW w:w="0" w:type="dxa"/>
            <w:vAlign w:val="bottom"/>
          </w:tcPr>
          <w:p>
            <w:pPr>
              <w:spacing w:after="0"/>
              <w:rPr>
                <w:sz w:val="1"/>
                <w:szCs w:val="1"/>
                <w:color w:val="auto"/>
              </w:rPr>
            </w:pPr>
          </w:p>
        </w:tc>
      </w:tr>
      <w:tr>
        <w:trPr>
          <w:trHeight w:val="191"/>
        </w:trPr>
        <w:tc>
          <w:tcPr>
            <w:tcW w:w="40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gridSpan w:val="7"/>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840" w:type="dxa"/>
            <w:vAlign w:val="bottom"/>
            <w:gridSpan w:val="2"/>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99"/>
        </w:trPr>
        <w:tc>
          <w:tcPr>
            <w:tcW w:w="4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top w:val="single" w:sz="8" w:color="auto"/>
              <w:bottom w:val="single" w:sz="8" w:color="auto"/>
            </w:tcBorders>
            <w:gridSpan w:val="2"/>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12,663</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84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54,086</w:t>
            </w: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0" w:type="dxa"/>
            <w:vAlign w:val="bottom"/>
          </w:tcPr>
          <w:p>
            <w:pPr>
              <w:spacing w:after="0"/>
              <w:rPr>
                <w:sz w:val="1"/>
                <w:szCs w:val="1"/>
                <w:color w:val="auto"/>
              </w:rPr>
            </w:pPr>
          </w:p>
        </w:tc>
      </w:tr>
      <w:tr>
        <w:trPr>
          <w:trHeight w:val="224"/>
        </w:trPr>
        <w:tc>
          <w:tcPr>
            <w:tcW w:w="4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top w:val="single" w:sz="8" w:color="auto"/>
              <w:bottom w:val="single" w:sz="8" w:color="auto"/>
            </w:tcBorders>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58,483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7"/>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2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100" w:type="dxa"/>
            <w:vAlign w:val="bottom"/>
          </w:tcPr>
          <w:p>
            <w:pPr>
              <w:spacing w:after="0"/>
              <w:rPr>
                <w:sz w:val="11"/>
                <w:szCs w:val="11"/>
                <w:color w:val="auto"/>
              </w:rPr>
            </w:pPr>
          </w:p>
        </w:tc>
        <w:tc>
          <w:tcPr>
            <w:tcW w:w="1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Carrying Amount</w:t>
            </w:r>
          </w:p>
        </w:tc>
        <w:tc>
          <w:tcPr>
            <w:tcW w:w="0" w:type="dxa"/>
            <w:vAlign w:val="bottom"/>
          </w:tcPr>
          <w:p>
            <w:pPr>
              <w:spacing w:after="0"/>
              <w:rPr>
                <w:sz w:val="1"/>
                <w:szCs w:val="1"/>
                <w:color w:val="auto"/>
              </w:rPr>
            </w:pPr>
          </w:p>
        </w:tc>
      </w:tr>
      <w:tr>
        <w:trPr>
          <w:trHeight w:val="191"/>
        </w:trPr>
        <w:tc>
          <w:tcPr>
            <w:tcW w:w="40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gridSpan w:val="7"/>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840" w:type="dxa"/>
            <w:vAlign w:val="bottom"/>
            <w:gridSpan w:val="2"/>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192"/>
        </w:trPr>
        <w:tc>
          <w:tcPr>
            <w:tcW w:w="4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4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840" w:type="dxa"/>
            <w:vAlign w:val="bottom"/>
            <w:gridSpan w:val="2"/>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51,184</w:t>
            </w: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w:t>
            </w:r>
          </w:p>
        </w:tc>
        <w:tc>
          <w:tcPr>
            <w:tcW w:w="0" w:type="dxa"/>
            <w:vAlign w:val="bottom"/>
          </w:tcPr>
          <w:p>
            <w:pPr>
              <w:spacing w:after="0"/>
              <w:rPr>
                <w:sz w:val="1"/>
                <w:szCs w:val="1"/>
                <w:color w:val="auto"/>
              </w:rPr>
            </w:pPr>
          </w:p>
        </w:tc>
      </w:tr>
      <w:tr>
        <w:trPr>
          <w:trHeight w:val="224"/>
        </w:trPr>
        <w:tc>
          <w:tcPr>
            <w:tcW w:w="4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55,505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investments for which NAV is used as a practical expedient for fair value, we do not have any significant restrictions in our ability to liquidate our positions in these investments, other than obtaining general partner approval, nor do we believe it is probable that a price less than NAV would be received in the event of a liquidation.</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Investments</w:t>
      </w:r>
    </w:p>
    <w:p>
      <w:pPr>
        <w:spacing w:after="0" w:line="179"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Our fixed maturity securities investments have been designated as available-for-sale ("AFS"), and are carried at fair value, net of allowance for expected credit losses, with unrealized gains and losses included in AOCI, net of deferred income taxes. Our preferred and equity securities investments are carried at fair value with unrealized gains and losses included in net earnings. The Company’s consolidated investments as of June 30, 2025 and December 31, 2024 are summarized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80" w:type="dxa"/>
            <w:vAlign w:val="bottom"/>
          </w:tcPr>
          <w:p>
            <w:pPr>
              <w:spacing w:after="0"/>
              <w:rPr>
                <w:sz w:val="10"/>
                <w:szCs w:val="10"/>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0"/>
                <w:szCs w:val="10"/>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18,345</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5,390</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22,339</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52,047</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80" w:type="dxa"/>
            <w:vAlign w:val="bottom"/>
          </w:tcPr>
          <w:p>
            <w:pPr>
              <w:spacing w:after="0"/>
              <w:rPr>
                <w:sz w:val="10"/>
                <w:szCs w:val="10"/>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0"/>
                <w:szCs w:val="10"/>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15,656</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mortgage-backed/asset-backed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21,696</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Securities held on deposit with various state regulatory authorities had a fair value of $156 million and $997 million as of June 30, 2025 and December 31, 2024, respectively.</w:t>
      </w:r>
    </w:p>
    <w:p>
      <w:pPr>
        <w:spacing w:after="0" w:line="8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2025 and December 31, 2024, the Company held $35 million and $32 million, respectively, of investments that were non-income producing for a period greater than twelve months.</w:t>
      </w:r>
    </w:p>
    <w:p>
      <w:pPr>
        <w:spacing w:after="0" w:line="7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2025 and December 31, 2024, the Company's accrued interest receivable balance, excluding accrued interest receivable balances related to mortgage loans discussed below under "Mortgage Loans," was $512 million and $476 million, respectively. Accrued interest receivable is classified within Prepaid expenses and other assets within the unaudited Condensed Consolidated Balance Sheets.</w:t>
      </w:r>
    </w:p>
    <w:p>
      <w:pPr>
        <w:spacing w:after="0" w:line="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accordance with our FHLB agreements, the investments supporting the funding agreement liabilities are pledged as collateral to secure the FHLB funding agreement liabilities and are not available to us for general purposes. The collateral investments had a fair value of $4,624 million and $4,289 million as of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amortized cost and fair value of fixed maturity securities by contractual maturities, as applicable, are shown below. Actual maturities may differ from contractual maturities because issuers may have the right to call or prepay obligations.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9"/>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r>
      <w:tr>
        <w:trPr>
          <w:trHeight w:val="24"/>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Corporates, Non-structured Hybrids, Municipal and Government securities:</w:t>
            </w: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1"/>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in one year or less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r>
      <w:tr>
        <w:trPr>
          <w:trHeight w:val="20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w:t>
            </w:r>
          </w:p>
        </w:tc>
      </w:tr>
      <w:tr>
        <w:trPr>
          <w:trHeight w:val="191"/>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w:t>
            </w:r>
          </w:p>
        </w:tc>
      </w:tr>
      <w:tr>
        <w:trPr>
          <w:trHeight w:val="20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ten years</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17,139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13,959</w:t>
            </w:r>
          </w:p>
        </w:tc>
      </w:tr>
      <w:tr>
        <w:trPr>
          <w:trHeight w:val="185"/>
        </w:trPr>
        <w:tc>
          <w:tcPr>
            <w:tcW w:w="52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28,035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24,584</w:t>
            </w:r>
          </w:p>
        </w:tc>
      </w:tr>
      <w:tr>
        <w:trPr>
          <w:trHeight w:val="20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1"/>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18,471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15,656</w:t>
            </w:r>
          </w:p>
        </w:tc>
      </w:tr>
      <w:tr>
        <w:trPr>
          <w:trHeight w:val="20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5,537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w:t>
            </w:r>
          </w:p>
        </w:tc>
      </w:tr>
      <w:tr>
        <w:trPr>
          <w:trHeight w:val="192"/>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2,985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2,796</w:t>
            </w:r>
          </w:p>
        </w:tc>
      </w:tr>
      <w:tr>
        <w:trPr>
          <w:trHeight w:val="192"/>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26,993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26,696</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23,634</w:t>
            </w:r>
          </w:p>
        </w:tc>
      </w:tr>
      <w:tr>
        <w:trPr>
          <w:trHeight w:val="199"/>
        </w:trPr>
        <w:tc>
          <w:tcPr>
            <w:tcW w:w="52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55,028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52,047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51,681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48,218</w:t>
            </w: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w:t>
      </w:r>
    </w:p>
    <w:p>
      <w:pPr>
        <w:spacing w:after="0" w:line="1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71" w:lineRule="exact"/>
        <w:rPr>
          <w:sz w:val="20"/>
          <w:szCs w:val="20"/>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fair value is less than the amortized cost basis;</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the decline in value (credit event, foreign currency or interest-rate related, including general credit spread widening);</w:t>
      </w:r>
    </w:p>
    <w:p>
      <w:pPr>
        <w:spacing w:after="0" w:line="137" w:lineRule="exact"/>
        <w:rPr>
          <w:rFonts w:ascii="Times New Roman" w:cs="Times New Roman" w:eastAsia="Times New Roman" w:hAnsi="Times New Roman"/>
          <w:sz w:val="18"/>
          <w:szCs w:val="18"/>
          <w:color w:val="auto"/>
        </w:rPr>
      </w:pPr>
    </w:p>
    <w:p>
      <w:pPr>
        <w:ind w:left="720" w:hanging="317"/>
        <w:spacing w:after="0" w:line="274" w:lineRule="auto"/>
        <w:tabs>
          <w:tab w:leader="none" w:pos="7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near-term prospects of the issuer (including issuer's current credit rating and the probability of full recovery of principal based upon the issuer's financial strength);</w:t>
      </w:r>
    </w:p>
    <w:p>
      <w:pPr>
        <w:spacing w:after="0" w:line="70"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delinquencies and non-performing assets of underlying collateral;</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default rates;</w:t>
      </w:r>
    </w:p>
    <w:p>
      <w:pPr>
        <w:spacing w:after="0" w:line="137"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value by vintage, geographic region, industry concentration or property type;</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Subordination levels or other credit enhancements as of the balance sheet date as compared to origination; and</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and regulatory cash obligations and the issuer's plans to meet such obligations.</w:t>
      </w:r>
    </w:p>
    <w:p>
      <w:pPr>
        <w:spacing w:after="0" w:line="13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mortgage-backed securities as well as variable rate securities. We recognize the expected credit losses in Recognized gains and losses, net in the unaudited Condensed Consolidated Statements of Earnings, with an offset for the amount of non-credit impairments recognized in AOCI. We do not measure a credit loss allowance on accrued investment income because we write-off accrued interest through Interest and investment income when collectability concerns arise.</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consider the following in determining whether write-offs of a security’s amortized cost are necessary:</w:t>
      </w:r>
    </w:p>
    <w:p>
      <w:pPr>
        <w:spacing w:after="0" w:line="124" w:lineRule="exact"/>
        <w:rPr>
          <w:sz w:val="20"/>
          <w:szCs w:val="20"/>
          <w:color w:val="auto"/>
        </w:rPr>
      </w:pPr>
    </w:p>
    <w:p>
      <w:pPr>
        <w:ind w:left="680" w:hanging="277"/>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amounts related to securities have become uncollectible;</w:t>
      </w:r>
    </w:p>
    <w:p>
      <w:pPr>
        <w:spacing w:after="0" w:line="137" w:lineRule="exact"/>
        <w:rPr>
          <w:rFonts w:ascii="Times New Roman" w:cs="Times New Roman" w:eastAsia="Times New Roman" w:hAnsi="Times New Roman"/>
          <w:sz w:val="18"/>
          <w:szCs w:val="18"/>
          <w:color w:val="auto"/>
        </w:rPr>
      </w:pPr>
    </w:p>
    <w:p>
      <w:pPr>
        <w:ind w:left="680" w:hanging="277"/>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sell a security; or</w:t>
      </w:r>
    </w:p>
    <w:p>
      <w:pPr>
        <w:spacing w:after="0" w:line="124" w:lineRule="exact"/>
        <w:rPr>
          <w:rFonts w:ascii="Times New Roman" w:cs="Times New Roman" w:eastAsia="Times New Roman" w:hAnsi="Times New Roman"/>
          <w:sz w:val="18"/>
          <w:szCs w:val="18"/>
          <w:color w:val="auto"/>
        </w:rPr>
      </w:pPr>
    </w:p>
    <w:p>
      <w:pPr>
        <w:ind w:left="680" w:hanging="277"/>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more likely than not that we will be required to sell a security prior to recovery.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unaudited Condensed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an impairment is deemed to have occurred and the amortized cost is written down to the estimated recovery value with a corresponding charge, net of any amount previously recognized as an allowance for expected credit loss, to Recognized gains and losses, net in the accompanying unaudited Condensed Consolidated Statements of Earnings. The remainder of unrealized loss is held in AOCI. As of June 30, 2025 and December 31, 2024, our allowance for expected credit losses for AFS securities was $103 million and $67 million, respectively.</w:t>
      </w:r>
    </w:p>
    <w:p>
      <w:pPr>
        <w:spacing w:after="0" w:line="21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fair value and gross unrealized losses of AFS securities, excluding securities in an unrealized loss position with an allowance for expected credit loss, aggregated by investment category and duration of fair value below amortized cost as of June 30, 2025 and December 31, 2024 were as follows:</w:t>
      </w: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12 months or longer</w:t>
            </w:r>
          </w:p>
        </w:tc>
        <w:tc>
          <w:tcPr>
            <w:tcW w:w="160" w:type="dxa"/>
            <w:vAlign w:val="bottom"/>
          </w:tcPr>
          <w:p>
            <w:pPr>
              <w:spacing w:after="0"/>
              <w:rPr>
                <w:sz w:val="16"/>
                <w:szCs w:val="16"/>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1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5,164</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9"/>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8,180</w:t>
            </w:r>
          </w:p>
        </w:tc>
        <w:tc>
          <w:tcPr>
            <w:tcW w:w="100" w:type="dxa"/>
            <w:vAlign w:val="bottom"/>
          </w:tcPr>
          <w:p>
            <w:pPr>
              <w:spacing w:after="0"/>
              <w:rPr>
                <w:sz w:val="17"/>
                <w:szCs w:val="17"/>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15,265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23,445</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2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 less than twelve months</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line="123" w:lineRule="exact"/>
              <w:rPr>
                <w:sz w:val="20"/>
                <w:szCs w:val="20"/>
                <w:color w:val="auto"/>
              </w:rPr>
            </w:pPr>
            <w:r>
              <w:rPr>
                <w:rFonts w:ascii="Times New Roman" w:cs="Times New Roman" w:eastAsia="Times New Roman" w:hAnsi="Times New Roman"/>
                <w:sz w:val="14"/>
                <w:szCs w:val="14"/>
                <w:color w:val="auto"/>
              </w:rPr>
              <w:t>Total number of available-for-sale securities in an unrealized loss</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1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0" w:type="dxa"/>
            <w:vAlign w:val="bottom"/>
          </w:tcPr>
          <w:p>
            <w:pPr>
              <w:spacing w:after="0"/>
              <w:rPr>
                <w:sz w:val="1"/>
                <w:szCs w:val="1"/>
                <w:color w:val="auto"/>
              </w:rPr>
            </w:pPr>
          </w:p>
        </w:tc>
      </w:tr>
      <w:tr>
        <w:trPr>
          <w:trHeight w:val="16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position twelve months or longer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2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40" w:type="dxa"/>
            <w:vAlign w:val="bottom"/>
            <w:gridSpan w:val="5"/>
            <w:vMerge w:val="continue"/>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60" w:type="dxa"/>
            <w:vAlign w:val="bottom"/>
          </w:tcPr>
          <w:p>
            <w:pPr>
              <w:spacing w:after="0"/>
              <w:rPr>
                <w:sz w:val="16"/>
                <w:szCs w:val="16"/>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1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2"/>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(290)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16,141</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26,561</w:t>
            </w:r>
          </w:p>
        </w:tc>
        <w:tc>
          <w:tcPr>
            <w:tcW w:w="100" w:type="dxa"/>
            <w:vAlign w:val="bottom"/>
          </w:tcPr>
          <w:p>
            <w:pPr>
              <w:spacing w:after="0"/>
              <w:rPr>
                <w:sz w:val="16"/>
                <w:szCs w:val="16"/>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2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 less than twelve months</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line="123" w:lineRule="exact"/>
              <w:rPr>
                <w:sz w:val="20"/>
                <w:szCs w:val="20"/>
                <w:color w:val="auto"/>
              </w:rPr>
            </w:pPr>
            <w:r>
              <w:rPr>
                <w:rFonts w:ascii="Times New Roman" w:cs="Times New Roman" w:eastAsia="Times New Roman" w:hAnsi="Times New Roman"/>
                <w:sz w:val="14"/>
                <w:szCs w:val="14"/>
                <w:color w:val="auto"/>
              </w:rPr>
              <w:t>Total number of available-for-sale securities in an unrealized loss</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1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0" w:type="dxa"/>
            <w:vAlign w:val="bottom"/>
          </w:tcPr>
          <w:p>
            <w:pPr>
              <w:spacing w:after="0"/>
              <w:rPr>
                <w:sz w:val="1"/>
                <w:szCs w:val="1"/>
                <w:color w:val="auto"/>
              </w:rPr>
            </w:pPr>
          </w:p>
        </w:tc>
      </w:tr>
      <w:tr>
        <w:trPr>
          <w:trHeight w:val="16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position twelve months or longer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2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w:t>
            </w: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unrealized losses as of June 30, 2025 and December 31, 2024 were caused by higher treasury rates compared to those at the time of the F&amp;G acquisition or the purchase of the security if later. We believe the unrealized loss position for which we have not recorded an allowance for expected credit loss as of June 30, 2025 was primarily attributable to interest rate increases, near-term illiquidity and other macroeconomic uncertainties as opposed to issuer specific credit concerns.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mortgage loans are collateralized by commercial and residential properties.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Mortgage Loans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Commercial mortgage loans (“CMLs”) represented approximately 5% of our total investments reported on the unaudited Condensed Consolidated Balance Sheets for both June 30, 2025 and December 31, 2024. The mortgage loans in our investment portfolio are generally comprised of high quality commercial first lien and mezzanine real estate loans. Mortgage loans are primarily on income producing properties including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3"/>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9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00" w:type="dxa"/>
            <w:vAlign w:val="bottom"/>
          </w:tcPr>
          <w:p>
            <w:pPr>
              <w:spacing w:after="0"/>
              <w:rPr>
                <w:sz w:val="16"/>
                <w:szCs w:val="16"/>
                <w:color w:val="auto"/>
              </w:rPr>
            </w:pPr>
          </w:p>
        </w:tc>
        <w:tc>
          <w:tcPr>
            <w:tcW w:w="15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 Use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Student Housing</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24"/>
        </w:trPr>
        <w:tc>
          <w:tcPr>
            <w:tcW w:w="5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gross of valuation allowance</w:t>
            </w: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14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net of valuation allowance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Region:</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 North Central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East South Central</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Middle Atlantic</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Mountain</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England</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 Atlantic</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North Central</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 South Central</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4"/>
        </w:trPr>
        <w:tc>
          <w:tcPr>
            <w:tcW w:w="5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gross of valuation allowance</w:t>
            </w: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14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net of valuation allowance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individual loan, or a portion thereof, is charged off when it is determined to be uncollectible. There were no charge offs for CMLs during the six month period ended June 30, 2025 and for the year ended December 31, 2024. CMLs segregated by aging of the loans (by year of origination) as of June 30, 2025 and December 31, 2024, were as follows, gross of valuation allowances: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46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6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11"/>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355</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w:t>
            </w: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24"/>
        </w:trPr>
        <w:tc>
          <w:tcPr>
            <w:tcW w:w="4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58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333"/>
        </w:trPr>
        <w:tc>
          <w:tcPr>
            <w:tcW w:w="4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8"/>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
        </w:trPr>
        <w:tc>
          <w:tcPr>
            <w:tcW w:w="46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11"/>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6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11"/>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273</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w:t>
            </w: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24"/>
        </w:trPr>
        <w:tc>
          <w:tcPr>
            <w:tcW w:w="4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58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Loan-to-value (“LTV”)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 year amortization period for purposes of our general loan allowance evaluation.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the recorded investment in CMLs by LTV and DSC ratio categories and estimated fair value by the indicated LTV ratios, gross of valuation allowances at June 30, 2025 and December 31, 2024</w:t>
      </w:r>
      <w:r>
        <w:rPr>
          <w:rFonts w:ascii="Times New Roman" w:cs="Times New Roman" w:eastAsia="Times New Roman" w:hAnsi="Times New Roman"/>
          <w:sz w:val="15"/>
          <w:szCs w:val="15"/>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10"/>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Debt-Service Coverage Ratios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&gt;1.25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1.00 - 1.25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2"/>
              </w:rPr>
              <w:t>&lt;1.00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June 30, 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11"/>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1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75</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106</w:t>
            </w:r>
          </w:p>
        </w:tc>
        <w:tc>
          <w:tcPr>
            <w:tcW w:w="3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277</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234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1253</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DSC Ratios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140</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222</w:t>
            </w:r>
          </w:p>
        </w:tc>
        <w:tc>
          <w:tcPr>
            <w:tcW w:w="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279</w:t>
            </w:r>
          </w:p>
        </w:tc>
        <w:tc>
          <w:tcPr>
            <w:tcW w:w="300" w:type="dxa"/>
            <w:vAlign w:val="bottom"/>
            <w:gridSpan w:val="4"/>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1,241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635</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234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1253</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10"/>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16"/>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1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74</w:t>
            </w:r>
          </w:p>
        </w:tc>
        <w:tc>
          <w:tcPr>
            <w:tcW w:w="300" w:type="dxa"/>
            <w:vAlign w:val="bottom"/>
            <w:gridSpan w:val="4"/>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77</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113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290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1,253</w:t>
            </w:r>
          </w:p>
        </w:tc>
        <w:tc>
          <w:tcPr>
            <w:tcW w:w="20" w:type="dxa"/>
            <w:vAlign w:val="bottom"/>
            <w:tcBorders>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469</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DSC Ratios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215</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278</w:t>
            </w:r>
          </w:p>
        </w:tc>
        <w:tc>
          <w:tcPr>
            <w:tcW w:w="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1,241</w:t>
            </w:r>
          </w:p>
        </w:tc>
        <w:tc>
          <w:tcPr>
            <w:tcW w:w="300" w:type="dxa"/>
            <w:vAlign w:val="bottom"/>
            <w:gridSpan w:val="4"/>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192</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290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1,253</w:t>
            </w:r>
          </w:p>
        </w:tc>
        <w:tc>
          <w:tcPr>
            <w:tcW w:w="20" w:type="dxa"/>
            <w:vAlign w:val="bottom"/>
            <w:tcBorders>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469</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recognize a mortgage loan as delinquent when payments on the loan are greater than 30 days past due. As of June 30, 2025 and December 31, 2024, we had one CML that was delinquent in principal or interest payments as shown in the tables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Mortgage Loans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Residential mortgage loans (“RMLs”) represented approximately 6% and 5% of our total investments reported on the unaudited Condensed Consolidated Balance Sheets as of June 30, 2025 and December 31, 2024, respectively. Our RMLs are primarily closed end, amortizing loans and 100% of the properties are located in the United States. We diversify our RML portfolio by state to attempt to reduce concentration risk. The distribution of RMLs by state with highest-to-lowest concentration are reflected in the following tables, gross of valuation allowances: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1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States:</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 other states (a)</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3,381</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2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18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hanging="334"/>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individual concentration of each state is less than 5% as of June 30,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3"/>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6"/>
                <w:szCs w:val="16"/>
                <w:color w:val="auto"/>
              </w:rPr>
            </w:pPr>
          </w:p>
        </w:tc>
        <w:tc>
          <w:tcPr>
            <w:tcW w:w="1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States:</w:t>
            </w:r>
          </w:p>
        </w:tc>
        <w:tc>
          <w:tcPr>
            <w:tcW w:w="160" w:type="dxa"/>
            <w:vAlign w:val="bottom"/>
          </w:tcPr>
          <w:p>
            <w:pPr>
              <w:spacing w:after="0"/>
              <w:rPr>
                <w:sz w:val="16"/>
                <w:szCs w:val="16"/>
                <w:color w:val="auto"/>
              </w:rPr>
            </w:pPr>
          </w:p>
        </w:tc>
        <w:tc>
          <w:tcPr>
            <w:tcW w:w="12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states (a)</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16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24"/>
        </w:trPr>
        <w:tc>
          <w:tcPr>
            <w:tcW w:w="81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18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34"/>
        <w:spacing w:after="0"/>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individual concentration of each state is less than 5% as of December 31, 2024.</w:t>
      </w:r>
    </w:p>
    <w:p>
      <w:pPr>
        <w:spacing w:after="0" w:line="1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RMLs have a primary credit quality indicator of either a performing or non-performing loan. We define non-performing RMLs as those that are 90 or more days past due or in non-accrual status, which is assessed monthly. The credit quality of RMLs as of June 30, 2025 and December 31, 2024,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3"/>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1340" w:type="dxa"/>
            <w:vAlign w:val="bottom"/>
            <w:gridSpan w:val="3"/>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80" w:type="dxa"/>
            <w:vAlign w:val="bottom"/>
            <w:tcBorders>
              <w:top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95"/>
              </w:rPr>
              <w:t>% of Total</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indicators:</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Performing</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98 %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Non-performing</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4"/>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Allowance for expected loan loss</w:t>
            </w: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14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individual loan, or a portion thereof, is charged off when it is determined to be uncollectible. There were no charge offs recorded by RMLs during the six months ended June 30, 2025 or during the year ended December 31, 2024. RMLs segregated by aging of the loans (by year of origination) as of June 30, 2025 and December 31, 2024, were as follows, gross of valuation allowances: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4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2"/>
        </w:trPr>
        <w:tc>
          <w:tcPr>
            <w:tcW w:w="464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RMLs</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619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32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80" w:type="dxa"/>
            <w:vAlign w:val="bottom"/>
          </w:tcPr>
          <w:p>
            <w:pPr>
              <w:spacing w:after="0"/>
              <w:rPr>
                <w:sz w:val="16"/>
                <w:szCs w:val="16"/>
                <w:color w:val="auto"/>
              </w:rPr>
            </w:pP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9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w:t>
            </w:r>
          </w:p>
        </w:tc>
        <w:tc>
          <w:tcPr>
            <w:tcW w:w="5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620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3,930</w:t>
            </w:r>
          </w:p>
        </w:tc>
      </w:tr>
      <w:tr>
        <w:trPr>
          <w:trHeight w:val="20"/>
        </w:trPr>
        <w:tc>
          <w:tcPr>
            <w:tcW w:w="4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66"/>
        </w:trPr>
        <w:tc>
          <w:tcPr>
            <w:tcW w:w="4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gridSpan w:val="6"/>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
        </w:trPr>
        <w:tc>
          <w:tcPr>
            <w:tcW w:w="4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2"/>
        </w:trPr>
        <w:tc>
          <w:tcPr>
            <w:tcW w:w="464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RMLs</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610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32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w:t>
            </w: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80" w:type="dxa"/>
            <w:vAlign w:val="bottom"/>
          </w:tcPr>
          <w:p>
            <w:pPr>
              <w:spacing w:after="0"/>
              <w:rPr>
                <w:sz w:val="16"/>
                <w:szCs w:val="16"/>
                <w:color w:val="auto"/>
              </w:rPr>
            </w:pP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9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w:t>
            </w: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614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3,274</w:t>
            </w:r>
          </w:p>
        </w:tc>
      </w:tr>
      <w:tr>
        <w:trPr>
          <w:trHeight w:val="20"/>
        </w:trPr>
        <w:tc>
          <w:tcPr>
            <w:tcW w:w="4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accrual loans by amortized cost as of June 30, 2025 and December 31, 2024, were as follows:</w:t>
            </w: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jc w:val="right"/>
              <w:ind w:right="125"/>
              <w:spacing w:after="0"/>
              <w:rPr>
                <w:sz w:val="20"/>
                <w:szCs w:val="20"/>
                <w:color w:val="auto"/>
              </w:rPr>
            </w:pPr>
            <w:r>
              <w:rPr>
                <w:rFonts w:ascii="Times New Roman" w:cs="Times New Roman" w:eastAsia="Times New Roman" w:hAnsi="Times New Roman"/>
                <w:sz w:val="18"/>
                <w:szCs w:val="18"/>
                <w:color w:val="auto"/>
              </w:rPr>
              <w:t>Non-</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62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620" w:type="dxa"/>
            <w:vAlign w:val="bottom"/>
          </w:tcPr>
          <w:p>
            <w:pPr>
              <w:spacing w:after="0"/>
              <w:rPr>
                <w:sz w:val="17"/>
                <w:szCs w:val="17"/>
                <w:color w:val="auto"/>
              </w:rPr>
            </w:pP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of loans on non-accrual</w:t>
            </w: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2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2000" w:type="dxa"/>
            <w:vAlign w:val="bottom"/>
            <w:gridSpan w:val="3"/>
          </w:tcPr>
          <w:p>
            <w:pPr>
              <w:jc w:val="right"/>
              <w:ind w:right="110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345"/>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2"/>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Commercial mortgage:</w:t>
            </w:r>
          </w:p>
        </w:tc>
        <w:tc>
          <w:tcPr>
            <w:tcW w:w="1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2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non-accrual mortgages</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45"/>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Immaterial interest income was recognized on non-accrual financing receivables for the three and six months ended June 30, 2025 and 2024.</w:t>
      </w:r>
    </w:p>
    <w:p>
      <w:pPr>
        <w:spacing w:after="0" w:line="151"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It is our policy to cease to accrue interest on loans that are delinquent for 90 days or more. For loans less than 90 days delinquent, interest is accrued unless it is determined that the accrued interest is not collectible. If a loan becomes 90 days or more delinquent, it is our general policy to initiate foreclosure proceedings unless a workout arrangement to bring the loan current is in place. As of June 30, 2025 and December 31, 2024, we had $76 million and $94 million, respectively, of mortgage loans that were over 90 days past due.</w:t>
      </w:r>
    </w:p>
    <w:p>
      <w:pPr>
        <w:spacing w:after="0" w:line="12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we had $64 million and $81 million, respectively, of residential mortgage loans that were in the process of foreclosure.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Expected Credit Loss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estimate expected credit losses for our commercial and residential mortgage loan portfolios using a probability of default/loss given default model. Significant inputs to this model include, where applicable, the loans' current performance, underlying collateral type, location, contractual life, LTV, DSC and Debt to Income or FICO. The model projects losses using a two year reasonable and supportable forecast and then reverts over a three-year period to market-wide historical loss experience. Changes in our allowance for expected credit losses on mortgage loans are recognized in Recognized gains and losses, net in the accompanying unaudited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allowances for our mortgage loan portfolio are summarized as follows:</w:t>
      </w:r>
    </w:p>
    <w:p>
      <w:pPr>
        <w:spacing w:after="0" w:line="39" w:lineRule="exact"/>
        <w:rPr>
          <w:sz w:val="20"/>
          <w:szCs w:val="20"/>
          <w:color w:val="auto"/>
        </w:rPr>
      </w:pPr>
    </w:p>
    <w:p>
      <w:pPr>
        <w:jc w:val="right"/>
        <w:ind w:right="780"/>
        <w:spacing w:after="0"/>
        <w:tabs>
          <w:tab w:leader="none" w:pos="1900" w:val="left"/>
        </w:tabs>
        <w:rPr>
          <w:sz w:val="20"/>
          <w:szCs w:val="20"/>
          <w:color w:val="auto"/>
        </w:rPr>
      </w:pPr>
      <w:r>
        <w:rPr>
          <w:rFonts w:ascii="Times New Roman" w:cs="Times New Roman" w:eastAsia="Times New Roman" w:hAnsi="Times New Roman"/>
          <w:sz w:val="14"/>
          <w:szCs w:val="14"/>
          <w:b w:val="1"/>
          <w:bCs w:val="1"/>
          <w:color w:val="auto"/>
        </w:rPr>
        <w:t>Three months ended June 30, 2025</w:t>
      </w:r>
      <w:r>
        <w:rPr>
          <w:sz w:val="20"/>
          <w:szCs w:val="20"/>
          <w:color w:val="auto"/>
        </w:rPr>
        <w:tab/>
      </w:r>
      <w:r>
        <w:rPr>
          <w:rFonts w:ascii="Times New Roman" w:cs="Times New Roman" w:eastAsia="Times New Roman" w:hAnsi="Times New Roman"/>
          <w:sz w:val="14"/>
          <w:szCs w:val="14"/>
          <w:b w:val="1"/>
          <w:bCs w:val="1"/>
          <w:color w:val="auto"/>
        </w:rPr>
        <w:t>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31115</wp:posOffset>
            </wp:positionV>
            <wp:extent cx="44926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926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31115</wp:posOffset>
            </wp:positionV>
            <wp:extent cx="22294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21" w:lineRule="exact"/>
        <w:rPr>
          <w:sz w:val="20"/>
          <w:szCs w:val="20"/>
          <w:color w:val="auto"/>
        </w:rPr>
      </w:pPr>
    </w:p>
    <w:p>
      <w:pPr>
        <w:ind w:left="4380"/>
        <w:spacing w:after="0"/>
        <w:tabs>
          <w:tab w:leader="none" w:pos="5520" w:val="left"/>
        </w:tabs>
        <w:rPr>
          <w:sz w:val="20"/>
          <w:szCs w:val="20"/>
          <w:color w:val="auto"/>
        </w:rPr>
      </w:pPr>
      <w:r>
        <w:rPr>
          <w:rFonts w:ascii="Times New Roman" w:cs="Times New Roman" w:eastAsia="Times New Roman" w:hAnsi="Times New Roman"/>
          <w:sz w:val="14"/>
          <w:szCs w:val="14"/>
          <w:b w:val="1"/>
          <w:bCs w:val="1"/>
          <w:color w:val="auto"/>
        </w:rPr>
        <w:t>Residential</w:t>
      </w:r>
      <w:r>
        <w:rPr>
          <w:sz w:val="20"/>
          <w:szCs w:val="20"/>
          <w:color w:val="auto"/>
        </w:rPr>
        <w:tab/>
      </w:r>
      <w:r>
        <w:rPr>
          <w:rFonts w:ascii="Times New Roman" w:cs="Times New Roman" w:eastAsia="Times New Roman" w:hAnsi="Times New Roman"/>
          <w:sz w:val="14"/>
          <w:szCs w:val="14"/>
          <w:b w:val="1"/>
          <w:bCs w:val="1"/>
          <w:color w:val="auto"/>
        </w:rPr>
        <w:t>Commercial</w:t>
      </w:r>
    </w:p>
    <w:p>
      <w:pPr>
        <w:ind w:left="4420"/>
        <w:spacing w:after="0"/>
        <w:tabs>
          <w:tab w:leader="none" w:pos="5600" w:val="left"/>
          <w:tab w:leader="none" w:pos="6940" w:val="left"/>
        </w:tabs>
        <w:rPr>
          <w:sz w:val="20"/>
          <w:szCs w:val="20"/>
          <w:color w:val="auto"/>
        </w:rPr>
      </w:pP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31115</wp:posOffset>
            </wp:positionV>
            <wp:extent cx="22040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Residential</w:t>
      </w:r>
      <w:r>
        <w:rPr>
          <w:sz w:val="20"/>
          <w:szCs w:val="20"/>
          <w:color w:val="auto"/>
        </w:rPr>
        <w:tab/>
      </w:r>
      <w:r>
        <w:rPr>
          <w:rFonts w:ascii="Times New Roman" w:cs="Times New Roman" w:eastAsia="Times New Roman" w:hAnsi="Times New Roman"/>
          <w:sz w:val="14"/>
          <w:szCs w:val="14"/>
          <w:b w:val="1"/>
          <w:bCs w:val="1"/>
          <w:color w:val="auto"/>
        </w:rPr>
        <w:t>Commercial</w:t>
      </w:r>
    </w:p>
    <w:p>
      <w:pPr>
        <w:ind w:left="40"/>
        <w:spacing w:after="0"/>
        <w:tabs>
          <w:tab w:leader="none" w:pos="1220" w:val="left"/>
          <w:tab w:leader="none" w:pos="2540" w:val="left"/>
        </w:tabs>
        <w:rPr>
          <w:sz w:val="20"/>
          <w:szCs w:val="20"/>
          <w:color w:val="auto"/>
        </w:rPr>
      </w:pP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92"/>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expense for loan losses</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24"/>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373"/>
        </w:trPr>
        <w:tc>
          <w:tcPr>
            <w:tcW w:w="4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20" w:type="dxa"/>
            <w:vAlign w:val="bottom"/>
            <w:gridSpan w:val="6"/>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20" w:type="dxa"/>
            <w:vAlign w:val="bottom"/>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467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6786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31115</wp:posOffset>
            </wp:positionV>
            <wp:extent cx="22040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21" w:lineRule="exact"/>
        <w:rPr>
          <w:sz w:val="20"/>
          <w:szCs w:val="20"/>
          <w:color w:val="auto"/>
        </w:rPr>
      </w:pPr>
    </w:p>
    <w:p>
      <w:pPr>
        <w:ind w:left="4420"/>
        <w:spacing w:after="0"/>
        <w:tabs>
          <w:tab w:leader="none" w:pos="5560" w:val="left"/>
        </w:tabs>
        <w:rPr>
          <w:sz w:val="20"/>
          <w:szCs w:val="20"/>
          <w:color w:val="auto"/>
        </w:rPr>
      </w:pPr>
      <w:r>
        <w:rPr>
          <w:rFonts w:ascii="Times New Roman" w:cs="Times New Roman" w:eastAsia="Times New Roman" w:hAnsi="Times New Roman"/>
          <w:sz w:val="14"/>
          <w:szCs w:val="14"/>
          <w:b w:val="1"/>
          <w:bCs w:val="1"/>
          <w:color w:val="auto"/>
        </w:rPr>
        <w:t>Residential</w:t>
      </w:r>
      <w:r>
        <w:rPr>
          <w:sz w:val="20"/>
          <w:szCs w:val="20"/>
          <w:color w:val="auto"/>
        </w:rPr>
        <w:tab/>
      </w:r>
      <w:r>
        <w:rPr>
          <w:rFonts w:ascii="Times New Roman" w:cs="Times New Roman" w:eastAsia="Times New Roman" w:hAnsi="Times New Roman"/>
          <w:sz w:val="14"/>
          <w:szCs w:val="14"/>
          <w:b w:val="1"/>
          <w:bCs w:val="1"/>
          <w:color w:val="auto"/>
        </w:rPr>
        <w:t>Commercial</w:t>
      </w:r>
    </w:p>
    <w:p>
      <w:pPr>
        <w:ind w:left="4460"/>
        <w:spacing w:after="0"/>
        <w:tabs>
          <w:tab w:leader="none" w:pos="5640" w:val="left"/>
          <w:tab w:leader="none" w:pos="6960" w:val="left"/>
        </w:tabs>
        <w:rPr>
          <w:sz w:val="20"/>
          <w:szCs w:val="20"/>
          <w:color w:val="auto"/>
        </w:rPr>
      </w:pP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31115</wp:posOffset>
            </wp:positionV>
            <wp:extent cx="22040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Residential</w:t>
      </w:r>
      <w:r>
        <w:rPr>
          <w:sz w:val="20"/>
          <w:szCs w:val="20"/>
          <w:color w:val="auto"/>
        </w:rPr>
        <w:tab/>
      </w:r>
      <w:r>
        <w:rPr>
          <w:rFonts w:ascii="Times New Roman" w:cs="Times New Roman" w:eastAsia="Times New Roman" w:hAnsi="Times New Roman"/>
          <w:sz w:val="14"/>
          <w:szCs w:val="14"/>
          <w:b w:val="1"/>
          <w:bCs w:val="1"/>
          <w:color w:val="auto"/>
        </w:rPr>
        <w:t>Commercial</w:t>
      </w:r>
    </w:p>
    <w:p>
      <w:pPr>
        <w:ind w:left="40"/>
        <w:spacing w:after="0"/>
        <w:tabs>
          <w:tab w:leader="none" w:pos="1220" w:val="left"/>
          <w:tab w:leader="none" w:pos="2540" w:val="left"/>
        </w:tabs>
        <w:rPr>
          <w:sz w:val="20"/>
          <w:szCs w:val="20"/>
          <w:color w:val="auto"/>
        </w:rPr>
      </w:pP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11" w:lineRule="exact"/>
        <w:rPr>
          <w:sz w:val="20"/>
          <w:szCs w:val="20"/>
          <w:color w:val="auto"/>
        </w:rPr>
      </w:pPr>
    </w:p>
    <w:p>
      <w:pPr>
        <w:sectPr>
          <w:pgSz w:w="11900" w:h="16838" w:orient="portrait"/>
          <w:cols w:equalWidth="0" w:num="2">
            <w:col w:w="7280" w:space="700"/>
            <w:col w:w="3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2"/>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benefit (expense) for loan losses</w:t>
            </w: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allowance for expected credit loss is not measured on accrued interest income for CMLs as we have a process to write-off interest on loans that enter into non-accrual status (90 days or more past due). Allowances for expected credit losses are measured on accrued interest income for RMLs and were immaterial for the six months ended June 30, 2025 and 2024.</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2025 and December 31, 2024, the accrued interest receivable balance on CMLs totaled $9 million and $8 million, respectively, and the accrued interest receivable on RMLs totaled $34 million and $28 million, respectively. Accrued interest receivable is classified within Prepaid expenses and other assets within the unaudited Condensed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major sources of Interest and investment income reported on the accompanying unaudited Condensed Consolidated Statements of Earnings were as follows:</w:t>
      </w:r>
    </w:p>
    <w:p>
      <w:pPr>
        <w:sectPr>
          <w:pgSz w:w="11900" w:h="16838" w:orient="portrait"/>
          <w:cols w:equalWidth="0" w:num="1">
            <w:col w:w="11240"/>
          </w:cols>
          <w:pgMar w:left="320" w:top="121" w:right="339" w:bottom="1440" w:gutter="0" w:footer="0" w:header="0"/>
          <w:type w:val="continuous"/>
        </w:sectPr>
      </w:pPr>
    </w:p>
    <w:p>
      <w:pPr>
        <w:spacing w:after="0" w:line="7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31115</wp:posOffset>
            </wp:positionV>
            <wp:extent cx="19011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31" w:lineRule="exact"/>
        <w:rPr>
          <w:sz w:val="20"/>
          <w:szCs w:val="20"/>
          <w:color w:val="auto"/>
        </w:rPr>
      </w:pPr>
    </w:p>
    <w:p>
      <w:pPr>
        <w:ind w:left="6000"/>
        <w:spacing w:after="0"/>
        <w:tabs>
          <w:tab w:leader="none" w:pos="75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31115</wp:posOffset>
            </wp:positionV>
            <wp:extent cx="19011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31115</wp:posOffset>
            </wp:positionV>
            <wp:extent cx="17329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pacing w:after="0" w:line="3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31115</wp:posOffset>
            </wp:positionV>
            <wp:extent cx="17329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9" w:lineRule="exact"/>
        <w:rPr>
          <w:sz w:val="20"/>
          <w:szCs w:val="20"/>
          <w:color w:val="auto"/>
        </w:rPr>
      </w:pPr>
    </w:p>
    <w:p>
      <w:pPr>
        <w:sectPr>
          <w:pgSz w:w="11900" w:h="16838" w:orient="portrait"/>
          <w:cols w:equalWidth="0" w:num="2">
            <w:col w:w="8300" w:space="720"/>
            <w:col w:w="22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deferred property exchange income</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2"/>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9"/>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r>
      <w:tr>
        <w:trPr>
          <w:trHeight w:val="192"/>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2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$189 million and $155 million for the three months ended June 30, 2025 and 2024, respectively, and $373 million and $282 million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Recognized Gains and Losses, Net</w:t>
      </w:r>
    </w:p>
    <w:p>
      <w:pPr>
        <w:spacing w:after="0" w:line="115"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8"/>
          <w:szCs w:val="18"/>
          <w:color w:val="auto"/>
        </w:rPr>
        <w:t>Details underlying Recognized gains and losses, net reported on the accompanying unaudited Condensed Consolidated Statements of Earnings were as follows:</w:t>
      </w:r>
    </w:p>
    <w:p>
      <w:pPr>
        <w:sectPr>
          <w:pgSz w:w="11900" w:h="16838" w:orient="portrait"/>
          <w:cols w:equalWidth="0" w:num="1">
            <w:col w:w="11240"/>
          </w:cols>
          <w:pgMar w:left="320" w:top="121" w:right="339" w:bottom="1440" w:gutter="0" w:footer="0" w:header="0"/>
        </w:sectPr>
      </w:pPr>
    </w:p>
    <w:p>
      <w:pPr>
        <w:ind w:left="60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31115</wp:posOffset>
            </wp:positionV>
            <wp:extent cx="18173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1" w:lineRule="exact"/>
        <w:rPr>
          <w:sz w:val="20"/>
          <w:szCs w:val="20"/>
          <w:color w:val="auto"/>
        </w:rPr>
      </w:pPr>
    </w:p>
    <w:p>
      <w:pPr>
        <w:ind w:left="6100"/>
        <w:spacing w:after="0"/>
        <w:tabs>
          <w:tab w:leader="none" w:pos="75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31115</wp:posOffset>
            </wp:positionV>
            <wp:extent cx="18173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31115</wp:posOffset>
            </wp:positionV>
            <wp:extent cx="17329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pacing w:after="0" w:line="3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31115</wp:posOffset>
            </wp:positionV>
            <wp:extent cx="17329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9" w:lineRule="exact"/>
        <w:rPr>
          <w:sz w:val="20"/>
          <w:szCs w:val="20"/>
          <w:color w:val="auto"/>
        </w:rPr>
      </w:pPr>
    </w:p>
    <w:p>
      <w:pPr>
        <w:sectPr>
          <w:pgSz w:w="11900" w:h="16838" w:orient="portrait"/>
          <w:cols w:equalWidth="0" w:num="2">
            <w:col w:w="8300" w:space="720"/>
            <w:col w:w="22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gains (losses) on fixed maturity available-for-sale securities</w:t>
            </w: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gains on equity securities (1)</w:t>
            </w:r>
          </w:p>
        </w:tc>
        <w:tc>
          <w:tcPr>
            <w:tcW w:w="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gains on preferred securities (2)</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gains on other invested assets</w:t>
            </w:r>
          </w:p>
        </w:tc>
        <w:tc>
          <w:tcPr>
            <w:tcW w:w="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0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and embedded derivatives:</w:t>
            </w: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Realized (losses) gains on certain derivative instruments</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1"/>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gains (losses) on certain derivative instruments</w:t>
            </w:r>
          </w:p>
        </w:tc>
        <w:tc>
          <w:tcPr>
            <w:tcW w:w="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 (3)</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2"/>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realized/unrealized gains (losses) on derivatives and embedded derivatives</w:t>
            </w:r>
          </w:p>
        </w:tc>
        <w:tc>
          <w:tcPr>
            <w:tcW w:w="6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99"/>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6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20"/>
        </w:trPr>
        <w:tc>
          <w:tcPr>
            <w:tcW w:w="5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firstLine="6"/>
        <w:spacing w:after="0" w:line="265" w:lineRule="auto"/>
        <w:tabs>
          <w:tab w:leader="none" w:pos="20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losses of $35 million and $95 million for the three months ended June 30, 2025 and 2024, respectively, and $78 million and $73 million for the six months ended June 30, 2025 and 2024, respectively.</w:t>
      </w:r>
    </w:p>
    <w:p>
      <w:pPr>
        <w:ind w:right="20" w:firstLine="6"/>
        <w:spacing w:after="0" w:line="250" w:lineRule="auto"/>
        <w:tabs>
          <w:tab w:leader="none" w:pos="20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losses of $1 million and $3 million for the three months ended June 30, 2025 and 2024, respectively, and net valuation (losses) gains of $(2) million and $12 million for the six months ended June 30, 2025 and 2024, respectively.</w:t>
      </w:r>
    </w:p>
    <w:p>
      <w:pPr>
        <w:ind w:left="200" w:hanging="194"/>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reinsurance related embedded derivatives is due to activity related to the reinsurance treaties.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Recognized gains and losses, net is shown net of amounts attributable to certain funds withheld reinsurance agreements, which are passed along to the reinsurer in accordance with the terms of these agreements. Recognized gains and (losses) attributable to these agreements, and thus excluded from the totals in the table above, were $(57) million and $(99) million for the three and six months ended June 30, 2025, respectively, and $10 million and $(9) million for the three and six months ended June 30, 2024, respectively.</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proceeds from the sale of fixed-maturity securities and the gross gains and losses associated with those transactions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4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gridSpan w:val="3"/>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5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7"/>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619</w:t>
            </w:r>
          </w:p>
        </w:tc>
        <w:tc>
          <w:tcPr>
            <w:tcW w:w="102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Pr>
          <w:p>
            <w:pPr>
              <w:spacing w:after="0"/>
              <w:rPr>
                <w:sz w:val="16"/>
                <w:szCs w:val="16"/>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2,703</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r>
      <w:tr>
        <w:trPr>
          <w:trHeight w:val="24"/>
        </w:trPr>
        <w:tc>
          <w:tcPr>
            <w:tcW w:w="5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gains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4"/>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losses</w:t>
            </w:r>
          </w:p>
        </w:tc>
        <w:tc>
          <w:tcPr>
            <w:tcW w:w="96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Variable Interest Entities</w:t>
      </w:r>
    </w:p>
    <w:p>
      <w:pPr>
        <w:spacing w:after="0" w:line="11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own investments in variable interest entities ("VIEs") that are not consolidated within our financial statements.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While we participate in the benefits from VIEs in which we invest, but do not consolidate, the substantive power to make the key economic decisions for each respective VIE resides with entities not under our common control. It is for this reason that we are not considered the primary beneficiary for the VIE investments that are not consolidated.</w:t>
      </w:r>
    </w:p>
    <w:p>
      <w:pPr>
        <w:spacing w:after="0" w:line="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unaudited Condensed Consolidated Balance Sheets. In addition, we invest in structured investments, which may be VIEs, but for which we are not the primary beneficiary. These structured investments typically invest in fixed income investments and are managed by third parties and include asset-backed securities, commercial mortgage-backed securities, and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mortgage-backed securities included in Fixed maturity securities available for sale on our unaudited Condensed Consolidated Balance Sheets.</w:t>
      </w:r>
    </w:p>
    <w:p>
      <w:pPr>
        <w:spacing w:after="0" w:line="11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For limited partnerships, our maximum loss exposure with respect to these VIEs is limited to the investment carry amounts reported in our unaudited Condensed Consolidated Balance Sheets in addition to any required unfunded commitments. For fixed maturity securities, our maximum loss exposure with respect to these VIEs is limited to the amortized cost in addition to any required unfunded commitments (also refer to Note F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8"/>
          <w:szCs w:val="18"/>
          <w:color w:val="auto"/>
        </w:rPr>
        <w:t>The following table summarizes the carrying value and the maximum loss exposure of our unconsolidated VIEs as of June 30, 2025 and December 31, 2024:</w:t>
      </w: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2440" w:type="dxa"/>
            <w:vAlign w:val="bottom"/>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4"/>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1"/>
                <w:szCs w:val="11"/>
                <w:color w:val="auto"/>
              </w:rPr>
            </w:pPr>
          </w:p>
        </w:tc>
        <w:tc>
          <w:tcPr>
            <w:tcW w:w="1100" w:type="dxa"/>
            <w:vAlign w:val="bottom"/>
          </w:tcPr>
          <w:p>
            <w:pPr>
              <w:jc w:val="center"/>
              <w:ind w:right="49"/>
              <w:spacing w:after="0" w:line="134"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1"/>
                <w:szCs w:val="11"/>
                <w:color w:val="auto"/>
              </w:rPr>
            </w:pPr>
          </w:p>
        </w:tc>
        <w:tc>
          <w:tcPr>
            <w:tcW w:w="1120" w:type="dxa"/>
            <w:vAlign w:val="bottom"/>
          </w:tcPr>
          <w:p>
            <w:pPr>
              <w:jc w:val="right"/>
              <w:ind w:right="69"/>
              <w:spacing w:after="0" w:line="134"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0" w:type="dxa"/>
            <w:vAlign w:val="bottom"/>
          </w:tcPr>
          <w:p>
            <w:pPr>
              <w:spacing w:after="0"/>
              <w:rPr>
                <w:sz w:val="1"/>
                <w:szCs w:val="1"/>
                <w:color w:val="auto"/>
              </w:rPr>
            </w:pPr>
          </w:p>
        </w:tc>
      </w:tr>
      <w:tr>
        <w:trPr>
          <w:trHeight w:val="191"/>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r>
        <w:trPr>
          <w:trHeight w:val="198"/>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0" w:type="dxa"/>
            <w:vAlign w:val="bottom"/>
          </w:tcPr>
          <w:p>
            <w:pPr>
              <w:spacing w:after="0"/>
              <w:rPr>
                <w:sz w:val="1"/>
                <w:szCs w:val="1"/>
                <w:color w:val="auto"/>
              </w:rPr>
            </w:pPr>
          </w:p>
        </w:tc>
      </w:tr>
      <w:tr>
        <w:trPr>
          <w:trHeight w:val="192"/>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24,242</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unconsolidated VIE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Derivative Financial Instruments</w:t>
      </w:r>
    </w:p>
    <w:p>
      <w:pPr>
        <w:spacing w:after="0" w:line="138"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Note A </w:t>
      </w:r>
      <w:r>
        <w:rPr>
          <w:rFonts w:ascii="Times New Roman" w:cs="Times New Roman" w:eastAsia="Times New Roman" w:hAnsi="Times New Roman"/>
          <w:sz w:val="18"/>
          <w:szCs w:val="18"/>
          <w:i w:val="1"/>
          <w:iCs w:val="1"/>
          <w:color w:val="auto"/>
        </w:rPr>
        <w:t>Basis of Financial Statements</w:t>
      </w:r>
      <w:r>
        <w:rPr>
          <w:rFonts w:ascii="Times New Roman" w:cs="Times New Roman" w:eastAsia="Times New Roman" w:hAnsi="Times New Roman"/>
          <w:sz w:val="18"/>
          <w:szCs w:val="18"/>
          <w:color w:val="auto"/>
        </w:rPr>
        <w:t xml:space="preserve">, for a description of the Company’s accounting policies for derivative financial instruments and Note C </w:t>
      </w:r>
      <w:r>
        <w:rPr>
          <w:rFonts w:ascii="Times New Roman" w:cs="Times New Roman" w:eastAsia="Times New Roman" w:hAnsi="Times New Roman"/>
          <w:sz w:val="18"/>
          <w:szCs w:val="18"/>
          <w:i w:val="1"/>
          <w:iCs w:val="1"/>
          <w:color w:val="auto"/>
        </w:rPr>
        <w:t xml:space="preserve">Fair Value of Financial Instruments for </w:t>
      </w:r>
      <w:r>
        <w:rPr>
          <w:rFonts w:ascii="Times New Roman" w:cs="Times New Roman" w:eastAsia="Times New Roman" w:hAnsi="Times New Roman"/>
          <w:sz w:val="18"/>
          <w:szCs w:val="18"/>
          <w:color w:val="auto"/>
        </w:rPr>
        <w:t>descriptions of the fair value methodologies used for derivative financial instruments.</w:t>
      </w:r>
    </w:p>
    <w:p>
      <w:pPr>
        <w:spacing w:after="0" w:line="4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notional and carrying amounts of derivative financial instruments, including derivative instruments embedded in indexed annuities and IUL contracts, and reinsurance are as follows:</w:t>
      </w:r>
    </w:p>
    <w:p>
      <w:pPr>
        <w:spacing w:after="0" w:line="64"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474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104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Notional</w:t>
            </w:r>
          </w:p>
        </w:tc>
        <w:tc>
          <w:tcPr>
            <w:tcW w:w="1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Gross Notional</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186"/>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 (a)</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7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derivatives designated as hedging instruments</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2"/>
        </w:trPr>
        <w:tc>
          <w:tcPr>
            <w:tcW w:w="4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options (a)</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32,475</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29,594</w:t>
            </w:r>
          </w:p>
        </w:tc>
        <w:tc>
          <w:tcPr>
            <w:tcW w:w="30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 (a)</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Futures contracts (a)</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derivative investments (a)</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embedded derivatives (b)</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annuities/IUL embedded derivatives (c)</w:t>
            </w:r>
          </w:p>
        </w:tc>
        <w:tc>
          <w:tcPr>
            <w:tcW w:w="3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w:t>
            </w:r>
          </w:p>
        </w:tc>
      </w:tr>
      <w:tr>
        <w:trPr>
          <w:trHeight w:val="20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Reinsurance related embedded derivatives (d)</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85"/>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hedging instruments</w:t>
            </w:r>
          </w:p>
        </w:tc>
        <w:tc>
          <w:tcPr>
            <w:tcW w:w="3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38,493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5,121</w:t>
            </w:r>
          </w:p>
        </w:tc>
      </w:tr>
      <w:tr>
        <w:trPr>
          <w:trHeight w:val="224"/>
        </w:trPr>
        <w:tc>
          <w:tcPr>
            <w:tcW w:w="4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320" w:hanging="314"/>
        <w:spacing w:after="0" w:line="265" w:lineRule="auto"/>
        <w:tabs>
          <w:tab w:leader="none" w:pos="31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derivative assets is reported in Derivative investments, and the fair value of derivative liabilities is reported in Accounts payable and accrued liabilities on the unaudited Condensed Consolidated Balance Sheets.</w:t>
      </w: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is included in Other long term investments on the unaudited Condensed Consolidated Balance Sheets.</w:t>
      </w:r>
    </w:p>
    <w:p>
      <w:pPr>
        <w:spacing w:after="0" w:line="1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is included in Contractholder funds on the unaudited Condensed Consolidated Balance Sheets.</w:t>
      </w:r>
    </w:p>
    <w:p>
      <w:pPr>
        <w:spacing w:after="0" w:line="1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embedded derivative asset is included in Funds withheld for reinsurance liabilities as a contra-liability on the unaudited Condensed Consolidated Balance Sheets.</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amounts and locations of gains (losses) recognized for derivatives and gains (losses) recognized for hedged items included in the unaudited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Earnings are as follows: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80" w:type="dxa"/>
            <w:vAlign w:val="bottom"/>
          </w:tcPr>
          <w:p>
            <w:pPr>
              <w:spacing w:after="0"/>
              <w:rPr>
                <w:sz w:val="11"/>
                <w:szCs w:val="11"/>
                <w:color w:val="auto"/>
              </w:rPr>
            </w:pP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9"/>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Pr>
          <w:p>
            <w:pPr>
              <w:spacing w:after="0"/>
              <w:rPr>
                <w:sz w:val="11"/>
                <w:szCs w:val="11"/>
                <w:color w:val="auto"/>
              </w:rPr>
            </w:pPr>
          </w:p>
        </w:tc>
        <w:tc>
          <w:tcPr>
            <w:tcW w:w="1180" w:type="dxa"/>
            <w:vAlign w:val="bottom"/>
            <w:tcBorders>
              <w:top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9"/>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18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0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(losses) for</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40" w:type="dxa"/>
            <w:vAlign w:val="bottom"/>
          </w:tcPr>
          <w:p>
            <w:pPr>
              <w:spacing w:after="0"/>
              <w:rPr>
                <w:sz w:val="12"/>
                <w:szCs w:val="12"/>
                <w:color w:val="auto"/>
              </w:rPr>
            </w:pPr>
          </w:p>
        </w:tc>
        <w:tc>
          <w:tcPr>
            <w:tcW w:w="104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80" w:type="dxa"/>
            <w:vAlign w:val="bottom"/>
          </w:tcPr>
          <w:p>
            <w:pPr>
              <w:spacing w:after="0"/>
              <w:rPr>
                <w:sz w:val="12"/>
                <w:szCs w:val="12"/>
                <w:color w:val="auto"/>
              </w:rPr>
            </w:pPr>
          </w:p>
        </w:tc>
        <w:tc>
          <w:tcPr>
            <w:tcW w:w="110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00" w:type="dxa"/>
            <w:vAlign w:val="bottom"/>
          </w:tcPr>
          <w:p>
            <w:pPr>
              <w:spacing w:after="0"/>
              <w:rPr>
                <w:sz w:val="12"/>
                <w:szCs w:val="12"/>
                <w:color w:val="auto"/>
              </w:rPr>
            </w:pPr>
          </w:p>
        </w:tc>
        <w:tc>
          <w:tcPr>
            <w:tcW w:w="98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hedged item</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hedged item</w:t>
            </w: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7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1780" w:type="dxa"/>
            <w:vAlign w:val="bottom"/>
            <w:tcBorders>
              <w:top w:val="single" w:sz="8" w:color="CCEEFF"/>
            </w:tcBorders>
            <w:shd w:val="clear" w:color="auto" w:fill="CCEEFF"/>
          </w:tcPr>
          <w:p>
            <w:pPr>
              <w:ind w:left="120"/>
              <w:spacing w:after="0" w:line="121"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1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8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7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options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derivative investments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embedded derivatives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17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Indexed annuities/IUL</w:t>
            </w:r>
          </w:p>
        </w:tc>
        <w:tc>
          <w:tcPr>
            <w:tcW w:w="16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center"/>
              <w:ind w:left="62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derivatives</w:t>
            </w: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Reinsurance related embedded</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780" w:type="dxa"/>
            <w:vAlign w:val="bottom"/>
          </w:tcPr>
          <w:p>
            <w:pPr>
              <w:ind w:left="120"/>
              <w:spacing w:after="0" w:line="114" w:lineRule="exact"/>
              <w:rPr>
                <w:sz w:val="20"/>
                <w:szCs w:val="20"/>
                <w:color w:val="auto"/>
              </w:rPr>
            </w:pPr>
            <w:r>
              <w:rPr>
                <w:rFonts w:ascii="Times New Roman" w:cs="Times New Roman" w:eastAsia="Times New Roman" w:hAnsi="Times New Roman"/>
                <w:sz w:val="13"/>
                <w:szCs w:val="13"/>
                <w:b w:val="1"/>
                <w:bCs w:val="1"/>
                <w:color w:val="auto"/>
              </w:rPr>
              <w:t>Total derivatives not</w:t>
            </w:r>
          </w:p>
        </w:tc>
        <w:tc>
          <w:tcPr>
            <w:tcW w:w="1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center"/>
              <w:ind w:left="62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80" w:type="dxa"/>
            <w:vAlign w:val="bottom"/>
          </w:tcPr>
          <w:p>
            <w:pPr>
              <w:spacing w:after="0"/>
              <w:rPr>
                <w:sz w:val="11"/>
                <w:szCs w:val="11"/>
                <w:color w:val="auto"/>
              </w:rPr>
            </w:pP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9"/>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Pr>
          <w:p>
            <w:pPr>
              <w:spacing w:after="0"/>
              <w:rPr>
                <w:sz w:val="11"/>
                <w:szCs w:val="11"/>
                <w:color w:val="auto"/>
              </w:rPr>
            </w:pP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9"/>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18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0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140" w:type="dxa"/>
            <w:vAlign w:val="bottom"/>
          </w:tcPr>
          <w:p>
            <w:pPr>
              <w:spacing w:after="0"/>
              <w:rPr>
                <w:sz w:val="12"/>
                <w:szCs w:val="12"/>
                <w:color w:val="auto"/>
              </w:rPr>
            </w:pPr>
          </w:p>
        </w:tc>
        <w:tc>
          <w:tcPr>
            <w:tcW w:w="104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40" w:type="dxa"/>
            <w:vAlign w:val="bottom"/>
          </w:tcPr>
          <w:p>
            <w:pPr>
              <w:spacing w:after="0"/>
              <w:rPr>
                <w:sz w:val="12"/>
                <w:szCs w:val="12"/>
                <w:color w:val="auto"/>
              </w:rPr>
            </w:pPr>
          </w:p>
        </w:tc>
        <w:tc>
          <w:tcPr>
            <w:tcW w:w="104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120" w:type="dxa"/>
            <w:vAlign w:val="bottom"/>
          </w:tcPr>
          <w:p>
            <w:pPr>
              <w:spacing w:after="0"/>
              <w:rPr>
                <w:sz w:val="12"/>
                <w:szCs w:val="12"/>
                <w:color w:val="auto"/>
              </w:rPr>
            </w:pPr>
          </w:p>
        </w:tc>
        <w:tc>
          <w:tcPr>
            <w:tcW w:w="106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00" w:type="dxa"/>
            <w:vAlign w:val="bottom"/>
          </w:tcPr>
          <w:p>
            <w:pPr>
              <w:spacing w:after="0"/>
              <w:rPr>
                <w:sz w:val="12"/>
                <w:szCs w:val="12"/>
                <w:color w:val="auto"/>
              </w:rPr>
            </w:pPr>
          </w:p>
        </w:tc>
        <w:tc>
          <w:tcPr>
            <w:tcW w:w="98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hedged item</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hedged item</w:t>
            </w: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7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1780" w:type="dxa"/>
            <w:vAlign w:val="bottom"/>
            <w:tcBorders>
              <w:top w:val="single" w:sz="8" w:color="CCEEFF"/>
            </w:tcBorders>
            <w:shd w:val="clear" w:color="auto" w:fill="CCEEFF"/>
          </w:tcPr>
          <w:p>
            <w:pPr>
              <w:ind w:left="120"/>
              <w:spacing w:after="0" w:line="121"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1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8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7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7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options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derivative investments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embedded derivatives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17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Indexed annuities/IUL</w:t>
            </w:r>
          </w:p>
        </w:tc>
        <w:tc>
          <w:tcPr>
            <w:tcW w:w="16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derivatives</w:t>
            </w: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Reinsurance related embedded</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780" w:type="dxa"/>
            <w:vAlign w:val="bottom"/>
          </w:tcPr>
          <w:p>
            <w:pPr>
              <w:ind w:left="120"/>
              <w:spacing w:after="0" w:line="114" w:lineRule="exact"/>
              <w:rPr>
                <w:sz w:val="20"/>
                <w:szCs w:val="20"/>
                <w:color w:val="auto"/>
              </w:rPr>
            </w:pPr>
            <w:r>
              <w:rPr>
                <w:rFonts w:ascii="Times New Roman" w:cs="Times New Roman" w:eastAsia="Times New Roman" w:hAnsi="Times New Roman"/>
                <w:sz w:val="13"/>
                <w:szCs w:val="13"/>
                <w:b w:val="1"/>
                <w:bCs w:val="1"/>
                <w:color w:val="auto"/>
              </w:rPr>
              <w:t>Total derivatives not</w:t>
            </w:r>
          </w:p>
        </w:tc>
        <w:tc>
          <w:tcPr>
            <w:tcW w:w="1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amounts are recorded in the unaudited Condensed Consolidated Balance Sheets related to the carrying amount of hedged assets and (liabilities) and the cumulative basis adjustment included in the carrying amount for fair value hedges: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60" w:type="dxa"/>
            <w:vAlign w:val="bottom"/>
          </w:tcPr>
          <w:p>
            <w:pPr>
              <w:spacing w:after="0"/>
              <w:rPr>
                <w:sz w:val="16"/>
                <w:szCs w:val="16"/>
                <w:color w:val="auto"/>
              </w:rPr>
            </w:pPr>
          </w:p>
        </w:tc>
        <w:tc>
          <w:tcPr>
            <w:tcW w:w="350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tcPr>
          <w:p>
            <w:pPr>
              <w:jc w:val="center"/>
              <w:ind w:right="9"/>
              <w:spacing w:after="0" w:line="126" w:lineRule="exact"/>
              <w:rPr>
                <w:sz w:val="20"/>
                <w:szCs w:val="20"/>
                <w:color w:val="auto"/>
              </w:rPr>
            </w:pPr>
            <w:r>
              <w:rPr>
                <w:rFonts w:ascii="Times New Roman" w:cs="Times New Roman" w:eastAsia="Times New Roman" w:hAnsi="Times New Roman"/>
                <w:sz w:val="14"/>
                <w:szCs w:val="14"/>
                <w:b w:val="1"/>
                <w:bCs w:val="1"/>
                <w:color w:val="auto"/>
              </w:rPr>
              <w:t>Cumulative Amount of Fair</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9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Cumulative Amount of Fair</w:t>
            </w:r>
          </w:p>
        </w:tc>
        <w:tc>
          <w:tcPr>
            <w:tcW w:w="0" w:type="dxa"/>
            <w:vAlign w:val="bottom"/>
          </w:tcPr>
          <w:p>
            <w:pPr>
              <w:spacing w:after="0"/>
              <w:rPr>
                <w:sz w:val="1"/>
                <w:szCs w:val="1"/>
                <w:color w:val="auto"/>
              </w:rPr>
            </w:pPr>
          </w:p>
        </w:tc>
      </w:tr>
      <w:tr>
        <w:trPr>
          <w:trHeight w:val="134"/>
        </w:trPr>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Value Hedging Adjustment</w:t>
            </w:r>
          </w:p>
        </w:tc>
        <w:tc>
          <w:tcPr>
            <w:tcW w:w="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4"/>
                <w:szCs w:val="14"/>
                <w:b w:val="1"/>
                <w:bCs w:val="1"/>
                <w:color w:val="auto"/>
              </w:rPr>
              <w:t>Value Hedging Adjustment</w:t>
            </w:r>
          </w:p>
        </w:tc>
        <w:tc>
          <w:tcPr>
            <w:tcW w:w="0" w:type="dxa"/>
            <w:vAlign w:val="bottom"/>
          </w:tcPr>
          <w:p>
            <w:pPr>
              <w:spacing w:after="0"/>
              <w:rPr>
                <w:sz w:val="1"/>
                <w:szCs w:val="1"/>
                <w:color w:val="auto"/>
              </w:rPr>
            </w:pPr>
          </w:p>
        </w:tc>
      </w:tr>
      <w:tr>
        <w:trPr>
          <w:trHeight w:val="146"/>
        </w:trPr>
        <w:tc>
          <w:tcPr>
            <w:tcW w:w="3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Line Item in the unaudited Condensed Consolidated</w:t>
            </w:r>
          </w:p>
        </w:tc>
        <w:tc>
          <w:tcPr>
            <w:tcW w:w="190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Carrying Amount of Hedged</w:t>
            </w:r>
          </w:p>
        </w:tc>
        <w:tc>
          <w:tcPr>
            <w:tcW w:w="140" w:type="dxa"/>
            <w:vAlign w:val="bottom"/>
          </w:tcPr>
          <w:p>
            <w:pPr>
              <w:spacing w:after="0"/>
              <w:rPr>
                <w:sz w:val="12"/>
                <w:szCs w:val="12"/>
                <w:color w:val="auto"/>
              </w:rPr>
            </w:pPr>
          </w:p>
        </w:tc>
        <w:tc>
          <w:tcPr>
            <w:tcW w:w="18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included in the Carrying</w:t>
            </w:r>
          </w:p>
        </w:tc>
        <w:tc>
          <w:tcPr>
            <w:tcW w:w="1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 of Hedged</w:t>
            </w:r>
          </w:p>
        </w:tc>
        <w:tc>
          <w:tcPr>
            <w:tcW w:w="180" w:type="dxa"/>
            <w:vAlign w:val="bottom"/>
          </w:tcPr>
          <w:p>
            <w:pPr>
              <w:spacing w:after="0"/>
              <w:rPr>
                <w:sz w:val="12"/>
                <w:szCs w:val="12"/>
                <w:color w:val="auto"/>
              </w:rPr>
            </w:pPr>
          </w:p>
        </w:tc>
        <w:tc>
          <w:tcPr>
            <w:tcW w:w="1760" w:type="dxa"/>
            <w:vAlign w:val="bottom"/>
          </w:tcPr>
          <w:p>
            <w:pPr>
              <w:jc w:val="center"/>
              <w:ind w:right="42"/>
              <w:spacing w:after="0" w:line="146" w:lineRule="exact"/>
              <w:rPr>
                <w:sz w:val="20"/>
                <w:szCs w:val="20"/>
                <w:color w:val="auto"/>
              </w:rPr>
            </w:pPr>
            <w:r>
              <w:rPr>
                <w:rFonts w:ascii="Times New Roman" w:cs="Times New Roman" w:eastAsia="Times New Roman" w:hAnsi="Times New Roman"/>
                <w:sz w:val="14"/>
                <w:szCs w:val="14"/>
                <w:b w:val="1"/>
                <w:bCs w:val="1"/>
                <w:color w:val="auto"/>
              </w:rPr>
              <w:t>included in the Carrying</w:t>
            </w:r>
          </w:p>
        </w:tc>
        <w:tc>
          <w:tcPr>
            <w:tcW w:w="0" w:type="dxa"/>
            <w:vAlign w:val="bottom"/>
          </w:tcPr>
          <w:p>
            <w:pPr>
              <w:spacing w:after="0"/>
              <w:rPr>
                <w:sz w:val="1"/>
                <w:szCs w:val="1"/>
                <w:color w:val="auto"/>
              </w:rPr>
            </w:pPr>
          </w:p>
        </w:tc>
      </w:tr>
      <w:tr>
        <w:trPr>
          <w:trHeight w:val="144"/>
        </w:trPr>
        <w:tc>
          <w:tcPr>
            <w:tcW w:w="346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20" w:type="dxa"/>
            <w:vAlign w:val="bottom"/>
            <w:gridSpan w:val="3"/>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Amount of the Hedged Assets</w:t>
            </w:r>
          </w:p>
        </w:tc>
        <w:tc>
          <w:tcPr>
            <w:tcW w:w="1920" w:type="dxa"/>
            <w:vAlign w:val="bottom"/>
            <w:gridSpan w:val="2"/>
            <w:vMerge w:val="continue"/>
          </w:tcPr>
          <w:p>
            <w:pPr>
              <w:spacing w:after="0"/>
              <w:rPr>
                <w:sz w:val="12"/>
                <w:szCs w:val="12"/>
                <w:color w:val="auto"/>
              </w:rPr>
            </w:pPr>
          </w:p>
        </w:tc>
        <w:tc>
          <w:tcPr>
            <w:tcW w:w="1940" w:type="dxa"/>
            <w:vAlign w:val="bottom"/>
            <w:gridSpan w:val="2"/>
          </w:tcPr>
          <w:p>
            <w:pPr>
              <w:jc w:val="center"/>
              <w:ind w:left="3"/>
              <w:spacing w:after="0" w:line="144" w:lineRule="exact"/>
              <w:rPr>
                <w:sz w:val="20"/>
                <w:szCs w:val="20"/>
                <w:color w:val="auto"/>
              </w:rPr>
            </w:pPr>
            <w:r>
              <w:rPr>
                <w:rFonts w:ascii="Times New Roman" w:cs="Times New Roman" w:eastAsia="Times New Roman" w:hAnsi="Times New Roman"/>
                <w:sz w:val="14"/>
                <w:szCs w:val="14"/>
                <w:b w:val="1"/>
                <w:bCs w:val="1"/>
                <w:color w:val="auto"/>
              </w:rPr>
              <w:t>Amount of the Hedged Assets</w:t>
            </w:r>
          </w:p>
        </w:tc>
        <w:tc>
          <w:tcPr>
            <w:tcW w:w="0" w:type="dxa"/>
            <w:vAlign w:val="bottom"/>
          </w:tcPr>
          <w:p>
            <w:pPr>
              <w:spacing w:after="0"/>
              <w:rPr>
                <w:sz w:val="1"/>
                <w:szCs w:val="1"/>
                <w:color w:val="auto"/>
              </w:rPr>
            </w:pPr>
          </w:p>
        </w:tc>
      </w:tr>
      <w:tr>
        <w:trPr>
          <w:trHeight w:val="192"/>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Sheets that includes hedged item</w:t>
            </w:r>
          </w:p>
        </w:tc>
        <w:tc>
          <w:tcPr>
            <w:tcW w:w="220" w:type="dxa"/>
            <w:vAlign w:val="bottom"/>
          </w:tcPr>
          <w:p>
            <w:pPr>
              <w:spacing w:after="0"/>
              <w:rPr>
                <w:sz w:val="16"/>
                <w:szCs w:val="16"/>
                <w:color w:val="auto"/>
              </w:rPr>
            </w:pPr>
          </w:p>
        </w:tc>
        <w:tc>
          <w:tcPr>
            <w:tcW w:w="16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6"/>
                <w:szCs w:val="16"/>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60" w:type="dxa"/>
            <w:vAlign w:val="bottom"/>
          </w:tcPr>
          <w:p>
            <w:pPr>
              <w:spacing w:after="0"/>
              <w:rPr>
                <w:sz w:val="16"/>
                <w:szCs w:val="16"/>
                <w:color w:val="auto"/>
              </w:rPr>
            </w:pPr>
          </w:p>
        </w:tc>
        <w:tc>
          <w:tcPr>
            <w:tcW w:w="156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w w:val="99"/>
              </w:rPr>
              <w:t>Assets (Liabilities)</w:t>
            </w:r>
          </w:p>
        </w:tc>
        <w:tc>
          <w:tcPr>
            <w:tcW w:w="180" w:type="dxa"/>
            <w:vAlign w:val="bottom"/>
          </w:tcPr>
          <w:p>
            <w:pPr>
              <w:spacing w:after="0"/>
              <w:rPr>
                <w:sz w:val="16"/>
                <w:szCs w:val="16"/>
                <w:color w:val="auto"/>
              </w:rPr>
            </w:pPr>
          </w:p>
        </w:tc>
        <w:tc>
          <w:tcPr>
            <w:tcW w:w="1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92"/>
        </w:trPr>
        <w:tc>
          <w:tcPr>
            <w:tcW w:w="3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AFS, at amortized cost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2"/>
            <w:shd w:val="clear" w:color="auto" w:fill="CCEEFF"/>
          </w:tcPr>
          <w:p>
            <w:pPr>
              <w:jc w:val="center"/>
              <w:ind w:left="1389"/>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Contractholder funds</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 derivative instruments’ gains (losses) excluded from the assessment of hedge effectiveness was immaterial.</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cumulative fair value hedging adjustments for hedged assets and liabilities for which hedge accounting was discontinued as of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utilize interest rate swaps and foreign currency swaps that are designated and accounted for as fair value hedges to reduce interest rate risk for certain funding agreements and to reduce the risk of certain exposures to foreign currency risk for foreign AFS fixed maturity securities. For fair value hedges of funding agreements, changes in fair value are reported in Benefits and other changes in policy reserves. For fair value hedges of AFS fixed maturity securities, changes in fair value included in the assessment of effectiveness are reported in Recognized gains and losses, net in the unaudited Condensed Consolidated Statement of Earnings. The change in the fair value of components excluded from the assessment of hedge effectiveness is recorded in OCI and is recognized in net income through periodic settlements.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Indexed Annuities/IUL Embedded Derivative, Equity Options and Futures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indexed annuities and IUL contracts that permit the holder to elect an interest rate return or an equity index linked component, where interest credited to the contracts is linked to the performance of various equity indices, such as the S&amp;P 500 Index. This feature represents an embedded derivative under GAAP. The indexed annuities/IUL embedded derivatives are valued at fair value and included in the liability for contractholder funds in the unaudited Condensed Consolidated Balance Sheets with changes in fair value included as a component of Benefits and other changes in policy reserves in the unaudited Condensed Consolidated Statements of Earnings.</w:t>
      </w:r>
    </w:p>
    <w:p>
      <w:pPr>
        <w:spacing w:after="0" w:line="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purchase derivatives consisting of a combination of equity options and futures contracts (specifically for indexed annuity contracts) on the applicable market indices to fund the index credits due to indexed annuity/IUL contractholders. The equity options are one, two, three, five and six year options purchased to match the funding requirements of the underlying policies. On the respective anniversary dates of the indexed policies, the index used to compute the interest credit is reset and we purchase new equity options to fund the next index credit. We manage the cost of these purchases through the terms of our indexed annuities/IUL contracts, which permit us to change caps, spreads or participation rates, subject to guaranteed minimums, on each contract’s anniversary date. The change in the fair value of the equity options and futures contracts is generally designed to offset the portion of the change in the fair value of the indexed annuities/IUL embedded derivatives related to index performance through the current credit period. The equity options and futures contracts are marked to fair value with the change in fair value included as a component of Recognized gains and losses, net, in the unaudited Condensed Consolidated Statements of Earnings. The change in fair value of the equity options and futures contracts includes the gains and losses recognized at the expiration of the instrument term or upon early termination and the changes in fair value of open positions.</w:t>
      </w:r>
    </w:p>
    <w:p>
      <w:pPr>
        <w:spacing w:after="0" w:line="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market exposures are hedged periodically depending on market conditions and our risk tolerance. Our indexed annuities/IUL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utilize interest rate swaps to reduce market risks from interest rate changes on our earnings associated with our floating rate investments. With an interest rate swap, we agree with another party to exchange, at specified intervals, the difference between fixed-rate and floating-rate interest amounts tied to an agreed upon notional principal.</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interest rate swaps are marked to fair value with the change in fair value, including accrued interest and related periodic cash flows received or paid, included as a component of Recognized gains and losses, net, in the unaudited Condensed Consolidated Statements of Earnings.</w:t>
      </w: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Foreign Currency Swaps</w:t>
      </w:r>
    </w:p>
    <w:p>
      <w:pPr>
        <w:spacing w:after="0" w:line="1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utilize foreign currency swaps to reduce market risks from fluctuations in foreign exchange rates that impact earnings associated with our foreign currency denominated investments. Through a foreign currency swap, we agree with another party to exchange, at specified intervals, principal and interest payments in one currency for principal and interest payments in another currency, based on an agreed-upon notional amount.</w:t>
      </w:r>
    </w:p>
    <w:p>
      <w:pPr>
        <w:spacing w:after="0" w:line="19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foreign currency swaps are marked to fair value with the change in fair value, including accrued interest and related periodic cash flows received or paid, included as a component of Recognized gains and losses, net, in the unaudited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Reinsurance Related Embedded Derivatives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F&amp;G cedes certain business on a coinsurance funds withheld basis. Investment results for the assets that support the coinsurance are segregated within the funds withheld account and are passed directly to the reinsurer pursuant to the contractual terms of the reinsurance agreement, which creates embedded derivatives considered to be total return swaps. These total return swaps are not clearly and closely related to the underlying reinsurance agreement and thus require bifurcation. The fair value of the total return swaps is based on the change in fair value of the underlying assets held in the funds withheld account. Beginning in the first quarter of 2025, these embedded derivatives are reported in Funds withheld for reinsurance liabilities, irrespective if in a net asset position or a net liability position, on the unaudited Condensed Consolidated Balance Sheets and prior periods have been reclassified to conform with the current presentation. The related gains or losses are reported in Recognized gains and losses, net, on the unaudited Condensed Consolidated Statements of Earnings.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3"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are exposed to credit loss in the event of non-performance by our counterparties and reflect assumptions regarding this non-performance risk in the fair value of our derivatives.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manage credit risk related to non-performance by our counterparties by (i) entering into derivative transactions with creditworthy counterparties; (ii) obtaining collateral, such as cash and securities when appropriate; and (iii) establishing counterparty exposure limits, which are subject to periodic management review.</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our exposure to credit loss on the derivative instruments we hold, excluding futures contracts, is presented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2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80" w:type="dxa"/>
            <w:vAlign w:val="bottom"/>
          </w:tcPr>
          <w:p>
            <w:pPr>
              <w:spacing w:after="0"/>
              <w:rPr>
                <w:sz w:val="16"/>
                <w:szCs w:val="16"/>
                <w:color w:val="auto"/>
              </w:rPr>
            </w:pPr>
          </w:p>
        </w:tc>
        <w:tc>
          <w:tcPr>
            <w:tcW w:w="14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Net Credit Risk</w:t>
            </w:r>
          </w:p>
        </w:tc>
      </w:tr>
      <w:tr>
        <w:trPr>
          <w:trHeight w:val="24"/>
        </w:trPr>
        <w:tc>
          <w:tcPr>
            <w:tcW w:w="6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6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2025</w:t>
            </w:r>
          </w:p>
        </w:tc>
        <w:tc>
          <w:tcPr>
            <w:tcW w:w="1260" w:type="dxa"/>
            <w:vAlign w:val="bottom"/>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924</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856</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4"/>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126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782</w:t>
            </w:r>
          </w:p>
        </w:tc>
        <w:tc>
          <w:tcPr>
            <w:tcW w:w="340" w:type="dxa"/>
            <w:vAlign w:val="bottom"/>
          </w:tcPr>
          <w:p>
            <w:pPr>
              <w:spacing w:after="0"/>
              <w:rPr>
                <w:sz w:val="15"/>
                <w:szCs w:val="15"/>
                <w:color w:val="auto"/>
              </w:rPr>
            </w:pP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771</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bl>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Collateral Agreements</w:t>
      </w:r>
    </w:p>
    <w:p>
      <w:pPr>
        <w:spacing w:after="0" w:line="12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derivative contracts between the parties, at which time any amounts payable by us or the counterparty would be dependent on the market value of the underlying contracts. Our current rating does not allow any counterparty the right to terminate ISDA agreements. In certain transactions, both us and the counterparty have entered into a collateral support agreement requiring either party to post collateral when the net exposures exceed pre-determined thresholds. For all counterparties, except one, the threshold is set to zero. As of June 30, 2025 and December 31, 2024 counterparties posted collateral of $856 million and $771 million, respectively, of which $774 million and $679 million, respectively, is included in Cash and cash equivalents with an associated payable for this collateral included in Accounts payable and accrued liabilities on the unaudited Condensed Consolidated Balance Sheets. Accordingly, the maximum amount of loss due to credit risk that we would incur if parties to the derivatives failed completely to perform according to the terms of the contracts was $68 million as of June 30, 2025 and $34 million at December 31, 2024.</w:t>
      </w:r>
    </w:p>
    <w:p>
      <w:pPr>
        <w:spacing w:after="0" w:line="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required to pay our counterparties the effective federal funds interest rate each day for cash collateral posted to us. Cash collateral is reinvested in overnight investment sweep products, which are included in Cash and cash equivalents in the unaudited Condensed Consolidated Balance Sheets, to reduce the interest cost. Changes in cash collateral are included in the Change in derivative collateral liabilities in the unaudited Condensed Consolidated Statements of Cash Flow.</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held 332 and 527 futures contracts as of June 30, 2025 and December 31, 2024,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unaudited Condensed Consolidated Balance Sheets. The amount of cash collateral held by the counterparties for such contracts was $6 million and $7 million as of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Commitments and Contingencies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Contingencies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w:t>
      </w:r>
      <w:r>
        <w:rPr>
          <w:rFonts w:ascii="Times New Roman" w:cs="Times New Roman" w:eastAsia="Times New Roman" w:hAnsi="Times New Roman"/>
          <w:sz w:val="18"/>
          <w:szCs w:val="18"/>
          <w:i w:val="1"/>
          <w:iCs w:val="1"/>
          <w:color w:val="auto"/>
        </w:rPr>
        <w:t>Summary of Reserve for 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Claim Losses </w:t>
      </w:r>
      <w:r>
        <w:rPr>
          <w:rFonts w:ascii="Times New Roman" w:cs="Times New Roman" w:eastAsia="Times New Roman" w:hAnsi="Times New Roman"/>
          <w:sz w:val="18"/>
          <w:szCs w:val="18"/>
          <w:color w:val="auto"/>
        </w:rPr>
        <w:t>for further discussion. Additionally, like other companies, our ordinary course litigation includes a number of class action and purported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lawsuits, which make allegations related to aspects of our operations. We believe that no actions, other than the matters discussed below, if any, depart from customary litigation incidental to our business.</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has been recorded. Our accrual for legal and regulatory matters was $17 million as of June 30, 2025 and December 31, 2024.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F&amp;G is a defendant in two putative class action lawsuits related to the alleged compromise of certain of F&amp;G’s customers’ personal information resulting from an alleged vulnerability in the MOVEit file transfer software. F&amp;G’s vendor, Pension Benefit Information, LLC (“PBI”), used the MOVEit software in the course of providing audit and address research services to F&amp;G and many other corporate customers. </w:t>
      </w:r>
      <w:r>
        <w:rPr>
          <w:rFonts w:ascii="Times New Roman" w:cs="Times New Roman" w:eastAsia="Times New Roman" w:hAnsi="Times New Roman"/>
          <w:sz w:val="18"/>
          <w:szCs w:val="18"/>
          <w:i w:val="1"/>
          <w:iCs w:val="1"/>
          <w:color w:val="auto"/>
        </w:rPr>
        <w:t>Miller v. F&amp;G</w:t>
      </w:r>
      <w:r>
        <w:rPr>
          <w:rFonts w:ascii="Times New Roman" w:cs="Times New Roman" w:eastAsia="Times New Roman" w:hAnsi="Times New Roman"/>
          <w:sz w:val="18"/>
          <w:szCs w:val="18"/>
          <w:color w:val="auto"/>
        </w:rPr>
        <w:t xml:space="preserve">, No. 4:23-cv-00326, was filed against F&amp;G in the Southern District of Iowa on August 31, 2023. Miller alleges that he is an F&amp;G customer whose information was impacted in the MOVEit incident and brings common law tort and implied contract claims for damages. </w:t>
      </w:r>
      <w:r>
        <w:rPr>
          <w:rFonts w:ascii="Times New Roman" w:cs="Times New Roman" w:eastAsia="Times New Roman" w:hAnsi="Times New Roman"/>
          <w:sz w:val="18"/>
          <w:szCs w:val="18"/>
          <w:i w:val="1"/>
          <w:iCs w:val="1"/>
          <w:color w:val="auto"/>
        </w:rPr>
        <w:t>Cooper v. Progress Software Corp.</w:t>
      </w:r>
      <w:r>
        <w:rPr>
          <w:rFonts w:ascii="Times New Roman" w:cs="Times New Roman" w:eastAsia="Times New Roman" w:hAnsi="Times New Roman"/>
          <w:sz w:val="18"/>
          <w:szCs w:val="18"/>
          <w:color w:val="auto"/>
        </w:rPr>
        <w:t>, No. 1:23-cv-12067, was filed against F&amp;G and five other defendants in the District of Massachusetts on September 7, 2023. Cooper also alleges that he is an F&amp;G customer and brings similar common law tort claims and alleges claims as a purported third-party beneficiary of an alleged contract.</w:t>
      </w:r>
    </w:p>
    <w:p>
      <w:pPr>
        <w:spacing w:after="0" w:line="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Well over 150 similar lawsuits have been filed against other entities impacted by the MOVEit incident including a number of such lawsuits related to PBI’s use of MOVEit. On October 4, 2023, the U.S. Judicial Panel on Multidistrict Litigation (JPML) created a multidistrict litigation (MDL) pursuant to 28 U.S.C. § 1407 to handle all litigation brought by individuals whose information was potentially compromised in connection with the alleged MOVEit vulnerability. Both </w:t>
      </w:r>
      <w:r>
        <w:rPr>
          <w:rFonts w:ascii="Times New Roman" w:cs="Times New Roman" w:eastAsia="Times New Roman" w:hAnsi="Times New Roman"/>
          <w:sz w:val="18"/>
          <w:szCs w:val="18"/>
          <w:i w:val="1"/>
          <w:iCs w:val="1"/>
          <w:color w:val="auto"/>
        </w:rPr>
        <w:t>Miller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Cooper</w:t>
      </w:r>
      <w:r>
        <w:rPr>
          <w:rFonts w:ascii="Times New Roman" w:cs="Times New Roman" w:eastAsia="Times New Roman" w:hAnsi="Times New Roman"/>
          <w:sz w:val="18"/>
          <w:szCs w:val="18"/>
          <w:color w:val="auto"/>
        </w:rPr>
        <w:t xml:space="preserve"> have been transferred to the MDL and consolidated under MDL Case No. 1:23-md-03083-ADB-PGL. The case is proceeding under a modified bellwether structure to decide critical issues and facilitate reciprocal discovery, and Plaintiffs’ consolidated class action complaint against all the bellwether Defendants was filed on December 6, 2024. F&amp;G was not selected as a bellwether Defendant, and there is no schedule in place for further proceedings involving the non-bellwether Defendants like F&amp;G. At this time, we do not believe the incident will have a material impact on our business, operations, or financial results.</w:t>
      </w:r>
    </w:p>
    <w:p>
      <w:pPr>
        <w:spacing w:after="0" w:line="8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connection with the cybersecurity incident initially reported on November 21, 2023, the Company and/or its subsidiaries is a party to a consolidated putative nationwide class action, </w:t>
      </w:r>
      <w:r>
        <w:rPr>
          <w:rFonts w:ascii="Times New Roman" w:cs="Times New Roman" w:eastAsia="Times New Roman" w:hAnsi="Times New Roman"/>
          <w:sz w:val="18"/>
          <w:szCs w:val="18"/>
          <w:i w:val="1"/>
          <w:iCs w:val="1"/>
          <w:color w:val="auto"/>
        </w:rPr>
        <w:t>In Re: LoanCare Data Security Breach Litigation</w:t>
      </w:r>
      <w:r>
        <w:rPr>
          <w:rFonts w:ascii="Times New Roman" w:cs="Times New Roman" w:eastAsia="Times New Roman" w:hAnsi="Times New Roman"/>
          <w:sz w:val="18"/>
          <w:szCs w:val="18"/>
          <w:color w:val="auto"/>
        </w:rPr>
        <w:t>, Case No. 3:23cv1508, pending in the U.S. District Court for the Middle District of Florida and originating from the consolidation of putative class actions filed in the U.S. District Courts for the Middle District of Florida, the Central District of California, and the Western District of Missouri. On March 19, 2024, plaintiffs filed their consolidated class action complaint on behalf of a nationwide class, along with a California subclass and a Florida subclass, alleging common law tort and contract claims and certain state statutory claims. The parties mediated the case on July 25, 2024, and reached an agreement in principle to resolve the case on a class-wide basis. On March 24, 2025, the court granted preliminary approval of the class-wide settlement, set class notice and claim form deadlines, and scheduled a final approval hearing for September 4, 2025. If approved, and once the settlement administrator disburses all the funds, the case will be dismissed.</w:t>
      </w:r>
    </w:p>
    <w:p>
      <w:pPr>
        <w:spacing w:after="0" w:line="82"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On May 28, 2024, a lawsuit styled </w:t>
      </w:r>
      <w:r>
        <w:rPr>
          <w:rFonts w:ascii="Times New Roman" w:cs="Times New Roman" w:eastAsia="Times New Roman" w:hAnsi="Times New Roman"/>
          <w:sz w:val="18"/>
          <w:szCs w:val="18"/>
          <w:i w:val="1"/>
          <w:iCs w:val="1"/>
          <w:color w:val="auto"/>
        </w:rPr>
        <w:t>Roofers Local 149 Pension Fund v. Fidelity National Financial Inc., William P. Foley, F&amp;G Annuities &amp; Life Inc</w:t>
      </w:r>
      <w:r>
        <w:rPr>
          <w:rFonts w:ascii="Times New Roman" w:cs="Times New Roman" w:eastAsia="Times New Roman" w:hAnsi="Times New Roman"/>
          <w:sz w:val="18"/>
          <w:szCs w:val="18"/>
          <w:color w:val="auto"/>
        </w:rPr>
        <w:t>., C.A. No. 2024-0562-LWW, was filed in the Chancery Court of the State of Delaware against Fidelity National Financial, Inc. (“FNF”), in its capacity as F&amp;G Annuities &amp; Life Inc.’s (“F&amp;G”) controlling stockholder, and William P. Foley, Executive Chairman of F&amp;G and Chairman of FNF, alleging breach of fiduciary duty related to F&amp;G’s January 11, 2024 sale of $250 million of 6.875% Series A Mandatory Convertible Preferred Stock to FNF. Plaintiff alleges that, based upon an unfair process and unfair price, the preferred stock investment was advantageous to FNF and unfair to F&amp;G.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Plaintiff seeks to recover damages on behalf of F&amp;G for the alleged unfair preferred stock investment and the adoption of certain corporate governance measures. On July 24, 2024, F&amp;G filed its answer, and the remaining defendants, including FNF, filed their motion to dismiss Plaintiff’s complaint. On September 23, 2024, Plaintiff voluntarily dismissed its action against William P. Foley. On May 9, 2025, the court entered an order granting FNF’s motion and dismissing the stockholder derivative complaint finding plaintiff failed to plead specific facts supporting its unfairness allegations. No appeal was filed, and the case has been dismissed with prejudice.</w:t>
      </w:r>
    </w:p>
    <w:p>
      <w:pPr>
        <w:spacing w:after="0" w:line="79"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 xml:space="preserve">Fidelity &amp; Guaranty Life Insurance Company (“FGL Insurance”) is a defendant in a lawsuit filed in U.S. District Court for the Southern District of Texas styled, </w:t>
      </w:r>
      <w:r>
        <w:rPr>
          <w:rFonts w:ascii="Times New Roman" w:cs="Times New Roman" w:eastAsia="Times New Roman" w:hAnsi="Times New Roman"/>
          <w:sz w:val="17"/>
          <w:szCs w:val="17"/>
          <w:i w:val="1"/>
          <w:iCs w:val="1"/>
          <w:color w:val="auto"/>
        </w:rPr>
        <w:t>Insurance Distribution Consulting, LLC ("IDC") v. Fidelity &amp; Guaranty Life Insurance Company</w:t>
      </w:r>
      <w:r>
        <w:rPr>
          <w:rFonts w:ascii="Times New Roman" w:cs="Times New Roman" w:eastAsia="Times New Roman" w:hAnsi="Times New Roman"/>
          <w:sz w:val="17"/>
          <w:szCs w:val="17"/>
          <w:color w:val="auto"/>
        </w:rPr>
        <w:t xml:space="preserve">, Case No. 3:23-cv-00126. Plaintiff, which provides consulting services to independent marketing organizations (IMOs), alleges FGL Insurance failed to pay commissions owed to plaintiff and diverted commissions from one of plaintiff’s IMO customers, Syncis, to another IMO, Freedom Equity Group, LLC (“Freedom Equity”). Further, plaintiff alleges after FGL Insurance purportedly purchased a partial ownership interest in Syncis and Freedom Equity, plaintiff offered to sell its interests in its contracts with Syncis but FGL Insurance declined, leading plaintiff to allege a statutory violation of 42 U.S.C. §1981 for discrimination where plaintiff’s sole member is a racial minority. Plaintiff claims its damages for breach of contract from FGL Insurance’s purported failure to pay commissions are more than $162 million and its damages from FGL Insurance’s declining to purchase plaintiff’s interest in its contracts with Syncis are over $11 million. FGL Insurance denies the allegations and denies any contract or agreement existed with plaintiff to pay commissions. On April 21, 2025, FGL Insurance filed its motion for summary judgment, which is fully briefed. On June 5, 2025, plaintiff amended its complaint to include an additional breach of contract claim, prompting FGL Insurance to file a second motion for summary judgment on July 18, 2025,addressing the new allegation. Additionally, FGL Insurance has filed its motion to exclude plaintiff’s expert testimony as inadmissible. The case is now expected to be set for trial in the fall of 2025. On July 18, 2025, Peak Altitude Equity, LLC (“Peak”), a subsidiary of Fidelity &amp; Guaranty Life Holdings, Inc., was served with a new lawsuit filed by IDC as a counterclaim in response to a separate breach of contract lawsuit initiated against IDC by Syncis. The case, styled, </w:t>
      </w:r>
      <w:r>
        <w:rPr>
          <w:rFonts w:ascii="Times New Roman" w:cs="Times New Roman" w:eastAsia="Times New Roman" w:hAnsi="Times New Roman"/>
          <w:sz w:val="17"/>
          <w:szCs w:val="17"/>
          <w:i w:val="1"/>
          <w:iCs w:val="1"/>
          <w:color w:val="auto"/>
        </w:rPr>
        <w:t>Syncis Insurance Solutions, LLC v. Insurance Distribution Consulting, LLC,</w:t>
      </w:r>
      <w:r>
        <w:rPr>
          <w:rFonts w:ascii="Times New Roman" w:cs="Times New Roman" w:eastAsia="Times New Roman" w:hAnsi="Times New Roman"/>
          <w:sz w:val="17"/>
          <w:szCs w:val="17"/>
          <w:color w:val="auto"/>
        </w:rPr>
        <w:t xml:space="preserve"> Case No. 2:25-cv-03874, is pending in the U.S. District Court for the Central District of California, and certain facts alleged by IDC against Peak overlap with those asserted in the lawsuit filed by IDC against FGL Insurance. FGL Insurance and Peak will vigorously contest the Plaintiff’s claims in the actions. As this case continues to evolve, it is not possible to reasonably estimate the probability that plaintiff will ultimately prevail on its claims or that FGL Insurance and/or Peak will be held liable for the dispute. At this time, we do not believe the lawsuit will have a material impact on our business, operations, or financial results.</w:t>
      </w:r>
    </w:p>
    <w:p>
      <w:pPr>
        <w:spacing w:after="0" w:line="79"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 xml:space="preserve">On June 10, 2025, a stockholder derivative lawsuit styled, </w:t>
      </w:r>
      <w:r>
        <w:rPr>
          <w:rFonts w:ascii="Times New Roman" w:cs="Times New Roman" w:eastAsia="Times New Roman" w:hAnsi="Times New Roman"/>
          <w:sz w:val="17"/>
          <w:szCs w:val="17"/>
          <w:i w:val="1"/>
          <w:iCs w:val="1"/>
          <w:color w:val="auto"/>
        </w:rPr>
        <w:t>Patrick Ayers v. William P. Foley, Douglas K. Ammerman, Halim Dhanidina, Thomas 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Hagerty, Daniel D. Lane, Heather H. Miller, Sandra D. Morgan, John D. Rood, Peter O. Shea, Jr., Cary H. Thompson, and Fidelity National Financial, Inc.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 No. 2025-0650-LWW, was filed in the Chancery Court of the State of Delaware against FNF and its non-employee members of its Board of Directors alleging they breached their fiduciary duties related to their compensation in 2022, 2023, and 2024, and were unjustly enriched. Plaintiff seeks disgorgement of any alleged excessive and unfair compensation payments, the recovery of damages on behalf of FNF, and the reformation of certain corporate governance and internal measures to protect FNF and its stockholders going forward. In response to the complaint, defendants have submitted a motion to dismiss, and briefing is in progress. At this time, we do not believe the lawsuit will have a material impact on our business, operations, or financial results.</w:t>
      </w:r>
    </w:p>
    <w:p>
      <w:pPr>
        <w:spacing w:after="0" w:line="6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business,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In our F&amp;G segment, we have unfunded commitments as of June 30, 2025 based upon the timing of when investments and agreements are executed or signed compared to when the actual investments and agreements are funded or closed. Some investments require that funding occur over a period of months or years. A summary of unfunded commitments by commitment type as of June 30, 2025 is included below:</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8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4"/>
        </w:trPr>
        <w:tc>
          <w:tcPr>
            <w:tcW w:w="8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 Type</w:t>
            </w: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Unconsolidated VIEs:</w:t>
            </w:r>
          </w:p>
        </w:tc>
        <w:tc>
          <w:tcPr>
            <w:tcW w:w="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Limited partnerships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Whole loans</w:t>
            </w:r>
          </w:p>
        </w:tc>
        <w:tc>
          <w:tcPr>
            <w:tcW w:w="3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91"/>
        </w:trPr>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maturity securities, ABS</w:t>
            </w:r>
          </w:p>
        </w:tc>
        <w:tc>
          <w:tcPr>
            <w:tcW w:w="3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Lending</w:t>
            </w:r>
          </w:p>
        </w:tc>
        <w:tc>
          <w:tcPr>
            <w:tcW w:w="3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0" w:type="dxa"/>
            <w:vAlign w:val="bottom"/>
          </w:tcPr>
          <w:p>
            <w:pPr>
              <w:spacing w:after="0"/>
              <w:rPr>
                <w:sz w:val="1"/>
                <w:szCs w:val="1"/>
                <w:color w:val="auto"/>
              </w:rPr>
            </w:pPr>
          </w:p>
        </w:tc>
      </w:tr>
      <w:tr>
        <w:trPr>
          <w:trHeight w:val="191"/>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fixed maturity securities, AFS</w:t>
            </w:r>
          </w:p>
        </w:tc>
        <w:tc>
          <w:tcPr>
            <w:tcW w:w="3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3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1"/>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3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99"/>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3,483</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Concurrent with the Roar purchase agreement, we executed a separate loan agreement with the sellers of Roar for us to lend up to $40 million. The loan matures on August 5, 2027. The principal balance outstanding as of June 30, 2025 and December 31, 2024 was $18 million and $11 million, respectively. The balance is included in Prepaid expenses and other assets on the unaudited Condensed Consolidated Balance Sheets. Changes in fair value are reported within Recognized gains and losses, net in the unaudited Condensed Consolidated Statements of Earnings. Interest income is recorded in Interest and investment income in the unaudited Condensed Consolidated Statements of Earnings and recognized when earned. The remainder of the unfunded loan commitment is included in the unfunded commitments table above in the “Other assets” line item.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Dividends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6, 2025, our Board of Directors declared cash dividends of $0.50 per share, payable on September 30, 2025, to FNF common shareholders of record as of September 16,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Segment Information</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tables below summarize the result of operations by segment that are provided to the Chief Operating Decision Maker ("CODM"), who is the Company's Chief Executive Officer. The Company's primary methods of measuring profitability and performance on a reportable segment basis are Revenues and Net earnings from continuing operations which are also measures used by the CODM to evaluate segment results and are factors in determining capital allocation among the segments.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 The significant expense categories and amounts align with the segment-level information that is regularly provided to the CODM.</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three months ended June 30,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3"/>
                <w:szCs w:val="13"/>
                <w:color w:val="auto"/>
              </w:rPr>
            </w:pPr>
          </w:p>
        </w:tc>
        <w:tc>
          <w:tcPr>
            <w:tcW w:w="76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632</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839</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1,289</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777</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3,635</w:t>
            </w:r>
          </w:p>
        </w:tc>
        <w:tc>
          <w:tcPr>
            <w:tcW w:w="0" w:type="dxa"/>
            <w:vAlign w:val="bottom"/>
          </w:tcPr>
          <w:p>
            <w:pPr>
              <w:spacing w:after="0"/>
              <w:rPr>
                <w:sz w:val="1"/>
                <w:szCs w:val="1"/>
                <w:color w:val="auto"/>
              </w:rPr>
            </w:pPr>
          </w:p>
        </w:tc>
      </w:tr>
      <w:tr>
        <w:trPr>
          <w:trHeight w:val="18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867</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654</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416</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993</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2,930</w:t>
            </w:r>
          </w:p>
        </w:tc>
        <w:tc>
          <w:tcPr>
            <w:tcW w:w="0" w:type="dxa"/>
            <w:vAlign w:val="bottom"/>
          </w:tcPr>
          <w:p>
            <w:pPr>
              <w:spacing w:after="0"/>
              <w:rPr>
                <w:sz w:val="1"/>
                <w:szCs w:val="1"/>
                <w:color w:val="auto"/>
              </w:rPr>
            </w:pPr>
          </w:p>
        </w:tc>
      </w:tr>
      <w:tr>
        <w:trPr>
          <w:trHeight w:val="18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gains</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323</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segment expenses</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3,253</w:t>
            </w:r>
          </w:p>
        </w:tc>
        <w:tc>
          <w:tcPr>
            <w:tcW w:w="0" w:type="dxa"/>
            <w:vAlign w:val="bottom"/>
          </w:tcPr>
          <w:p>
            <w:pPr>
              <w:spacing w:after="0"/>
              <w:rPr>
                <w:sz w:val="1"/>
                <w:szCs w:val="1"/>
                <w:color w:val="auto"/>
              </w:rPr>
            </w:pPr>
          </w:p>
        </w:tc>
      </w:t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382</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284</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0" w:type="dxa"/>
            <w:vAlign w:val="bottom"/>
          </w:tcPr>
          <w:p>
            <w:pPr>
              <w:spacing w:after="0"/>
              <w:rPr>
                <w:sz w:val="1"/>
                <w:szCs w:val="1"/>
                <w:color w:val="auto"/>
              </w:rPr>
            </w:pPr>
          </w:p>
        </w:tc>
      </w:tr>
      <w:tr>
        <w:trPr>
          <w:trHeight w:val="198"/>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293</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102,331</w:t>
            </w:r>
          </w:p>
        </w:tc>
        <w:tc>
          <w:tcPr>
            <w:tcW w:w="0" w:type="dxa"/>
            <w:vAlign w:val="bottom"/>
          </w:tcPr>
          <w:p>
            <w:pPr>
              <w:spacing w:after="0"/>
              <w:rPr>
                <w:sz w:val="1"/>
                <w:szCs w:val="1"/>
                <w:color w:val="auto"/>
              </w:rPr>
            </w:pPr>
          </w:p>
        </w:tc>
      </w:t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three months ended June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20" w:type="dxa"/>
            <w:vAlign w:val="bottom"/>
          </w:tcPr>
          <w:p>
            <w:pPr>
              <w:spacing w:after="0"/>
              <w:rPr>
                <w:sz w:val="13"/>
                <w:szCs w:val="13"/>
                <w:color w:val="auto"/>
              </w:rPr>
            </w:pPr>
          </w:p>
        </w:tc>
        <w:tc>
          <w:tcPr>
            <w:tcW w:w="7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564</w:t>
            </w:r>
          </w:p>
        </w:tc>
        <w:tc>
          <w:tcPr>
            <w:tcW w:w="0" w:type="dxa"/>
            <w:vAlign w:val="bottom"/>
          </w:tcPr>
          <w:p>
            <w:pPr>
              <w:spacing w:after="0"/>
              <w:rPr>
                <w:sz w:val="1"/>
                <w:szCs w:val="1"/>
                <w:color w:val="auto"/>
              </w:rPr>
            </w:pPr>
          </w:p>
        </w:tc>
      </w:tr>
      <w:tr>
        <w:trPr>
          <w:trHeight w:val="19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784</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w:t>
            </w:r>
          </w:p>
        </w:tc>
        <w:tc>
          <w:tcPr>
            <w:tcW w:w="0" w:type="dxa"/>
            <w:vAlign w:val="bottom"/>
          </w:tcPr>
          <w:p>
            <w:pPr>
              <w:spacing w:after="0"/>
              <w:rPr>
                <w:sz w:val="1"/>
                <w:szCs w:val="1"/>
                <w:color w:val="auto"/>
              </w:rPr>
            </w:pPr>
          </w:p>
        </w:tc>
      </w:tr>
      <w:tr>
        <w:trPr>
          <w:trHeight w:val="19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783</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0" w:type="dxa"/>
            <w:vAlign w:val="bottom"/>
          </w:tcPr>
          <w:p>
            <w:pPr>
              <w:spacing w:after="0"/>
              <w:rPr>
                <w:sz w:val="1"/>
                <w:szCs w:val="1"/>
                <w:color w:val="auto"/>
              </w:rPr>
            </w:pPr>
          </w:p>
        </w:tc>
      </w:tr>
      <w:tr>
        <w:trPr>
          <w:trHeight w:val="186"/>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3,158</w:t>
            </w:r>
          </w:p>
        </w:tc>
        <w:tc>
          <w:tcPr>
            <w:tcW w:w="0" w:type="dxa"/>
            <w:vAlign w:val="bottom"/>
          </w:tcPr>
          <w:p>
            <w:pPr>
              <w:spacing w:after="0"/>
              <w:rPr>
                <w:sz w:val="1"/>
                <w:szCs w:val="1"/>
                <w:color w:val="auto"/>
              </w:rPr>
            </w:pPr>
          </w:p>
        </w:tc>
      </w:tr>
      <w:tr>
        <w:trPr>
          <w:trHeight w:val="18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779</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609</w:t>
            </w:r>
          </w:p>
        </w:tc>
        <w:tc>
          <w:tcPr>
            <w:tcW w:w="0" w:type="dxa"/>
            <w:vAlign w:val="bottom"/>
          </w:tcPr>
          <w:p>
            <w:pPr>
              <w:spacing w:after="0"/>
              <w:rPr>
                <w:sz w:val="1"/>
                <w:szCs w:val="1"/>
                <w:color w:val="auto"/>
              </w:rPr>
            </w:pPr>
          </w:p>
        </w:tc>
      </w:tr>
      <w:tr>
        <w:trPr>
          <w:trHeight w:val="19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387</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608</w:t>
            </w:r>
          </w:p>
        </w:tc>
        <w:tc>
          <w:tcPr>
            <w:tcW w:w="0" w:type="dxa"/>
            <w:vAlign w:val="bottom"/>
          </w:tcPr>
          <w:p>
            <w:pPr>
              <w:spacing w:after="0"/>
              <w:rPr>
                <w:sz w:val="1"/>
                <w:szCs w:val="1"/>
                <w:color w:val="auto"/>
              </w:rPr>
            </w:pPr>
          </w:p>
        </w:tc>
      </w:tr>
      <w:tr>
        <w:trPr>
          <w:trHeight w:val="186"/>
        </w:trPr>
        <w:tc>
          <w:tcPr>
            <w:tcW w:w="5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2,383</w:t>
            </w:r>
          </w:p>
        </w:tc>
        <w:tc>
          <w:tcPr>
            <w:tcW w:w="0" w:type="dxa"/>
            <w:vAlign w:val="bottom"/>
          </w:tcPr>
          <w:p>
            <w:pPr>
              <w:spacing w:after="0"/>
              <w:rPr>
                <w:sz w:val="1"/>
                <w:szCs w:val="1"/>
                <w:color w:val="auto"/>
              </w:rPr>
            </w:pPr>
          </w:p>
        </w:tc>
      </w:tr>
      <w:tr>
        <w:trPr>
          <w:trHeight w:val="18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0" w:type="dxa"/>
            <w:vAlign w:val="bottom"/>
          </w:tcPr>
          <w:p>
            <w:pPr>
              <w:spacing w:after="0"/>
              <w:rPr>
                <w:sz w:val="1"/>
                <w:szCs w:val="1"/>
                <w:color w:val="auto"/>
              </w:rPr>
            </w:pPr>
          </w:p>
        </w:tc>
      </w:tr>
      <w:tr>
        <w:trPr>
          <w:trHeight w:val="19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losses</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c>
          <w:tcPr>
            <w:tcW w:w="0" w:type="dxa"/>
            <w:vAlign w:val="bottom"/>
          </w:tcPr>
          <w:p>
            <w:pPr>
              <w:spacing w:after="0"/>
              <w:rPr>
                <w:sz w:val="1"/>
                <w:szCs w:val="1"/>
                <w:color w:val="auto"/>
              </w:rPr>
            </w:pPr>
          </w:p>
        </w:tc>
      </w:tr>
      <w:tr>
        <w:trPr>
          <w:trHeight w:val="186"/>
        </w:trPr>
        <w:tc>
          <w:tcPr>
            <w:tcW w:w="5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317</w:t>
            </w:r>
          </w:p>
        </w:tc>
        <w:tc>
          <w:tcPr>
            <w:tcW w:w="0" w:type="dxa"/>
            <w:vAlign w:val="bottom"/>
          </w:tcPr>
          <w:p>
            <w:pPr>
              <w:spacing w:after="0"/>
              <w:rPr>
                <w:sz w:val="1"/>
                <w:szCs w:val="1"/>
                <w:color w:val="auto"/>
              </w:rPr>
            </w:pPr>
          </w:p>
        </w:tc>
      </w:tr>
      <w:tr>
        <w:trPr>
          <w:trHeight w:val="198"/>
        </w:trPr>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segment expenses</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2,700</w:t>
            </w:r>
          </w:p>
        </w:tc>
        <w:tc>
          <w:tcPr>
            <w:tcW w:w="0" w:type="dxa"/>
            <w:vAlign w:val="bottom"/>
          </w:tcPr>
          <w:p>
            <w:pPr>
              <w:spacing w:after="0"/>
              <w:rPr>
                <w:sz w:val="1"/>
                <w:szCs w:val="1"/>
                <w:color w:val="auto"/>
              </w:rPr>
            </w:pPr>
          </w:p>
        </w:tc>
      </w:tr>
      <w:tr>
        <w:trPr>
          <w:trHeight w:val="186"/>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458</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0" w:type="dxa"/>
            <w:vAlign w:val="bottom"/>
          </w:tcPr>
          <w:p>
            <w:pPr>
              <w:spacing w:after="0"/>
              <w:rPr>
                <w:sz w:val="1"/>
                <w:szCs w:val="1"/>
                <w:color w:val="auto"/>
              </w:rPr>
            </w:pPr>
          </w:p>
        </w:tc>
      </w:tr>
      <w:tr>
        <w:trPr>
          <w:trHeight w:val="186"/>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342</w:t>
            </w:r>
          </w:p>
        </w:tc>
        <w:tc>
          <w:tcPr>
            <w:tcW w:w="0" w:type="dxa"/>
            <w:vAlign w:val="bottom"/>
          </w:tcPr>
          <w:p>
            <w:pPr>
              <w:spacing w:after="0"/>
              <w:rPr>
                <w:sz w:val="1"/>
                <w:szCs w:val="1"/>
                <w:color w:val="auto"/>
              </w:rPr>
            </w:pPr>
          </w:p>
        </w:tc>
      </w:tr>
      <w:tr>
        <w:trPr>
          <w:trHeight w:val="19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8"/>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343</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88,824</w:t>
            </w:r>
          </w:p>
        </w:tc>
        <w:tc>
          <w:tcPr>
            <w:tcW w:w="0" w:type="dxa"/>
            <w:vAlign w:val="bottom"/>
          </w:tcPr>
          <w:p>
            <w:pPr>
              <w:spacing w:after="0"/>
              <w:rPr>
                <w:sz w:val="1"/>
                <w:szCs w:val="1"/>
                <w:color w:val="auto"/>
              </w:rPr>
            </w:pPr>
          </w:p>
        </w:tc>
      </w:tr>
      <w:tr>
        <w:trPr>
          <w:trHeight w:val="186"/>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six months ended June 30, 2025:</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20" w:type="dxa"/>
            <w:vAlign w:val="bottom"/>
          </w:tcPr>
          <w:p>
            <w:pPr>
              <w:spacing w:after="0"/>
              <w:rPr>
                <w:sz w:val="13"/>
                <w:szCs w:val="13"/>
                <w:color w:val="auto"/>
              </w:rPr>
            </w:pPr>
          </w:p>
        </w:tc>
        <w:tc>
          <w:tcPr>
            <w:tcW w:w="7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1,142</w:t>
            </w:r>
          </w:p>
        </w:tc>
        <w:tc>
          <w:tcPr>
            <w:tcW w:w="0" w:type="dxa"/>
            <w:vAlign w:val="bottom"/>
          </w:tcPr>
          <w:p>
            <w:pPr>
              <w:spacing w:after="0"/>
              <w:rPr>
                <w:sz w:val="1"/>
                <w:szCs w:val="1"/>
                <w:color w:val="auto"/>
              </w:rPr>
            </w:pPr>
          </w:p>
        </w:tc>
      </w:tr>
      <w:tr>
        <w:trPr>
          <w:trHeight w:val="192"/>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1,520</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2,354</w:t>
            </w:r>
          </w:p>
        </w:tc>
        <w:tc>
          <w:tcPr>
            <w:tcW w:w="0" w:type="dxa"/>
            <w:vAlign w:val="bottom"/>
          </w:tcPr>
          <w:p>
            <w:pPr>
              <w:spacing w:after="0"/>
              <w:rPr>
                <w:sz w:val="1"/>
                <w:szCs w:val="1"/>
                <w:color w:val="auto"/>
              </w:rPr>
            </w:pPr>
          </w:p>
        </w:tc>
      </w:tr>
      <w:tr>
        <w:trPr>
          <w:trHeight w:val="192"/>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1,537</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w:t>
            </w:r>
          </w:p>
        </w:tc>
        <w:tc>
          <w:tcPr>
            <w:tcW w:w="0" w:type="dxa"/>
            <w:vAlign w:val="bottom"/>
          </w:tcPr>
          <w:p>
            <w:pPr>
              <w:spacing w:after="0"/>
              <w:rPr>
                <w:sz w:val="1"/>
                <w:szCs w:val="1"/>
                <w:color w:val="auto"/>
              </w:rPr>
            </w:pPr>
          </w:p>
        </w:tc>
      </w:tr>
      <w:tr>
        <w:trPr>
          <w:trHeight w:val="18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6,364</w:t>
            </w:r>
          </w:p>
        </w:tc>
        <w:tc>
          <w:tcPr>
            <w:tcW w:w="0" w:type="dxa"/>
            <w:vAlign w:val="bottom"/>
          </w:tcPr>
          <w:p>
            <w:pPr>
              <w:spacing w:after="0"/>
              <w:rPr>
                <w:sz w:val="1"/>
                <w:szCs w:val="1"/>
                <w:color w:val="auto"/>
              </w:rPr>
            </w:pPr>
          </w:p>
        </w:tc>
      </w:tr>
      <w:tr>
        <w:trPr>
          <w:trHeight w:val="18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1,637</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1,182</w:t>
            </w:r>
          </w:p>
        </w:tc>
        <w:tc>
          <w:tcPr>
            <w:tcW w:w="0" w:type="dxa"/>
            <w:vAlign w:val="bottom"/>
          </w:tcPr>
          <w:p>
            <w:pPr>
              <w:spacing w:after="0"/>
              <w:rPr>
                <w:sz w:val="1"/>
                <w:szCs w:val="1"/>
                <w:color w:val="auto"/>
              </w:rPr>
            </w:pPr>
          </w:p>
        </w:tc>
      </w:tr>
      <w:tr>
        <w:trPr>
          <w:trHeight w:val="192"/>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793</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1,517</w:t>
            </w:r>
          </w:p>
        </w:tc>
        <w:tc>
          <w:tcPr>
            <w:tcW w:w="0" w:type="dxa"/>
            <w:vAlign w:val="bottom"/>
          </w:tcPr>
          <w:p>
            <w:pPr>
              <w:spacing w:after="0"/>
              <w:rPr>
                <w:sz w:val="1"/>
                <w:szCs w:val="1"/>
                <w:color w:val="auto"/>
              </w:rPr>
            </w:pPr>
          </w:p>
        </w:tc>
      </w:tr>
      <w:tr>
        <w:trPr>
          <w:trHeight w:val="186"/>
        </w:trPr>
        <w:tc>
          <w:tcPr>
            <w:tcW w:w="5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5,129</w:t>
            </w:r>
          </w:p>
        </w:tc>
        <w:tc>
          <w:tcPr>
            <w:tcW w:w="0" w:type="dxa"/>
            <w:vAlign w:val="bottom"/>
          </w:tcPr>
          <w:p>
            <w:pPr>
              <w:spacing w:after="0"/>
              <w:rPr>
                <w:sz w:val="1"/>
                <w:szCs w:val="1"/>
                <w:color w:val="auto"/>
              </w:rPr>
            </w:pPr>
          </w:p>
        </w:tc>
      </w:tr>
      <w:tr>
        <w:trPr>
          <w:trHeight w:val="18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396</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w:t>
            </w:r>
          </w:p>
        </w:tc>
        <w:tc>
          <w:tcPr>
            <w:tcW w:w="0" w:type="dxa"/>
            <w:vAlign w:val="bottom"/>
          </w:tcPr>
          <w:p>
            <w:pPr>
              <w:spacing w:after="0"/>
              <w:rPr>
                <w:sz w:val="1"/>
                <w:szCs w:val="1"/>
                <w:color w:val="auto"/>
              </w:rPr>
            </w:pPr>
          </w:p>
        </w:tc>
      </w:tr>
      <w:tr>
        <w:trPr>
          <w:trHeight w:val="192"/>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losses</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w:t>
            </w:r>
          </w:p>
        </w:tc>
        <w:tc>
          <w:tcPr>
            <w:tcW w:w="0" w:type="dxa"/>
            <w:vAlign w:val="bottom"/>
          </w:tcPr>
          <w:p>
            <w:pPr>
              <w:spacing w:after="0"/>
              <w:rPr>
                <w:sz w:val="1"/>
                <w:szCs w:val="1"/>
                <w:color w:val="auto"/>
              </w:rPr>
            </w:pPr>
          </w:p>
        </w:tc>
      </w:tr>
      <w:tr>
        <w:trPr>
          <w:trHeight w:val="186"/>
        </w:trPr>
        <w:tc>
          <w:tcPr>
            <w:tcW w:w="5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742</w:t>
            </w:r>
          </w:p>
        </w:tc>
        <w:tc>
          <w:tcPr>
            <w:tcW w:w="0" w:type="dxa"/>
            <w:vAlign w:val="bottom"/>
          </w:tcPr>
          <w:p>
            <w:pPr>
              <w:spacing w:after="0"/>
              <w:rPr>
                <w:sz w:val="1"/>
                <w:szCs w:val="1"/>
                <w:color w:val="auto"/>
              </w:rPr>
            </w:pPr>
          </w:p>
        </w:tc>
      </w:tr>
      <w:tr>
        <w:trPr>
          <w:trHeight w:val="198"/>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segment expenses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5,871</w:t>
            </w:r>
          </w:p>
        </w:tc>
        <w:tc>
          <w:tcPr>
            <w:tcW w:w="0" w:type="dxa"/>
            <w:vAlign w:val="bottom"/>
          </w:tcPr>
          <w:p>
            <w:pPr>
              <w:spacing w:after="0"/>
              <w:rPr>
                <w:sz w:val="1"/>
                <w:szCs w:val="1"/>
                <w:color w:val="auto"/>
              </w:rPr>
            </w:pPr>
          </w:p>
        </w:tc>
      </w:tr>
      <w:tr>
        <w:trPr>
          <w:trHeight w:val="186"/>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493</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w:t>
            </w:r>
          </w:p>
        </w:tc>
        <w:tc>
          <w:tcPr>
            <w:tcW w:w="0" w:type="dxa"/>
            <w:vAlign w:val="bottom"/>
          </w:tcPr>
          <w:p>
            <w:pPr>
              <w:spacing w:after="0"/>
              <w:rPr>
                <w:sz w:val="1"/>
                <w:szCs w:val="1"/>
                <w:color w:val="auto"/>
              </w:rPr>
            </w:pPr>
          </w:p>
        </w:tc>
      </w:tr>
      <w:tr>
        <w:trPr>
          <w:trHeight w:val="18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366</w:t>
            </w:r>
          </w:p>
        </w:tc>
        <w:tc>
          <w:tcPr>
            <w:tcW w:w="0" w:type="dxa"/>
            <w:vAlign w:val="bottom"/>
          </w:tcPr>
          <w:p>
            <w:pPr>
              <w:spacing w:after="0"/>
              <w:rPr>
                <w:sz w:val="1"/>
                <w:szCs w:val="1"/>
                <w:color w:val="auto"/>
              </w:rPr>
            </w:pPr>
          </w:p>
        </w:tc>
      </w:tr>
      <w:tr>
        <w:trPr>
          <w:trHeight w:val="19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198"/>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376</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102,331</w:t>
            </w:r>
          </w:p>
        </w:tc>
        <w:tc>
          <w:tcPr>
            <w:tcW w:w="0" w:type="dxa"/>
            <w:vAlign w:val="bottom"/>
          </w:tcPr>
          <w:p>
            <w:pPr>
              <w:spacing w:after="0"/>
              <w:rPr>
                <w:sz w:val="1"/>
                <w:szCs w:val="1"/>
                <w:color w:val="auto"/>
              </w:rPr>
            </w:pPr>
          </w:p>
        </w:tc>
      </w:tr>
      <w:tr>
        <w:trPr>
          <w:trHeight w:val="186"/>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for the six months ended June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20" w:type="dxa"/>
            <w:vAlign w:val="bottom"/>
          </w:tcPr>
          <w:p>
            <w:pPr>
              <w:spacing w:after="0"/>
              <w:rPr>
                <w:sz w:val="13"/>
                <w:szCs w:val="13"/>
                <w:color w:val="auto"/>
              </w:rPr>
            </w:pPr>
          </w:p>
        </w:tc>
        <w:tc>
          <w:tcPr>
            <w:tcW w:w="7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1,004</w:t>
            </w:r>
          </w:p>
        </w:tc>
        <w:tc>
          <w:tcPr>
            <w:tcW w:w="0" w:type="dxa"/>
            <w:vAlign w:val="bottom"/>
          </w:tcPr>
          <w:p>
            <w:pPr>
              <w:spacing w:after="0"/>
              <w:rPr>
                <w:sz w:val="1"/>
                <w:szCs w:val="1"/>
                <w:color w:val="auto"/>
              </w:rPr>
            </w:pPr>
          </w:p>
        </w:tc>
      </w:tr>
      <w:tr>
        <w:trPr>
          <w:trHeight w:val="19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1,377</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2,396</w:t>
            </w:r>
          </w:p>
        </w:tc>
        <w:tc>
          <w:tcPr>
            <w:tcW w:w="0" w:type="dxa"/>
            <w:vAlign w:val="bottom"/>
          </w:tcPr>
          <w:p>
            <w:pPr>
              <w:spacing w:after="0"/>
              <w:rPr>
                <w:sz w:val="1"/>
                <w:szCs w:val="1"/>
                <w:color w:val="auto"/>
              </w:rPr>
            </w:pPr>
          </w:p>
        </w:tc>
      </w:tr>
      <w:tr>
        <w:trPr>
          <w:trHeight w:val="19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1,493</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w:t>
            </w:r>
          </w:p>
        </w:tc>
        <w:tc>
          <w:tcPr>
            <w:tcW w:w="0" w:type="dxa"/>
            <w:vAlign w:val="bottom"/>
          </w:tcPr>
          <w:p>
            <w:pPr>
              <w:spacing w:after="0"/>
              <w:rPr>
                <w:sz w:val="1"/>
                <w:szCs w:val="1"/>
                <w:color w:val="auto"/>
              </w:rPr>
            </w:pPr>
          </w:p>
        </w:tc>
      </w:tr>
      <w:tr>
        <w:trPr>
          <w:trHeight w:val="186"/>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6,457</w:t>
            </w:r>
          </w:p>
        </w:tc>
        <w:tc>
          <w:tcPr>
            <w:tcW w:w="0" w:type="dxa"/>
            <w:vAlign w:val="bottom"/>
          </w:tcPr>
          <w:p>
            <w:pPr>
              <w:spacing w:after="0"/>
              <w:rPr>
                <w:sz w:val="1"/>
                <w:szCs w:val="1"/>
                <w:color w:val="auto"/>
              </w:rPr>
            </w:pPr>
          </w:p>
        </w:tc>
      </w:tr>
      <w:tr>
        <w:trPr>
          <w:trHeight w:val="18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1,506</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1,069</w:t>
            </w:r>
          </w:p>
        </w:tc>
        <w:tc>
          <w:tcPr>
            <w:tcW w:w="0" w:type="dxa"/>
            <w:vAlign w:val="bottom"/>
          </w:tcPr>
          <w:p>
            <w:pPr>
              <w:spacing w:after="0"/>
              <w:rPr>
                <w:sz w:val="1"/>
                <w:szCs w:val="1"/>
                <w:color w:val="auto"/>
              </w:rPr>
            </w:pPr>
          </w:p>
        </w:tc>
      </w:tr>
      <w:tr>
        <w:trPr>
          <w:trHeight w:val="19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756</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1,769</w:t>
            </w:r>
          </w:p>
        </w:tc>
        <w:tc>
          <w:tcPr>
            <w:tcW w:w="0" w:type="dxa"/>
            <w:vAlign w:val="bottom"/>
          </w:tcPr>
          <w:p>
            <w:pPr>
              <w:spacing w:after="0"/>
              <w:rPr>
                <w:sz w:val="1"/>
                <w:szCs w:val="1"/>
                <w:color w:val="auto"/>
              </w:rPr>
            </w:pPr>
          </w:p>
        </w:tc>
      </w:tr>
      <w:tr>
        <w:trPr>
          <w:trHeight w:val="186"/>
        </w:trPr>
        <w:tc>
          <w:tcPr>
            <w:tcW w:w="5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5,100</w:t>
            </w:r>
          </w:p>
        </w:tc>
        <w:tc>
          <w:tcPr>
            <w:tcW w:w="0" w:type="dxa"/>
            <w:vAlign w:val="bottom"/>
          </w:tcPr>
          <w:p>
            <w:pPr>
              <w:spacing w:after="0"/>
              <w:rPr>
                <w:sz w:val="1"/>
                <w:szCs w:val="1"/>
                <w:color w:val="auto"/>
              </w:rPr>
            </w:pPr>
          </w:p>
        </w:tc>
      </w:tr>
      <w:tr>
        <w:trPr>
          <w:trHeight w:val="18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356</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w:t>
            </w:r>
          </w:p>
        </w:tc>
        <w:tc>
          <w:tcPr>
            <w:tcW w:w="0" w:type="dxa"/>
            <w:vAlign w:val="bottom"/>
          </w:tcPr>
          <w:p>
            <w:pPr>
              <w:spacing w:after="0"/>
              <w:rPr>
                <w:sz w:val="1"/>
                <w:szCs w:val="1"/>
                <w:color w:val="auto"/>
              </w:rPr>
            </w:pPr>
          </w:p>
        </w:tc>
      </w:tr>
      <w:tr>
        <w:trPr>
          <w:trHeight w:val="19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losses</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w:t>
            </w:r>
          </w:p>
        </w:tc>
        <w:tc>
          <w:tcPr>
            <w:tcW w:w="0" w:type="dxa"/>
            <w:vAlign w:val="bottom"/>
          </w:tcPr>
          <w:p>
            <w:pPr>
              <w:spacing w:after="0"/>
              <w:rPr>
                <w:sz w:val="1"/>
                <w:szCs w:val="1"/>
                <w:color w:val="auto"/>
              </w:rPr>
            </w:pPr>
          </w:p>
        </w:tc>
      </w:tr>
      <w:tr>
        <w:trPr>
          <w:trHeight w:val="186"/>
        </w:trPr>
        <w:tc>
          <w:tcPr>
            <w:tcW w:w="5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568</w:t>
            </w:r>
          </w:p>
        </w:tc>
        <w:tc>
          <w:tcPr>
            <w:tcW w:w="0" w:type="dxa"/>
            <w:vAlign w:val="bottom"/>
          </w:tcPr>
          <w:p>
            <w:pPr>
              <w:spacing w:after="0"/>
              <w:rPr>
                <w:sz w:val="1"/>
                <w:szCs w:val="1"/>
                <w:color w:val="auto"/>
              </w:rPr>
            </w:pPr>
          </w:p>
        </w:tc>
      </w:tr>
      <w:tr>
        <w:trPr>
          <w:trHeight w:val="198"/>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segment expenses</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5,668</w:t>
            </w:r>
          </w:p>
        </w:tc>
        <w:tc>
          <w:tcPr>
            <w:tcW w:w="0" w:type="dxa"/>
            <w:vAlign w:val="bottom"/>
          </w:tcPr>
          <w:p>
            <w:pPr>
              <w:spacing w:after="0"/>
              <w:rPr>
                <w:sz w:val="1"/>
                <w:szCs w:val="1"/>
                <w:color w:val="auto"/>
              </w:rPr>
            </w:pPr>
          </w:p>
        </w:tc>
      </w:tr>
      <w:tr>
        <w:trPr>
          <w:trHeight w:val="186"/>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789</w:t>
            </w:r>
          </w:p>
        </w:tc>
        <w:tc>
          <w:tcPr>
            <w:tcW w:w="0" w:type="dxa"/>
            <w:vAlign w:val="bottom"/>
          </w:tcPr>
          <w:p>
            <w:pPr>
              <w:spacing w:after="0"/>
              <w:rPr>
                <w:sz w:val="1"/>
                <w:szCs w:val="1"/>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w:t>
            </w:r>
          </w:p>
        </w:tc>
        <w:tc>
          <w:tcPr>
            <w:tcW w:w="0" w:type="dxa"/>
            <w:vAlign w:val="bottom"/>
          </w:tcPr>
          <w:p>
            <w:pPr>
              <w:spacing w:after="0"/>
              <w:rPr>
                <w:sz w:val="1"/>
                <w:szCs w:val="1"/>
                <w:color w:val="auto"/>
              </w:rPr>
            </w:pPr>
          </w:p>
        </w:tc>
      </w:tr>
      <w:tr>
        <w:trPr>
          <w:trHeight w:val="186"/>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610</w:t>
            </w:r>
          </w:p>
        </w:tc>
        <w:tc>
          <w:tcPr>
            <w:tcW w:w="0" w:type="dxa"/>
            <w:vAlign w:val="bottom"/>
          </w:tcPr>
          <w:p>
            <w:pPr>
              <w:spacing w:after="0"/>
              <w:rPr>
                <w:sz w:val="1"/>
                <w:szCs w:val="1"/>
                <w:color w:val="auto"/>
              </w:rPr>
            </w:pPr>
          </w:p>
        </w:tc>
      </w:tr>
      <w:tr>
        <w:trPr>
          <w:trHeight w:val="19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98"/>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612</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88,824</w:t>
            </w:r>
          </w:p>
        </w:tc>
        <w:tc>
          <w:tcPr>
            <w:tcW w:w="0" w:type="dxa"/>
            <w:vAlign w:val="bottom"/>
          </w:tcPr>
          <w:p>
            <w:pPr>
              <w:spacing w:after="0"/>
              <w:rPr>
                <w:sz w:val="1"/>
                <w:szCs w:val="1"/>
                <w:color w:val="auto"/>
              </w:rPr>
            </w:pPr>
          </w:p>
        </w:tc>
      </w:tr>
      <w:tr>
        <w:trPr>
          <w:trHeight w:val="186"/>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5,107</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96" w:lineRule="exact"/>
        <w:rPr>
          <w:sz w:val="20"/>
          <w:szCs w:val="20"/>
          <w:color w:val="auto"/>
        </w:rPr>
      </w:pPr>
    </w:p>
    <w:p>
      <w:pPr>
        <w:ind w:left="800" w:hanging="397"/>
        <w:spacing w:after="0" w:line="276" w:lineRule="auto"/>
        <w:tabs>
          <w:tab w:leader="none" w:pos="7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escrow and other title-related services including loan sub-servicing, valuations, default services, and home warranty.</w:t>
      </w:r>
    </w:p>
    <w:p>
      <w:pPr>
        <w:spacing w:after="0" w:line="106" w:lineRule="exact"/>
        <w:rPr>
          <w:rFonts w:ascii="Times New Roman" w:cs="Times New Roman" w:eastAsia="Times New Roman" w:hAnsi="Times New Roman"/>
          <w:sz w:val="18"/>
          <w:szCs w:val="18"/>
          <w:color w:val="auto"/>
        </w:rPr>
      </w:pPr>
    </w:p>
    <w:p>
      <w:pPr>
        <w:jc w:val="both"/>
        <w:ind w:left="800" w:hanging="397"/>
        <w:spacing w:after="0" w:line="261" w:lineRule="auto"/>
        <w:tabs>
          <w:tab w:leader="none" w:pos="7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F&amp;G</w:t>
      </w:r>
      <w:r>
        <w:rPr>
          <w:rFonts w:ascii="Times New Roman" w:cs="Times New Roman" w:eastAsia="Times New Roman" w:hAnsi="Times New Roman"/>
          <w:sz w:val="18"/>
          <w:szCs w:val="18"/>
          <w:color w:val="auto"/>
        </w:rPr>
        <w:t>. This segment primarily consists of the operations of our annuities and life insurance related businesses. This segment issues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of annuity and life products, including deferred annuities (indexed annuities and fixed rate annuities), immediate annuities and IUL. This segment also provides funding agreements and PRT solutions.</w:t>
      </w:r>
    </w:p>
    <w:p>
      <w:pPr>
        <w:spacing w:after="0" w:line="119" w:lineRule="exact"/>
        <w:rPr>
          <w:rFonts w:ascii="Times New Roman" w:cs="Times New Roman" w:eastAsia="Times New Roman" w:hAnsi="Times New Roman"/>
          <w:sz w:val="18"/>
          <w:szCs w:val="18"/>
          <w:color w:val="auto"/>
        </w:rPr>
      </w:pPr>
    </w:p>
    <w:p>
      <w:pPr>
        <w:jc w:val="both"/>
        <w:ind w:left="800" w:hanging="397"/>
        <w:spacing w:after="0" w:line="261" w:lineRule="auto"/>
        <w:tabs>
          <w:tab w:leader="none" w:pos="7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segment consists of the operations of the parent holding company, our real estate technology subsidiaries,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real estate brokerage businesses. This segment also includes certain other unallocated corporate overhead expenses and eliminations of revenues and expenses between it and our Title segment.</w:t>
      </w:r>
    </w:p>
    <w:p>
      <w:pPr>
        <w:spacing w:after="0" w:line="119"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Elimination. </w:t>
      </w:r>
      <w:r>
        <w:rPr>
          <w:rFonts w:ascii="Times New Roman" w:cs="Times New Roman" w:eastAsia="Times New Roman" w:hAnsi="Times New Roman"/>
          <w:sz w:val="17"/>
          <w:szCs w:val="17"/>
          <w:color w:val="auto"/>
        </w:rPr>
        <w:t>This segment consists of the elimination of dividends paid from F&amp;G to FNF, which are included in the Corporate and Other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Supplemental Cash Flow Information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cash payment and non-cash investing and financing activities: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2320" w:type="dxa"/>
            <w:vAlign w:val="bottom"/>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520" w:type="dxa"/>
            <w:vAlign w:val="bottom"/>
          </w:tcPr>
          <w:p>
            <w:pPr>
              <w:spacing w:after="0"/>
              <w:rPr>
                <w:sz w:val="17"/>
                <w:szCs w:val="17"/>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for:</w:t>
            </w: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gridSpan w:val="3"/>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1"/>
        </w:trPr>
        <w:tc>
          <w:tcPr>
            <w:tcW w:w="8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sales inducements</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Investments transferred subject to reinsurance agreement</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proceeds of sales of investments available for sale receivable in period</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1"/>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purchases of investments available for sale payable in period</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 liabilities recognized in exchange for lease right-of-use assets</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1"/>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Remeasurement of lease liabilities</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assumed in connection with acquisitions</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Fair value of assets acquired</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0" w:type="dxa"/>
            <w:vAlign w:val="bottom"/>
          </w:tcPr>
          <w:p>
            <w:pPr>
              <w:spacing w:after="0"/>
              <w:rPr>
                <w:sz w:val="1"/>
                <w:szCs w:val="1"/>
                <w:color w:val="auto"/>
              </w:rPr>
            </w:pPr>
          </w:p>
        </w:tc>
      </w:tr>
      <w:tr>
        <w:trPr>
          <w:trHeight w:val="19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Total Purchase price</w:t>
            </w:r>
          </w:p>
        </w:tc>
        <w:tc>
          <w:tcPr>
            <w:tcW w:w="8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99"/>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Liabilities and noncontrolling interests assumed</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Revenue Recognition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gridSpan w:val="6"/>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7"/>
        </w:trPr>
        <w:tc>
          <w:tcPr>
            <w:tcW w:w="426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27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from insurance contracts:</w:t>
            </w:r>
          </w:p>
        </w:tc>
        <w:tc>
          <w:tcPr>
            <w:tcW w:w="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0" w:type="dxa"/>
            <w:vAlign w:val="bottom"/>
          </w:tcPr>
          <w:p>
            <w:pPr>
              <w:spacing w:after="0"/>
              <w:rPr>
                <w:sz w:val="1"/>
                <w:szCs w:val="1"/>
                <w:color w:val="auto"/>
              </w:rPr>
            </w:pPr>
          </w:p>
        </w:tc>
      </w:tr>
      <w:tr>
        <w:trPr>
          <w:trHeight w:val="191"/>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144"/>
        </w:trPr>
        <w:tc>
          <w:tcPr>
            <w:tcW w:w="426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Life insurance premiums, insurance and investment product fees, and</w:t>
            </w:r>
          </w:p>
        </w:tc>
        <w:tc>
          <w:tcPr>
            <w:tcW w:w="27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F&amp;G</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0" w:type="dxa"/>
            <w:vAlign w:val="bottom"/>
          </w:tcPr>
          <w:p>
            <w:pPr>
              <w:spacing w:after="0"/>
              <w:rPr>
                <w:sz w:val="1"/>
                <w:szCs w:val="1"/>
                <w:color w:val="auto"/>
              </w:rPr>
            </w:pPr>
          </w:p>
        </w:tc>
      </w:tr>
      <w:tr>
        <w:trPr>
          <w:trHeight w:val="195"/>
        </w:trPr>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72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Home warranty</w:t>
            </w:r>
          </w:p>
        </w:tc>
        <w:tc>
          <w:tcPr>
            <w:tcW w:w="2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9"/>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 from insurance contracts</w:t>
            </w:r>
          </w:p>
        </w:tc>
        <w:tc>
          <w:tcPr>
            <w:tcW w:w="2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0" w:type="dxa"/>
            <w:vAlign w:val="bottom"/>
          </w:tcPr>
          <w:p>
            <w:pPr>
              <w:spacing w:after="0"/>
              <w:rPr>
                <w:sz w:val="1"/>
                <w:szCs w:val="1"/>
                <w:color w:val="auto"/>
              </w:rPr>
            </w:pPr>
          </w:p>
        </w:tc>
      </w:tr>
      <w:tr>
        <w:trPr>
          <w:trHeight w:val="19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 from contracts with customers:</w:t>
            </w:r>
          </w:p>
        </w:tc>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Escrow fees</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91"/>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title-related fees and income</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44"/>
        </w:trPr>
        <w:tc>
          <w:tcPr>
            <w:tcW w:w="426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ServiceLink, excluding title premiums, escrow fees, and subservicing</w:t>
            </w:r>
          </w:p>
        </w:tc>
        <w:tc>
          <w:tcPr>
            <w:tcW w:w="27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95"/>
        </w:trPr>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fees</w:t>
            </w:r>
          </w:p>
        </w:tc>
        <w:tc>
          <w:tcPr>
            <w:tcW w:w="272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Real estate technology</w:t>
            </w:r>
          </w:p>
        </w:tc>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color w:val="auto"/>
              </w:rPr>
              <w:t>Corporate and</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CCEEFF"/>
            </w:tcBorders>
            <w:gridSpan w:val="2"/>
            <w:vMerge w:val="continue"/>
          </w:tcPr>
          <w:p>
            <w:pPr>
              <w:spacing w:after="0"/>
              <w:rPr>
                <w:sz w:val="16"/>
                <w:szCs w:val="16"/>
                <w:color w:val="auto"/>
              </w:rPr>
            </w:pPr>
          </w:p>
        </w:tc>
        <w:tc>
          <w:tcPr>
            <w:tcW w:w="2720" w:type="dxa"/>
            <w:vAlign w:val="bottom"/>
            <w:tcBorders>
              <w:bottom w:val="single" w:sz="8" w:color="CCEEFF"/>
            </w:tcBorders>
            <w:gridSpan w:val="2"/>
            <w:vMerge w:val="continue"/>
          </w:tcPr>
          <w:p>
            <w:pPr>
              <w:spacing w:after="0"/>
              <w:rPr>
                <w:sz w:val="16"/>
                <w:szCs w:val="16"/>
                <w:color w:val="auto"/>
              </w:rPr>
            </w:pPr>
          </w:p>
        </w:tc>
        <w:tc>
          <w:tcPr>
            <w:tcW w:w="11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2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9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 subservicing revenue</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36"/>
        </w:trPr>
        <w:tc>
          <w:tcPr>
            <w:tcW w:w="4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color w:val="auto"/>
              </w:rPr>
              <w:t>Corporate and</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9"/>
        </w:trPr>
        <w:tc>
          <w:tcPr>
            <w:tcW w:w="4260" w:type="dxa"/>
            <w:vAlign w:val="bottom"/>
            <w:gridSpan w:val="2"/>
            <w:vMerge w:val="continue"/>
          </w:tcPr>
          <w:p>
            <w:pPr>
              <w:spacing w:after="0"/>
              <w:rPr>
                <w:sz w:val="16"/>
                <w:szCs w:val="16"/>
                <w:color w:val="auto"/>
              </w:rPr>
            </w:pPr>
          </w:p>
        </w:tc>
        <w:tc>
          <w:tcPr>
            <w:tcW w:w="2720" w:type="dxa"/>
            <w:vAlign w:val="bottom"/>
            <w:gridSpan w:val="2"/>
            <w:vMerge w:val="continue"/>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11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24"/>
        </w:trPr>
        <w:tc>
          <w:tcPr>
            <w:tcW w:w="4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6,364</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48"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31"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7"/>
          <w:szCs w:val="17"/>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48"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61" w:lineRule="exact"/>
        <w:rPr>
          <w:sz w:val="20"/>
          <w:szCs w:val="20"/>
          <w:color w:val="auto"/>
        </w:rPr>
      </w:pPr>
    </w:p>
    <w:p>
      <w:pPr>
        <w:jc w:val="both"/>
        <w:ind w:firstLine="397"/>
        <w:spacing w:after="0" w:line="239" w:lineRule="auto"/>
        <w:rPr>
          <w:sz w:val="20"/>
          <w:szCs w:val="20"/>
          <w:color w:val="auto"/>
        </w:rPr>
      </w:pPr>
      <w:r>
        <w:rPr>
          <w:rFonts w:ascii="Times New Roman" w:cs="Times New Roman" w:eastAsia="Times New Roman" w:hAnsi="Times New Roman"/>
          <w:sz w:val="18"/>
          <w:szCs w:val="18"/>
          <w:color w:val="auto"/>
        </w:rPr>
        <w:t>F&amp;G derives its revenue from external customers primarily located in the United States. Life insurance premiums in our F&amp;G segment reflect premiums for life-contingent PRT, traditional life insurance products, and life-contingent immediate annuity products, which are recognized as revenue when due from the policyholder. We have ceded the majority of our traditional life business to unaffiliated third party reinsurers. While the base contract has been reinsured, we continue to retain the return of premium rider. Insurance and investment product fees and other consist primarily of the cost of insurance on IUL policies, unearned revenue liabilities ("URL") on IUL policies, policy rider fees primarily on fixed indexed annuity ("FIA") policies and surrender charges assessed against policy withdrawals in excess of the policyholder's allowable penalty-free amounts.</w:t>
      </w:r>
    </w:p>
    <w:p>
      <w:pPr>
        <w:spacing w:after="0" w:line="102" w:lineRule="exact"/>
        <w:rPr>
          <w:sz w:val="20"/>
          <w:szCs w:val="20"/>
          <w:color w:val="auto"/>
        </w:rPr>
      </w:pPr>
    </w:p>
    <w:p>
      <w:pPr>
        <w:jc w:val="both"/>
        <w:ind w:firstLine="397"/>
        <w:spacing w:after="0" w:line="256" w:lineRule="auto"/>
        <w:rPr>
          <w:sz w:val="20"/>
          <w:szCs w:val="20"/>
          <w:color w:val="auto"/>
        </w:rPr>
      </w:pPr>
      <w:r>
        <w:rPr>
          <w:rFonts w:ascii="Times New Roman" w:cs="Times New Roman" w:eastAsia="Times New Roman" w:hAnsi="Times New Roman"/>
          <w:sz w:val="17"/>
          <w:szCs w:val="17"/>
          <w:color w:val="auto"/>
        </w:rPr>
        <w:t>Premium and annuity deposit collections for indexed annuities,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value of business acquired ("VOBA"), deferred acquisition costs ("DAC") and deferred sales inducements ("DSI"), other operating costs and expenses, and income taxes.</w:t>
      </w:r>
    </w:p>
    <w:p>
      <w:pPr>
        <w:spacing w:after="0" w:line="51"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4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45"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4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6"/>
                <w:szCs w:val="16"/>
                <w:color w:val="auto"/>
              </w:rPr>
            </w:pPr>
          </w:p>
        </w:tc>
      </w:tr>
      <w:tr>
        <w:trPr>
          <w:trHeight w:val="24"/>
        </w:trPr>
        <w:tc>
          <w:tcPr>
            <w:tcW w:w="76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86"/>
        </w:trPr>
        <w:tc>
          <w:tcPr>
            <w:tcW w:w="7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20" w:type="dxa"/>
            <w:vAlign w:val="bottom"/>
            <w:gridSpan w:val="2"/>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r>
      <w:tr>
        <w:trPr>
          <w:trHeight w:val="20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378</w:t>
            </w:r>
          </w:p>
        </w:tc>
        <w:tc>
          <w:tcPr>
            <w:tcW w:w="164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84"/>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(contract liabilities)</w:t>
            </w:r>
          </w:p>
        </w:tc>
        <w:tc>
          <w:tcPr>
            <w:tcW w:w="1300" w:type="dxa"/>
            <w:vAlign w:val="bottom"/>
          </w:tcPr>
          <w:p>
            <w:pPr>
              <w:spacing w:after="0"/>
              <w:rPr>
                <w:sz w:val="15"/>
                <w:szCs w:val="15"/>
                <w:color w:val="auto"/>
              </w:rPr>
            </w:pPr>
          </w:p>
        </w:tc>
        <w:tc>
          <w:tcPr>
            <w:tcW w:w="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94</w:t>
            </w:r>
          </w:p>
        </w:tc>
        <w:tc>
          <w:tcPr>
            <w:tcW w:w="1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unaudited Condensed Consolidated Balance Sheets. During the three and six months ended June 30, 2025, we recognized $38 million and $62 million of revenue, respectively, which was included in deferred revenue at the beginning of the respective period.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URL</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rolls forward URL for our universal life product for the six months ended June 30, 2025 and June 30, 2024 :</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120" w:type="dxa"/>
            <w:vAlign w:val="bottom"/>
            <w:gridSpan w:val="4"/>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6"/>
                <w:szCs w:val="16"/>
                <w:color w:val="auto"/>
              </w:rPr>
            </w:pPr>
          </w:p>
        </w:tc>
      </w:tr>
      <w:tr>
        <w:trPr>
          <w:trHeight w:val="24"/>
        </w:trPr>
        <w:tc>
          <w:tcPr>
            <w:tcW w:w="76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6"/>
        </w:trPr>
        <w:tc>
          <w:tcPr>
            <w:tcW w:w="76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r>
      <w:tr>
        <w:trPr>
          <w:trHeight w:val="198"/>
        </w:trPr>
        <w:tc>
          <w:tcPr>
            <w:tcW w:w="7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shd w:val="clear" w:color="auto" w:fill="CCEEFF"/>
          </w:tcPr>
          <w:p>
            <w:pPr>
              <w:spacing w:after="0"/>
              <w:rPr>
                <w:sz w:val="17"/>
                <w:szCs w:val="17"/>
                <w:color w:val="auto"/>
              </w:rPr>
            </w:pPr>
          </w:p>
        </w:tc>
      </w:tr>
      <w:tr>
        <w:trPr>
          <w:trHeight w:val="192"/>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24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6"/>
                <w:szCs w:val="16"/>
                <w:color w:val="auto"/>
              </w:rPr>
            </w:pP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20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2"/>
        </w:trPr>
        <w:tc>
          <w:tcPr>
            <w:tcW w:w="7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2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w:t>
            </w:r>
          </w:p>
        </w:tc>
        <w:tc>
          <w:tcPr>
            <w:tcW w:w="124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IUL, the cash flow assumptions used to amortize URL reflect the Company’s best estimates for policyholder behavior. We review cash flow assumptions annually, generally in the third quarter. In 2024, F&amp;G undertook a review of all significant assumptions, resulting in a revision to the IUL assumptions involving premium persistency and mortality improvement.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—Value of Business Acquired ("VOBA"), Deferred Acquisition Costs ("DAC") and Deferred Sales Inducements ("DSI")</w:t>
      </w:r>
    </w:p>
    <w:p>
      <w:pPr>
        <w:spacing w:after="0" w:line="1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to Other intangible assets, net, on the unaudited Condensed Consolidated Balance Sheets as of June 30, 2025 and December 31,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5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2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7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6"/>
                <w:szCs w:val="16"/>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 and contracts</w:t>
            </w:r>
          </w:p>
        </w:tc>
        <w:tc>
          <w:tcPr>
            <w:tcW w:w="1500" w:type="dxa"/>
            <w:vAlign w:val="bottom"/>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Value of business acquired</w:t>
            </w:r>
          </w:p>
        </w:tc>
        <w:tc>
          <w:tcPr>
            <w:tcW w:w="15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acquisition costs</w:t>
            </w:r>
          </w:p>
        </w:tc>
        <w:tc>
          <w:tcPr>
            <w:tcW w:w="15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sales inducements</w:t>
            </w:r>
          </w:p>
        </w:tc>
        <w:tc>
          <w:tcPr>
            <w:tcW w:w="15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 of distribution asset</w:t>
            </w:r>
          </w:p>
        </w:tc>
        <w:tc>
          <w:tcPr>
            <w:tcW w:w="15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15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tradenames, and other</w:t>
            </w:r>
          </w:p>
        </w:tc>
        <w:tc>
          <w:tcPr>
            <w:tcW w:w="15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192"/>
        </w:trPr>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Other intangible assets, net</w:t>
            </w:r>
          </w:p>
        </w:tc>
        <w:tc>
          <w:tcPr>
            <w:tcW w:w="1500" w:type="dxa"/>
            <w:vAlign w:val="bottom"/>
            <w:tcBorders>
              <w:bottom w:val="single" w:sz="8" w:color="auto"/>
            </w:tcBorders>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6,326</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5,976</w:t>
            </w:r>
          </w:p>
        </w:tc>
      </w:tr>
      <w:tr>
        <w:trPr>
          <w:trHeight w:val="20"/>
        </w:trPr>
        <w:tc>
          <w:tcPr>
            <w:tcW w:w="7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roll forward VOBA by product for the six months ended June 30, 2025 and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Indexed</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Immediate</w:t>
            </w:r>
          </w:p>
        </w:tc>
        <w:tc>
          <w:tcPr>
            <w:tcW w:w="10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40" w:type="dxa"/>
            <w:vAlign w:val="bottom"/>
          </w:tcPr>
          <w:p>
            <w:pPr>
              <w:spacing w:after="0"/>
              <w:rPr>
                <w:sz w:val="13"/>
                <w:szCs w:val="13"/>
                <w:color w:val="auto"/>
              </w:rPr>
            </w:pPr>
          </w:p>
        </w:tc>
        <w:tc>
          <w:tcPr>
            <w:tcW w:w="8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2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Indexed</w:t>
            </w:r>
          </w:p>
        </w:tc>
        <w:tc>
          <w:tcPr>
            <w:tcW w:w="14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Immediate</w:t>
            </w:r>
          </w:p>
        </w:tc>
        <w:tc>
          <w:tcPr>
            <w:tcW w:w="10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40" w:type="dxa"/>
            <w:vAlign w:val="bottom"/>
          </w:tcPr>
          <w:p>
            <w:pPr>
              <w:spacing w:after="0"/>
              <w:rPr>
                <w:sz w:val="13"/>
                <w:szCs w:val="13"/>
                <w:color w:val="auto"/>
              </w:rPr>
            </w:pPr>
          </w:p>
        </w:tc>
        <w:tc>
          <w:tcPr>
            <w:tcW w:w="8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91"/>
        </w:trPr>
        <w:tc>
          <w:tcPr>
            <w:tcW w:w="4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Actuarial model updates and refinements (a)</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9"/>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net of amortization of ($15 million).</w:t>
      </w:r>
    </w:p>
    <w:p>
      <w:pPr>
        <w:spacing w:after="0" w:line="82"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VOBA amortization expense of $77 million and $95 million was recorded in Depreciation and amortization on the unaudited Condensed Consolidated Statements of Earnings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roll forward DAC by product for the six months ended June 30, 2025 and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4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3"/>
                <w:szCs w:val="13"/>
                <w:color w:val="auto"/>
              </w:rPr>
            </w:pPr>
          </w:p>
        </w:tc>
        <w:tc>
          <w:tcPr>
            <w:tcW w:w="106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0" w:type="dxa"/>
            <w:vAlign w:val="bottom"/>
          </w:tcPr>
          <w:p>
            <w:pPr>
              <w:spacing w:after="0"/>
              <w:rPr>
                <w:sz w:val="1"/>
                <w:szCs w:val="1"/>
                <w:color w:val="auto"/>
              </w:rPr>
            </w:pPr>
          </w:p>
        </w:tc>
      </w:tr>
      <w:tr>
        <w:trPr>
          <w:trHeight w:val="191"/>
        </w:trPr>
        <w:tc>
          <w:tcPr>
            <w:tcW w:w="5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92"/>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4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3"/>
                <w:szCs w:val="13"/>
                <w:color w:val="auto"/>
              </w:rPr>
            </w:pPr>
          </w:p>
        </w:tc>
        <w:tc>
          <w:tcPr>
            <w:tcW w:w="106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0" w:type="dxa"/>
            <w:vAlign w:val="bottom"/>
          </w:tcPr>
          <w:p>
            <w:pPr>
              <w:spacing w:after="0"/>
              <w:rPr>
                <w:sz w:val="1"/>
                <w:szCs w:val="1"/>
                <w:color w:val="auto"/>
              </w:rPr>
            </w:pPr>
          </w:p>
        </w:tc>
      </w:tr>
      <w:tr>
        <w:trPr>
          <w:trHeight w:val="191"/>
        </w:trPr>
        <w:tc>
          <w:tcPr>
            <w:tcW w:w="5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2"/>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Excludes insignificant amounts of DAC related to funding agreement backed notes ("FABN") and PRT.</w:t>
      </w:r>
    </w:p>
    <w:p>
      <w:pPr>
        <w:spacing w:after="0" w:line="1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DAC amortization expense of $167 million and $125 million was recorded in Depreciation and amortization on the unaudited Condensed Consolidated Statements of Earnings for the six months ended June 30, 2025 and 2024, respectively, excluding insignificant amounts related to FABN and PRT.</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a reconciliation of DAC to the table above, which is reconciled to the unaudited Condensed Consolidated Balance Sheets as of June 30, 2025 and December 31,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5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2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7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6"/>
                <w:szCs w:val="16"/>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1500" w:type="dxa"/>
            <w:vAlign w:val="bottom"/>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15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Universal Life</w:t>
            </w:r>
          </w:p>
        </w:tc>
        <w:tc>
          <w:tcPr>
            <w:tcW w:w="15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Funding Agreements</w:t>
            </w:r>
          </w:p>
        </w:tc>
        <w:tc>
          <w:tcPr>
            <w:tcW w:w="15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5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9"/>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00" w:type="dxa"/>
            <w:vAlign w:val="bottom"/>
            <w:tcBorders>
              <w:bottom w:val="single" w:sz="8" w:color="auto"/>
            </w:tcBorders>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3,036</w:t>
            </w:r>
          </w:p>
        </w:tc>
      </w:tr>
      <w:tr>
        <w:trPr>
          <w:trHeight w:val="20"/>
        </w:trPr>
        <w:tc>
          <w:tcPr>
            <w:tcW w:w="7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rolls forward DSI for our indexed annuity products for the six months ended June 30, 2025 and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60" w:type="dxa"/>
            <w:vAlign w:val="bottom"/>
            <w:gridSpan w:val="3"/>
          </w:tcPr>
          <w:p>
            <w:pPr>
              <w:jc w:val="center"/>
              <w:ind w:right="4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24"/>
        </w:trPr>
        <w:tc>
          <w:tcPr>
            <w:tcW w:w="73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73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192"/>
        </w:trPr>
        <w:tc>
          <w:tcPr>
            <w:tcW w:w="7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60" w:type="dxa"/>
            <w:vAlign w:val="bottom"/>
            <w:gridSpan w:val="3"/>
          </w:tcPr>
          <w:p>
            <w:pPr>
              <w:jc w:val="center"/>
              <w:ind w:right="4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6"/>
                <w:szCs w:val="16"/>
                <w:color w:val="auto"/>
              </w:rPr>
            </w:pP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346</w:t>
            </w:r>
          </w:p>
        </w:tc>
      </w:tr>
      <w:tr>
        <w:trPr>
          <w:trHeight w:val="191"/>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080" w:type="dxa"/>
            <w:vAlign w:val="bottom"/>
          </w:tcPr>
          <w:p>
            <w:pPr>
              <w:spacing w:after="0"/>
              <w:rPr>
                <w:sz w:val="16"/>
                <w:szCs w:val="16"/>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120</w:t>
            </w:r>
          </w:p>
        </w:tc>
      </w:tr>
      <w:tr>
        <w:trPr>
          <w:trHeight w:val="19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0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(16)</w:t>
            </w:r>
          </w:p>
        </w:tc>
      </w:tr>
      <w:tr>
        <w:trPr>
          <w:trHeight w:val="199"/>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w:t>
            </w: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450</w:t>
            </w:r>
          </w:p>
        </w:tc>
      </w:tr>
      <w:tr>
        <w:trPr>
          <w:trHeight w:val="20"/>
        </w:trPr>
        <w:tc>
          <w:tcPr>
            <w:tcW w:w="7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DSI amortization expense of $30 million and $16 million was recorded in Depreciation and amortization on the unaudited Condensed Consolidated Statements of Earnings for the six months ended June 30, 2025 and 2024, respectively.</w:t>
      </w:r>
    </w:p>
    <w:p>
      <w:pPr>
        <w:spacing w:after="0" w:line="7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cash flow assumptions used to amortize VOBA and DAC were consistent with the assumptions used to estimate the future policy benefits ("FPB") for life contingent immediate annuities, and PRT. Those assumptions will be reviewed and unlocked, if applicable, in the same period as those balances. For nonparticipating traditional life contracts, the VOBA amortization is straight-line, without the use of cash flow assumptions. For indexed annuity contracts, the cash flow assumptions used to amortize VOBA, DAC, and DSI were consistent with the assumptions used to estimate the value of the embedded derivative and MRBs, and will be reviewed and unlocked, if applicable, in the same period as those balances. For fixed rate annuities and IUL the cash flow assumptions used to amortize VOBA, and DAC reflect the Company’s best estimates for policyholder behavior, consistent with the development of assumptions for indexed annuities and immediate annuities.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F&amp;G reviews cash flow assumptions annually, generally in the third quarter. In 2024, F&amp;G undertook a review of all significant assumptions and revised several assumptions relating to our deferred annuity (indexed annuity and fixed rate annuity) and IUL products. For the six months ended June 30, 2025, F&amp;G updated the assumption for option budgets. For the year ended December 31, 2024, F&amp;G updated assumptions including surrender rates, GMWB election timing, premium persistency, mortality improvement and option budgets. All updates to these assumptions brought F&amp;G more in line with our Company and overall industry experience since the prior assumption update.</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has been no material change to the estimated future amortization expense of intangible assets since December 31, 2024.</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F&amp;G Reinsurance</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the Company's retention limit is reinsured. The Company primarily seeks reinsurance coverage in order to manage loss exposures, to enhance our capital position, to diversify risks and earnings, and to manage new business volume. The Company follows reinsurance accounting when the treaty adequately transfers insurance risk and any acquisition cost reimbursements reduce policy acquisition costs deferred and maintenance expense reimbursements reduce direct expenses incurred. Otherwise, the Company follows deposit accounting if there is inadequate transfer of insurance risk or if the underlying policy for which risk is being transferred is an investment contract that does not contain insurance risk. As of June 30, 2025 and December 31, 2024, we had an immaterial amount of cost of reinsurance recorded on the unaudited Condensed Consolidated Balance Sheets.</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effects of reinsurance on net premiums earned and net benefits incurred (benefits paid and reserve changes) for the three and six months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6"/>
                <w:szCs w:val="16"/>
                <w:color w:val="auto"/>
              </w:rPr>
            </w:pPr>
          </w:p>
        </w:tc>
      </w:tr>
      <w:tr>
        <w:trPr>
          <w:trHeight w:val="186"/>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47"/>
        </w:trPr>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80" w:type="dxa"/>
            <w:vAlign w:val="bottom"/>
          </w:tcPr>
          <w:p>
            <w:pPr>
              <w:spacing w:after="0"/>
              <w:rPr>
                <w:sz w:val="12"/>
                <w:szCs w:val="12"/>
                <w:color w:val="auto"/>
              </w:rPr>
            </w:pPr>
          </w:p>
        </w:tc>
        <w:tc>
          <w:tcPr>
            <w:tcW w:w="1160" w:type="dxa"/>
            <w:vAlign w:val="bottom"/>
            <w:gridSpan w:val="3"/>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Net Benefits</w:t>
            </w:r>
          </w:p>
        </w:tc>
        <w:tc>
          <w:tcPr>
            <w:tcW w:w="120" w:type="dxa"/>
            <w:vAlign w:val="bottom"/>
          </w:tcPr>
          <w:p>
            <w:pPr>
              <w:spacing w:after="0"/>
              <w:rPr>
                <w:sz w:val="12"/>
                <w:szCs w:val="12"/>
                <w:color w:val="auto"/>
              </w:rPr>
            </w:pPr>
          </w:p>
        </w:tc>
        <w:tc>
          <w:tcPr>
            <w:tcW w:w="1200" w:type="dxa"/>
            <w:vAlign w:val="bottom"/>
            <w:gridSpan w:val="4"/>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60" w:type="dxa"/>
            <w:vAlign w:val="bottom"/>
          </w:tcPr>
          <w:p>
            <w:pPr>
              <w:spacing w:after="0"/>
              <w:rPr>
                <w:sz w:val="12"/>
                <w:szCs w:val="12"/>
                <w:color w:val="auto"/>
              </w:rPr>
            </w:pPr>
          </w:p>
        </w:tc>
        <w:tc>
          <w:tcPr>
            <w:tcW w:w="1060" w:type="dxa"/>
            <w:vAlign w:val="bottom"/>
          </w:tcPr>
          <w:p>
            <w:pPr>
              <w:jc w:val="center"/>
              <w:ind w:right="89"/>
              <w:spacing w:after="0" w:line="147" w:lineRule="exact"/>
              <w:rPr>
                <w:sz w:val="20"/>
                <w:szCs w:val="20"/>
                <w:color w:val="auto"/>
              </w:rPr>
            </w:pPr>
            <w:r>
              <w:rPr>
                <w:rFonts w:ascii="Times New Roman" w:cs="Times New Roman" w:eastAsia="Times New Roman" w:hAnsi="Times New Roman"/>
                <w:sz w:val="14"/>
                <w:szCs w:val="14"/>
                <w:b w:val="1"/>
                <w:bCs w:val="1"/>
                <w:color w:val="auto"/>
              </w:rPr>
              <w:t>Net Benefits</w:t>
            </w:r>
          </w:p>
        </w:tc>
      </w:tr>
      <w:tr>
        <w:trPr>
          <w:trHeight w:val="191"/>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80" w:type="dxa"/>
            <w:vAlign w:val="bottom"/>
          </w:tcPr>
          <w:p>
            <w:pPr>
              <w:spacing w:after="0"/>
              <w:rPr>
                <w:sz w:val="16"/>
                <w:szCs w:val="16"/>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20" w:type="dxa"/>
            <w:vAlign w:val="bottom"/>
          </w:tcPr>
          <w:p>
            <w:pPr>
              <w:spacing w:after="0"/>
              <w:rPr>
                <w:sz w:val="16"/>
                <w:szCs w:val="16"/>
                <w:color w:val="auto"/>
              </w:rPr>
            </w:pPr>
          </w:p>
        </w:tc>
        <w:tc>
          <w:tcPr>
            <w:tcW w:w="12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60" w:type="dxa"/>
            <w:vAlign w:val="bottom"/>
          </w:tcPr>
          <w:p>
            <w:pPr>
              <w:spacing w:after="0"/>
              <w:rPr>
                <w:sz w:val="16"/>
                <w:szCs w:val="16"/>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Incurred</w:t>
            </w:r>
          </w:p>
        </w:tc>
      </w:tr>
      <w:tr>
        <w:trPr>
          <w:trHeight w:val="197"/>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357</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Ceded</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24"/>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333</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386"/>
        </w:trPr>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6"/>
                <w:szCs w:val="16"/>
                <w:color w:val="auto"/>
              </w:rPr>
            </w:pPr>
          </w:p>
        </w:tc>
      </w:tr>
      <w:tr>
        <w:trPr>
          <w:trHeight w:val="186"/>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47"/>
        </w:trPr>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80" w:type="dxa"/>
            <w:vAlign w:val="bottom"/>
          </w:tcPr>
          <w:p>
            <w:pPr>
              <w:spacing w:after="0"/>
              <w:rPr>
                <w:sz w:val="12"/>
                <w:szCs w:val="12"/>
                <w:color w:val="auto"/>
              </w:rPr>
            </w:pPr>
          </w:p>
        </w:tc>
        <w:tc>
          <w:tcPr>
            <w:tcW w:w="1160" w:type="dxa"/>
            <w:vAlign w:val="bottom"/>
            <w:gridSpan w:val="3"/>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Net Benefits</w:t>
            </w:r>
          </w:p>
        </w:tc>
        <w:tc>
          <w:tcPr>
            <w:tcW w:w="120" w:type="dxa"/>
            <w:vAlign w:val="bottom"/>
          </w:tcPr>
          <w:p>
            <w:pPr>
              <w:spacing w:after="0"/>
              <w:rPr>
                <w:sz w:val="12"/>
                <w:szCs w:val="12"/>
                <w:color w:val="auto"/>
              </w:rPr>
            </w:pPr>
          </w:p>
        </w:tc>
        <w:tc>
          <w:tcPr>
            <w:tcW w:w="1200" w:type="dxa"/>
            <w:vAlign w:val="bottom"/>
            <w:gridSpan w:val="4"/>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60" w:type="dxa"/>
            <w:vAlign w:val="bottom"/>
          </w:tcPr>
          <w:p>
            <w:pPr>
              <w:spacing w:after="0"/>
              <w:rPr>
                <w:sz w:val="12"/>
                <w:szCs w:val="12"/>
                <w:color w:val="auto"/>
              </w:rPr>
            </w:pPr>
          </w:p>
        </w:tc>
        <w:tc>
          <w:tcPr>
            <w:tcW w:w="1060" w:type="dxa"/>
            <w:vAlign w:val="bottom"/>
          </w:tcPr>
          <w:p>
            <w:pPr>
              <w:jc w:val="center"/>
              <w:ind w:right="89"/>
              <w:spacing w:after="0" w:line="147" w:lineRule="exact"/>
              <w:rPr>
                <w:sz w:val="20"/>
                <w:szCs w:val="20"/>
                <w:color w:val="auto"/>
              </w:rPr>
            </w:pPr>
            <w:r>
              <w:rPr>
                <w:rFonts w:ascii="Times New Roman" w:cs="Times New Roman" w:eastAsia="Times New Roman" w:hAnsi="Times New Roman"/>
                <w:sz w:val="14"/>
                <w:szCs w:val="14"/>
                <w:b w:val="1"/>
                <w:bCs w:val="1"/>
                <w:color w:val="auto"/>
              </w:rPr>
              <w:t>Net Benefits</w:t>
            </w:r>
          </w:p>
        </w:tc>
      </w:tr>
      <w:tr>
        <w:trPr>
          <w:trHeight w:val="191"/>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80" w:type="dxa"/>
            <w:vAlign w:val="bottom"/>
          </w:tcPr>
          <w:p>
            <w:pPr>
              <w:spacing w:after="0"/>
              <w:rPr>
                <w:sz w:val="16"/>
                <w:szCs w:val="16"/>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20" w:type="dxa"/>
            <w:vAlign w:val="bottom"/>
          </w:tcPr>
          <w:p>
            <w:pPr>
              <w:spacing w:after="0"/>
              <w:rPr>
                <w:sz w:val="16"/>
                <w:szCs w:val="16"/>
                <w:color w:val="auto"/>
              </w:rPr>
            </w:pP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60" w:type="dxa"/>
            <w:vAlign w:val="bottom"/>
          </w:tcPr>
          <w:p>
            <w:pPr>
              <w:spacing w:after="0"/>
              <w:rPr>
                <w:sz w:val="16"/>
                <w:szCs w:val="16"/>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Incurred</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Ceded</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24"/>
        </w:trPr>
        <w:tc>
          <w:tcPr>
            <w:tcW w:w="6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Amounts payable or recoverable for reinsurance on paid and unpaid claims are not subject to periodic or maximum limits. No policies issued by the Company have been reinsured with any foreign company, which is controlled, either directly or indirectly, by a party not primarily engaged in the business of insurance. The Company has not entered into any reinsurance agreements in which the reinsurer may unilaterally cancel any reinsurance for reasons other than non-payment of premiums or other similar credit issues.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Reinsurance Transactions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significant changes to third-party reinsurance agreements for the period ended June 30, 2025:</w:t>
      </w:r>
    </w:p>
    <w:p>
      <w:pPr>
        <w:spacing w:after="0" w:line="10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Everlake: </w:t>
      </w:r>
      <w:r>
        <w:rPr>
          <w:rFonts w:ascii="Times New Roman" w:cs="Times New Roman" w:eastAsia="Times New Roman" w:hAnsi="Times New Roman"/>
          <w:sz w:val="18"/>
          <w:szCs w:val="18"/>
          <w:color w:val="auto"/>
        </w:rPr>
        <w:t>Effective January 1, 2025, F&amp;G amended the existing flow reinsurance agreement with Everlake Life Insurance Company (“Everlake”) to cede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additional multi-year guarantee annuities ("MYGA") business for agreed upon periods to Everlake pursuant to an offer and acceptance process, rather than on a flow basis. The amendment included a cession of an inforce block of certain MYGA policies on a coinsurance quota share basis.</w:t>
      </w:r>
    </w:p>
    <w:p>
      <w:pPr>
        <w:spacing w:after="0" w:line="5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 Reinsurance Vehicle: </w:t>
      </w:r>
      <w:r>
        <w:rPr>
          <w:rFonts w:ascii="Times New Roman" w:cs="Times New Roman" w:eastAsia="Times New Roman" w:hAnsi="Times New Roman"/>
          <w:sz w:val="18"/>
          <w:szCs w:val="18"/>
          <w:color w:val="auto"/>
        </w:rPr>
        <w:t>On August 6, 2025, F&amp;G announced the launch of a strategic partnership with a new reinsurance vehicle backed by Blackstone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managed funds, with approximately $1 billion in anticipated capital commitments.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reinsurer will provide long-term, on demand growth capital to F&amp;G through a forward flow reinsurance agreement on a quota share basis of certain fixed indexed annuity products, effective August 1, 2025. F&amp;G does not hold any ownership stake in the reinsurer, which is unaffiliated and a Blackstone owned entity.</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other significant changes to third party reinsurance agreements for the three and six months ended June 30, 2025.</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our reinsurance recoverable as of June 30, 2025 and December 31, 2024:</w:t>
      </w:r>
    </w:p>
    <w:p>
      <w:pPr>
        <w:sectPr>
          <w:pgSz w:w="11900" w:h="16838" w:orient="portrait"/>
          <w:cols w:equalWidth="0" w:num="1">
            <w:col w:w="11240"/>
          </w:cols>
          <w:pgMar w:left="320" w:top="121" w:right="339" w:bottom="1440" w:gutter="0" w:footer="0" w:header="0"/>
        </w:sectPr>
      </w:pPr>
    </w:p>
    <w:p>
      <w:pPr>
        <w:spacing w:after="0" w:line="2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Parent Company/</w:t>
      </w:r>
    </w:p>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Principal Reinsurers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19685</wp:posOffset>
            </wp:positionV>
            <wp:extent cx="19348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3484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Aspida Life Re Ltd.</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Somerset Reinsurance Ltd. (b)</w:t>
      </w:r>
    </w:p>
    <w:p>
      <w:pPr>
        <w:spacing w:after="0" w:line="3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Everlake</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Wilton Reassurance Company</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Other (e)</w:t>
      </w:r>
    </w:p>
    <w:p>
      <w:pPr>
        <w:spacing w:after="0" w:line="51" w:lineRule="exact"/>
        <w:rPr>
          <w:sz w:val="20"/>
          <w:szCs w:val="20"/>
          <w:color w:val="auto"/>
        </w:rPr>
      </w:pPr>
    </w:p>
    <w:p>
      <w:pPr>
        <w:ind w:left="340" w:right="240" w:firstLine="159"/>
        <w:spacing w:after="0" w:line="294" w:lineRule="auto"/>
        <w:rPr>
          <w:sz w:val="20"/>
          <w:szCs w:val="20"/>
          <w:color w:val="auto"/>
        </w:rPr>
      </w:pPr>
      <w:r>
        <w:rPr>
          <w:rFonts w:ascii="Times New Roman" w:cs="Times New Roman" w:eastAsia="Times New Roman" w:hAnsi="Times New Roman"/>
          <w:sz w:val="14"/>
          <w:szCs w:val="14"/>
          <w:color w:val="auto"/>
        </w:rPr>
        <w:t>Reinsurance recoverable, gross of allowance Allowance for expected credit losses</w:t>
      </w:r>
    </w:p>
    <w:p>
      <w:pPr>
        <w:spacing w:after="0" w:line="1" w:lineRule="exact"/>
        <w:rPr>
          <w:sz w:val="20"/>
          <w:szCs w:val="20"/>
          <w:color w:val="auto"/>
        </w:rPr>
      </w:pPr>
    </w:p>
    <w:p>
      <w:pPr>
        <w:ind w:left="500"/>
        <w:spacing w:after="0" w:line="237" w:lineRule="auto"/>
        <w:rPr>
          <w:sz w:val="20"/>
          <w:szCs w:val="20"/>
          <w:color w:val="auto"/>
        </w:rPr>
      </w:pPr>
      <w:r>
        <w:rPr>
          <w:rFonts w:ascii="Times New Roman" w:cs="Times New Roman" w:eastAsia="Times New Roman" w:hAnsi="Times New Roman"/>
          <w:sz w:val="14"/>
          <w:szCs w:val="14"/>
          <w:b w:val="1"/>
          <w:bCs w:val="1"/>
          <w:color w:val="auto"/>
        </w:rPr>
        <w:t>Reinsurance recoverable, net of allowance for expected credit losses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2360" w:type="dxa"/>
            <w:vAlign w:val="bottom"/>
            <w:gridSpan w:val="4"/>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Reinsurance Recoverable (a)</w:t>
            </w:r>
          </w:p>
        </w:tc>
        <w:tc>
          <w:tcPr>
            <w:tcW w:w="80" w:type="dxa"/>
            <w:vAlign w:val="bottom"/>
          </w:tcPr>
          <w:p>
            <w:pPr>
              <w:spacing w:after="0"/>
              <w:rPr>
                <w:sz w:val="13"/>
                <w:szCs w:val="13"/>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Agreement Type</w:t>
            </w:r>
          </w:p>
        </w:tc>
        <w:tc>
          <w:tcPr>
            <w:tcW w:w="274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3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74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170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80" w:type="dxa"/>
            <w:vAlign w:val="bottom"/>
          </w:tcPr>
          <w:p>
            <w:pPr>
              <w:spacing w:after="0"/>
              <w:rPr>
                <w:sz w:val="12"/>
                <w:szCs w:val="12"/>
                <w:color w:val="auto"/>
              </w:rPr>
            </w:pPr>
          </w:p>
        </w:tc>
        <w:tc>
          <w:tcPr>
            <w:tcW w:w="600" w:type="dxa"/>
            <w:vAlign w:val="bottom"/>
            <w:vMerge w:val="restart"/>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7,844</w:t>
            </w:r>
          </w:p>
        </w:tc>
        <w:tc>
          <w:tcPr>
            <w:tcW w:w="80" w:type="dxa"/>
            <w:vAlign w:val="bottom"/>
          </w:tcPr>
          <w:p>
            <w:pPr>
              <w:spacing w:after="0"/>
              <w:rPr>
                <w:sz w:val="12"/>
                <w:szCs w:val="12"/>
                <w:color w:val="auto"/>
              </w:rPr>
            </w:pPr>
          </w:p>
        </w:tc>
        <w:tc>
          <w:tcPr>
            <w:tcW w:w="13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Coinsurance Funds</w:t>
            </w:r>
          </w:p>
        </w:tc>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Certain MYGA</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Deposit</w:t>
            </w:r>
          </w:p>
        </w:tc>
        <w:tc>
          <w:tcPr>
            <w:tcW w:w="0" w:type="dxa"/>
            <w:vAlign w:val="bottom"/>
          </w:tcPr>
          <w:p>
            <w:pPr>
              <w:spacing w:after="0"/>
              <w:rPr>
                <w:sz w:val="1"/>
                <w:szCs w:val="1"/>
                <w:color w:val="auto"/>
              </w:rPr>
            </w:pPr>
          </w:p>
        </w:tc>
      </w:tr>
      <w:tr>
        <w:trPr>
          <w:trHeight w:val="184"/>
        </w:trPr>
        <w:tc>
          <w:tcPr>
            <w:tcW w:w="1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27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4,028</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8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Coinsurance Funds</w:t>
            </w:r>
          </w:p>
        </w:tc>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Certain MYGA and deferred annuities</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Deposit</w:t>
            </w: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27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Coinsurance Funds</w:t>
            </w:r>
          </w:p>
        </w:tc>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Certain FIA</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Reinsurance</w:t>
            </w: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27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Coinsurance</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Certain MYGA (c)</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w:t>
            </w: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Coinsurance</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Block of traditional, IUL and UL (d)</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Reinsurance</w:t>
            </w: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13,389</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15,777</w:t>
            </w:r>
          </w:p>
        </w:tc>
        <w:tc>
          <w:tcPr>
            <w:tcW w:w="80" w:type="dxa"/>
            <w:vAlign w:val="bottom"/>
          </w:tcPr>
          <w:p>
            <w:pPr>
              <w:spacing w:after="0"/>
              <w:rPr>
                <w:sz w:val="22"/>
                <w:szCs w:val="22"/>
                <w:color w:val="auto"/>
              </w:rPr>
            </w:pPr>
          </w:p>
        </w:tc>
        <w:tc>
          <w:tcPr>
            <w:tcW w:w="6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13,369</w:t>
            </w: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-1496695</wp:posOffset>
            </wp:positionV>
            <wp:extent cx="6857365" cy="2101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7365" cy="210185"/>
                    </a:xfrm>
                    <a:prstGeom prst="rect">
                      <a:avLst/>
                    </a:prstGeom>
                    <a:noFill/>
                  </pic:spPr>
                </pic:pic>
              </a:graphicData>
            </a:graphic>
          </wp:anchor>
        </w:drawing>
        <w:drawing>
          <wp:anchor simplePos="0" relativeHeight="251657728" behindDoc="1" locked="0" layoutInCell="0" allowOverlap="1">
            <wp:simplePos x="0" y="0"/>
            <wp:positionH relativeFrom="column">
              <wp:posOffset>-1990725</wp:posOffset>
            </wp:positionH>
            <wp:positionV relativeFrom="paragraph">
              <wp:posOffset>-1076325</wp:posOffset>
            </wp:positionV>
            <wp:extent cx="6857365" cy="2101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7365" cy="210185"/>
                    </a:xfrm>
                    <a:prstGeom prst="rect">
                      <a:avLst/>
                    </a:prstGeom>
                    <a:noFill/>
                  </pic:spPr>
                </pic:pic>
              </a:graphicData>
            </a:graphic>
          </wp:anchor>
        </w:drawing>
        <w:drawing>
          <wp:anchor simplePos="0" relativeHeight="251657728" behindDoc="1" locked="0" layoutInCell="0" allowOverlap="1">
            <wp:simplePos x="0" y="0"/>
            <wp:positionH relativeFrom="column">
              <wp:posOffset>-1990725</wp:posOffset>
            </wp:positionH>
            <wp:positionV relativeFrom="paragraph">
              <wp:posOffset>-739775</wp:posOffset>
            </wp:positionV>
            <wp:extent cx="6857365" cy="1263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7365" cy="126365"/>
                    </a:xfrm>
                    <a:prstGeom prst="rect">
                      <a:avLst/>
                    </a:prstGeom>
                    <a:noFill/>
                  </pic:spPr>
                </pic:pic>
              </a:graphicData>
            </a:graphic>
          </wp:anchor>
        </w:drawing>
        <w:drawing>
          <wp:anchor simplePos="0" relativeHeight="251657728" behindDoc="1" locked="0" layoutInCell="0" allowOverlap="1">
            <wp:simplePos x="0" y="0"/>
            <wp:positionH relativeFrom="column">
              <wp:posOffset>-1990725</wp:posOffset>
            </wp:positionH>
            <wp:positionV relativeFrom="paragraph">
              <wp:posOffset>-487045</wp:posOffset>
            </wp:positionV>
            <wp:extent cx="6857365" cy="134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7365" cy="134620"/>
                    </a:xfrm>
                    <a:prstGeom prst="rect">
                      <a:avLst/>
                    </a:prstGeom>
                    <a:noFill/>
                  </pic:spPr>
                </pic:pic>
              </a:graphicData>
            </a:graphic>
          </wp:anchor>
        </w:drawing>
        <w:drawing>
          <wp:anchor simplePos="0" relativeHeight="251657728" behindDoc="1" locked="0" layoutInCell="0" allowOverlap="1">
            <wp:simplePos x="0" y="0"/>
            <wp:positionH relativeFrom="column">
              <wp:posOffset>-1990725</wp:posOffset>
            </wp:positionH>
            <wp:positionV relativeFrom="paragraph">
              <wp:posOffset>-226695</wp:posOffset>
            </wp:positionV>
            <wp:extent cx="6857365" cy="2101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7365" cy="21018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3260" w:space="200"/>
            <w:col w:w="7780"/>
          </w:cols>
          <w:pgMar w:left="320" w:top="121" w:right="339" w:bottom="1440" w:gutter="0" w:footer="0" w:header="0"/>
          <w:type w:val="continuous"/>
        </w:sectPr>
      </w:pPr>
    </w:p>
    <w:p>
      <w:pPr>
        <w:ind w:left="540" w:hanging="198"/>
        <w:spacing w:after="0"/>
        <w:tabs>
          <w:tab w:leader="none" w:pos="5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recoverables do not include unearned ceded premiums that would be recovered in the event of early termination of certain traditional life policies.</w:t>
      </w:r>
    </w:p>
    <w:p>
      <w:pPr>
        <w:spacing w:after="0" w:line="37" w:lineRule="exact"/>
        <w:rPr>
          <w:rFonts w:ascii="Times New Roman" w:cs="Times New Roman" w:eastAsia="Times New Roman" w:hAnsi="Times New Roman"/>
          <w:sz w:val="14"/>
          <w:szCs w:val="14"/>
          <w:color w:val="auto"/>
        </w:rPr>
      </w:pPr>
    </w:p>
    <w:p>
      <w:pPr>
        <w:ind w:left="540" w:hanging="198"/>
        <w:spacing w:after="0"/>
        <w:tabs>
          <w:tab w:leader="none" w:pos="5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represents the total reinsurance recoverable for all reinsurance agreements with Somerset.</w:t>
      </w:r>
    </w:p>
    <w:p>
      <w:pPr>
        <w:spacing w:after="0" w:line="37" w:lineRule="exact"/>
        <w:rPr>
          <w:rFonts w:ascii="Times New Roman" w:cs="Times New Roman" w:eastAsia="Times New Roman" w:hAnsi="Times New Roman"/>
          <w:sz w:val="14"/>
          <w:szCs w:val="14"/>
          <w:color w:val="auto"/>
        </w:rPr>
      </w:pPr>
    </w:p>
    <w:p>
      <w:pPr>
        <w:ind w:left="540" w:hanging="198"/>
        <w:spacing w:after="0"/>
        <w:tabs>
          <w:tab w:leader="none" w:pos="5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recoverable is collateralized by assets placed in a statutory comfort trust by the reinsurer and maintained for our sole benefit.</w:t>
      </w:r>
    </w:p>
    <w:p>
      <w:pPr>
        <w:spacing w:after="0" w:line="37" w:lineRule="exact"/>
        <w:rPr>
          <w:rFonts w:ascii="Times New Roman" w:cs="Times New Roman" w:eastAsia="Times New Roman" w:hAnsi="Times New Roman"/>
          <w:sz w:val="14"/>
          <w:szCs w:val="14"/>
          <w:color w:val="auto"/>
        </w:rPr>
      </w:pPr>
    </w:p>
    <w:p>
      <w:pPr>
        <w:ind w:left="540" w:hanging="198"/>
        <w:spacing w:after="0"/>
        <w:tabs>
          <w:tab w:leader="none" w:pos="5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includes certain FGL Insurance life insurance policies that are subject to redundant reserves, reported on a statutory basis, under Regulation XXX and Guideline AXXX.</w:t>
      </w:r>
    </w:p>
    <w:p>
      <w:pPr>
        <w:spacing w:after="0" w:line="37" w:lineRule="exact"/>
        <w:rPr>
          <w:rFonts w:ascii="Times New Roman" w:cs="Times New Roman" w:eastAsia="Times New Roman" w:hAnsi="Times New Roman"/>
          <w:sz w:val="14"/>
          <w:szCs w:val="14"/>
          <w:color w:val="auto"/>
        </w:rPr>
      </w:pPr>
    </w:p>
    <w:p>
      <w:pPr>
        <w:ind w:left="540" w:hanging="198"/>
        <w:spacing w:after="0"/>
        <w:tabs>
          <w:tab w:leader="none" w:pos="5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all other reinsurers, with no single reinsurer having a carrying value in excess of 5% of total reinsurance recoverable.</w:t>
      </w:r>
    </w:p>
    <w:p>
      <w:pPr>
        <w:spacing w:after="0" w:line="2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2025 and December 31, 2024, F&amp;G had a deposit asset of $12,642 million and $11,039 million, respectively, which is reported in the Reinsurance recoverable, net of allowance for credit losses on the unaudited Condensed Consolidated Balance Sheets.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incurred risk charge fees of $10 million and $12 million during the three months ended June 30, 2025 and 2024, respectively, and $21 million and $22 million during the six months ended June 30, 2025 and 2024, respectively, in relation to reinsurance agreements.</w:t>
      </w: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6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There was no material change in the expected credit loss reserve for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Reinsurance Risk</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indicated above, F&amp;G has a significant concentration of reinsurance risk with third party reinsurers, Aspida Life Re Ltd. (“Aspida Re”), Somerset Reinsurance Ltd. (“Somerset”), Everlake and Wilton Reassurance Company (“Wilton Re”) that could have a material impact on our financial position in the event that any of these reinsurers fails to perform its obligations under the various reinsurance treaties. We monitor the financial condition and financial strength of individual reinsurers using public ratings (refer to table below) and ratings reports of individual reinsurers to attempt to reduce the risk of default by such reinsurers. In addition, the risk of non-performance is further mitigated with various forms of collateral or collateral arrangements, including secured trusts, funds withheld accounts, and irrevocable letters of credit. We believe that all amounts due from Aspida Re, Somerset, Everlake, and Wilton Re for periodic treaty settlements, net of any applicable credit loss reserves, are collectible as of June 30, 2025. The following table presents financial strength ratings as of June 30,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40" w:type="dxa"/>
            <w:vAlign w:val="bottom"/>
          </w:tcPr>
          <w:p>
            <w:pPr>
              <w:spacing w:after="0"/>
              <w:rPr>
                <w:sz w:val="16"/>
                <w:szCs w:val="16"/>
                <w:color w:val="auto"/>
              </w:rPr>
            </w:pPr>
          </w:p>
        </w:tc>
        <w:tc>
          <w:tcPr>
            <w:tcW w:w="61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Parent Company/Principal Reinsurers</w:t>
            </w:r>
          </w:p>
        </w:tc>
        <w:tc>
          <w:tcPr>
            <w:tcW w:w="26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Financial Strength Rating</w:t>
            </w:r>
          </w:p>
        </w:tc>
        <w:tc>
          <w:tcPr>
            <w:tcW w:w="1240" w:type="dxa"/>
            <w:vAlign w:val="bottom"/>
          </w:tcPr>
          <w:p>
            <w:pPr>
              <w:spacing w:after="0"/>
              <w:rPr>
                <w:sz w:val="16"/>
                <w:szCs w:val="16"/>
                <w:color w:val="auto"/>
              </w:rPr>
            </w:pPr>
          </w:p>
        </w:tc>
      </w:tr>
      <w:tr>
        <w:trPr>
          <w:trHeight w:val="24"/>
        </w:trPr>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12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 Best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S&amp;P</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Fitch</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198"/>
        </w:trPr>
        <w:tc>
          <w:tcPr>
            <w:tcW w:w="1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Aspida Re</w:t>
            </w:r>
          </w:p>
        </w:tc>
        <w:tc>
          <w:tcPr>
            <w:tcW w:w="48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A-</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1"/>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Somerset</w:t>
            </w:r>
          </w:p>
        </w:tc>
        <w:tc>
          <w:tcPr>
            <w:tcW w:w="48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4"/>
              </w:rPr>
              <w:t>A-</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BBB+</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Everlake</w:t>
            </w:r>
          </w:p>
        </w:tc>
        <w:tc>
          <w:tcPr>
            <w:tcW w:w="48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A</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4"/>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Wilton Re</w:t>
            </w:r>
          </w:p>
        </w:tc>
        <w:tc>
          <w:tcPr>
            <w:tcW w:w="4800" w:type="dxa"/>
            <w:vAlign w:val="bottom"/>
          </w:tcPr>
          <w:p>
            <w:pPr>
              <w:spacing w:after="0"/>
              <w:rPr>
                <w:sz w:val="15"/>
                <w:szCs w:val="15"/>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A+</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not rated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F&amp;G Insurance Subsidiary Financial Information and Regulatory Matters</w:t>
      </w:r>
    </w:p>
    <w:p>
      <w:pPr>
        <w:spacing w:after="0" w:line="113"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Our U.S. insurance subsidiaries, FGL Insurance, FGL NY Insurance, Raven Re and Corbeau Re, file financial statements with state insurance regulatory authorities and, except for Raven Re, with the National Association of Insurance Commissioners (“NAIC”) that are prepared in accordance with Statutory Accounting Principles (“SAP”) prescribed or permitted by such authorities. Prescribed SAP includes the Accounting Practices and Procedures Manual of the NAIC as well as state laws, regulations and administrative rules. Permitted SAP encompasses all accounting practices not prescribed but approved by state regulators. The principal differences between SAP financial statements and financial statements prepared in accordance with GAAP are that SAP financial statements do not reflect VOBA, DAC, and DSI,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69"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non-U.S. insurance subsidiaries, F&amp;G Cayman Re Ltd (“F&amp;G Cayman Re”), a Cayman Islands entity, and F&amp;G Life Re Ltd (“F&amp;G Life Re”), a Bermuda entity, file financial statements with their respective regulators.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Companies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principal insurance subsidiaries' audited statutory financial statements are based on a December 31 year end. Statutory net income for the three and six months ended June 30, 2025 and 2024, and statutory capital and surplus as of June 30, 2025 and December 31, 2024, of our wholly owned U.S. regulated insurance subsidiaries,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0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 xml:space="preserve">Subsidiary (state of domicile) </w:t>
            </w:r>
            <w:r>
              <w:rPr>
                <w:rFonts w:ascii="Times New Roman" w:cs="Times New Roman" w:eastAsia="Times New Roman" w:hAnsi="Times New Roman"/>
                <w:sz w:val="9"/>
                <w:szCs w:val="9"/>
                <w:b w:val="1"/>
                <w:bCs w:val="1"/>
                <w:color w:val="auto"/>
              </w:rPr>
              <w:t>(a)</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right"/>
              <w:ind w:right="289"/>
              <w:spacing w:after="0" w:line="128" w:lineRule="exact"/>
              <w:rPr>
                <w:sz w:val="20"/>
                <w:szCs w:val="20"/>
                <w:color w:val="auto"/>
              </w:rPr>
            </w:pPr>
            <w:r>
              <w:rPr>
                <w:rFonts w:ascii="Times New Roman" w:cs="Times New Roman" w:eastAsia="Times New Roman" w:hAnsi="Times New Roman"/>
                <w:sz w:val="14"/>
                <w:szCs w:val="14"/>
                <w:b w:val="1"/>
                <w:bCs w:val="1"/>
                <w:color w:val="auto"/>
              </w:rPr>
              <w:t>FGL Insurance</w:t>
            </w:r>
          </w:p>
        </w:tc>
        <w:tc>
          <w:tcPr>
            <w:tcW w:w="166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FGL NY Insurance (NY)</w:t>
            </w:r>
          </w:p>
        </w:tc>
        <w:tc>
          <w:tcPr>
            <w:tcW w:w="460" w:type="dxa"/>
            <w:vAlign w:val="bottom"/>
          </w:tcPr>
          <w:p>
            <w:pPr>
              <w:spacing w:after="0"/>
              <w:rPr>
                <w:sz w:val="11"/>
                <w:szCs w:val="11"/>
                <w:color w:val="auto"/>
              </w:rPr>
            </w:pPr>
          </w:p>
        </w:tc>
        <w:tc>
          <w:tcPr>
            <w:tcW w:w="1200" w:type="dxa"/>
            <w:vAlign w:val="bottom"/>
          </w:tcPr>
          <w:p>
            <w:pPr>
              <w:jc w:val="right"/>
              <w:ind w:right="449"/>
              <w:spacing w:after="0" w:line="128" w:lineRule="exact"/>
              <w:rPr>
                <w:sz w:val="20"/>
                <w:szCs w:val="20"/>
                <w:color w:val="auto"/>
              </w:rPr>
            </w:pPr>
            <w:r>
              <w:rPr>
                <w:rFonts w:ascii="Times New Roman" w:cs="Times New Roman" w:eastAsia="Times New Roman" w:hAnsi="Times New Roman"/>
                <w:sz w:val="14"/>
                <w:szCs w:val="14"/>
                <w:b w:val="1"/>
                <w:bCs w:val="1"/>
                <w:color w:val="auto"/>
              </w:rPr>
              <w:t>Raven Re</w:t>
            </w:r>
          </w:p>
        </w:tc>
        <w:tc>
          <w:tcPr>
            <w:tcW w:w="320" w:type="dxa"/>
            <w:vAlign w:val="bottom"/>
          </w:tcPr>
          <w:p>
            <w:pPr>
              <w:spacing w:after="0"/>
              <w:rPr>
                <w:sz w:val="11"/>
                <w:szCs w:val="11"/>
                <w:color w:val="auto"/>
              </w:rPr>
            </w:pPr>
          </w:p>
        </w:tc>
        <w:tc>
          <w:tcPr>
            <w:tcW w:w="1320" w:type="dxa"/>
            <w:vAlign w:val="bottom"/>
          </w:tcPr>
          <w:p>
            <w:pPr>
              <w:jc w:val="right"/>
              <w:ind w:right="349"/>
              <w:spacing w:after="0" w:line="128" w:lineRule="exact"/>
              <w:rPr>
                <w:sz w:val="20"/>
                <w:szCs w:val="20"/>
                <w:color w:val="auto"/>
              </w:rPr>
            </w:pPr>
            <w:r>
              <w:rPr>
                <w:rFonts w:ascii="Times New Roman" w:cs="Times New Roman" w:eastAsia="Times New Roman" w:hAnsi="Times New Roman"/>
                <w:sz w:val="14"/>
                <w:szCs w:val="14"/>
                <w:b w:val="1"/>
                <w:bCs w:val="1"/>
                <w:color w:val="auto"/>
              </w:rPr>
              <w:t>Corbeau Re</w:t>
            </w:r>
          </w:p>
        </w:tc>
        <w:tc>
          <w:tcPr>
            <w:tcW w:w="0" w:type="dxa"/>
            <w:vAlign w:val="bottom"/>
          </w:tcPr>
          <w:p>
            <w:pPr>
              <w:spacing w:after="0"/>
              <w:rPr>
                <w:sz w:val="1"/>
                <w:szCs w:val="1"/>
                <w:color w:val="auto"/>
              </w:rPr>
            </w:pPr>
          </w:p>
        </w:tc>
      </w:tr>
      <w:tr>
        <w:trPr>
          <w:trHeight w:val="191"/>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(IA)</w:t>
            </w:r>
          </w:p>
        </w:tc>
        <w:tc>
          <w:tcPr>
            <w:tcW w:w="166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(VT)</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(VT)</w:t>
            </w: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Net income (loss):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three months ended June 30, 2025</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(76)</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6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three months ended June 30, 2024</w:t>
            </w:r>
          </w:p>
        </w:tc>
        <w:tc>
          <w:tcPr>
            <w:tcW w:w="220" w:type="dxa"/>
            <w:vAlign w:val="bottom"/>
          </w:tcPr>
          <w:p>
            <w:pPr>
              <w:spacing w:after="0"/>
              <w:rPr>
                <w:sz w:val="16"/>
                <w:szCs w:val="16"/>
                <w:color w:val="auto"/>
              </w:rPr>
            </w:pP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77</w:t>
            </w:r>
          </w:p>
        </w:tc>
        <w:tc>
          <w:tcPr>
            <w:tcW w:w="42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46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six months ended June 30, 2025</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(203)</w:t>
            </w:r>
          </w:p>
        </w:tc>
        <w:tc>
          <w:tcPr>
            <w:tcW w:w="42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46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six months ended June 30, 2024</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77</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212"/>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 and Surplus: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2025</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1,313</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163</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20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1,654</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97</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168</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FGL NY Insurance, Raven Re, and Corbeau Re are subsidiaries of FGL Insurance, and the columns should not be added together.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Prescribed and permitted practices</w:t>
      </w:r>
    </w:p>
    <w:p>
      <w:pPr>
        <w:spacing w:after="0" w:line="1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FGL Insurance </w:t>
      </w:r>
      <w:r>
        <w:rPr>
          <w:rFonts w:ascii="Times New Roman" w:cs="Times New Roman" w:eastAsia="Times New Roman" w:hAnsi="Times New Roman"/>
          <w:sz w:val="18"/>
          <w:szCs w:val="18"/>
          <w:color w:val="auto"/>
        </w:rPr>
        <w:t>- FGL Insurance applies Iowa-prescribed accounting practices prescribed by Iowa Administrative Code 191 Chapter 97, “</w:t>
      </w:r>
      <w:r>
        <w:rPr>
          <w:rFonts w:ascii="Times New Roman" w:cs="Times New Roman" w:eastAsia="Times New Roman" w:hAnsi="Times New Roman"/>
          <w:sz w:val="18"/>
          <w:szCs w:val="18"/>
          <w:i w:val="1"/>
          <w:iCs w:val="1"/>
          <w:color w:val="auto"/>
        </w:rPr>
        <w:t>Accounting for Certain Derivative Instruments Used to Hedge the Growth in Interest Credited for Indexed Insurance Products and Accounting for the Indexed Insurance Products Reserve,</w:t>
      </w:r>
      <w:r>
        <w:rPr>
          <w:rFonts w:ascii="Times New Roman" w:cs="Times New Roman" w:eastAsia="Times New Roman" w:hAnsi="Times New Roman"/>
          <w:sz w:val="18"/>
          <w:szCs w:val="18"/>
          <w:color w:val="auto"/>
        </w:rPr>
        <w:t>” for its indexed annuities and IUL products. Under these alternative accounting practices, the equity option derivative instruments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hedge the growth in interest credited on index products are accounted for at amortized cost with the corresponding amortization recorded as a decrease to net investment income and indexed annuity reserves are calculated based on Standard Valuation Law and Actuarial Guideline XXXV assuming the market value of the equity options associated with the current index term is zero regardless of the observable market value for such options.</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based on a permitted practice received from the Iowa Insurance Division, FGL Insurance carries one of its limited partnership interests which qualifies for accounting under SSAP No. 48, “</w:t>
      </w:r>
      <w:r>
        <w:rPr>
          <w:rFonts w:ascii="Times New Roman" w:cs="Times New Roman" w:eastAsia="Times New Roman" w:hAnsi="Times New Roman"/>
          <w:sz w:val="18"/>
          <w:szCs w:val="18"/>
          <w:i w:val="1"/>
          <w:iCs w:val="1"/>
          <w:color w:val="auto"/>
        </w:rPr>
        <w:t>Investments in Joint Ventures, Partnerships and Limited Liability Companies</w:t>
      </w:r>
      <w:r>
        <w:rPr>
          <w:rFonts w:ascii="Times New Roman" w:cs="Times New Roman" w:eastAsia="Times New Roman" w:hAnsi="Times New Roman"/>
          <w:sz w:val="18"/>
          <w:szCs w:val="18"/>
          <w:color w:val="auto"/>
        </w:rPr>
        <w:t>,” on a net asset value per share basis. This is a departure from SSAP No. 48 which requires such investments to be carried based on the investees underlying GAAP equity (prior to any impairment considerations). In addition, the financial statements of Raven Re and Corbeau Re include certain permitted practices approved by the Vermont Department of Financial Regulation. Without such permitted statutory accounting practices, Corbeau Re’s statutory capital would be negative, and its risk-based capital would fall below the minimum regulatory requirements as of June 30, 2025.</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prescribed and permitted practices resulted in increases to statutory capital and surplus of $252 million and $454 million at June 30, 2025 and December 31, 2024, respectively.</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to the prescribed and permitted practices for our U.S. insurance subsidiaries, which were detailed in our Annual Report on Form 10-K, and no other significant changes in the regulatory status of our insurance subsidiaries as of June 30,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Companies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non-U.S. insurance subsidiaries, F&amp;G Cayman Re and F&amp;G Life Re, file financial statements with their respective regulators. F&amp;G Cayman Re files financial statements that are prepared in accordance with SAP prescribed or permitted by such authorities, which may vary materially from GAAP. Accordingly, SAP operating results and SAP capital and surplus may differ substantially from amounts reported in the GAAP basis financial statements for comparable items.</w:t>
      </w:r>
    </w:p>
    <w:p>
      <w:pPr>
        <w:spacing w:after="0" w:line="2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F&amp;G Cayman Re has two permitted practices, which have been approved by the Cayman Islands Monetary Authority (“CIMA”). F&amp;G Cayman Re has a permitted practice approved by CIMA to include, as an admitted asset, the value of the letters of credit (“LOCs”) acquired to support reinsurance transactions. Also, F&amp;G Cayman Re has a permitted practice, approved by CIMA, for PRT reinsurance transactions to use U.S. statutory book value adjusted for best estimate reserve calculations (consistent with GAAP prior to ASU 2018-12, Financial Services-Insurance (Topic 944), Targeted Improvements to the Accounting for Long-Duration Contracts). These reserve calculations will be subject to annual assumption reviews consistent with other GAAP liability balances. If F&amp;G Cayman Re had not been permitted to calculate PRT assumed reserves using best estimate reserve calculations or include the value of the LOCs as an admitted asset, statutory surplus would be $(83) million and $(64) million as of June 30, 2025 and December 31, 2024, respectively. Without such permitted statutory accounting practices, F&amp;G Cayman Re’s risk-based capital would fall below the minimum regulatory requirements as of June 30, 2025 and December 31, 2024.</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F&amp;G Life Re files financial statements based on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Net income and capital and surplus of our wholly owned Cayman Islands and Bermuda regulated insurance subsidiaries under SAP and GAAP, respectively, were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gridSpan w:val="3"/>
          </w:tcPr>
          <w:p>
            <w:pPr>
              <w:jc w:val="right"/>
              <w:ind w:right="1829"/>
              <w:spacing w:after="0"/>
              <w:rPr>
                <w:sz w:val="20"/>
                <w:szCs w:val="20"/>
                <w:color w:val="auto"/>
              </w:rPr>
            </w:pPr>
            <w:r>
              <w:rPr>
                <w:rFonts w:ascii="Times New Roman" w:cs="Times New Roman" w:eastAsia="Times New Roman" w:hAnsi="Times New Roman"/>
                <w:sz w:val="14"/>
                <w:szCs w:val="14"/>
                <w:b w:val="1"/>
                <w:bCs w:val="1"/>
                <w:color w:val="auto"/>
              </w:rPr>
              <w:t>Subsidiary (country of domicile)</w:t>
            </w:r>
          </w:p>
        </w:tc>
      </w:tr>
      <w:tr>
        <w:trPr>
          <w:trHeight w:val="24"/>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186"/>
        </w:trPr>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F&amp;G Cayman Re (Cayman Islands)</w:t>
            </w:r>
          </w:p>
        </w:tc>
        <w:tc>
          <w:tcPr>
            <w:tcW w:w="5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F&amp;G Life Re (Bermuda)</w:t>
            </w:r>
          </w:p>
        </w:tc>
      </w:tr>
      <w:tr>
        <w:trPr>
          <w:trHeight w:val="186"/>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20" w:type="dxa"/>
            <w:vAlign w:val="bottom"/>
          </w:tcPr>
          <w:p>
            <w:pPr>
              <w:spacing w:after="0"/>
              <w:rPr>
                <w:sz w:val="16"/>
                <w:szCs w:val="16"/>
                <w:color w:val="auto"/>
              </w:rPr>
            </w:pPr>
          </w:p>
        </w:tc>
      </w:tr>
      <w:tr>
        <w:trPr>
          <w:trHeight w:val="187"/>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Net income (loss):</w:t>
            </w:r>
          </w:p>
        </w:tc>
        <w:tc>
          <w:tcPr>
            <w:tcW w:w="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three months ended June 30, 2025</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5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three months ended June 30, 2024</w:t>
            </w:r>
          </w:p>
        </w:tc>
        <w:tc>
          <w:tcPr>
            <w:tcW w:w="220" w:type="dxa"/>
            <w:vAlign w:val="bottom"/>
          </w:tcPr>
          <w:p>
            <w:pPr>
              <w:spacing w:after="0"/>
              <w:rPr>
                <w:sz w:val="16"/>
                <w:szCs w:val="16"/>
                <w:color w:val="auto"/>
              </w:rPr>
            </w:pPr>
          </w:p>
        </w:tc>
        <w:tc>
          <w:tcPr>
            <w:tcW w:w="2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tcPr>
          <w:p>
            <w:pPr>
              <w:spacing w:after="0"/>
              <w:rPr>
                <w:sz w:val="16"/>
                <w:szCs w:val="16"/>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19"/>
        </w:trPr>
        <w:tc>
          <w:tcPr>
            <w:tcW w:w="5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six months ended June 30, 2025</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w:t>
            </w:r>
          </w:p>
        </w:tc>
        <w:tc>
          <w:tcPr>
            <w:tcW w:w="5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six months ended June 30, 2024</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54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12"/>
        </w:trPr>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 and Surplus:</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2025</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1,042</w:t>
            </w:r>
          </w:p>
        </w:tc>
        <w:tc>
          <w:tcPr>
            <w:tcW w:w="5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734</w:t>
            </w:r>
          </w:p>
        </w:tc>
        <w:tc>
          <w:tcPr>
            <w:tcW w:w="54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prescribed and permitted statutory accounting practices have no impact on our unaudited Condensed Consolidated Financial Statements, which are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Notes Payable</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Notes payable consists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4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40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r>
      <w:tr>
        <w:trPr>
          <w:trHeight w:val="20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4.50%</w:t>
            </w:r>
          </w:p>
        </w:tc>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net of discount</w:t>
            </w:r>
          </w:p>
        </w:tc>
        <w:tc>
          <w:tcPr>
            <w:tcW w:w="124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191"/>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3.40%</w:t>
            </w:r>
          </w:p>
        </w:tc>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net of discount</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r>
      <w:tr>
        <w:trPr>
          <w:trHeight w:val="20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2.45%</w:t>
            </w:r>
          </w:p>
        </w:tc>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net of discount</w:t>
            </w: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r>
      <w:tr>
        <w:trPr>
          <w:trHeight w:val="191"/>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3.20%</w:t>
            </w:r>
          </w:p>
        </w:tc>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net of discount</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206"/>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1"/>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F&amp;G Credit Agreement</w:t>
            </w:r>
          </w:p>
        </w:tc>
        <w:tc>
          <w:tcPr>
            <w:tcW w:w="124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6.50%</w:t>
            </w:r>
          </w:p>
        </w:tc>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r>
      <w:tr>
        <w:trPr>
          <w:trHeight w:val="191"/>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7.40%</w:t>
            </w:r>
          </w:p>
        </w:tc>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r>
      <w:tr>
        <w:trPr>
          <w:trHeight w:val="20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5.50%</w:t>
            </w:r>
          </w:p>
        </w:tc>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91"/>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7.95%</w:t>
            </w:r>
          </w:p>
        </w:tc>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20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6.25%</w:t>
            </w:r>
          </w:p>
        </w:tc>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r>
      <w:tr>
        <w:trPr>
          <w:trHeight w:val="191"/>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7.30%</w:t>
            </w:r>
          </w:p>
        </w:tc>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4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2"/>
        </w:trPr>
        <w:tc>
          <w:tcPr>
            <w:tcW w:w="40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240" w:type="dxa"/>
            <w:vAlign w:val="bottom"/>
            <w:tcBorders>
              <w:bottom w:val="single" w:sz="8" w:color="auto"/>
            </w:tcBorders>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4,321</w:t>
            </w:r>
          </w:p>
        </w:tc>
      </w:tr>
      <w:tr>
        <w:trPr>
          <w:trHeight w:val="27"/>
        </w:trPr>
        <w:tc>
          <w:tcPr>
            <w:tcW w:w="4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3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January 13, 2025, F&amp;G completed its public offering of the 7.30% F&amp;G Junior Notes. F&amp;G used the net proceeds of this offering for general corporate purposes, including the repurchase, redemption or repayment at maturity of outstanding indebtedness. The 7.30% F&amp;G Junior Notes are junior, unsecured subordinated obligations of F&amp;G. Interest is payable quarterly in arrears beginning on April 15, 2025, and the 7.30% F&amp;G Junior Notes mature on January 15, 2065, unless earlier repurchased or redeemed. The 7.30% F&amp;G Junior Notes become redeemable in whole or in part, any time and from time to time on or after January 15, 2030 or within 90 days of the occurrence of certain events as described in the indenture. The 7.30% F&amp;G Junior Notes were registered under the Securities Act of 1933 (as amended) (the “Securities Act”).</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October 4, 2024, F&amp;G issued $500 million of its 6.25% Senior Notes due 2034. The 6.25% F&amp;G Notes were issued at 99.36% of face value, net of deferred issuance costs of approximately $8 million. The 6.25% F&amp;G Notes are senior unsecured, unsubordinated obligations of F&amp;G and are guaranteed by each of F&amp;G's subsidiaries that are guarantors of F&amp;G's obligations under its existing credit agreement. The 6.25% F&amp;G Notes mature on October 4, 2034, and become callable on July 4, 2034. Interest is payable semi-annually at a fixed rate of 6.25%, and if the 6.25% F&amp;G Notes are downgraded, the interest rate payable is subject to adjustment from time to time per the terms of the indenture. A portion of the net proceeds were used to pay off the outstanding balance of $365 million on the F&amp;G Credit Agreement described below. F&amp;G intends to use the remaining net proceeds of this offering for general corporate purposes, including the support of organic growth opportunities.</w:t>
      </w:r>
    </w:p>
    <w:p>
      <w:pPr>
        <w:spacing w:after="0" w:line="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June 4, 2024, F&amp;G completed its public offering of $550 million aggregate principal amount of its 6.50% F&amp;G Notes due 2029. The 6.50% F&amp;G Notes were issued at 99.74% of face value net of deferred issuance costs of approximately $6 million. The 6.50% F&amp;G Notes are guaranteed on an unsecured, unsubordinated basis by each of F&amp;G’s subsidiaries that are guarantors of F&amp;G’s obligations under its existing credit agreement. The 6.50% F&amp;G Notes mature on June 4, 2029, and become callable on May 4, 2029. Interest is payable semi-annually at a fixed rate of 6.50%, and, if the 6.50% F&amp;G Notes are downgraded, the interest rate payable is subject to adjustment from time to time per the terms of the indenture. A portion of the net proceeds were used to finance a cash tender offer by its wholly owned subsidiary Fidelity &amp; Guaranty Life Holdings, Inc. (“FGLH”) for an aggregate principal amount of $250 million of FGLH’s 5.50% Senior Notes due 2025 (the “5.50% F&amp;G Notes”). F&amp;G intends to use the remaining net proceeds of this offering for general corporate purposes, which may include the repurchase, redemption or repayment at maturity of outstanding indebtedness.</w:t>
      </w:r>
    </w:p>
    <w:p>
      <w:pPr>
        <w:spacing w:after="0" w:line="9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December 6, 2023, F&amp;G issued $345 million of its 7.95% Senior Notes due 2053 ("7.95% F&amp;G Notes"). The 7.95% F&amp;G Notes were issued at par, net of deferred issuance costs of approximately $9 million. The 7.95% F&amp;G Notes are senior unsecured, unsubordinated obligations of F&amp;G and are guaranteed by each of F&amp;G’s subsidiaries that are guarantors of F&amp;G’s obligations under its existing credit agreement. The 7.95% F&amp;G Notes mature on December 15, 2053, and become callable on December 15, 2028. Interest is payable quarterly at a fixed rate of 7.95%, and, if the 7.95% F&amp;G Notes are downgraded, the interest rate payable is subject to adjustment from time to time per the terms of the indenture.</w:t>
      </w:r>
    </w:p>
    <w:p>
      <w:pPr>
        <w:spacing w:after="0" w:line="93"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On January 13, 2023, F&amp;G issued $500 million of its 7.40% Notes due 2028 ("the 7.40% F&amp;G Notes"). The 7.40% F&amp;G Notes were issued at par, net of deferred issuance costs of approximately $6 million. The 7.40% F&amp;G Notes are senior, unsecured unsubordinated obligations of F&amp;G and are fully and unconditionally guaranteed on an unsecured, unsubordinated basis by each of F&amp;G’s subsidiaries that are guarantors of F&amp;G’s obligations under its existing credit agreement. The 7.40%</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F&amp;G Notes mature on January 13, 2028, and become callable on or after December 13, 2027. Interest is payable semi-annually at a fixed rate of 7.40%, and if, the 7.40% F&amp;G Notes are downgraded, the interest rate payable is subject to adjustment from time to time per the terms of the indenture.</w:t>
      </w:r>
    </w:p>
    <w:p>
      <w:pPr>
        <w:spacing w:after="0" w:line="4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November 22, 2022, F&amp;G entered into the F&amp;G Credit Agreement pursuant to which the Lenders have made available the F&amp;G Credit Facility in an aggregate principal amount of $550 million to be used for working capital and general corporate purposes. On February 21, 2023, F&amp;G entered into the Amended F&amp;G Credit Agreement with the Lenders and the Administrative Agent, swing line lender and issuing bank. The Amended F&amp;G Credit Agreement increased the aggregate principal amount of commitments under the F&amp;G Credit Facility by $115 million to $665 million. On February 16, 2024, F&amp;G entered into a Second Amended and Restated F&amp;G Credit Agreement. Among other changes, the Second Amended and Restated F&amp;G Credit Agreement amends the Amended F&amp;G Credit Agreement to extend the maturity date to November 22, 2027, and increase the aggregate principal amount of commitments under the revolving credit facility to $750 million.</w:t>
      </w:r>
    </w:p>
    <w:p>
      <w:pPr>
        <w:spacing w:after="0" w:line="81"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Revolving loans under the Credit Agreement generally bear interest at a variable rate based on either (i) the base rate (which is the highest of (a) one-half of one percent in excess of the federal funds rate, (b) the Administrative Agent’s “prime rate”, or (c) the sum of 1% plus The Secured Overnight Financing Rate (“SOFR”) plus a margin of between 30.0 and 80.0 basis points depending on the non-credit-enhanced, senior unsecured long-term debt ratings of F&amp;G or</w:t>
      </w:r>
    </w:p>
    <w:p>
      <w:pPr>
        <w:spacing w:after="0" w:line="1" w:lineRule="exact"/>
        <w:rPr>
          <w:sz w:val="20"/>
          <w:szCs w:val="20"/>
          <w:color w:val="auto"/>
        </w:rPr>
      </w:pPr>
    </w:p>
    <w:p>
      <w:pPr>
        <w:jc w:val="both"/>
        <w:ind w:firstLine="6"/>
        <w:spacing w:after="0" w:line="247" w:lineRule="auto"/>
        <w:tabs>
          <w:tab w:leader="none" w:pos="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plus a margin of between 130.0 and 180.0 basis points depending on the non-credit-enhanced, senior unsecured long-term debt ratings of F&amp;G. In addition, F&amp;G pays a facility fee of between 20.0 and 45.0 basis points on the entire facility, also depending on the non-credit-enhanced, senior unsecured long-term debt ratings, which is payable quarterly in arrears. As of June 30, 2025 and December 31, 2024, we had $750 million of remaining borrowing availability.</w:t>
      </w:r>
    </w:p>
    <w:p>
      <w:pPr>
        <w:spacing w:after="0" w:line="8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September 17, 2021, we completed our underwritten public offering of $450 million aggregate principal amount of our 3.20% Notes due 2051 ("the 3.20% Notes"), pursuant to our registration statement on Form S-3 ASR (File No. 333-239002) and the related prospectus supplement. The net proceeds from the registered offering of the 3.20% Notes were approximately $443 million, after deducting underwriting discounts, commissions and offering expenses. We used the net proceeds from the offering for general corporate purposes.</w:t>
      </w:r>
    </w:p>
    <w:p>
      <w:pPr>
        <w:spacing w:after="0" w:line="74"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7"/>
          <w:szCs w:val="17"/>
          <w:color w:val="auto"/>
        </w:rPr>
        <w:t>On October 29, 2020, we entered into the Fifth Restated Credit Agreement for our Amended Revolving Credit Facility with Bank of America, N.A., as administrative agent and the other agents party thereto. Among other changes, the Fifth Restated Credit Agreement amends the Fourth Restated Credit Agreement to extend the maturity date from April 27, 2022 to October 29, 2025. The material terms of the Fourth Restated Credit Agreement are set forth in our Annual Report on Form 10-K for the year ended December 31, 2019. On February 16, 2024, we entered into a Sixth Amended and Restated Credit Agreement for our $800 million revolving credit facility (the "Amended Revolving Credit Facility") with Bank of America, N.A., as administrative agent and other agents party thereto (the "Sixth Restated Credit Agreement"). Among other changes, the Sixth Restated Credit Agreement amends the Amended Revolving Credit Facility to extend the maturity date from October 29, 2025, to February 16, 2029. As of June 30, 2025, there was no principal outstanding, $3 million of unamortized debt issuance costs, and $800 million of available borrowing capacity under the Amended Revolving Credit Facility.</w:t>
      </w:r>
    </w:p>
    <w:p>
      <w:pPr>
        <w:spacing w:after="0" w:line="147"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7"/>
          <w:szCs w:val="17"/>
          <w:color w:val="auto"/>
        </w:rPr>
        <w:t>On September 15, 2020, we completed our underwritten public offering of $600 million aggregate principal amount of our 2.45% Notes due March 15, 2031 (the "2.45% Notes") pursuant to an effective registration statement filed with the SEC. The net proceeds from the registered offering of the 2.45% Notes were approximately $593 million, after deducting underwriting discounts and commissions and offering expenses. We used the net proceeds from the offering</w:t>
      </w:r>
    </w:p>
    <w:p>
      <w:pPr>
        <w:spacing w:after="0" w:line="2" w:lineRule="exact"/>
        <w:rPr>
          <w:sz w:val="20"/>
          <w:szCs w:val="20"/>
          <w:color w:val="auto"/>
        </w:rPr>
      </w:pPr>
    </w:p>
    <w:p>
      <w:pPr>
        <w:jc w:val="both"/>
        <w:ind w:firstLine="6"/>
        <w:spacing w:after="0"/>
        <w:tabs>
          <w:tab w:leader="none" w:pos="2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all our $260 million outstanding indebtedness under our prior term loan credit agreement dated April 22, 2020, among us, as borrower, various lenders, and Bank of American N.A., as administrative agent (the "Term Loan"), which provided for an aggregate principal borrowing of $1.0 billion that we entered into to fund a portion of the acquisition of F&amp;G and (ii) for general corporate purposes.</w:t>
      </w:r>
    </w:p>
    <w:p>
      <w:pPr>
        <w:spacing w:after="0" w:line="141"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On June 12, 2020, we completed our underwritten public offering of $650 million aggregate principal amount of the 3.40% Notes due June 15, 2030 (the “3.40% Notes”) pursuant to an effective registration statement filed with the SEC. The net proceeds from the registered offering of the 3.40% Notes were approximately $642 million, after deducting underwriting discounts, and commissions and offering expenses. We used the net proceeds from the offering (i) to repay $640 million of the outstanding principal amount under the Term Loan, and (ii) for general corporate purposes.</w:t>
      </w:r>
    </w:p>
    <w:p>
      <w:pPr>
        <w:spacing w:after="0" w:line="152" w:lineRule="exact"/>
        <w:rPr>
          <w:sz w:val="20"/>
          <w:szCs w:val="20"/>
          <w:color w:val="auto"/>
        </w:rPr>
      </w:pPr>
    </w:p>
    <w:p>
      <w:pPr>
        <w:jc w:val="both"/>
        <w:ind w:firstLine="318"/>
        <w:spacing w:after="0" w:line="242" w:lineRule="auto"/>
        <w:rPr>
          <w:sz w:val="20"/>
          <w:szCs w:val="20"/>
          <w:color w:val="auto"/>
        </w:rPr>
      </w:pPr>
      <w:r>
        <w:rPr>
          <w:rFonts w:ascii="Times New Roman" w:cs="Times New Roman" w:eastAsia="Times New Roman" w:hAnsi="Times New Roman"/>
          <w:sz w:val="18"/>
          <w:szCs w:val="18"/>
          <w:color w:val="auto"/>
        </w:rPr>
        <w:t>On April 20, 2018, Fidelity &amp; Guaranty Life Holdings, Inc. (“FGLH”), F&amp;G's indirect wholly owned subsidiary, completed a debt offering of $550 million of 5.50% F&amp;G Notes due May 1, 2025 at 99.5% of face value for proceeds of $547 million. As a result of our acquisition of F&amp;G in 2020, a premium of $39 million was established for these notes and was amortized over the remaining life of the debt through 2025. In conjunction with the acquisition, we became a guarantor of FGLH's obligations under the 5.50% F&amp;G Notes and agreed to fully and unconditionally guarantee the 5.50% F&amp;G Notes, on a joint and several basis. A portion of the net proceeds of the 6.50% F&amp;G Notes were used for a $250 million cash tender offer of the 5.50% F&amp;G Notes in June 2024. On February 1, 2025, F&amp;G redeemed the outstanding $300 million aggregate principal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 of its 5.50% Senior Notes due May 1, 2025 (the “5.50% F&amp;G Senior Notes”). The notes 5.50% F&amp;G Senior Notes were redeemed for a redemption price equal to 100% of the principal amount of the notes plus accrued and unpaid interest to, but excluding, the redemption date. On and after the redemption date, interest ceased to accrue on the notes.</w:t>
      </w:r>
    </w:p>
    <w:p>
      <w:pPr>
        <w:spacing w:after="0" w:line="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principal maturities of notes payable as of June 30, 2025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9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9"/>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(remaining)</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6"/>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206"/>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92"/>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2,920</w:t>
            </w:r>
          </w:p>
        </w:tc>
      </w:tr>
      <w:tr>
        <w:trPr>
          <w:trHeight w:val="217"/>
        </w:trPr>
        <w:tc>
          <w:tcPr>
            <w:tcW w:w="98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 Market Risk Benefits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balances of and changes in MRBs associated with indexed annuities and fixed rate annuities for the six months ended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the year ended December 31,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206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6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6"/>
        </w:trPr>
        <w:tc>
          <w:tcPr>
            <w:tcW w:w="6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Indexed</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89"/>
              <w:spacing w:after="0" w:line="126"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Indexed</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49"/>
              <w:spacing w:after="0" w:line="126" w:lineRule="exact"/>
              <w:rPr>
                <w:sz w:val="20"/>
                <w:szCs w:val="20"/>
                <w:color w:val="auto"/>
              </w:rPr>
            </w:pPr>
            <w:r>
              <w:rPr>
                <w:rFonts w:ascii="Times New Roman" w:cs="Times New Roman" w:eastAsia="Times New Roman" w:hAnsi="Times New Roman"/>
                <w:sz w:val="14"/>
                <w:szCs w:val="14"/>
                <w:b w:val="1"/>
                <w:bCs w:val="1"/>
                <w:color w:val="auto"/>
              </w:rPr>
              <w:t>Fixed rate</w:t>
            </w:r>
          </w:p>
        </w:tc>
      </w:tr>
      <w:tr>
        <w:trPr>
          <w:trHeight w:val="192"/>
        </w:trPr>
        <w:tc>
          <w:tcPr>
            <w:tcW w:w="66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annuities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annuities</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192"/>
        </w:trPr>
        <w:tc>
          <w:tcPr>
            <w:tcW w:w="66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gridSpan w:val="5"/>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r>
      <w:tr>
        <w:trPr>
          <w:trHeight w:val="198"/>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period, net liability</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8"/>
        </w:trPr>
        <w:tc>
          <w:tcPr>
            <w:tcW w:w="6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period, before effect of changes in the instrument-specific credit risk</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5"/>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Issuances and benefit payments</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Attributed fees collected and interest accrual</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policyholder behavior different from expected</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assumptions and other</w:t>
            </w: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Effects of market related movements</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before effect of changes in the instrument-specific credit risk</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the instrument-specific credit risk</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net liability</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reinsured market risk benefits</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net of reinsurance</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8"/>
        </w:trPr>
        <w:tc>
          <w:tcPr>
            <w:tcW w:w="6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attained age of policyholders weighted by total AV (years)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72.58</w:t>
            </w:r>
          </w:p>
        </w:tc>
      </w:tr>
      <w:tr>
        <w:trPr>
          <w:trHeight w:val="20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at risk</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MRBs by amounts in an asset position and amounts in a liability position to the MRBs amounts in the accompanying unaudited Condensed 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3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6"/>
        </w:trPr>
        <w:tc>
          <w:tcPr>
            <w:tcW w:w="374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3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Reinsured</w:t>
            </w: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Reinsured</w:t>
            </w: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3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MRB asset</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9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8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MRB asset</w:t>
            </w:r>
          </w:p>
        </w:tc>
        <w:tc>
          <w:tcPr>
            <w:tcW w:w="84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1"/>
        </w:trPr>
        <w:tc>
          <w:tcPr>
            <w:tcW w:w="37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2"/>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MRB liability</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192"/>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8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MRB liability</w:t>
            </w:r>
          </w:p>
        </w:tc>
        <w:tc>
          <w:tcPr>
            <w:tcW w:w="840" w:type="dxa"/>
            <w:vAlign w:val="bottom"/>
            <w:tcBorders>
              <w:top w:val="single" w:sz="8" w:color="auto"/>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net MRB liability increased for the six months ended June 30, 2025, primarily as a result of collection of attributed fees, interest accrual, and MRB reserves for contracts issued within the period.</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six months ended June 30, 2025, notable changes made to the inputs to the fair value estimates of MRBs calculations included an increase in risk-free rates leading to a favorable change in the MRBs associated with indexed annuities and decreases in the equity market related projections resulted in an increase in the net amount at risk associated with indexed annuities, leading to an unfavorable change in the value of the associated MRBs.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net MRB liability increased for the year ended December 31, 2024, primarily as a result of collection of attributed fees, interest accrual, MRB reserves for contracts issued within the period, and changes in actuarial assumptions. These increases were partially offset by the effects of market related movements, including the impacts of higher risk-free rates and increases in the equity market related projections.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notable changes made to the inputs to the fair value estimates of MRBs calculations included an increase in risk-free rates leading to a favorable change in the MRBs associated with indexed annuities and fixed rate annuities; increases in the equity market related projections resulted in a decrease in the net amount at risk associated with indexed annuities, leading to a favorable change in the value of the associated MRBs; and an increase in the rider benefit utilization assumption, leading to an unfavorable change in the value of the associated MRBs.</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the cash flow assumptions used to calculate MRBs reflect the Company’s best estimates for policyholder behavior. We review cash flow assumptions annually, generally in the third quarter. In 2024, F&amp;G undertook a review of all significant assumptions and revised several assumptions relating to our deferred annuities (indexed annuities and fixed rate annuities) with MRBs. For the year ended December 31, 2024, we updated assumptions including surrender rates, rider benefit election utilization, mortality improvement, and option budgets. All updates to these assumptions brought us more in line with our Company and overall industry experience since the prior assumption updates. These updates, in total, led to an increase in the net MRB liability for the year ended December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 Contractholder Funds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of and changes in contractholder funds’ account balances: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FABN (b)</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FHLB (b)</w:t>
            </w:r>
          </w:p>
        </w:tc>
      </w:tr>
      <w:tr>
        <w:trPr>
          <w:trHeight w:val="192"/>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30,235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17,442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Issuances</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2,471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Premiums received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Policy charges (a)</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2"/>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31,622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19,270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3,044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2,822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r>
      <w:tr>
        <w:trPr>
          <w:trHeight w:val="192"/>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Reconciling items (c)</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liability, end of period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31,842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19,271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r>
      <w:tr>
        <w:trPr>
          <w:trHeight w:val="19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12,611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after reinsurance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6,660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 (d)</w:t>
            </w:r>
          </w:p>
        </w:tc>
        <w:tc>
          <w:tcPr>
            <w:tcW w:w="160" w:type="dxa"/>
            <w:vAlign w:val="bottom"/>
          </w:tcPr>
          <w:p>
            <w:pPr>
              <w:spacing w:after="0"/>
              <w:rPr>
                <w:sz w:val="16"/>
                <w:szCs w:val="16"/>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72,599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29,436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18,008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80" w:lineRule="exact"/>
        <w:rPr>
          <w:sz w:val="20"/>
          <w:szCs w:val="20"/>
          <w:color w:val="auto"/>
        </w:rPr>
      </w:pPr>
    </w:p>
    <w:p>
      <w:pPr>
        <w:ind w:left="180" w:hanging="174"/>
        <w:spacing w:after="0"/>
        <w:tabs>
          <w:tab w:leader="none" w:pos="1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included in the contractholder funds are generally charged a premium and/or monthly assessments on the basis of the account balance.</w:t>
      </w:r>
    </w:p>
    <w:p>
      <w:pPr>
        <w:spacing w:after="0" w:line="22" w:lineRule="exact"/>
        <w:rPr>
          <w:rFonts w:ascii="Times New Roman" w:cs="Times New Roman" w:eastAsia="Times New Roman" w:hAnsi="Times New Roman"/>
          <w:sz w:val="13"/>
          <w:szCs w:val="13"/>
          <w:color w:val="auto"/>
        </w:rPr>
      </w:pPr>
    </w:p>
    <w:p>
      <w:pPr>
        <w:ind w:firstLine="6"/>
        <w:spacing w:after="0" w:line="255" w:lineRule="auto"/>
        <w:tabs>
          <w:tab w:leader="none" w:pos="19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right="20" w:firstLine="6"/>
        <w:spacing w:after="0" w:line="234" w:lineRule="auto"/>
        <w:tabs>
          <w:tab w:leader="none" w:pos="183"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reconciling items reconcile the account balance to the gross GAAP liability. For indexed annuities and universal life, the reconciling items represent embedded derivatives and include the combination of the host contracts and the fair value of the embedded derivatives. For FABN, the reconciling items represent basis adjustments due to the impact of fair value hedge accounting.</w:t>
      </w:r>
    </w:p>
    <w:p>
      <w:pPr>
        <w:ind w:firstLine="6"/>
        <w:spacing w:after="0" w:line="254" w:lineRule="auto"/>
        <w:tabs>
          <w:tab w:leader="none" w:pos="192"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those guarantees of benefits that are payable in the event of death, the net amount at risk is generally defined as the current guaranteed minimum death benefit in excess of the current account balance at the balance sheet date.</w:t>
      </w:r>
    </w:p>
    <w:p>
      <w:pPr>
        <w:ind w:left="180" w:hanging="174"/>
        <w:spacing w:after="0"/>
        <w:tabs>
          <w:tab w:leader="none" w:pos="1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are gross of reinsurance.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FABN (b)</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FHLB (b)</w:t>
            </w:r>
          </w:p>
        </w:tc>
      </w:tr>
      <w:tr>
        <w:trPr>
          <w:trHeight w:val="192"/>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27,164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13,443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Issuances</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6,649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5,125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Premiums received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Policy charges (a)</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(1,479)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92"/>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30,235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17,442</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2,817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19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 adjustment (c)</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liability, end of period</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30,454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17,442</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2,896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19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11,009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after reinsurance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29,593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6,433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 (d)</w:t>
            </w:r>
          </w:p>
        </w:tc>
        <w:tc>
          <w:tcPr>
            <w:tcW w:w="160" w:type="dxa"/>
            <w:vAlign w:val="bottom"/>
          </w:tcPr>
          <w:p>
            <w:pPr>
              <w:spacing w:after="0"/>
              <w:rPr>
                <w:sz w:val="16"/>
                <w:szCs w:val="16"/>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74,279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27,865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16,266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80" w:lineRule="exact"/>
        <w:rPr>
          <w:sz w:val="20"/>
          <w:szCs w:val="20"/>
          <w:color w:val="auto"/>
        </w:rPr>
      </w:pPr>
    </w:p>
    <w:p>
      <w:pPr>
        <w:ind w:left="180" w:hanging="174"/>
        <w:spacing w:after="0"/>
        <w:tabs>
          <w:tab w:leader="none" w:pos="1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included in the contractholder funds are generally charged a premium and/or monthly assessments on the basis of the account balance.</w:t>
      </w:r>
    </w:p>
    <w:p>
      <w:pPr>
        <w:spacing w:after="0" w:line="22" w:lineRule="exact"/>
        <w:rPr>
          <w:rFonts w:ascii="Times New Roman" w:cs="Times New Roman" w:eastAsia="Times New Roman" w:hAnsi="Times New Roman"/>
          <w:sz w:val="13"/>
          <w:szCs w:val="13"/>
          <w:color w:val="auto"/>
        </w:rPr>
      </w:pPr>
    </w:p>
    <w:p>
      <w:pPr>
        <w:ind w:firstLine="6"/>
        <w:spacing w:after="0" w:line="255" w:lineRule="auto"/>
        <w:tabs>
          <w:tab w:leader="none" w:pos="198"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left="180" w:hanging="174"/>
        <w:spacing w:after="0" w:line="235" w:lineRule="auto"/>
        <w:tabs>
          <w:tab w:leader="none" w:pos="1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embedded derivative adjustment reconciles the account balance to the gross GAAP liability and represents the combination of the host contract and the fair value of the embedded derivatives.</w:t>
      </w:r>
    </w:p>
    <w:p>
      <w:pPr>
        <w:ind w:firstLine="6"/>
        <w:spacing w:after="0" w:line="254" w:lineRule="auto"/>
        <w:tabs>
          <w:tab w:leader="none" w:pos="192"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those guarantees of benefits that are payable in the event of death, the net amount at risk is generally defined as the current guaranteed minimum death benefit in excess of the current account balance at the balance sheet date.</w:t>
      </w:r>
    </w:p>
    <w:p>
      <w:pPr>
        <w:ind w:left="180" w:hanging="174"/>
        <w:spacing w:after="0"/>
        <w:tabs>
          <w:tab w:leader="none" w:pos="1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are gross of reinsurance.</w:t>
      </w:r>
    </w:p>
    <w:p>
      <w:pPr>
        <w:spacing w:after="0" w:line="8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following table reconciles contractholder funds’ account balances to the contractholder funds liability in the accompanying unaudited Condensed Consolidated Balance Sheets: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4"/>
          </w:tcPr>
          <w:p>
            <w:pPr>
              <w:jc w:val="right"/>
              <w:ind w:right="130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30,454</w:t>
            </w: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17,442</w:t>
            </w:r>
          </w:p>
        </w:tc>
      </w:tr>
      <w:tr>
        <w:trPr>
          <w:trHeight w:val="20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Universal life</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2,896</w:t>
            </w:r>
          </w:p>
        </w:tc>
      </w:tr>
      <w:tr>
        <w:trPr>
          <w:trHeight w:val="20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Funding Agreement-FABN</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w:t>
            </w:r>
          </w:p>
        </w:tc>
      </w:tr>
      <w:tr>
        <w:trPr>
          <w:trHeight w:val="20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19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4"/>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56,404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Annually, typically in the third quarter, we review assumptions associated with reserves for policy benefits and product guarantees. For the six months ended June 30, 2025, based on experience, we reflected updates to the option budget assumption used to calculate the fair value of the embedded derivative component within Contractholder funds. These changes resulted in a decrease in Contractholder funds of approximately $26 million for the six months ended June 30, 2025.</w:t>
      </w:r>
    </w:p>
    <w:p>
      <w:pPr>
        <w:spacing w:after="0" w:line="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based on policyholder behavior, experience and interest rate movements, we reflected updates to surrender assumptions for recent and expected near term policyholder behavior, as well as updated certain indexed annuities assumptions used to calculate the fair value of the embedded derivative component within Contractholder funds. These changes resulted in a decrease in Contractholder funds of approximately $89 million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tables present the account values by range of guaranteed minimum crediting rates and the related range of difference, in basis points, between rates being credited to policyholders and the respective guaranteed minimums:</w:t>
      </w: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20" w:type="dxa"/>
            <w:vAlign w:val="bottom"/>
          </w:tcPr>
          <w:p>
            <w:pPr>
              <w:spacing w:after="0"/>
              <w:rPr>
                <w:sz w:val="11"/>
                <w:szCs w:val="11"/>
                <w:color w:val="auto"/>
              </w:rPr>
            </w:pPr>
          </w:p>
        </w:tc>
        <w:tc>
          <w:tcPr>
            <w:tcW w:w="114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At Guaranteed</w:t>
            </w:r>
          </w:p>
        </w:tc>
        <w:tc>
          <w:tcPr>
            <w:tcW w:w="100" w:type="dxa"/>
            <w:vAlign w:val="bottom"/>
          </w:tcPr>
          <w:p>
            <w:pPr>
              <w:spacing w:after="0"/>
              <w:rPr>
                <w:sz w:val="11"/>
                <w:szCs w:val="11"/>
                <w:color w:val="auto"/>
              </w:rPr>
            </w:pPr>
          </w:p>
        </w:tc>
        <w:tc>
          <w:tcPr>
            <w:tcW w:w="15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1 Basis Point-50 Basis</w:t>
            </w:r>
          </w:p>
        </w:tc>
        <w:tc>
          <w:tcPr>
            <w:tcW w:w="164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51 Basis Points-150 Basis</w:t>
            </w:r>
          </w:p>
        </w:tc>
        <w:tc>
          <w:tcPr>
            <w:tcW w:w="120" w:type="dxa"/>
            <w:vAlign w:val="bottom"/>
          </w:tcPr>
          <w:p>
            <w:pPr>
              <w:spacing w:after="0"/>
              <w:rPr>
                <w:sz w:val="11"/>
                <w:szCs w:val="11"/>
                <w:color w:val="auto"/>
              </w:rPr>
            </w:pPr>
          </w:p>
        </w:tc>
        <w:tc>
          <w:tcPr>
            <w:tcW w:w="146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Pr>
          <w:p>
            <w:pPr>
              <w:spacing w:after="0"/>
              <w:rPr>
                <w:sz w:val="11"/>
                <w:szCs w:val="11"/>
                <w:color w:val="auto"/>
              </w:rPr>
            </w:pPr>
          </w:p>
        </w:tc>
        <w:tc>
          <w:tcPr>
            <w:tcW w:w="1040" w:type="dxa"/>
            <w:vAlign w:val="bottom"/>
            <w:vMerge w:val="restart"/>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27,716</w:t>
            </w: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9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25,623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31,622</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16,646</w:t>
            </w: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0" w:type="dxa"/>
            <w:vAlign w:val="bottom"/>
          </w:tcPr>
          <w:p>
            <w:pPr>
              <w:spacing w:after="0"/>
              <w:rPr>
                <w:sz w:val="1"/>
                <w:szCs w:val="1"/>
                <w:color w:val="auto"/>
              </w:rPr>
            </w:pPr>
          </w:p>
        </w:tc>
      </w:tr>
      <w:tr>
        <w:trPr>
          <w:trHeight w:val="19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19,270</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9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8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20" w:type="dxa"/>
            <w:vAlign w:val="bottom"/>
          </w:tcPr>
          <w:p>
            <w:pPr>
              <w:spacing w:after="0"/>
              <w:rPr>
                <w:sz w:val="10"/>
                <w:szCs w:val="10"/>
                <w:color w:val="auto"/>
              </w:rPr>
            </w:pPr>
          </w:p>
        </w:tc>
        <w:tc>
          <w:tcPr>
            <w:tcW w:w="11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At Guaranteed</w:t>
            </w:r>
          </w:p>
        </w:tc>
        <w:tc>
          <w:tcPr>
            <w:tcW w:w="100" w:type="dxa"/>
            <w:vAlign w:val="bottom"/>
          </w:tcPr>
          <w:p>
            <w:pPr>
              <w:spacing w:after="0"/>
              <w:rPr>
                <w:sz w:val="10"/>
                <w:szCs w:val="10"/>
                <w:color w:val="auto"/>
              </w:rPr>
            </w:pPr>
          </w:p>
        </w:tc>
        <w:tc>
          <w:tcPr>
            <w:tcW w:w="15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4"/>
                <w:szCs w:val="14"/>
                <w:b w:val="1"/>
                <w:bCs w:val="1"/>
                <w:color w:val="auto"/>
              </w:rPr>
              <w:t>1 Basis Point-50 Basis</w:t>
            </w:r>
          </w:p>
        </w:tc>
        <w:tc>
          <w:tcPr>
            <w:tcW w:w="164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51 Basis Points-150 Basis</w:t>
            </w:r>
          </w:p>
        </w:tc>
        <w:tc>
          <w:tcPr>
            <w:tcW w:w="120" w:type="dxa"/>
            <w:vAlign w:val="bottom"/>
          </w:tcPr>
          <w:p>
            <w:pPr>
              <w:spacing w:after="0"/>
              <w:rPr>
                <w:sz w:val="10"/>
                <w:szCs w:val="10"/>
                <w:color w:val="auto"/>
              </w:rPr>
            </w:pPr>
          </w:p>
        </w:tc>
        <w:tc>
          <w:tcPr>
            <w:tcW w:w="146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Pr>
          <w:p>
            <w:pPr>
              <w:spacing w:after="0"/>
              <w:rPr>
                <w:sz w:val="10"/>
                <w:szCs w:val="10"/>
                <w:color w:val="auto"/>
              </w:rPr>
            </w:pPr>
          </w:p>
        </w:tc>
        <w:tc>
          <w:tcPr>
            <w:tcW w:w="1040" w:type="dxa"/>
            <w:vAlign w:val="bottom"/>
            <w:vMerge w:val="restart"/>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27,114</w:t>
            </w: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9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24,718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30,235</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15,257</w:t>
            </w: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0" w:type="dxa"/>
            <w:vAlign w:val="bottom"/>
          </w:tcPr>
          <w:p>
            <w:pPr>
              <w:spacing w:after="0"/>
              <w:rPr>
                <w:sz w:val="1"/>
                <w:szCs w:val="1"/>
                <w:color w:val="auto"/>
              </w:rPr>
            </w:pPr>
          </w:p>
        </w:tc>
      </w:tr>
      <w:tr>
        <w:trPr>
          <w:trHeight w:val="19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17,442</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 — Future Policy Benefits</w:t>
      </w:r>
    </w:p>
    <w:p>
      <w:pPr>
        <w:spacing w:after="0" w:line="166"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 summarizes balances and changes in the present value of expected net premiums and the present value of the expected FPB for nonparticipating traditional contracts: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40" w:type="dxa"/>
            <w:vAlign w:val="bottom"/>
            <w:gridSpan w:val="3"/>
          </w:tcPr>
          <w:p>
            <w:pPr>
              <w:jc w:val="right"/>
              <w:ind w:right="1089"/>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net premiums</w:t>
            </w:r>
          </w:p>
        </w:tc>
        <w:tc>
          <w:tcPr>
            <w:tcW w:w="1400" w:type="dxa"/>
            <w:vAlign w:val="bottom"/>
          </w:tcPr>
          <w:p>
            <w:pPr>
              <w:spacing w:after="0"/>
              <w:rPr>
                <w:sz w:val="16"/>
                <w:szCs w:val="16"/>
                <w:color w:val="auto"/>
              </w:rPr>
            </w:pPr>
          </w:p>
        </w:tc>
        <w:tc>
          <w:tcPr>
            <w:tcW w:w="2240" w:type="dxa"/>
            <w:vAlign w:val="bottom"/>
            <w:gridSpan w:val="3"/>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4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Net premiums collected</w:t>
            </w: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FPB</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2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0" w:type="dxa"/>
            <w:vAlign w:val="bottom"/>
          </w:tcPr>
          <w:p>
            <w:pPr>
              <w:spacing w:after="0"/>
              <w:rPr>
                <w:sz w:val="1"/>
                <w:szCs w:val="1"/>
                <w:color w:val="auto"/>
              </w:rPr>
            </w:pP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4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4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8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and changes in the present value of the expected FPB for limited-payment contracts: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40" w:type="dxa"/>
            <w:vAlign w:val="bottom"/>
            <w:gridSpan w:val="3"/>
          </w:tcPr>
          <w:p>
            <w:pPr>
              <w:jc w:val="right"/>
              <w:ind w:right="1409"/>
              <w:spacing w:after="0"/>
              <w:rPr>
                <w:sz w:val="20"/>
                <w:szCs w:val="20"/>
                <w:color w:val="auto"/>
              </w:rPr>
            </w:pPr>
            <w:r>
              <w:rPr>
                <w:rFonts w:ascii="Times New Roman" w:cs="Times New Roman" w:eastAsia="Times New Roman" w:hAnsi="Times New Roman"/>
                <w:sz w:val="14"/>
                <w:szCs w:val="14"/>
                <w:b w:val="1"/>
                <w:bCs w:val="1"/>
                <w:color w:val="auto"/>
              </w:rPr>
              <w:t>PRT</w:t>
            </w:r>
          </w:p>
        </w:tc>
        <w:tc>
          <w:tcPr>
            <w:tcW w:w="400" w:type="dxa"/>
            <w:vAlign w:val="bottom"/>
          </w:tcPr>
          <w:p>
            <w:pPr>
              <w:spacing w:after="0"/>
              <w:rPr>
                <w:sz w:val="16"/>
                <w:szCs w:val="16"/>
                <w:color w:val="auto"/>
              </w:rPr>
            </w:pPr>
          </w:p>
        </w:tc>
      </w:tr>
      <w:tr>
        <w:trPr>
          <w:trHeight w:val="24"/>
        </w:trPr>
        <w:tc>
          <w:tcPr>
            <w:tcW w:w="7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6"/>
        </w:trPr>
        <w:tc>
          <w:tcPr>
            <w:tcW w:w="72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Borders>
              <w:bottom w:val="single" w:sz="8" w:color="auto"/>
            </w:tcBorders>
          </w:tcPr>
          <w:p>
            <w:pPr>
              <w:spacing w:after="0"/>
              <w:rPr>
                <w:sz w:val="16"/>
                <w:szCs w:val="16"/>
                <w:color w:val="auto"/>
              </w:rPr>
            </w:pPr>
          </w:p>
        </w:tc>
      </w:tr>
      <w:tr>
        <w:trPr>
          <w:trHeight w:val="192"/>
        </w:trPr>
        <w:tc>
          <w:tcPr>
            <w:tcW w:w="7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40" w:type="dxa"/>
            <w:vAlign w:val="bottom"/>
            <w:gridSpan w:val="3"/>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w:t>
            </w: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6,384</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w:t>
            </w:r>
          </w:p>
        </w:tc>
      </w:tr>
      <w:tr>
        <w:trPr>
          <w:trHeight w:val="191"/>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w:t>
            </w: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6,772</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2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6,772</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40" w:type="dxa"/>
            <w:vAlign w:val="bottom"/>
            <w:gridSpan w:val="3"/>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w w:val="99"/>
              </w:rPr>
              <w:t>Immediate annuities</w:t>
            </w:r>
          </w:p>
        </w:tc>
        <w:tc>
          <w:tcPr>
            <w:tcW w:w="400" w:type="dxa"/>
            <w:vAlign w:val="bottom"/>
          </w:tcPr>
          <w:p>
            <w:pPr>
              <w:spacing w:after="0"/>
              <w:rPr>
                <w:sz w:val="16"/>
                <w:szCs w:val="16"/>
                <w:color w:val="auto"/>
              </w:rPr>
            </w:pPr>
          </w:p>
        </w:tc>
      </w:tr>
      <w:tr>
        <w:trPr>
          <w:trHeight w:val="24"/>
        </w:trPr>
        <w:tc>
          <w:tcPr>
            <w:tcW w:w="7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6"/>
        </w:trPr>
        <w:tc>
          <w:tcPr>
            <w:tcW w:w="72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Borders>
              <w:bottom w:val="single" w:sz="8" w:color="auto"/>
            </w:tcBorders>
          </w:tcPr>
          <w:p>
            <w:pPr>
              <w:spacing w:after="0"/>
              <w:rPr>
                <w:sz w:val="16"/>
                <w:szCs w:val="16"/>
                <w:color w:val="auto"/>
              </w:rPr>
            </w:pPr>
          </w:p>
        </w:tc>
      </w:tr>
      <w:tr>
        <w:trPr>
          <w:trHeight w:val="192"/>
        </w:trPr>
        <w:tc>
          <w:tcPr>
            <w:tcW w:w="7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40" w:type="dxa"/>
            <w:vAlign w:val="bottom"/>
            <w:gridSpan w:val="3"/>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w:t>
            </w: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4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r>
      <w:tr>
        <w:trPr>
          <w:trHeight w:val="191"/>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7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r>
      <w:tr>
        <w:trPr>
          <w:trHeight w:val="192"/>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and changes in the liability for Deferred Profit Liability ("DPL") for limited-payment contracts: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92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4"/>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65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560" w:type="dxa"/>
            <w:vAlign w:val="bottom"/>
          </w:tcPr>
          <w:p>
            <w:pPr>
              <w:spacing w:after="0"/>
              <w:rPr>
                <w:sz w:val="11"/>
                <w:szCs w:val="11"/>
                <w:color w:val="auto"/>
              </w:rPr>
            </w:pP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Immediate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Immediate</w:t>
            </w:r>
          </w:p>
        </w:tc>
        <w:tc>
          <w:tcPr>
            <w:tcW w:w="260" w:type="dxa"/>
            <w:vAlign w:val="bottom"/>
          </w:tcPr>
          <w:p>
            <w:pPr>
              <w:spacing w:after="0"/>
              <w:rPr>
                <w:sz w:val="11"/>
                <w:szCs w:val="11"/>
                <w:color w:val="auto"/>
              </w:rPr>
            </w:pPr>
          </w:p>
        </w:tc>
        <w:tc>
          <w:tcPr>
            <w:tcW w:w="84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PRT</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90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90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6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Effect of modeling changes</w:t>
            </w:r>
          </w:p>
        </w:tc>
        <w:tc>
          <w:tcPr>
            <w:tcW w:w="9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9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2"/>
        </w:trPr>
        <w:tc>
          <w:tcPr>
            <w:tcW w:w="6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adjusted for variances from expectation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91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6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9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2"/>
        </w:trPr>
        <w:tc>
          <w:tcPr>
            <w:tcW w:w="6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w:t>
            </w:r>
          </w:p>
        </w:tc>
        <w:tc>
          <w:tcPr>
            <w:tcW w:w="9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4"/>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900" w:type="dxa"/>
            <w:vAlign w:val="bottom"/>
            <w:tcBorders>
              <w:top w:val="single" w:sz="8" w:color="auto"/>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reconciles the net FPB to the FPB in the unaudited Condensed Consolidated Balance Sheets. The DPL for Immediate Annuities and PRT is presented together with the FPB in the unaudited Condensed Consolidated Balance Sheets and has been included as a reconciling item in the table below:</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7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13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3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 DPL</w:t>
            </w:r>
          </w:p>
        </w:tc>
        <w:tc>
          <w:tcPr>
            <w:tcW w:w="13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DPL</w:t>
            </w:r>
          </w:p>
        </w:tc>
        <w:tc>
          <w:tcPr>
            <w:tcW w:w="13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9"/>
        </w:trPr>
        <w:tc>
          <w:tcPr>
            <w:tcW w:w="7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9,463</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8,749</w:t>
            </w:r>
          </w:p>
        </w:tc>
      </w:tr>
      <w:tr>
        <w:trPr>
          <w:trHeight w:val="20"/>
        </w:trPr>
        <w:tc>
          <w:tcPr>
            <w:tcW w:w="7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40"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 provides the amount of undiscounted and discounted expected gross premiums and expected future benefits and expenses for nonparticipating traditional and limited-payment contracts: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Undiscounted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Discounted</w:t>
            </w:r>
          </w:p>
        </w:tc>
        <w:tc>
          <w:tcPr>
            <w:tcW w:w="100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92"/>
        </w:trPr>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5"/>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2,657</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1,920</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191"/>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32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896</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658</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r>
      <w:tr>
        <w:trPr>
          <w:trHeight w:val="20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1"/>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3,147</w:t>
            </w:r>
          </w:p>
        </w:tc>
        <w:tc>
          <w:tcPr>
            <w:tcW w:w="5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w:t>
            </w:r>
          </w:p>
        </w:tc>
        <w:tc>
          <w:tcPr>
            <w:tcW w:w="80" w:type="dxa"/>
            <w:vAlign w:val="bottom"/>
          </w:tcPr>
          <w:p>
            <w:pPr>
              <w:spacing w:after="0"/>
              <w:rPr>
                <w:sz w:val="16"/>
                <w:szCs w:val="16"/>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1,289</w:t>
            </w:r>
          </w:p>
        </w:tc>
        <w:tc>
          <w:tcPr>
            <w:tcW w:w="5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r>
      <w:tr>
        <w:trPr>
          <w:trHeight w:val="20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5"/>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11,059</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6,772</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w:t>
            </w:r>
          </w:p>
        </w:tc>
      </w:tr>
      <w:tr>
        <w:trPr>
          <w:trHeight w:val="184"/>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32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82" w:lineRule="exact"/>
        <w:rPr>
          <w:sz w:val="20"/>
          <w:szCs w:val="20"/>
          <w:color w:val="auto"/>
        </w:rPr>
      </w:pPr>
    </w:p>
    <w:p>
      <w:pPr>
        <w:jc w:val="both"/>
        <w:ind w:right="20"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amount of revenue and interest related to nonparticipating traditional and limited-payment contracts recognized in the unaudited Condensed Consolidated Statements of Earnings: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Gross Premiums (a)</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Interest Expense (b)</w:t>
            </w:r>
          </w:p>
        </w:tc>
        <w:tc>
          <w:tcPr>
            <w:tcW w:w="86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52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2"/>
        </w:trPr>
        <w:tc>
          <w:tcPr>
            <w:tcW w:w="52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92"/>
        </w:trPr>
        <w:tc>
          <w:tcPr>
            <w:tcW w:w="5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3"/>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99"/>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0"/>
        </w:trPr>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0" w:hanging="194"/>
        <w:spacing w:after="0"/>
        <w:tabs>
          <w:tab w:leader="none" w:pos="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Life insurance premiums and other fees on the unaudited Condensed Consolidated Statements of Earnings.</w:t>
      </w:r>
    </w:p>
    <w:p>
      <w:pPr>
        <w:spacing w:after="0" w:line="1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Benefits and other changes in policy reserves on the unaudited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weighted-average interest rate: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w w:val="98"/>
              </w:rPr>
              <w:t>June 30, 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774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7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9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10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5.44 %</w:t>
            </w:r>
          </w:p>
        </w:tc>
        <w:tc>
          <w:tcPr>
            <w:tcW w:w="0" w:type="dxa"/>
            <w:vAlign w:val="bottom"/>
          </w:tcPr>
          <w:p>
            <w:pPr>
              <w:spacing w:after="0"/>
              <w:rPr>
                <w:sz w:val="1"/>
                <w:szCs w:val="1"/>
                <w:color w:val="auto"/>
              </w:rPr>
            </w:pPr>
          </w:p>
        </w:tc>
      </w:tr>
      <w:tr>
        <w:trPr>
          <w:trHeight w:val="206"/>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9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5.36 %</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0" w:type="dxa"/>
            <w:vAlign w:val="bottom"/>
          </w:tcPr>
          <w:p>
            <w:pPr>
              <w:spacing w:after="0"/>
              <w:rPr>
                <w:sz w:val="1"/>
                <w:szCs w:val="1"/>
                <w:color w:val="auto"/>
              </w:rPr>
            </w:pPr>
          </w:p>
        </w:tc>
      </w:tr>
      <w:tr>
        <w:trPr>
          <w:trHeight w:val="192"/>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9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5.31 %</w:t>
            </w:r>
          </w:p>
        </w:tc>
        <w:tc>
          <w:tcPr>
            <w:tcW w:w="10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5.54 %</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actual experience and expected experience for mortality and lapses of the FPB:</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500" w:type="dxa"/>
            <w:vAlign w:val="bottom"/>
          </w:tcPr>
          <w:p>
            <w:pPr>
              <w:spacing w:after="0"/>
              <w:rPr>
                <w:sz w:val="16"/>
                <w:szCs w:val="16"/>
                <w:color w:val="auto"/>
              </w:rPr>
            </w:pPr>
          </w:p>
        </w:tc>
      </w:tr>
      <w:tr>
        <w:trPr>
          <w:trHeight w:val="24"/>
        </w:trPr>
        <w:tc>
          <w:tcPr>
            <w:tcW w:w="65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5"/>
        </w:trPr>
        <w:tc>
          <w:tcPr>
            <w:tcW w:w="652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Immediate annuities</w:t>
            </w:r>
          </w:p>
        </w:tc>
        <w:tc>
          <w:tcPr>
            <w:tcW w:w="15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PRT</w:t>
            </w:r>
          </w:p>
        </w:tc>
      </w:tr>
      <w:tr>
        <w:trPr>
          <w:trHeight w:val="16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1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4"/>
        </w:trPr>
        <w:tc>
          <w:tcPr>
            <w:tcW w:w="6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191"/>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20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Lapses</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1"/>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00" w:type="dxa"/>
            <w:vAlign w:val="bottom"/>
          </w:tcPr>
          <w:p>
            <w:pPr>
              <w:spacing w:after="0"/>
              <w:rPr>
                <w:sz w:val="16"/>
                <w:szCs w:val="16"/>
                <w:color w:val="auto"/>
              </w:rPr>
            </w:pPr>
          </w:p>
        </w:tc>
      </w:tr>
      <w:tr>
        <w:trPr>
          <w:trHeight w:val="24"/>
        </w:trPr>
        <w:tc>
          <w:tcPr>
            <w:tcW w:w="65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5"/>
        </w:trPr>
        <w:tc>
          <w:tcPr>
            <w:tcW w:w="652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Immediate annuities</w:t>
            </w:r>
          </w:p>
        </w:tc>
        <w:tc>
          <w:tcPr>
            <w:tcW w:w="15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PRT</w:t>
            </w:r>
          </w:p>
        </w:tc>
      </w:tr>
      <w:tr>
        <w:trPr>
          <w:trHeight w:val="16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1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4"/>
        </w:trPr>
        <w:tc>
          <w:tcPr>
            <w:tcW w:w="6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91"/>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20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Lapses</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1"/>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provides additional information for periods in which a cohort has a net premium ratio ("NPR") greater than 100% (and therefore capped at 100%) (dollars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4"/>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Cohort X</w:t>
            </w:r>
          </w:p>
        </w:tc>
        <w:tc>
          <w:tcPr>
            <w:tcW w:w="336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NPR before capping</w:t>
            </w: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0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with return of premium Non-NY Cohort</w:t>
            </w:r>
          </w:p>
        </w:tc>
      </w:tr>
      <w:tr>
        <w:trPr>
          <w:trHeight w:val="19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Reserves before NPR capping</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with return of premium Non-NY Cohort</w:t>
            </w:r>
          </w:p>
        </w:tc>
      </w:tr>
      <w:tr>
        <w:trPr>
          <w:trHeight w:val="20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Reserves after NPR capping</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shd w:val="clear" w:color="auto" w:fill="CCEEFF"/>
          </w:tcPr>
          <w:p>
            <w:pPr>
              <w:spacing w:after="0"/>
              <w:rPr>
                <w:sz w:val="17"/>
                <w:szCs w:val="17"/>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with return of premium Non-NY Cohort</w:t>
            </w:r>
          </w:p>
        </w:tc>
      </w:tr>
      <w:tr>
        <w:trPr>
          <w:trHeight w:val="184"/>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Expense</w:t>
            </w:r>
          </w:p>
        </w:tc>
        <w:tc>
          <w:tcPr>
            <w:tcW w:w="2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with return of premium Non-NY Cohort</w:t>
            </w:r>
          </w:p>
        </w:tc>
      </w:tr>
    </w:tbl>
    <w:p>
      <w:pPr>
        <w:spacing w:after="0" w:line="195"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F&amp;G made changes to assumptions during the six months ended June 30, 2025 and the year ended December 31, 2024. Significant assumption inputs used in the calculation of our FPB are described below. Refer to the tables above for further details on changes to our FPB.</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Traditional life</w:t>
      </w:r>
    </w:p>
    <w:p>
      <w:pPr>
        <w:spacing w:after="0" w:line="10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traditional life line of business primarily consists of policies that were sold prior to 2010. As this line of business continues to age, benefit payments made from these contracts will be the primary driver of the emergence of reserves, decreasing the reserve balance.</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traditional life include mortality, lapses (including lapses due to nonpayment of premium and surrenders for cash surrender value), and discount rates (both accretion and current). We review the cash flow assumptions annually, typically in the third quarter. In 2025, no updates have been made to any significant assumptions used in the FPB liability. In 2024, F&amp;G made an adjustment to the calculation to reflect additional actuarial precision, unrelated to the assumptions, driving an increase to the FPB liability.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Market data that underlies current discount rates was updated in 2025 from that utilized in 2024 resulting in decreased discount rates that drove an increase to the FPB. Market data that underlies current discount rates was updated in 2024 from that utilized in 2023 resulting in increased discount rates that drove a decrease to the FPB.</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Immediate annuities (life contingent)</w:t>
      </w:r>
    </w:p>
    <w:p>
      <w:pPr>
        <w:spacing w:after="0" w:line="100"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immediate annuities (life contingent) include mortality and discount rates (both accretion and current). We review the cash flow assumptions annually, typically in the third quarter. In 2024, F&amp;G undertook a review of the significant cash flow assumptions and did not make any changes to mortality. Market data that underlies current discount rates was updated in 2025 from that utilized in 2024 resulting in decreased discount rates that drove an increase to the FPB. Market data that underlies current discount rates was updated in 2024 from that utilized in 2023 resulting in increased discount rates that drove a decrease to the FPB.</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PRT (life contingent)</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PRT line of business has issued a significant volume of contracts for 2025 and 2024, which is the primary impact in increasing the reserve balance in each of those periods.</w:t>
      </w:r>
    </w:p>
    <w:p>
      <w:pPr>
        <w:spacing w:after="0" w:line="4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PRT (life contingent) include mortality and discount rates (both accretion and current). Additionally, for PRT contracts with deferred payment streams, retirement age and elected payment form are significant assumptions. We review the cash flow assumptions annually, typically in the third quarter. In 2024, F&amp;G undertook a review of the significant cash flow assumptions and did not make any changes to any significant assumptions. Market data that underlies current discount rates was updated in 2025 from that utilized in 2024 resulting in decreased discount rates that drove an increase to the FPB. Market data that underlies current discount rates was updated in 2024 from that utilized in 2023 resulting in increased discount rates that drove a decrease to the FPB.</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 deficiency testing</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F&amp;G conducts annual premium deficiency testing for its long-duration contracts except for the FPB for nonparticipating traditional and limited-payment contracts. F&amp;G also conducts annual premium deficiency testing for the VOBA of all long-duration contracts. Premium deficiency testing is performed by reviewing assumptions used to calculate the insurance liabilities and determining whether the sum of the existing contract liabilities and the present value of future gross premiums is sufficient to cover the present value of future benefits to be paid to or on behalf of policyholders and settlement costs and recover unamortized present value of future profits. Anticipated investment income, based on F&amp;G’s experience, is considered when performing premium deficiency testing for long-duration contracts. During 2024, F&amp;G did not pass premium deficiency testing for the traditional life block of business, related to the recoverability of VOBA. Due to that result, F&amp;G began accruing a liability in the fourth quarter of 2024 that increases the amortization of traditional life VOBA. The liability balance was immaterial at both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3"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the potential impact of the F&amp;G Distribution on relationships, including employees, suppliers, customers and competitors; changes in general economic, business and political conditions, including changes in the financial markets and geopolitical uncertainties associated with international conflict; consumer spending; government spending; the volatility and strength of the capital markets; investor and consumer confidence; foreign currency exchange rates; commodity prices; inflation levels; changes in trade policy; tariffs and trade sanctions on goods; trade wars; supply chain disruptions;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consummating and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2024 and other filings with the Securities and Exchange Commission ("SEC").</w:t>
      </w:r>
    </w:p>
    <w:p>
      <w:pPr>
        <w:spacing w:after="0" w:line="59"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herein, the terms “we,” “us,” “our,” the “Company” or “FNF” refer collectively to Fidelity National Financial, Inc., and its subsidiaries.</w:t>
      </w:r>
    </w:p>
    <w:p>
      <w:pPr>
        <w:spacing w:after="0" w:line="72" w:lineRule="exact"/>
        <w:rPr>
          <w:sz w:val="20"/>
          <w:szCs w:val="20"/>
          <w:color w:val="auto"/>
        </w:rPr>
      </w:pPr>
    </w:p>
    <w:p>
      <w:pPr>
        <w:ind w:right="1420" w:firstLine="318"/>
        <w:spacing w:after="0" w:line="367"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our Annual Report on Form 10-K for the year ended December 31, 2024.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For a description of our business, including descriptions of segments and recent business developments, see the discussion in Note A </w:t>
      </w:r>
      <w:r>
        <w:rPr>
          <w:rFonts w:ascii="Times New Roman" w:cs="Times New Roman" w:eastAsia="Times New Roman" w:hAnsi="Times New Roman"/>
          <w:sz w:val="18"/>
          <w:szCs w:val="18"/>
          <w:i w:val="1"/>
          <w:iCs w:val="1"/>
          <w:color w:val="auto"/>
        </w:rPr>
        <w:t>Basis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in the accompanying unaudited Condensed Consolidated Financial Statements included in Item 1 of Part I of this Report, which is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into this Part I, Item 2.</w:t>
      </w:r>
    </w:p>
    <w:p>
      <w:pPr>
        <w:spacing w:after="0" w:line="69"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On June 11, 2025, the Company effected a redomestication of the Company from the State of Delaware to the State of Nevada (the “Redomestication”). As of June 11, 2025, the affairs of the Company ceased to be governed by the Delaware General Corporation Law and the Company adopted a new certificate of incorporation and bylaws governed by the Nevada Revised Statutes. The Redomestication did not result in any change in the business, physical location, management, assets, liabilities or net worth of the Company, nor did it result in any change in location of the Company’s current employees, including management. The Redomestication did not affect any of the Company’s material contracts with any third parties, and the Company’s rights and obligations under those material contractual arrangements will continue to be the rights and obligations of the Company after the Redomestication. The daily business operations of the Company will continue as they were conducted prior to the Redomestication. The consolidated financial condition and results of operations of the Company immediately after consummation of the Redomestication remain the same as immediately before the Redomestication.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Title segment revenue is closely related to the level of real estate activity that includes sales, mortgage financing and mortgage refinancing. Declines in the level of real estate activity or the average price of real estate sales will adversely affect our title insurance revenues.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found that residential real estate activity is generally dependent on the following factors:</w:t>
      </w:r>
    </w:p>
    <w:p>
      <w:pPr>
        <w:spacing w:after="0" w:line="98"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interest rates;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funding supply;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inventory and home prices;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for commercial real estate;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including employment levels.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most recent forecast of the Mortgage Bankers Association ("MBA"), as of July 17, 2025, estimates (actual for fiscal year 2024) the size of the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mortgage originations market as shown in the following table for 2024 - 2027 in its "Mortgage Finance Forecast" (in trillions):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originations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Refinance originations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July 17, 2025, the MBA expects residential purchase transactions to remain flat in 2025, increase in 2026 and 2027, and expects residential refinance transactions to increase in 2025 and 2026 but remain flat in 2027, and overall mortgage originations to increase in 2025, 2026 and 2027.</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Following a decline in inflation in 2024, the Federal Reserve reduced the benchmark rate to a range of 4.25% and 4.50% as of December 31, 2024. The Federal Reserve has held rates steady at the range of 4.25% and 4.50% in 2025. Average interest rates for a 30-year fixed rate mortgage were 6.8% for the three and six months ended June 30, 2025, as compared to 7.0% and 6.9% for the corresponding periods in 2024.</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A shortage in the supply of homes for sale, increasing home prices, high mortgage interest rates, disrupted labor markets and geopolitical uncertainties associated with international conflicts created some volatility in the residential real estate market in 2024 and the first half of 2025. Changes in United States trade policy, including tariffs, may create additional volatility in 2025. Existing-home sales were unchanged in June 2025 as compared to the corresponding period in 2024, while median existing-home sales prices increased to a record $435,300, or approximately 2%, from the corresponding period in 2024.</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economic indicators used to measure the health of the U.S. economy, including the unemployment rate, have remained strong. The unemployment rate was 4.1% in June 2025 and 2024.</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issue commercial title insurance policies in sectors including office, industrial, energy, hospitality, retail, and multi-family, among others. The demand for commercial title insurance varies based on a variety of factors such as investor appetite, financing availability, and supply and demand in a particular area. Because commercial real estate transactions tend to be generally driven by supply and demand for commercial space in a particular area rather than by interest rate fluctuations, we believe that our commercial real estate title insurance business is less dependent on the industry cycles discussed above than our residential real estate title business.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experienced fluctuating demand in commercial real estate markets. Commercial volumes and commercial fee-per-file increased in the three and six months ended June 30, 2025 as compared to the corresponding periods in 2024.</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7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real estate transactions have produced seasonal revenue fluctuations in the real estate industry. The first calendar quarter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 refinance transactions as a result of changes in interest rates.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Market conditions can change rapidly with significant positive or negative impacts on our results. Volatility can pressure sales and reduce demand as consumers hesitate to make financial decisions. We anticipate various macroeconomic factors will continue to drive uncertainty and instability, which could have a significant impact on the Company during fiscal year 2025. These factors include, among others, consumer spending, business investment, government spending, the volatility and strength of the capital markets, investor and consumer confidence, foreign currency exchange rates, commodity prices, inflation levels, changes in trade policy, tariffs and trade sanctions on goods, trade wars, United States-China relations, and supply chain disruptions.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light of increasing uncertainty in the markets we serve, we are unable to predict how long the current environment will last or the significance of the financial and operational impacts to us. To enhance the attractiveness and profitability of our products and services, we continually monitor the behavior of our customers, as evidenced by annuitization rates and lapse rates, which vary in response to changes in market conditions. See “Part I. Item 1A. Risk Factors” in our Annual Report on Form 10-K for the year ended December 31, 2024, which was filed with the SEC on February 28, 2025, for further discussion of risk factors that could affect market conditions.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Environment</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June 30, 2025 and December 31, 2024, our reserves, net of reinsurance, and weighted average crediting rate on our fixed rate annuities were $6.7 billion and 4.57% and $6.4 billion and 4.42%, respectively. Some of our F&amp;G products, most notably our fixed rate annuities, include guaranteed minimum crediting rates, .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81" w:lineRule="exact"/>
        <w:rPr>
          <w:sz w:val="20"/>
          <w:szCs w:val="20"/>
          <w:color w:val="auto"/>
        </w:rPr>
      </w:pPr>
    </w:p>
    <w:p>
      <w:pPr>
        <w:ind w:left="320" w:right="400"/>
        <w:spacing w:after="0" w:line="345" w:lineRule="auto"/>
        <w:rPr>
          <w:sz w:val="20"/>
          <w:szCs w:val="20"/>
          <w:color w:val="auto"/>
        </w:rPr>
      </w:pPr>
      <w:r>
        <w:rPr>
          <w:rFonts w:ascii="Times New Roman" w:cs="Times New Roman" w:eastAsia="Times New Roman" w:hAnsi="Times New Roman"/>
          <w:sz w:val="18"/>
          <w:szCs w:val="18"/>
          <w:color w:val="auto"/>
        </w:rPr>
        <w:t xml:space="preserve">See Item 7A of Part II of our Annual Report on Form 10-K for the year ended December 31, 2024 for a more detailed discussion of interest rate risk. </w:t>
      </w:r>
      <w:r>
        <w:rPr>
          <w:rFonts w:ascii="Times New Roman" w:cs="Times New Roman" w:eastAsia="Times New Roman" w:hAnsi="Times New Roman"/>
          <w:sz w:val="18"/>
          <w:szCs w:val="18"/>
          <w:b w:val="1"/>
          <w:bCs w:val="1"/>
          <w:i w:val="1"/>
          <w:iCs w:val="1"/>
          <w:color w:val="auto"/>
        </w:rPr>
        <w:t>Aging of the U.S. Population</w:t>
      </w:r>
    </w:p>
    <w:p>
      <w:pPr>
        <w:spacing w:after="0" w:line="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the aging of the U.S. population will increase the demand for our indexed annuity and indexed universal life ("IUL") products. As the “baby boomer” generation prepares for retirement, we believe that demand for retirement savings, growth, and income products will grow. We serve a growing retirement population, with more than 10,000 Americans turning 65 every day and a projected 30% increase in people age 65 and older over the next 25 years. The impact of this growth may be offset to some extent by asset outflows as an increasing percentage of the population begins withdrawing assets to convert their savings into income.</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Industry Factors and Trends Affecting Our Results of Operations</w:t>
      </w:r>
    </w:p>
    <w:p>
      <w:pPr>
        <w:spacing w:after="0" w:line="7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operate in the sector of the insurance industry that focuses on the needs of middle-income Americans. The underserved middle-income market represents a major growth opportunity for us. As a tool for addressing the unmet need for retirement planning, we believe that many middle-income Americans have grown to appreciate the financial certainty that we believe annuities such as our indexed annuity products afford. For example, the fixed index annuity market grew from nearly $12 billion of sales in 2002 to $130 billion of sales in 2024 and the registered index-linked annuities ("RILA") market grew from $17 billion of sales in 2019 to $62 billion of sales in 2024. Additionally, this market demand has positively impacted the IUL market as it has expanded from $100 million of annual sales in 2002 to $2 billion of annual sales in 2024.</w:t>
      </w:r>
    </w:p>
    <w:p>
      <w:pPr>
        <w:spacing w:after="0" w:line="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Item 7 of Part II of our Annual Report on Form 10-K for the year ended December 31, 2024 for a more detailed discussion of industry factors and trends affecting our Results of Operations.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accounting estimates described in Item 7 of Part II of our Annual Report on Form 10-K for the year ended December 31, 2024 are those we consider critical in preparing our unaudited Condensed Consolidated Financial Statements. There were no changes to the Company’s critical accounting policies during the six months ended June 30, 2025. Management is required to make estimates and assumptions that can affect the reported amounts of assets and liabilities and disclosures with respect to contingent assets and liabilities at the date of the unaudited Condensed Consolidated Financial Statements and the reported amounts of revenues and expenses during the reporting period. Actual amounts could differ from those estimates. See Note A </w:t>
      </w:r>
      <w:r>
        <w:rPr>
          <w:rFonts w:ascii="Times New Roman" w:cs="Times New Roman" w:eastAsia="Times New Roman" w:hAnsi="Times New Roman"/>
          <w:sz w:val="18"/>
          <w:szCs w:val="18"/>
          <w:i w:val="1"/>
          <w:iCs w:val="1"/>
          <w:color w:val="auto"/>
        </w:rPr>
        <w:t>Basis of Financial Statements</w:t>
      </w:r>
      <w:r>
        <w:rPr>
          <w:rFonts w:ascii="Times New Roman" w:cs="Times New Roman" w:eastAsia="Times New Roman" w:hAnsi="Times New Roman"/>
          <w:sz w:val="18"/>
          <w:szCs w:val="18"/>
          <w:color w:val="auto"/>
        </w:rPr>
        <w:t>, included in Part I, Item 1 of this Quarterly Report on Form 10-Q for additional description of certain significant accounting policies that have been followed in preparing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periods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62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080" w:type="dxa"/>
            <w:vAlign w:val="bottom"/>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6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1"/>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8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r>
      <w:tr>
        <w:trPr>
          <w:trHeight w:val="20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r>
      <w:tr>
        <w:trPr>
          <w:trHeight w:val="191"/>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w:t>
            </w:r>
          </w:p>
        </w:tc>
      </w:tr>
      <w:tr>
        <w:trPr>
          <w:trHeight w:val="20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r>
      <w:tr>
        <w:trPr>
          <w:trHeight w:val="192"/>
        </w:trPr>
        <w:tc>
          <w:tcPr>
            <w:tcW w:w="6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99"/>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w:t>
            </w:r>
          </w:p>
        </w:tc>
      </w:tr>
      <w:tr>
        <w:trPr>
          <w:trHeight w:val="168"/>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
        </w:trPr>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r>
      <w:tr>
        <w:trPr>
          <w:trHeight w:val="191"/>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w:t>
            </w:r>
          </w:p>
        </w:tc>
      </w:tr>
      <w:tr>
        <w:trPr>
          <w:trHeight w:val="20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Agent commissions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r>
      <w:tr>
        <w:trPr>
          <w:trHeight w:val="191"/>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20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risk benefit losses (gains)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20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92"/>
        </w:trPr>
        <w:tc>
          <w:tcPr>
            <w:tcW w:w="6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99"/>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w:t>
            </w:r>
          </w:p>
        </w:tc>
      </w:tr>
      <w:tr>
        <w:trPr>
          <w:trHeight w:val="185"/>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 and equity in earnings of unconsolidated affiliates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92"/>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4"/>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revenues increased by $477 million in the three months ended June 30, 2025 and decreased by $93 million in the six months ended June 30, 2025 as compared to the corresponding periods in 2024.</w:t>
      </w:r>
    </w:p>
    <w:p>
      <w:pPr>
        <w:spacing w:after="0" w:line="1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earnings decreased by $50 million in the three months ended June 30, 2025 and decreased by $236 million in the six months ended June 30, 2025 as compared to corresponding periods in 2024.</w:t>
      </w:r>
    </w:p>
    <w:p>
      <w:pPr>
        <w:spacing w:after="0" w:line="18" w:lineRule="exact"/>
        <w:rPr>
          <w:sz w:val="20"/>
          <w:szCs w:val="20"/>
          <w:color w:val="auto"/>
        </w:rPr>
      </w:pPr>
    </w:p>
    <w:p>
      <w:pPr>
        <w:ind w:right="2000" w:firstLine="318"/>
        <w:spacing w:after="0" w:line="353" w:lineRule="auto"/>
        <w:rPr>
          <w:sz w:val="20"/>
          <w:szCs w:val="20"/>
          <w:color w:val="auto"/>
        </w:rPr>
      </w:pPr>
      <w:r>
        <w:rPr>
          <w:rFonts w:ascii="Times New Roman" w:cs="Times New Roman" w:eastAsia="Times New Roman" w:hAnsi="Times New Roman"/>
          <w:sz w:val="18"/>
          <w:szCs w:val="18"/>
          <w:color w:val="auto"/>
        </w:rPr>
        <w:t xml:space="preserve">The change in revenue and net earnings from our reportable segments is discussed in further detail at the segment level below. </w:t>
      </w:r>
      <w:r>
        <w:rPr>
          <w:rFonts w:ascii="Times New Roman" w:cs="Times New Roman" w:eastAsia="Times New Roman" w:hAnsi="Times New Roman"/>
          <w:sz w:val="18"/>
          <w:szCs w:val="18"/>
          <w:i w:val="1"/>
          <w:iCs w:val="1"/>
          <w:color w:val="auto"/>
        </w:rPr>
        <w:t>Expenses</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5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Agent commissions represent the portion of premiums retained by our third-party agents pursuant to the terms of their respective agency contracts.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Benefit expenses for deferred annuity, indexed annuity and IUL policies include index credits and interest credited to contractholder account balances and benefit claims in excess of contract account balances, net of reinsurance recoveries. Other changes in policy reserves include the change in the fair value of the indexed annuity embedded derivative and the change in the reserve for secondary guarantee benefit payments. Other changes in policy reserves also include the change in reserves for life insurance products.</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expenses attributable to our reportable segments is discussed in further detail at the segment level below.</w:t>
      </w:r>
    </w:p>
    <w:p>
      <w:pPr>
        <w:spacing w:after="0" w:line="111"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Income tax expense was $98 million and $116 million in the three months ended June 30, 2025 and 2024, respectively, and $127 million and $179 million in the six months ended June 30, 2025 and 2024, respectively. Income tax expense as a percentage of earnings before income taxes was 26% and 25% in the three months ended June 30, 2025 and 2024, respectively, and 26% and 23% in the six months ended June 30, 2025 and 2024, respectively. The increase in income tax expense as a percentage of earnings before taxes in the six months ended June 30, 2025 as compared to the corresponding period in 2024 is primarily attributable to an increase in the valuation allowance recorded in the six months ended June 30, 2025 as compared to the corresponding period in 2024.</w:t>
      </w:r>
    </w:p>
    <w:p>
      <w:pPr>
        <w:spacing w:after="0" w:line="8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includes a broad range of tax reform provisions that may affect the Company’s financial results. The OBBBA has multiple effective dates, with certain provisions effective in 2025 and others implemented through 2027. The Company is currently evaluating the impact of these provisions which could affect the Company’s income tax expense and deferred tax assets; however, it is not expected to have a material impact to our Consolidated Financial Statements.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considers its non-U.S. earnings to be indefinitely reinvested outside of the U.S. to the extent these earnings are not subject to the U.S. income tax under an anti-deferral tax regime. Given our intent to reinvest these earnings for an indefinite period of time, the Company has not accrued a deferred tax liability on these earnings. A determination of an unrecognized deferred tax liability related to these earnings is not practicable.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Title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58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120" w:type="dxa"/>
            <w:vAlign w:val="bottom"/>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57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5"/>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r>
      <w:tr>
        <w:trPr>
          <w:trHeight w:val="191"/>
        </w:trPr>
        <w:tc>
          <w:tcPr>
            <w:tcW w:w="5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r>
      <w:tr>
        <w:trPr>
          <w:trHeight w:val="20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r>
      <w:tr>
        <w:trPr>
          <w:trHeight w:val="191"/>
        </w:trPr>
        <w:tc>
          <w:tcPr>
            <w:tcW w:w="5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20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7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5"/>
        </w:trPr>
        <w:tc>
          <w:tcPr>
            <w:tcW w:w="5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3,594</w:t>
            </w: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1"/>
        </w:trPr>
        <w:tc>
          <w:tcPr>
            <w:tcW w:w="5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r>
      <w:tr>
        <w:trPr>
          <w:trHeight w:val="20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Agent commissions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r>
      <w:tr>
        <w:trPr>
          <w:trHeight w:val="191"/>
        </w:trPr>
        <w:tc>
          <w:tcPr>
            <w:tcW w:w="5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20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92"/>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92"/>
        </w:trPr>
        <w:tc>
          <w:tcPr>
            <w:tcW w:w="5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7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w:t>
            </w:r>
          </w:p>
        </w:tc>
      </w:tr>
      <w:tr>
        <w:trPr>
          <w:trHeight w:val="199"/>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 and equity in earnings of unconsolidated affiliates</w:t>
            </w:r>
          </w:p>
        </w:tc>
        <w:tc>
          <w:tcPr>
            <w:tcW w:w="7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3"/>
        </w:trPr>
        <w:tc>
          <w:tcPr>
            <w:tcW w:w="57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Orders opened by direct title operations (in thousands)</w:t>
            </w: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Orders closed by direct title operations (in thousands)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184"/>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 per file (in dollars)</w:t>
            </w: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revenues for the Title segment increased by $282 million, or 15%, in the three months ended June 30, 2025 and increased 393, or 11% in the six months ended June 30, 2025 from the corresponding periods in 2024.</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percentages of title insurance premiums generated by our direct and agency operations: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r>
      <w:tr>
        <w:trPr>
          <w:trHeight w:val="24"/>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9"/>
        </w:trPr>
        <w:tc>
          <w:tcPr>
            <w:tcW w:w="36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7"/>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6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6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premiums from direct operations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92"/>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Title premiums from agency operations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58</w:t>
            </w:r>
          </w:p>
        </w:tc>
      </w:tr>
      <w:tr>
        <w:trPr>
          <w:trHeight w:val="224"/>
        </w:trPr>
        <w:tc>
          <w:tcPr>
            <w:tcW w:w="3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title premiums</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Title premiums increased by $123 million, or 9%, in the three months ended June 30, 2025 from the corresponding period in 2024. The increase was comprised of an increase in Title premiums from direct operations of $68 million, or 12%, and an increase in Title premiums from agency operations of $55 million, or 7%.</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Title premiums increased by $281 million, or 12% in the six months ended June 30, 2025 from the corresponding period in 2024. The increase was compromised of an increase in Title premiums from direct operations of $138 million, or 14%, and an increase in Title premiums from agency operations of $143 million or 10%.</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percentages of opened and closed title insurance orders generated by purchase and refinance transactions by our direct operations: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6"/>
                <w:szCs w:val="16"/>
                <w:color w:val="auto"/>
              </w:rPr>
            </w:pPr>
          </w:p>
        </w:tc>
      </w:tr>
      <w:tr>
        <w:trPr>
          <w:trHeight w:val="24"/>
        </w:trPr>
        <w:tc>
          <w:tcPr>
            <w:tcW w:w="6220" w:type="dxa"/>
            <w:vAlign w:val="bottom"/>
            <w:gridSpan w:val="2"/>
          </w:tcPr>
          <w:p>
            <w:pPr>
              <w:spacing w:after="0"/>
              <w:rPr>
                <w:sz w:val="2"/>
                <w:szCs w:val="2"/>
                <w:color w:val="auto"/>
              </w:rPr>
            </w:pPr>
          </w:p>
        </w:tc>
        <w:tc>
          <w:tcPr>
            <w:tcW w:w="1520" w:type="dxa"/>
            <w:vAlign w:val="bottom"/>
            <w:gridSpan w:val="3"/>
          </w:tcPr>
          <w:p>
            <w:pPr>
              <w:spacing w:after="0"/>
              <w:rPr>
                <w:sz w:val="2"/>
                <w:szCs w:val="2"/>
                <w:color w:val="auto"/>
              </w:rPr>
            </w:pPr>
          </w:p>
        </w:tc>
        <w:tc>
          <w:tcPr>
            <w:tcW w:w="1520" w:type="dxa"/>
            <w:vAlign w:val="bottom"/>
            <w:gridSpan w:val="3"/>
          </w:tcPr>
          <w:p>
            <w:pPr>
              <w:spacing w:after="0"/>
              <w:rPr>
                <w:sz w:val="2"/>
                <w:szCs w:val="2"/>
                <w:color w:val="auto"/>
              </w:rPr>
            </w:pPr>
          </w:p>
        </w:tc>
        <w:tc>
          <w:tcPr>
            <w:tcW w:w="15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r>
      <w:tr>
        <w:trPr>
          <w:trHeight w:val="186"/>
        </w:trPr>
        <w:tc>
          <w:tcPr>
            <w:tcW w:w="5300" w:type="dxa"/>
            <w:vAlign w:val="bottom"/>
          </w:tcPr>
          <w:p>
            <w:pPr>
              <w:spacing w:after="0"/>
              <w:rPr>
                <w:sz w:val="16"/>
                <w:szCs w:val="16"/>
                <w:color w:val="auto"/>
              </w:rPr>
            </w:pPr>
          </w:p>
        </w:tc>
        <w:tc>
          <w:tcPr>
            <w:tcW w:w="9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2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tcBorders>
          </w:tcPr>
          <w:p>
            <w:pPr>
              <w:spacing w:after="0"/>
              <w:rPr>
                <w:sz w:val="16"/>
                <w:szCs w:val="16"/>
                <w:color w:val="auto"/>
              </w:rPr>
            </w:pP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Opened title insurance orders from purchase transactions (1)</w:t>
            </w:r>
          </w:p>
        </w:tc>
        <w:tc>
          <w:tcPr>
            <w:tcW w:w="9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9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Opened title insurance orders from refinance transactions (1)</w:t>
            </w: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r>
      <w:tr>
        <w:trPr>
          <w:trHeight w:val="192"/>
        </w:trPr>
        <w:tc>
          <w:tcPr>
            <w:tcW w:w="5300" w:type="dxa"/>
            <w:vAlign w:val="bottom"/>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38"/>
        </w:trPr>
        <w:tc>
          <w:tcPr>
            <w:tcW w:w="5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r>
      <w:tr>
        <w:trPr>
          <w:trHeight w:val="191"/>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Closed title insurance orders from purchase transactions (1)</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9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Closed title insurance orders from refinance transactions (1)</w:t>
            </w: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r>
      <w:tr>
        <w:trPr>
          <w:trHeight w:val="192"/>
        </w:trPr>
        <w:tc>
          <w:tcPr>
            <w:tcW w:w="5300" w:type="dxa"/>
            <w:vAlign w:val="bottom"/>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7"/>
        </w:trPr>
        <w:tc>
          <w:tcPr>
            <w:tcW w:w="5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5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Percentages exclude consideration of an immaterial number of non-purchase and non-refinance orders.</w:t>
      </w:r>
    </w:p>
    <w:p>
      <w:pPr>
        <w:spacing w:after="0" w:line="12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Title premiums from direct operations increased in the three and six months ended June 30, 2025 from the corresponding periods in 2024. The increase was attributable to increases in the average fee per file and closed order volume.</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experienced an increase in closed title insurance order volumes from both purchase and refinance transactions in the three and six months ended June 30, 2025 from the corresponding periods in 2024. Total closed order volume was 246,000 in the three months ended June 30, 2025 compared to 229,000 in the three months ended June 30, 2024 and 447,000 in the six months ended June 30, 2025 compared to 415,000 in the six months ended June 30, 2024. This represented an overall increase of 7% and 8% in the three and six months ended June 30, 2025, respectively, from the corresponding periods in 2024. The increases were primarily attributable to higher housing inventory in the three and six months ended June 30, 2025 as compared to the corresponding periods in 2024.</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opened title insurance order volumes increased in the three and six months ended June 30, 2025 from the corresponding periods in 2024.</w:t>
      </w:r>
    </w:p>
    <w:p>
      <w:pPr>
        <w:spacing w:after="0" w:line="1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average fee per file in our direct operations was $3,894 and $3,834 in the three and six months ended June 30, 2025, respectively, compared to $3,759 and $3,668 in the three and six months ended June 30, 2024, respectively. The increases in average fee per file in the three and six months ended June 30, 2025 as compared to the corresponding periods in 2024 are primarily attributable to home price appreciation.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Title premiums from agency operations increased $55 million, or 7%, in the three months ended June 30, 2025 and increased $143 million, or 10% in the six months ended June 30, 2025 from the corresponding periods in 2024.</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Escrow, title-related and other fees increased by $42 million, or 7%, in the three months ended June 30, 2025 and increased $83 million, or 8%, in the six months ended June 30, 2025 from the corresponding periods in 2024. Escrow and title-related fees increased by $21 million, or 9%, in the three months ended June 30, 2025 and $41 million, or 10% in the six months ended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June 30, 2025 from the corresponding periods in 2024. The increase in escrow and title-related fees in the three and six months ended June 30, 2025 as compared to the corresponding periods in 2024 are relatively consistent with the increase in direct premiums. Other fees, excluding escrow and title-related fees, increased by $21 million, or 6%, in the three months ended June 30, 2025 and increased $42 million, or 6% in the six months ended June 30, 2025. The increases in Other fees, excluding escrow and title-related fees, in the three and six months ended June 30, 2025 as compared to the corresponding periods in 2024 were attributable to various immaterial items.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investment income was relatively flat in the three and six months ended June 30, 2025 as compared to the corresponding period in 2024.</w:t>
      </w:r>
    </w:p>
    <w:p>
      <w:pPr>
        <w:spacing w:after="0" w:line="9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recognized gains were $43 million and $18 million in the three and six months ended June 30, 2025, respectively. Net recognized losses were $75 million and $12 million in the three and six months ended June 30, 2024, respectively. The fluctuations in recognized gains and losses, net in the three and six months ended June 30, 2025 as compared to the corresponding periods in 2024, are primarily attributable to fluctuations in non-cash valuation changes on our equity and preferred security holdings in addition to various other immaterial items.</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increased $69 million, or 10%, in the three months ended June 30, 2025 and increased $123 million, or 9% in the six months ended June 30, 2025 from the corresponding periods in 2024. The increases are due to elevated health claims of $12 million in the three months ended June 30, 2025, and inflationary salary increases and increased variable costs from a modest increase in revenues in the three and six months ended June 30, 2025 as compared to the corresponding periods in 2024. Personnel costs as a percentage of total revenues from direct title premiums and escrow, title-related and other fees were 60% for the three months ended June 30, 2025 and 2024, and 62% and 63% for the six months ended June 30, 2025 and 2024, respectively. Average employee count in the Title segment was 22,216 and 21,166 in the three months ended June 30, 2025 and 2024, respectively, and 21,808 and 20,841 in the six months ended June 30, 2025 and 2024, respectively.</w:t>
      </w:r>
    </w:p>
    <w:p>
      <w:pPr>
        <w:spacing w:after="0" w:line="8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operating expenses increased by $31 million, or 10%, in the three months ended June 30, 2025, and increased by 59 million, or 10% in the six months ended June 30, 2025 from the corresponding periods in 2024. Other operating expenses as a percentage of total revenue excluding agency premiums, interest and investment income, and recognized gains and losses were 27% in the three months ended June 30, 2025 and 2024, and 29% in the six months ended June 30, 2025 and 2024.</w:t>
      </w:r>
    </w:p>
    <w:p>
      <w:pPr>
        <w:spacing w:after="0" w:line="74"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premiums and agent commissions, which has remained relatively consistent since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40" w:type="dxa"/>
            <w:vAlign w:val="bottom"/>
          </w:tcPr>
          <w:p>
            <w:pPr>
              <w:spacing w:after="0"/>
              <w:rPr>
                <w:sz w:val="16"/>
                <w:szCs w:val="16"/>
                <w:color w:val="auto"/>
              </w:rPr>
            </w:pPr>
          </w:p>
        </w:tc>
      </w:tr>
      <w:tr>
        <w:trPr>
          <w:trHeight w:val="24"/>
        </w:trPr>
        <w:tc>
          <w:tcPr>
            <w:tcW w:w="3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302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2"/>
        </w:trPr>
        <w:tc>
          <w:tcPr>
            <w:tcW w:w="3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premiums</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100 %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2"/>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24"/>
        </w:trPr>
        <w:tc>
          <w:tcPr>
            <w:tcW w:w="3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retained agent premiums</w:t>
            </w: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claim loss provision for title insurance was $66 million and $61 million for the three months ended June 30, 2025 and 2024, respectively, and $120 million and $107 million for the six months ended June 30, 2025 and 2024,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F&amp;G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Overview</w:t>
      </w:r>
    </w:p>
    <w:p>
      <w:pPr>
        <w:spacing w:after="0" w:line="100"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Through our majority-owned F&amp;G subsidiary, we have five distribution channels across retail and institutional markets. Our three retail channels include agent-based Independent Marketing Organizations ("IMOs"), banks, and broker dealers. We have deep, long-tenured relationships with our network of leading IMOs and their agents to serve the needs of the middle-income market and develop competitive annuity and life products to align with their evolving needs. Upon FNF’s ownership and F&amp;G’s subsequent rating upgrades in mid-2020, we launched into banks and broker dealers. Further, in 2021, we launched into two institutional markets to originate Funding Agreement Backed Notes ("FABN") and pension risk transfer ("PRT") transactions. The FABN Program offers funding agreements to institutional clients by means of capital markets transactions through investment banks. The funding agreements issued under the FABN Program are in addition to those issued to the Federal Home Loan Bank of Atlanta ("FHLB"). The PRT solutions business is supported by an experienced team, and we partner with brokers and institutional consultants for distribution. These markets leverage our existing team's spread-based capabilities as well as our strategic partnership with Blackstone ISG-I Advisors LLC (“Blackstone”).</w:t>
      </w:r>
    </w:p>
    <w:p>
      <w:pPr>
        <w:spacing w:after="0" w:line="81"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In setting the features and pricing of our flagship indexed annuity products relative to our targeted net margin, we take into account our expectations regarding (1)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Historical Results of Operations</w:t>
      </w:r>
    </w:p>
    <w:p>
      <w:pPr>
        <w:spacing w:after="0" w:line="113" w:lineRule="exact"/>
        <w:rPr>
          <w:sz w:val="20"/>
          <w:szCs w:val="20"/>
          <w:color w:val="auto"/>
        </w:rPr>
      </w:pPr>
    </w:p>
    <w:p>
      <w:pPr>
        <w:jc w:val="both"/>
        <w:ind w:firstLine="437"/>
        <w:spacing w:after="0" w:line="248" w:lineRule="auto"/>
        <w:rPr>
          <w:sz w:val="20"/>
          <w:szCs w:val="20"/>
          <w:color w:val="auto"/>
        </w:rPr>
      </w:pPr>
      <w:r>
        <w:rPr>
          <w:rFonts w:ascii="Times New Roman" w:cs="Times New Roman" w:eastAsia="Times New Roman" w:hAnsi="Times New Roman"/>
          <w:sz w:val="18"/>
          <w:szCs w:val="18"/>
          <w:color w:val="auto"/>
        </w:rPr>
        <w:t>Through our insurance subsidiaries, we issue a broad portfolio of deferred annuities (indexed annuities and fixed rate annuities), IUL insurance, immediate annuities, funding agreements and PRT solutions. A deferred annuity is a type of contract that accumulates value on a tax deferred basis and typically begins making specified periodic or lump sum payments a certain number of years after the contract has been issued. IUL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 As defined by the Iowa Insurance Division, a funding agreement is an agreement for an insurer to accept and accumulate funds and to make one or more payments at future dates in amounts that are not based on mortality or morbidity contingencies of the person to whom the funding agreement is issued. In essence, funding agreement providers issue fixed maturity contracts with fixed or floating interest rates in exchange for a single upfront premium. Our PRT products are comparable to income annuities, as we generally receive a single, upfront premium in exchange for paying a guaranteed stream of future income payments, which are typically fixed in nature but may vary in duration based on participant mortality experience.</w:t>
      </w:r>
    </w:p>
    <w:p>
      <w:pPr>
        <w:spacing w:after="0" w:line="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Under GAAP, premium collections for deferred annuities (indexed annuities and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charges, cost of insurance and other charges deducted from contractholder funds (i.e., amortization of URL),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VOBA, DAC and DSI, and other operating costs and expenses.</w:t>
      </w:r>
    </w:p>
    <w:p>
      <w:pPr>
        <w:spacing w:after="0" w:line="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F&amp;G hedges certain portions of its exposure to product related equity market risk by entering into derivative transactions. We purchase derivatives consisting predominantly of equity options and, to a lesser degree, futures contracts (specifically for indexed annuity contracts) on the equity indices underlying the applicable policy. These derivatives are used to offset the reserve impact of the index credits due to policyholders under the indexed annuity and IUL contracts. The majority of all such equity options are one-year options purchased to match the funding requirements underlying the indexed annuity/IUL contracts. We attempt to manage the cost of these purchases through the terms of our indexed annuity/IUL contracts, which permit us to change caps, spread, or participation rates on each policy's annual anniversary, subject to certain guaranteed minimums that must be maintained. The equity options and futures contracts are marked to fair value with the change in fair value included as a component of net investment gains (losses). The change in fair value of the equity options and futures contracts includes the gains and losses recognized at the expiration of the instruments’ terms or upon early termination and the changes in fair value of open positions. In addition, to reduce market risks from interest rate changes on our earnings associated with our floating rate investments, during 2023, we began to execute pay-float and receive-fixed interest rate swaps.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Market risk benefits (“MRBs”) are contracts or contract features that both provide protection to the contract holder from other-than-nominal capital market risk (equity, interest and foreign exchange risk) and expose the Company to other-than-nominal capital market risk. MRBs (inclusive of reinsured MRBs) are measured at fair value using a risk neutral valuation method, which is based on current net amounts at risk, market data, internal and industry experience, and other factors. The change in fair value of MRBs generally reflects impacts from actual policyholder behavior (including surrenders of the benefit), changes in interest rates, and changes in equity market returns. Generally higher interest rates and equity returns result in gains whereas lower interest rates and equity returns result in losses. Reinsured MRBs are valued using a methodology consistent with direct MRBs, with the exception of the non-performance spread, which reflects the credit of the reinsurer.</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Earnings from products accounted for as deposit liabilities are primarily generated from the excess of net investment income earned over the sum of interest credited to policyholders and the cost of hedging our risk on indexed annuity/IUL policies, which includes the expenses incurred to fund the index credit with respect to indexed annuities/IULs. Proceeds received upon expiration or early termination of equity options purchased to fund annual index credits are recorded as part of the change in fair value of derivatives and are largely offset by an expense for index credits earned on annuity contractholder fund balances.</w:t>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F&amp;G Results of Operations</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results of operations of our F&amp;G segment for the three and six months ended June 30, 2025 and 2024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48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Pr>
          <w:p>
            <w:pPr>
              <w:spacing w:after="0"/>
              <w:rPr>
                <w:sz w:val="16"/>
                <w:szCs w:val="16"/>
                <w:color w:val="auto"/>
              </w:rPr>
            </w:pPr>
          </w:p>
        </w:tc>
      </w:tr>
      <w:tr>
        <w:trPr>
          <w:trHeight w:val="24"/>
        </w:trPr>
        <w:tc>
          <w:tcPr>
            <w:tcW w:w="5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5"/>
        </w:trPr>
        <w:tc>
          <w:tcPr>
            <w:tcW w:w="5320" w:type="dxa"/>
            <w:vAlign w:val="bottom"/>
          </w:tcPr>
          <w:p>
            <w:pPr>
              <w:spacing w:after="0"/>
              <w:rPr>
                <w:sz w:val="16"/>
                <w:szCs w:val="16"/>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5"/>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Life insurance premiums and other fees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r>
      <w:tr>
        <w:trPr>
          <w:trHeight w:val="191"/>
        </w:trPr>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960" w:type="dxa"/>
            <w:vAlign w:val="bottom"/>
          </w:tcPr>
          <w:p>
            <w:pPr>
              <w:spacing w:after="0"/>
              <w:rPr>
                <w:sz w:val="16"/>
                <w:szCs w:val="16"/>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r>
      <w:tr>
        <w:trPr>
          <w:trHeight w:val="20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Owned distribution revenues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2"/>
        </w:trPr>
        <w:tc>
          <w:tcPr>
            <w:tcW w:w="5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9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revenues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1,364</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w:t>
            </w:r>
          </w:p>
        </w:tc>
      </w:t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and expenses</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5"/>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r>
      <w:tr>
        <w:trPr>
          <w:trHeight w:val="191"/>
        </w:trPr>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 risk benefit (gains) losses</w:t>
            </w: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91"/>
        </w:trPr>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Personnel costs</w:t>
            </w:r>
          </w:p>
        </w:tc>
        <w:tc>
          <w:tcPr>
            <w:tcW w:w="960" w:type="dxa"/>
            <w:vAlign w:val="bottom"/>
          </w:tcPr>
          <w:p>
            <w:pPr>
              <w:spacing w:after="0"/>
              <w:rPr>
                <w:sz w:val="16"/>
                <w:szCs w:val="16"/>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0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92"/>
        </w:trPr>
        <w:tc>
          <w:tcPr>
            <w:tcW w:w="5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benefits and expenses</w:t>
            </w:r>
          </w:p>
        </w:tc>
        <w:tc>
          <w:tcPr>
            <w:tcW w:w="9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w:t>
            </w:r>
          </w:p>
        </w:tc>
      </w:t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 and equity in earnings of unconsolidated affiliates</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80" w:type="dxa"/>
            <w:vAlign w:val="bottom"/>
          </w:tcPr>
          <w:p>
            <w:pPr>
              <w:spacing w:after="0"/>
              <w:rPr>
                <w:sz w:val="16"/>
                <w:szCs w:val="16"/>
                <w:color w:val="auto"/>
              </w:rPr>
            </w:pP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w:t>
            </w:r>
          </w:p>
        </w:tc>
      </w:tr>
      <w:tr>
        <w:trPr>
          <w:trHeight w:val="20"/>
        </w:trPr>
        <w:tc>
          <w:tcPr>
            <w:tcW w:w="5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 insurance premiums and other fees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Life insurance premiums and other fees primarily reflect premiums on life-contingent PRTs and traditional life insurance products, which are recognized as revenue when due from the policyholder, as well as policy rider fees primarily on indexed annuity policies, the cost of insurance on IUL policies, and surrender charges assessed against policy withdrawals in excess of the policyholder's allowable penalty-free amounts (up to 10% of the prior year's value, subject to certain limitations). The following table summarizes the Life insurance premiums and other fees, on the unaudited Condensed Consolidated Statements of Earnings, for the three and six months ended June 30, 2025 and 2024:</w:t>
      </w:r>
    </w:p>
    <w:p>
      <w:pPr>
        <w:spacing w:after="0" w:line="113"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40" w:type="dxa"/>
            <w:vAlign w:val="bottom"/>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300" w:type="dxa"/>
            <w:vAlign w:val="bottom"/>
          </w:tcPr>
          <w:p>
            <w:pPr>
              <w:spacing w:after="0"/>
              <w:rPr>
                <w:sz w:val="16"/>
                <w:szCs w:val="16"/>
                <w:color w:val="auto"/>
              </w:rPr>
            </w:pPr>
          </w:p>
        </w:tc>
        <w:tc>
          <w:tcPr>
            <w:tcW w:w="9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Life-contingent pension risk transfer premiums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r>
      <w:tr>
        <w:trPr>
          <w:trHeight w:val="191"/>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Traditional life insurance and life-contingent immediate annuity premiums</w:t>
            </w:r>
          </w:p>
        </w:tc>
        <w:tc>
          <w:tcPr>
            <w:tcW w:w="9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Surrender charges</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92"/>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Policyholder fees and other income</w:t>
            </w: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224"/>
        </w:trPr>
        <w:tc>
          <w:tcPr>
            <w:tcW w:w="5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Life insurance premiums and other fees</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40" w:hanging="316"/>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Life-contingent pension risk transfer premiums increased for the three months ended June 30, 2025 and decreased for the six months ended June 30, 2025, compared to the three and six months ended June 30, 2024, respectively, reflecting the timing of PRT transactions. As noted above, PRT premiums are subject to fluctuation period to period.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charges were relatively unchanged for the three months ended June 30, 2025 and increased for the six months ended June 30, 2025, compared to the three and six months ended June 30, 2024, respectively. The increase for the six months ended June 30, 2025 primarily reflects increases in withdrawals from policyholders with surrender charges and market value adjustments (“MVAs”), primarily on our indexed annuities policies. The increase in termination activity is primarily due to the higher interest rate environment.</w:t>
      </w:r>
    </w:p>
    <w:p>
      <w:pPr>
        <w:spacing w:after="0" w:line="74"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Policyholder fees and other income increased for the three and six months ended June 30, 2025, compared to the three and six months ended June 30, 2024, primarily reflecting increased cost of insurance charges, net of changes in unearned revenue liabilities (“URL”) on IUL policies from growth in business and higher guaranteed minimum withdrawal benefit (“GMWB”) rider fees. The increase for the six months ended June 30, 2025 also includes a reinsurance true-up adjustment. GMWB rider fees are based on the policyholder's benefit base and are collected at the end of the policy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investment income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interest and investment income for the three and six months ended June 30, 2025 and 2024:</w:t>
      </w:r>
    </w:p>
    <w:p>
      <w:pPr>
        <w:spacing w:after="0" w:line="92"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380" w:type="dxa"/>
            <w:vAlign w:val="bottom"/>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80" w:type="dxa"/>
            <w:vAlign w:val="bottom"/>
            <w:gridSpan w:val="4"/>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5200" w:type="dxa"/>
            <w:vAlign w:val="bottom"/>
          </w:tcPr>
          <w:p>
            <w:pPr>
              <w:spacing w:after="0"/>
              <w:rPr>
                <w:sz w:val="16"/>
                <w:szCs w:val="16"/>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551</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r>
      <w:tr>
        <w:trPr>
          <w:trHeight w:val="19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940" w:type="dxa"/>
            <w:vAlign w:val="bottom"/>
          </w:tcPr>
          <w:p>
            <w:pPr>
              <w:spacing w:after="0"/>
              <w:rPr>
                <w:sz w:val="16"/>
                <w:szCs w:val="16"/>
                <w:color w:val="auto"/>
              </w:rPr>
            </w:pP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940" w:type="dxa"/>
            <w:vAlign w:val="bottom"/>
          </w:tcPr>
          <w:p>
            <w:pPr>
              <w:spacing w:after="0"/>
              <w:rPr>
                <w:sz w:val="16"/>
                <w:szCs w:val="16"/>
                <w:color w:val="auto"/>
              </w:rPr>
            </w:pP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0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9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940" w:type="dxa"/>
            <w:vAlign w:val="bottom"/>
          </w:tcPr>
          <w:p>
            <w:pPr>
              <w:spacing w:after="0"/>
              <w:rPr>
                <w:sz w:val="16"/>
                <w:szCs w:val="16"/>
                <w:color w:val="auto"/>
              </w:rPr>
            </w:pP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20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9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5"/>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9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w:t>
            </w:r>
          </w:p>
        </w:tc>
      </w:tr>
      <w:tr>
        <w:trPr>
          <w:trHeight w:val="19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9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99"/>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9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w:t>
            </w:r>
          </w:p>
        </w:tc>
      </w:tr>
      <w:tr>
        <w:trPr>
          <w:trHeight w:val="20"/>
        </w:trPr>
        <w:tc>
          <w:tcPr>
            <w:tcW w:w="5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$189 million and $373 million for the three and six months ended June 30, 2025, respectively, and $155 million and $282 million for the three and six months ended June 30, 2024,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Recognized gains and losses, net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Below is a summary of the major components included in recognized gains and losses, net for the three and six months ended June 30, 2025 and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40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40" w:type="dxa"/>
            <w:vAlign w:val="bottom"/>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9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Net realized and unrealized (losses) gains on fixed maturity available-for-sale securities, equity</w:t>
            </w:r>
          </w:p>
        </w:tc>
        <w:tc>
          <w:tcPr>
            <w:tcW w:w="960" w:type="dxa"/>
            <w:vAlign w:val="bottom"/>
            <w:vMerge w:val="restart"/>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9"/>
              </w:rPr>
              <w:t>37</w:t>
            </w:r>
          </w:p>
        </w:tc>
        <w:tc>
          <w:tcPr>
            <w:tcW w:w="1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and other invested assets</w:t>
            </w:r>
          </w:p>
        </w:tc>
        <w:tc>
          <w:tcPr>
            <w:tcW w:w="960" w:type="dxa"/>
            <w:vAlign w:val="bottom"/>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9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and unrealized gains (losses) on certain derivatives instruments</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w:t>
            </w:r>
          </w:p>
        </w:tc>
        <w:tc>
          <w:tcPr>
            <w:tcW w:w="9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w w:val="99"/>
              </w:rPr>
              <w:t>10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9"/>
        </w:trPr>
        <w:tc>
          <w:tcPr>
            <w:tcW w:w="55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96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Recognized gains and losses, net is shown net of amounts attributable to certain funds withheld reinsurance agreements, which is passed along to the reinsurer in accordance with the terms of these agreements. Recognized (losses) gains attributable to these agreements, and thus excluded from the totals in the table above, was $(57) million and $(99) million for the three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 periods ended June 30, 2025, and $10 million and $(9) million for the three and six month periods ended June 30, 2024, respectively.</w:t>
      </w:r>
    </w:p>
    <w:p>
      <w:pPr>
        <w:spacing w:after="0" w:line="111" w:lineRule="exact"/>
        <w:rPr>
          <w:sz w:val="20"/>
          <w:szCs w:val="20"/>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2025, net realized and unrealized gains (losses) on fixed maturity available-for-sale securities, equity securities and other invested assets is primarily the result of mark-to-market losses on our equity securities.</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2024, net realized and unrealized gains (losses) on fixed maturity available-for-sale securities, equity securities and other invested assets is primarily the result of unrealized fair value option (“FVO”) gains on owned distribution investments and preferred securities, partially offset by realized losses on fixed maturity available-for-sale securities and mark-to-market losses on our equity securities.</w:t>
      </w:r>
    </w:p>
    <w:p>
      <w:pPr>
        <w:spacing w:after="0" w:line="7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allowance for expected credit losses primarily relates to available for sale securities.</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periods, net realized and unrealized gains (losses) on certain derivative instruments primarily relate to the net realized and unrealized gains (losses) on equity options and futures used to hedge indexed annuity and IUL products, including gains on option and futures expiration and changes in the fair value of interest rate swaps. See the table below for primary drivers of gains (losses) on certain derivatives.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reinsurance related embedded derivative is based on the change in fair value of the underlying assets held in the funds withheld (“FWH”) portfolio.</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utilize a combination of static (equity options) and dynamic (long futures contracts) instruments in our product hedging strategy. Equity options and futures contracts are generally based upon the performance of various equity indices, such as the S&amp;P 500 Index, as well as other bond and gold market indices.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utilize interest rate swaps to reduce market risks from interest rate changes on our earnings associated with our floating rate investments and we utilize foreign currency swaps to reduce market risks from fluctuations in foreign exchange rates that impact earnings associated with our foreign currency denominated investments.</w:t>
      </w:r>
    </w:p>
    <w:p>
      <w:pPr>
        <w:spacing w:after="0" w:line="85"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components of the realized and unrealized gains (losses) on certain derivative instruments hedging our indexed annuities, universal life products and floating rate investments are summarized in the table below for the three and six months ended June 30, 2025 and 2024:</w:t>
      </w: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00" w:type="dxa"/>
            <w:vAlign w:val="bottom"/>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43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4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options: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1"/>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Realized (losses) gains</w:t>
            </w:r>
          </w:p>
        </w:tc>
        <w:tc>
          <w:tcPr>
            <w:tcW w:w="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r>
      <w:tr>
        <w:trPr>
          <w:trHeight w:val="20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unrealized gains (losses)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211</w:t>
            </w:r>
          </w:p>
        </w:tc>
      </w:tr>
      <w:tr>
        <w:trPr>
          <w:trHeight w:val="19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Gains on futures contracts expiration</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r>
      <w:tr>
        <w:trPr>
          <w:trHeight w:val="191"/>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unrealized (losses) gains</w:t>
            </w:r>
          </w:p>
        </w:tc>
        <w:tc>
          <w:tcPr>
            <w:tcW w:w="840" w:type="dxa"/>
            <w:vAlign w:val="bottom"/>
          </w:tcPr>
          <w:p>
            <w:pPr>
              <w:spacing w:after="0"/>
              <w:rPr>
                <w:sz w:val="16"/>
                <w:szCs w:val="16"/>
                <w:color w:val="auto"/>
              </w:rPr>
            </w:pP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r>
      <w:tr>
        <w:trPr>
          <w:trHeight w:val="20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swaps losses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 gains (losses)</w:t>
            </w:r>
          </w:p>
        </w:tc>
        <w:tc>
          <w:tcPr>
            <w:tcW w:w="840" w:type="dxa"/>
            <w:vAlign w:val="bottom"/>
          </w:tcPr>
          <w:p>
            <w:pPr>
              <w:spacing w:after="0"/>
              <w:rPr>
                <w:sz w:val="16"/>
                <w:szCs w:val="16"/>
                <w:color w:val="auto"/>
              </w:rPr>
            </w:pP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(105)</w:t>
            </w:r>
          </w:p>
        </w:tc>
      </w:tr>
      <w:tr>
        <w:trPr>
          <w:trHeight w:val="20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derivative investments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2"/>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(Losses) gains on other derivative investments</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r>
      <w:tr>
        <w:trPr>
          <w:trHeight w:val="224"/>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change in fair value</w:t>
            </w:r>
          </w:p>
        </w:tc>
        <w:tc>
          <w:tcPr>
            <w:tcW w:w="84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4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9"/>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Annual Point-to-Point Change in S&amp;P 500 Index during the periods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84"/>
        </w:trPr>
        <w:tc>
          <w:tcPr>
            <w:tcW w:w="4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Secured Overnight Financing Rates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4.45 %</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5.33 %</w:t>
            </w:r>
          </w:p>
        </w:tc>
      </w:tr>
    </w:tbl>
    <w:p>
      <w:pPr>
        <w:spacing w:after="0" w:line="156" w:lineRule="exact"/>
        <w:rPr>
          <w:sz w:val="20"/>
          <w:szCs w:val="20"/>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gains and (losses) on certain derivative instruments are directly correlated to the performance of the indices upon which the equity options and futures contracts are based and the value of the derivatives at the time of expiration compared to the value at the time of purchase.</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unrealized gains (losses) due to the net changes in fair value of equity options and futures contracts are driven by the underlying performance of the indices, such as the S&amp;P 500 Index, upon which the equity options and futures contracts are based during each respective period relative to the respective indices on the policyholder buy dates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40" w:right="26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change in fair value of the foreign currency and interest rate swaps were primarily driven by fluctuations in the foreign currency exchange rate and interest rate indexes underlying the swap contracts.</w:t>
      </w:r>
    </w:p>
    <w:p>
      <w:pPr>
        <w:spacing w:after="0" w:line="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average index credits to policyholders are as follows:</w:t>
      </w:r>
    </w:p>
    <w:p>
      <w:pPr>
        <w:spacing w:after="0" w:line="145"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24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620" w:type="dxa"/>
            <w:vAlign w:val="bottom"/>
            <w:gridSpan w:val="2"/>
          </w:tcPr>
          <w:p>
            <w:pPr>
              <w:spacing w:after="0"/>
              <w:rPr>
                <w:sz w:val="2"/>
                <w:szCs w:val="2"/>
                <w:color w:val="auto"/>
              </w:rPr>
            </w:pPr>
          </w:p>
        </w:tc>
        <w:tc>
          <w:tcPr>
            <w:tcW w:w="150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6"/>
        </w:trPr>
        <w:tc>
          <w:tcPr>
            <w:tcW w:w="4680" w:type="dxa"/>
            <w:vAlign w:val="bottom"/>
          </w:tcPr>
          <w:p>
            <w:pPr>
              <w:spacing w:after="0"/>
              <w:rPr>
                <w:sz w:val="16"/>
                <w:szCs w:val="16"/>
                <w:color w:val="auto"/>
              </w:rPr>
            </w:pPr>
          </w:p>
        </w:tc>
        <w:tc>
          <w:tcPr>
            <w:tcW w:w="9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top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Crediting Rate</w:t>
            </w:r>
          </w:p>
        </w:tc>
        <w:tc>
          <w:tcPr>
            <w:tcW w:w="9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1"/>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5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Point-to-point strategy</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1"/>
        </w:trPr>
        <w:tc>
          <w:tcPr>
            <w:tcW w:w="5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Monthly average strategy</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6"/>
        </w:trPr>
        <w:tc>
          <w:tcPr>
            <w:tcW w:w="5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Monthly point-to-point strategy</w:t>
            </w:r>
          </w:p>
        </w:tc>
        <w:tc>
          <w:tcPr>
            <w:tcW w:w="150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4"/>
        </w:trPr>
        <w:tc>
          <w:tcPr>
            <w:tcW w:w="5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3 year high water mark</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bl>
    <w:p>
      <w:pPr>
        <w:spacing w:after="0" w:line="200" w:lineRule="exact"/>
        <w:rPr>
          <w:sz w:val="20"/>
          <w:szCs w:val="20"/>
          <w:color w:val="auto"/>
        </w:rPr>
      </w:pPr>
    </w:p>
    <w:p>
      <w:pPr>
        <w:spacing w:after="0" w:line="234" w:lineRule="exact"/>
        <w:rPr>
          <w:sz w:val="20"/>
          <w:szCs w:val="20"/>
          <w:color w:val="auto"/>
        </w:rPr>
      </w:pPr>
    </w:p>
    <w:p>
      <w:pPr>
        <w:jc w:val="both"/>
        <w:ind w:left="640" w:hanging="316"/>
        <w:spacing w:after="0" w:line="259"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amounts credited to contractholder fund balances may differ from the index appreciation due to contractual features in the indexed annuity contracts and certain IUL contracts (caps, spreads and participation rates), which allow us to manage the cost of the options purchased to fund the annual index credits.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credits for the periods presented were based on comparing the S&amp;P 500 Index on each issue date in the period to the same issue date in the respective prior year periods.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other changes in policy reserves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Benefits and other changes in policy reserves: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44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9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agreements</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annuities/IUL market related liability movements</w:t>
            </w:r>
          </w:p>
        </w:tc>
        <w:tc>
          <w:tcPr>
            <w:tcW w:w="98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 credits, interest credited and bonuses</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92"/>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changes in policy reserves</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24"/>
        </w:trPr>
        <w:tc>
          <w:tcPr>
            <w:tcW w:w="5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Benefits and other changes in policy reserves</w:t>
            </w: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640" w:hanging="316"/>
        <w:spacing w:after="0" w:line="259" w:lineRule="auto"/>
        <w:tabs>
          <w:tab w:leader="none" w:pos="63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PRT agreements, primarily representing the change in reserves associated with PRT premiums during the periods, increased for the three months ended June 30, 2025 and decreased for the six months ended June 30, 2025 compared to the three and six months ended June 30, 2024, reflecting the timing of PRT transactions. PRT transactions are subject to fluctuation period to period.</w:t>
      </w:r>
    </w:p>
    <w:p>
      <w:pPr>
        <w:spacing w:after="0" w:line="71" w:lineRule="exact"/>
        <w:rPr>
          <w:rFonts w:ascii="Times New Roman" w:cs="Times New Roman" w:eastAsia="Times New Roman" w:hAnsi="Times New Roman"/>
          <w:sz w:val="18"/>
          <w:szCs w:val="18"/>
          <w:i w:val="1"/>
          <w:iCs w:val="1"/>
          <w:color w:val="auto"/>
        </w:rPr>
      </w:pPr>
    </w:p>
    <w:p>
      <w:pPr>
        <w:jc w:val="both"/>
        <w:ind w:left="640" w:hanging="316"/>
        <w:spacing w:after="0" w:line="249" w:lineRule="auto"/>
        <w:tabs>
          <w:tab w:leader="none" w:pos="63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indexed annuities/IUL market related liability movements during the three and six months ended June 30, 2025 and June 30, 2024, respectively, are mainly driven by changes in the equity markets, non-performance spreads, and risk free rates during the respective periods. The change in risk free rates and non-performance spreads increased (decreased) the direct indexed annuities market related liability by $36 million and $(85) million during the three months ended June 30, 2025 and June 30, 2024, respectively. The change in risk free rates and non-performance spreads increased (decreased) the direct indexed annuities market related liability by $83 million and $(168) million during the six months ended June 30, 2025 and June 30, 2024, respectively. The remaining changes in market value of the market related liability movements for all periods were primarily driven by equity market impacts. See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Recognized gains and (losses), net”</w:t>
      </w:r>
      <w:r>
        <w:rPr>
          <w:rFonts w:ascii="Times New Roman" w:cs="Times New Roman" w:eastAsia="Times New Roman" w:hAnsi="Times New Roman"/>
          <w:sz w:val="18"/>
          <w:szCs w:val="18"/>
          <w:color w:val="auto"/>
        </w:rPr>
        <w:t xml:space="preserve"> above for summary and discussion of net unrealized gains (losses) on certain derivative instruments.</w:t>
      </w:r>
    </w:p>
    <w:p>
      <w:pPr>
        <w:spacing w:after="0" w:line="84"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Annually, typically in the third quarter, F&amp;G reviews assumptions associated with reserves for policy benefits and product guarantees.</w:t>
      </w:r>
    </w:p>
    <w:p>
      <w:pPr>
        <w:spacing w:after="0" w:line="111" w:lineRule="exact"/>
        <w:rPr>
          <w:rFonts w:ascii="Times New Roman" w:cs="Times New Roman" w:eastAsia="Times New Roman" w:hAnsi="Times New Roman"/>
          <w:sz w:val="18"/>
          <w:szCs w:val="18"/>
          <w:i w:val="1"/>
          <w:iCs w:val="1"/>
          <w:color w:val="auto"/>
        </w:rPr>
      </w:pPr>
    </w:p>
    <w:p>
      <w:pPr>
        <w:jc w:val="both"/>
        <w:ind w:left="1280" w:hanging="320"/>
        <w:spacing w:after="0" w:line="255" w:lineRule="auto"/>
        <w:tabs>
          <w:tab w:leader="none" w:pos="127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six months ended June 30, 2025, based on experience, we reflected updates to the option budget assumption used to calculate the fair value of the embedded derivative component within contractholder funds. These changes resulted in decreases in total benefits and other changes in policy reserves of approximately $5 million and $26 million for the three and six months ended June 30, 2025, respectively.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280" w:hanging="320"/>
        <w:spacing w:after="0" w:line="255"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assumptions updated for the three months ended June 30, 2024. During the six months ended June 30, 2024, based on increases in interest rates and pricing changes, we updated certain indexed annuity assumptions used to calculate the fair value of the embedded derivative component within contractholder funds. These changes resulted in an increase in total benefits and other changes in policy reserves of $57 million for the six months ended June 30, 2024.</w:t>
      </w:r>
    </w:p>
    <w:p>
      <w:pPr>
        <w:spacing w:after="0" w:line="7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Index credits, interest credited and bonuses for the three and six months ended June 30, 2025, were higher compared to the three and six months ended June 30, 2024, primarily reflecting higher index credits and interest credited on indexed annuities and other policies as a result of market movement during the respective periods and higher interest credited associated with the growth in PRT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Benefit (gains) losses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market risk benefit (gains) losses: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46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5460" w:type="dxa"/>
            <w:vAlign w:val="bottom"/>
          </w:tcPr>
          <w:p>
            <w:pPr>
              <w:spacing w:after="0"/>
              <w:rPr>
                <w:sz w:val="16"/>
                <w:szCs w:val="16"/>
                <w:color w:val="auto"/>
              </w:rPr>
            </w:pPr>
          </w:p>
        </w:tc>
        <w:tc>
          <w:tcPr>
            <w:tcW w:w="10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4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2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risk benefit (gains) losses</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640" w:hanging="316"/>
        <w:spacing w:after="0" w:line="259" w:lineRule="auto"/>
        <w:tabs>
          <w:tab w:leader="none" w:pos="63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Market risk benefit (gains) losses are primarily driven by issuances, attributed fees collected, effects of market related movements (including changes in equity markets and risk-free rates), actual policyholder behavior as compared with expected changes in assumptions during the periods. Market risk benefit (gains) losses are reported net of reinsurance, reflecting an amended reinsurance agreement effective July 1, 2024.</w:t>
      </w:r>
    </w:p>
    <w:p>
      <w:pPr>
        <w:spacing w:after="0" w:line="71" w:lineRule="exact"/>
        <w:rPr>
          <w:rFonts w:ascii="Times New Roman" w:cs="Times New Roman" w:eastAsia="Times New Roman" w:hAnsi="Times New Roman"/>
          <w:sz w:val="18"/>
          <w:szCs w:val="18"/>
          <w:i w:val="1"/>
          <w:iCs w:val="1"/>
          <w:color w:val="auto"/>
        </w:rPr>
      </w:pPr>
    </w:p>
    <w:p>
      <w:pPr>
        <w:jc w:val="both"/>
        <w:ind w:left="640" w:hanging="316"/>
        <w:spacing w:after="0" w:line="255" w:lineRule="auto"/>
        <w:tabs>
          <w:tab w:leader="none" w:pos="63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in market risk benefit (gains) losses for the three months ended June 30, 2025, compared to the three months ended June 30, 2024, primarily reflect favorable market related movements and lower issuances. Changes in market risk benefit (gains) losses for the six months ended June 30, 2025, compared to the six months ended June 30, 2024, primarily reflect unfavorable market related movements and unfavorable actual policyholder behavior as compared to expected.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depreciation and amortization: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66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gridSpan w:val="4"/>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10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DAC, VOBA and DSI</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92"/>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other intangible assets and fixed asset depreciation</w:t>
            </w: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24"/>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640" w:hanging="316"/>
        <w:spacing w:after="0" w:line="252" w:lineRule="auto"/>
        <w:tabs>
          <w:tab w:leader="none" w:pos="63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DAC, VOBA and DSI are amortized on a constant level basis for the grouped contracts over the expected term of the related contracts to approximate straight-line amortization. Amortization of DAC, VOBA and DSI increased for the three and six months ended June 30, 2025, compared to the three and six months ended June 30, 2024, primarily reflecting increased DAC and DSI associated with the growth of the business. In addition, as a result of our annual actuarial assumption update process during the three months ended September 30, 2024, amortization rates on some DAC and DSI balances increased primarily for indexed annuities.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Personnel Costs and Other Operating Expenses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personnel costs and other operating expenses: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54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60" w:type="dxa"/>
            <w:vAlign w:val="bottom"/>
            <w:gridSpan w:val="4"/>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vMerge w:val="restart"/>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1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24"/>
        </w:trPr>
        <w:tc>
          <w:tcPr>
            <w:tcW w:w="5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personnel costs and other operating expenses</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0" w:hanging="316"/>
        <w:spacing w:after="0" w:line="255" w:lineRule="auto"/>
        <w:tabs>
          <w:tab w:leader="none" w:pos="63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Personnel costs and other operating expenses were higher for the three months ended June 30, 2025 and lower for the six months ended June 30, 2025, compared to the three and six months ended June 30, 2024, respectively, primarily reflecting costs in line with sales volumes and growth in assets, disciplined expense management, including one-time management actions taken in the second quarter, along with continued investments in our operating platform.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11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investment portfolio is designed to contribute stable earnings, excluding short term mark to market effects, and balance risk across diverse asset classes and is primarily invested in high quality fixed income securities.</w:t>
      </w:r>
    </w:p>
    <w:p>
      <w:pPr>
        <w:spacing w:after="0" w:line="5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As of June 30, 2025 and December 31, 2024, the fair value of our investment portfolio was approximately $64 billion and $60 billion, respectively, and was divided among the following asset classes and sectors:</w:t>
      </w: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w w:val="98"/>
              </w:rPr>
              <w:t>June 30, 2025</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3"/>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United States Government sponsored entities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Governments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Corporate securities: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8,611</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5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Wholesale/retail trade</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5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4,547</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Hybrid securities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 mortgage-backed securities (a)</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1"/>
        </w:trPr>
        <w:tc>
          <w:tcPr>
            <w:tcW w:w="5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Asset-backed securities ("ABS") (a)</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10,270</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Collateral loan obligations and loan backed-private obligations ("CLO") (a)</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5"/>
        </w:trPr>
        <w:tc>
          <w:tcPr>
            <w:tcW w:w="5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50,193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46,317</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(b)</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Private equity</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 assets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Credit</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5"/>
        </w:trPr>
        <w:tc>
          <w:tcPr>
            <w:tcW w:w="59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Limited partnerships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4"/>
        </w:trPr>
        <w:tc>
          <w:tcPr>
            <w:tcW w:w="59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Other (primarily derivatives, company owned life insurance and unconsolidated owned distribution</w:t>
            </w: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1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5"/>
        </w:trPr>
        <w:tc>
          <w:tcPr>
            <w:tcW w:w="5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64,108</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59,503</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ind w:left="220" w:hanging="196"/>
        <w:spacing w:after="0"/>
        <w:tabs>
          <w:tab w:leader="none" w:pos="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at June 30, 2025 reflect classifications consistent with the NAIC Principles Based Bond Definition Project effective January 1, 2025.</w:t>
      </w:r>
    </w:p>
    <w:p>
      <w:pPr>
        <w:spacing w:after="0" w:line="28"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investment grade non-redeemable preferred stocks ($202 million and $222 million as of June 30, 2025 and December 31, 2024, respectively).</w:t>
      </w:r>
    </w:p>
    <w:p>
      <w:pPr>
        <w:spacing w:after="0" w:line="37" w:lineRule="exact"/>
        <w:rPr>
          <w:rFonts w:ascii="Times New Roman" w:cs="Times New Roman" w:eastAsia="Times New Roman" w:hAnsi="Times New Roman"/>
          <w:sz w:val="14"/>
          <w:szCs w:val="14"/>
          <w:color w:val="auto"/>
        </w:rPr>
      </w:pPr>
    </w:p>
    <w:p>
      <w:pPr>
        <w:ind w:left="20" w:right="20" w:firstLine="4"/>
        <w:spacing w:after="0" w:line="251" w:lineRule="auto"/>
        <w:tabs>
          <w:tab w:leader="none" w:pos="213"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 investments include non-direct lending and direct lending securitizations classified as fixed maturity securities, certain limited partnerships and limited liability corporations classified as investments in unconsolidated affiliates and certain COLI classified as other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-451485</wp:posOffset>
            </wp:positionV>
            <wp:extent cx="33909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90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 primarily high-grade fixed-income assets across a wide range of sectors, including Corporate securities, U.S. Government and government-sponsored agency securities, and Structured securities, among others.</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 nationally recognized statistical rating organization ("NRSRO"), the SVO utilizes that rating and assigns a NAIC designation based upon the NAIC published comparison of NRSRO ratings to NAIC designations.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NAIC determines ratings for non-agency residential mortgage backed securities (“RMBS”) and commercial mortgage backed securities using modeling that estimates security level expected losses under a variety of economic scenarios. For such assets issued prior to January 1, 2013, an insurer’s amortized cost basis in applicable assets can impact the assigned rating. In the tables below, we present the rating of structured securities based on ratings from the NAIC rating methodologies described above (which in some cases do not correspond to rating agency designations). All NAIC designations (e.g., NAIC 1-6) are based on the NAIC methodologies.</w:t>
      </w:r>
    </w:p>
    <w:p>
      <w:pPr>
        <w:spacing w:after="0" w:line="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fixed income portfolio as of June 30, 2025 and December 31,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780" w:type="dxa"/>
            <w:vAlign w:val="bottom"/>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Fair Value Percent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Fair Value Percent</w:t>
            </w:r>
          </w:p>
        </w:tc>
        <w:tc>
          <w:tcPr>
            <w:tcW w:w="0" w:type="dxa"/>
            <w:vAlign w:val="bottom"/>
          </w:tcPr>
          <w:p>
            <w:pPr>
              <w:spacing w:after="0"/>
              <w:rPr>
                <w:sz w:val="1"/>
                <w:szCs w:val="1"/>
                <w:color w:val="auto"/>
              </w:rPr>
            </w:pPr>
          </w:p>
        </w:tc>
      </w:tr>
      <w:tr>
        <w:trPr>
          <w:trHeight w:val="186"/>
        </w:trPr>
        <w:tc>
          <w:tcPr>
            <w:tcW w:w="17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AAA/AA/A</w:t>
            </w:r>
          </w:p>
        </w:tc>
        <w:tc>
          <w:tcPr>
            <w:tcW w:w="1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33,850</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32,035</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31,258</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29,174</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16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16,948</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15,998</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16,254</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15,082</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1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16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CCC</w:t>
            </w:r>
          </w:p>
        </w:tc>
        <w:tc>
          <w:tcPr>
            <w:tcW w:w="1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CC and lower</w:t>
            </w:r>
          </w:p>
        </w:tc>
        <w:tc>
          <w:tcPr>
            <w:tcW w:w="16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17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53,157</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49,729</w:t>
            </w:r>
          </w:p>
        </w:tc>
        <w:tc>
          <w:tcPr>
            <w:tcW w:w="2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Concentrations</w:t>
      </w:r>
    </w:p>
    <w:p>
      <w:pPr>
        <w:spacing w:after="0" w:line="8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tables below present the top ten structured security and industry categories of our fixed maturity and equity securities including the fair value and percent of total fixed maturity and equity securities fair value as of June 30, 2025 and December 31, 2024.</w:t>
      </w:r>
    </w:p>
    <w:p>
      <w:pPr>
        <w:spacing w:after="0" w:line="3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3"/>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4"/>
        </w:trPr>
        <w:tc>
          <w:tcPr>
            <w:tcW w:w="7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Top 10 Concentrations</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8"/>
              </w:rPr>
              <w:t>Fair Value (In</w:t>
            </w:r>
          </w:p>
        </w:tc>
        <w:tc>
          <w:tcPr>
            <w:tcW w:w="1420" w:type="dxa"/>
            <w:vAlign w:val="bottom"/>
          </w:tcPr>
          <w:p>
            <w:pPr>
              <w:jc w:val="right"/>
              <w:ind w:right="9"/>
              <w:spacing w:after="0" w:line="128" w:lineRule="exact"/>
              <w:rPr>
                <w:sz w:val="20"/>
                <w:szCs w:val="20"/>
                <w:color w:val="auto"/>
              </w:rPr>
            </w:pPr>
            <w:r>
              <w:rPr>
                <w:rFonts w:ascii="Times New Roman" w:cs="Times New Roman" w:eastAsia="Times New Roman" w:hAnsi="Times New Roman"/>
                <w:sz w:val="14"/>
                <w:szCs w:val="14"/>
                <w:b w:val="1"/>
                <w:bCs w:val="1"/>
                <w:color w:val="auto"/>
              </w:rPr>
              <w:t>Percent of Total Fair</w:t>
            </w:r>
          </w:p>
        </w:tc>
        <w:tc>
          <w:tcPr>
            <w:tcW w:w="0" w:type="dxa"/>
            <w:vAlign w:val="bottom"/>
          </w:tcPr>
          <w:p>
            <w:pPr>
              <w:spacing w:after="0"/>
              <w:rPr>
                <w:sz w:val="1"/>
                <w:szCs w:val="1"/>
                <w:color w:val="auto"/>
              </w:rPr>
            </w:pPr>
          </w:p>
        </w:tc>
      </w:tr>
      <w:tr>
        <w:trPr>
          <w:trHeight w:val="191"/>
        </w:trPr>
        <w:tc>
          <w:tcPr>
            <w:tcW w:w="8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4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7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CLO (a)</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11,025</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1"/>
        </w:trPr>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ABS (a)</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7,314</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mortgage backed securities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3,898</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Whole loan collateralized mortgage obligation</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Banking</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Municipal</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Electric</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Telecommunications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4"/>
        </w:trPr>
        <w:tc>
          <w:tcPr>
            <w:tcW w:w="80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37,705</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3"/>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7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Top 10 Concentrations</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8"/>
              </w:rPr>
              <w:t>Fair Value (In</w:t>
            </w:r>
          </w:p>
        </w:tc>
        <w:tc>
          <w:tcPr>
            <w:tcW w:w="1420" w:type="dxa"/>
            <w:vAlign w:val="bottom"/>
          </w:tcPr>
          <w:p>
            <w:pPr>
              <w:jc w:val="right"/>
              <w:ind w:right="9"/>
              <w:spacing w:after="0" w:line="128" w:lineRule="exact"/>
              <w:rPr>
                <w:sz w:val="20"/>
                <w:szCs w:val="20"/>
                <w:color w:val="auto"/>
              </w:rPr>
            </w:pPr>
            <w:r>
              <w:rPr>
                <w:rFonts w:ascii="Times New Roman" w:cs="Times New Roman" w:eastAsia="Times New Roman" w:hAnsi="Times New Roman"/>
                <w:sz w:val="14"/>
                <w:szCs w:val="14"/>
                <w:b w:val="1"/>
                <w:bCs w:val="1"/>
                <w:color w:val="auto"/>
              </w:rPr>
              <w:t>Percent of Total Fair</w:t>
            </w:r>
          </w:p>
        </w:tc>
        <w:tc>
          <w:tcPr>
            <w:tcW w:w="0" w:type="dxa"/>
            <w:vAlign w:val="bottom"/>
          </w:tcPr>
          <w:p>
            <w:pPr>
              <w:spacing w:after="0"/>
              <w:rPr>
                <w:sz w:val="1"/>
                <w:szCs w:val="1"/>
                <w:color w:val="auto"/>
              </w:rPr>
            </w:pPr>
          </w:p>
        </w:tc>
      </w:tr>
      <w:tr>
        <w:trPr>
          <w:trHeight w:val="191"/>
        </w:trPr>
        <w:tc>
          <w:tcPr>
            <w:tcW w:w="8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4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7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ABS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10,270</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1"/>
        </w:trPr>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CLO</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1"/>
        </w:trPr>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Whole loan collateralized mortgage obligation</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Banking</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8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Municipal</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Electric</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Pharmaceuticals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4"/>
        </w:trPr>
        <w:tc>
          <w:tcPr>
            <w:tcW w:w="80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34,765</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640" w:hanging="634"/>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at June 30, 2025, reflect classifications consistent with the NAIC Principles Based Bond Definition Project effective January 1, 2025.</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amortized cost and fair value of fixed maturity AFS securities by contractual maturities as of June 30, 2025 and December 31, 2024 are shown below.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maturities may differ from contractual maturities because issuers may have the right to call or prepay obligations.</w:t>
      </w: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4"/>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5"/>
        </w:trPr>
        <w:tc>
          <w:tcPr>
            <w:tcW w:w="53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8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Non-structured Hybrids, Municipal and Government securities: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w:t>
            </w: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w:t>
            </w:r>
          </w:p>
        </w:tc>
      </w:tr>
      <w:tr>
        <w:trPr>
          <w:trHeight w:val="192"/>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16,675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13,880</w:t>
            </w:r>
          </w:p>
        </w:tc>
      </w:tr>
      <w:tr>
        <w:trPr>
          <w:trHeight w:val="19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Subtotal</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22,749</w:t>
            </w:r>
          </w:p>
        </w:tc>
      </w:tr>
      <w:tr>
        <w:trPr>
          <w:trHeight w:val="19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15,649</w:t>
            </w: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Commercial-mortgage-backed securities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w:t>
            </w: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r>
      <w:tr>
        <w:trPr>
          <w:trHeight w:val="185"/>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Subtotal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26,929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23,965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23,568</w:t>
            </w:r>
          </w:p>
        </w:tc>
      </w:tr>
      <w:tr>
        <w:trPr>
          <w:trHeight w:val="224"/>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50,193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46,317</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Non-Agency RMBS Exposure</w:t>
      </w:r>
    </w:p>
    <w:p>
      <w:pPr>
        <w:spacing w:after="0" w:line="1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our investments in subprime securities and Alt-A RMBS securities were $5 million and $43 million as of June 30, 2025, respectively, and $29 million and $44 million as of December 31, 2024, respectively. As of June 30, 2025 and December 31, 2024, approximately 94% and 93%, respectively, of the subprime and Alt-A RMBS exposures were rated NAIC 2 or higher.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and CLO Exposures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ABS exposures are largely diversified by underlying collateral and issuer type. Our CLO exposures are generally senior tranches of CLOs, which have leveraged loans as their underlying collateral.</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2025, the CLO and ABS positions were trading at a net unrealized gain of $91 million and a net unrealized loss of $193 million, respectively. As of December 31, 2024, the CLO and ABS positions were trading at a net unrealized gain of $92 million and a net unrealized loss of $207 million, respectively.</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AFS ABS portfolio as of June 30, 2025 and December 31, 2024. Balances as of June 30, 2025 reflect classifications consistent with the NAIC Principles Based Bond Definition Project effective January 1,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3"/>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19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185"/>
        </w:trPr>
        <w:tc>
          <w:tcPr>
            <w:tcW w:w="19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tcBorders>
              <w:top w:val="single" w:sz="8" w:color="auto"/>
              <w:bottom w:val="single" w:sz="8" w:color="auto"/>
            </w:tcBorders>
            <w:gridSpan w:val="2"/>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2"/>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40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20" w:type="dxa"/>
            <w:vAlign w:val="bottom"/>
          </w:tcPr>
          <w:p>
            <w:pPr>
              <w:spacing w:after="0"/>
              <w:rPr>
                <w:sz w:val="16"/>
                <w:szCs w:val="16"/>
                <w:color w:val="auto"/>
              </w:rPr>
            </w:pPr>
          </w:p>
        </w:tc>
      </w:tr>
      <w:tr>
        <w:trPr>
          <w:trHeight w:val="205"/>
        </w:trPr>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AAA/AA/A</w:t>
            </w:r>
          </w:p>
        </w:tc>
        <w:tc>
          <w:tcPr>
            <w:tcW w:w="40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191"/>
        </w:trPr>
        <w:tc>
          <w:tcPr>
            <w:tcW w:w="1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BBB</w:t>
            </w:r>
          </w:p>
        </w:tc>
        <w:tc>
          <w:tcPr>
            <w:tcW w:w="40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r>
      <w:tr>
        <w:trPr>
          <w:trHeight w:val="206"/>
        </w:trPr>
        <w:tc>
          <w:tcPr>
            <w:tcW w:w="1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BB</w:t>
            </w:r>
          </w:p>
        </w:tc>
        <w:tc>
          <w:tcPr>
            <w:tcW w:w="40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r>
      <w:tr>
        <w:trPr>
          <w:trHeight w:val="191"/>
        </w:trPr>
        <w:tc>
          <w:tcPr>
            <w:tcW w:w="1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40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r>
      <w:tr>
        <w:trPr>
          <w:trHeight w:val="206"/>
        </w:trPr>
        <w:tc>
          <w:tcPr>
            <w:tcW w:w="1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CCC</w:t>
            </w:r>
          </w:p>
        </w:tc>
        <w:tc>
          <w:tcPr>
            <w:tcW w:w="40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1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CC and lower</w:t>
            </w:r>
          </w:p>
        </w:tc>
        <w:tc>
          <w:tcPr>
            <w:tcW w:w="40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7,314</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10,270</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AFS CLO portfolio as of June 30, 2025 and December 31, 2024. Balances as of June 30, 2025 reflect classifications consistent with the NAIC Principles Based Bond Definition Project effective January 1,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w w:val="98"/>
              </w:rPr>
              <w:t>June 30, 2025</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20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179"/>
        </w:trPr>
        <w:tc>
          <w:tcPr>
            <w:tcW w:w="20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87"/>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416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40" w:type="dxa"/>
            <w:vAlign w:val="bottom"/>
          </w:tcPr>
          <w:p>
            <w:pPr>
              <w:spacing w:after="0"/>
              <w:rPr>
                <w:sz w:val="16"/>
                <w:szCs w:val="16"/>
                <w:color w:val="auto"/>
              </w:rPr>
            </w:pPr>
          </w:p>
        </w:tc>
      </w:tr>
      <w:tr>
        <w:trPr>
          <w:trHeight w:val="24"/>
        </w:trPr>
        <w:tc>
          <w:tcPr>
            <w:tcW w:w="20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9"/>
        </w:trPr>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AAA/AA/A</w:t>
            </w:r>
          </w:p>
        </w:tc>
        <w:tc>
          <w:tcPr>
            <w:tcW w:w="41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63%</w:t>
            </w:r>
          </w:p>
        </w:tc>
      </w:tr>
      <w:tr>
        <w:trPr>
          <w:trHeight w:val="191"/>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BBB</w:t>
            </w:r>
          </w:p>
        </w:tc>
        <w:tc>
          <w:tcPr>
            <w:tcW w:w="416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r>
      <w:tr>
        <w:trPr>
          <w:trHeight w:val="206"/>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BB</w:t>
            </w:r>
          </w:p>
        </w:tc>
        <w:tc>
          <w:tcPr>
            <w:tcW w:w="41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r>
      <w:tr>
        <w:trPr>
          <w:trHeight w:val="191"/>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416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CCC</w:t>
            </w:r>
          </w:p>
        </w:tc>
        <w:tc>
          <w:tcPr>
            <w:tcW w:w="41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CC and lower</w:t>
            </w:r>
          </w:p>
        </w:tc>
        <w:tc>
          <w:tcPr>
            <w:tcW w:w="416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r>
      <w:tr>
        <w:trPr>
          <w:trHeight w:val="224"/>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Bond Exposure</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municipal bond exposure as of June 30, 2025 and December 31,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6"/>
        </w:trPr>
        <w:tc>
          <w:tcPr>
            <w:tcW w:w="53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obligation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24"/>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revenue bonds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1,280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r>
      <w:tr>
        <w:trPr>
          <w:trHeight w:val="192"/>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Certificate participations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4"/>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1,540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1,592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Across all municipal bonds, the largest issuer represented 5% of the category and less than 1% of the total portfolio for both June 30, 2025 and December 31, 2024, and is rated NAIC 1 as of June 30, 2025. Our focus within municipal bonds is on NAIC 1 rated instruments, with 97% of our municipal bond exposure rated NAIC 1 as of June 30, 2025 and December 31,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Commercial Mortgage Loans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diversify our commercial mortgage loans ("CMLs") portfolio by geographic region and property type to attempt to reduce concentration risk. We continuously evaluate CMLs based on relevant current information to ensure properties are performing at a level to secure the related debt. Loan-to value ("LTV") and debt-service coverage ("DSC") ratios are utilized to assess the risk and quality of CMLs. As of June 30, 2025 and December 31, 2024, our mortgage loans on real estate portfolio had a weighted average DSC ratio of 2.2 times and 2.3 times, respectively, and a weighted average LTV ratio of 56% and 57%, respectively.</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We consider a CML delinquent when a loan payment is greater than 30 days past due. For mortgage loans that are determined to require foreclosure, the carrying value is reduced to the fair value of the underlying collateral, net of estimated costs to obtain and sell at the point of foreclosure. As of June 30, 2025 and December 31, 2024, we had one CML that was delinquent in principal or interest payments. We had no CMLs in the process of foreclosure as of June 30, 2025 and December 31, 2024. See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this report for additional information on our CMLs, including our distribution by property type, geographic region, LTV, and DSC ratios.</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Residential Mortgage Loans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F&amp;G's residential mortgage loans ("RMLs") are primarily closed end, amortizing loans, and 100% of the properties are in the United States. F&amp;G diversifies its RML portfolio by state to attempt to reduce concentration risk. RMLs have a primary credit quality indicator of either a performing or non-performing loan. F&amp;G defines non-performing RMLs as those that are 90 or more days past due and/or in non-accrual status.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Loans are placed on non-accrual status when they are over 90 days delinquent. If a loan becomes over 90 days delinquent, it is our general policy to initiate foreclosure proceedings unless a workout arrangement to bring the loan current can be put in place. See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this Quarterly Report on Form 10-Q for additional information on our RMLs.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Losses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amortized cost and fair value of the fixed maturity securities and the equity securities that were in an unrealized loss position as of June 30, 2025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were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2"/>
                <w:szCs w:val="12"/>
                <w:color w:val="auto"/>
              </w:rPr>
            </w:pPr>
          </w:p>
        </w:tc>
        <w:tc>
          <w:tcPr>
            <w:tcW w:w="122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1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1"/>
        </w:trPr>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4,450</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91"/>
        </w:trPr>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Wholesale/retail trade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2,185</w:t>
            </w:r>
          </w:p>
        </w:tc>
        <w:tc>
          <w:tcPr>
            <w:tcW w:w="0" w:type="dxa"/>
            <w:vAlign w:val="bottom"/>
          </w:tcPr>
          <w:p>
            <w:pPr>
              <w:spacing w:after="0"/>
              <w:rPr>
                <w:sz w:val="1"/>
                <w:szCs w:val="1"/>
                <w:color w:val="auto"/>
              </w:rPr>
            </w:pPr>
          </w:p>
        </w:tc>
      </w:tr>
      <w:tr>
        <w:trPr>
          <w:trHeight w:val="191"/>
        </w:trPr>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3,282</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1,976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1,765</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5,490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left="649"/>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5,185</w:t>
            </w: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26,178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22,727</w:t>
            </w:r>
          </w:p>
        </w:tc>
        <w:tc>
          <w:tcPr>
            <w:tcW w:w="0" w:type="dxa"/>
            <w:vAlign w:val="bottom"/>
          </w:tcPr>
          <w:p>
            <w:pPr>
              <w:spacing w:after="0"/>
              <w:rPr>
                <w:sz w:val="1"/>
                <w:szCs w:val="1"/>
                <w:color w:val="auto"/>
              </w:rPr>
            </w:pPr>
          </w:p>
        </w:tc>
      </w:tr>
      <w:tr>
        <w:trPr>
          <w:trHeight w:val="192"/>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24"/>
        </w:trPr>
        <w:tc>
          <w:tcPr>
            <w:tcW w:w="4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26,479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22,943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2"/>
                <w:szCs w:val="12"/>
                <w:color w:val="auto"/>
              </w:rPr>
            </w:pPr>
          </w:p>
        </w:tc>
        <w:tc>
          <w:tcPr>
            <w:tcW w:w="122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6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1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1"/>
        </w:trPr>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1,227</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5,868</w:t>
            </w:r>
          </w:p>
        </w:tc>
        <w:tc>
          <w:tcPr>
            <w:tcW w:w="0" w:type="dxa"/>
            <w:vAlign w:val="bottom"/>
          </w:tcPr>
          <w:p>
            <w:pPr>
              <w:spacing w:after="0"/>
              <w:rPr>
                <w:sz w:val="1"/>
                <w:szCs w:val="1"/>
                <w:color w:val="auto"/>
              </w:rPr>
            </w:pPr>
          </w:p>
        </w:tc>
      </w:tr>
      <w:tr>
        <w:trPr>
          <w:trHeight w:val="191"/>
        </w:trPr>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2,458</w:t>
            </w:r>
          </w:p>
        </w:tc>
        <w:tc>
          <w:tcPr>
            <w:tcW w:w="0" w:type="dxa"/>
            <w:vAlign w:val="bottom"/>
          </w:tcPr>
          <w:p>
            <w:pPr>
              <w:spacing w:after="0"/>
              <w:rPr>
                <w:sz w:val="1"/>
                <w:szCs w:val="1"/>
                <w:color w:val="auto"/>
              </w:rPr>
            </w:pPr>
          </w:p>
        </w:tc>
      </w:tr>
      <w:tr>
        <w:trPr>
          <w:trHeight w:val="191"/>
        </w:trPr>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Wholesale/retail trade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2,614</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3,805</w:t>
            </w:r>
          </w:p>
        </w:tc>
        <w:tc>
          <w:tcPr>
            <w:tcW w:w="0" w:type="dxa"/>
            <w:vAlign w:val="bottom"/>
          </w:tcPr>
          <w:p>
            <w:pPr>
              <w:spacing w:after="0"/>
              <w:rPr>
                <w:sz w:val="1"/>
                <w:szCs w:val="1"/>
                <w:color w:val="auto"/>
              </w:rPr>
            </w:pP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1,269</w:t>
            </w:r>
          </w:p>
        </w:tc>
        <w:tc>
          <w:tcPr>
            <w:tcW w:w="0" w:type="dxa"/>
            <w:vAlign w:val="bottom"/>
          </w:tcPr>
          <w:p>
            <w:pPr>
              <w:spacing w:after="0"/>
              <w:rPr>
                <w:sz w:val="1"/>
                <w:szCs w:val="1"/>
                <w:color w:val="auto"/>
              </w:rPr>
            </w:pP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left="649"/>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4,148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3,820</w:t>
            </w:r>
          </w:p>
        </w:tc>
        <w:tc>
          <w:tcPr>
            <w:tcW w:w="0" w:type="dxa"/>
            <w:vAlign w:val="bottom"/>
          </w:tcPr>
          <w:p>
            <w:pPr>
              <w:spacing w:after="0"/>
              <w:rPr>
                <w:sz w:val="1"/>
                <w:szCs w:val="1"/>
                <w:color w:val="auto"/>
              </w:rPr>
            </w:pPr>
          </w:p>
        </w:tc>
      </w:tr>
      <w:tr>
        <w:trPr>
          <w:trHeight w:val="185"/>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29,042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left="649"/>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25,240</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92"/>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29,405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center"/>
              <w:ind w:left="649"/>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25,516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gross unrealized loss position on the fixed maturity available-for-sale fixed and equity portfolio was $3,465 million and $3,837 million as of June 30, 2025 and December 31, 2024, respectively. Most components of the portfolio exhibited price appreciation caused primarily by lower treasury rates. The total amortized cost of all securities in an unrealized loss position was $26,479 million and $29,405 million as of June 30, 2025 and December 31, 2024, respectively. The average market value/book value of the investment category with the largest unrealized loss position was 80% and 81% for services, media and other for June 30, 2025 and December 31, 2024, respectively. In the aggregate, services, media and other represented 24% and 23% of the total unrealized loss position for June 30, 2025 and December 31, 2024, respectively.</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amortized cost and fair value of fixed maturity available for sale securities under watch list analysis and the number of months in a loss position with investment grade securities (NRSRO rating of BBB/Baa or higher) as of June 30, 2025 and December 31, 2024, were as follows:</w:t>
      </w:r>
    </w:p>
    <w:tbl>
      <w:tblPr>
        <w:tblLayout w:type="fixed"/>
        <w:tblInd w:w="20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4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12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10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than six months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85"/>
        </w:trPr>
        <w:tc>
          <w:tcPr>
            <w:tcW w:w="4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investment grade</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86"/>
        </w:trPr>
        <w:tc>
          <w:tcPr>
            <w:tcW w:w="49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than six months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5"/>
        </w:trPr>
        <w:tc>
          <w:tcPr>
            <w:tcW w:w="4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center"/>
              <w:ind w:left="649"/>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24"/>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1,426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94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12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10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than six months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185"/>
        </w:trPr>
        <w:tc>
          <w:tcPr>
            <w:tcW w:w="4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investment grade</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1,497</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185"/>
        </w:trPr>
        <w:tc>
          <w:tcPr>
            <w:tcW w:w="49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than six months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5"/>
        </w:trPr>
        <w:tc>
          <w:tcPr>
            <w:tcW w:w="4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24"/>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1,579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and Watch List</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watch list excludes structured securities as we have separate processes to evaluate the credit quality on the structured securities.</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65 and 45 structured securities with a fair value of $131 million and $146 million to which we had potential credit exposure as of June 30, 2025 and December 31, 2024, respectively. Our analysis of these structured securities, which included cash flow testing, resulted in allowances for expected credit losses of $77 million and $62 million as of June 30, 2025 and December 31,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to Sovereign Debt and Certain Other Exposures</w:t>
      </w:r>
    </w:p>
    <w:p>
      <w:pPr>
        <w:spacing w:after="0" w:line="115"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investment portfolio had an immaterial amount of direct exposure to European sovereign debt as of June 30, 2025 and December 31, 2024, respectively. We have no exposure to investments in Russia or Ukraine and de minimis investments in peripheral countries in the region.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1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discussion regarding our interest and investment income and recognized gains and (losses), net refer to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AFS Securities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For additional information regarding our AFS securities, including the amortized cost, gross unrealized gains (losses), and fair value as well as the amortized cost and fair value of fixed maturity AFS securities by contractual maturities, as of June 30, 2025 and December 31, 2024, refer to Note D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to the unaudited Condensed Consolidated Financial Statements included in Item 1 of Part I of this Quarterly Report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Financial Instruments</w:t>
      </w:r>
    </w:p>
    <w:p>
      <w:pPr>
        <w:spacing w:after="0" w:line="11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certain information regarding our concentrations of financial instruments, refer to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exposed to credit loss in the event of non-performance by our counterparties on derivative instruments. We attempt to reduce this credit risk by purchasing such derivative instruments from large, well-established financial institutions.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hold cash and cash equivalents received from counterparties for derivative instrument collateral, as well as U.S. Government securities pledged as derivative instrument collateral, if our counterparty’s net exposures exceed pre-determined thresholds.</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unaudited Condensed Consolidated Balance Sheets.</w:t>
      </w:r>
    </w:p>
    <w:p>
      <w:pPr>
        <w:spacing w:after="0" w:line="7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See Note E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 for additional information regarding our derivatives and our exposure to credit loss on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15" w:lineRule="exact"/>
        <w:rPr>
          <w:sz w:val="20"/>
          <w:szCs w:val="20"/>
          <w:color w:val="auto"/>
        </w:rPr>
      </w:pPr>
    </w:p>
    <w:p>
      <w:pPr>
        <w:jc w:val="both"/>
        <w:ind w:firstLine="238"/>
        <w:spacing w:after="0" w:line="274" w:lineRule="auto"/>
        <w:rPr>
          <w:sz w:val="20"/>
          <w:szCs w:val="20"/>
          <w:color w:val="auto"/>
        </w:rPr>
      </w:pPr>
      <w:r>
        <w:rPr>
          <w:rFonts w:ascii="Times New Roman" w:cs="Times New Roman" w:eastAsia="Times New Roman" w:hAnsi="Times New Roman"/>
          <w:sz w:val="18"/>
          <w:szCs w:val="18"/>
          <w:color w:val="auto"/>
        </w:rPr>
        <w:t>The Corporate and Other segment consists of the operations of the parent holding company and our real estate technology subsidiaries. This segment also includes certain other unallocated corporate overhead expenses and eliminations of revenues and expenses between it and our Title segment.</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the results of operations of our Corporate and Other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262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04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6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6280" w:type="dxa"/>
            <w:vAlign w:val="bottom"/>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5"/>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91"/>
        </w:trPr>
        <w:tc>
          <w:tcPr>
            <w:tcW w:w="6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0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8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5"/>
        </w:trPr>
        <w:tc>
          <w:tcPr>
            <w:tcW w:w="6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20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1"/>
        </w:trPr>
        <w:tc>
          <w:tcPr>
            <w:tcW w:w="6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0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1"/>
        </w:trPr>
        <w:tc>
          <w:tcPr>
            <w:tcW w:w="6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5"/>
        </w:trPr>
        <w:tc>
          <w:tcPr>
            <w:tcW w:w="62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22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 before income taxes and equity in earnings of unconsolidated affiliates</w:t>
            </w:r>
          </w:p>
        </w:tc>
        <w:tc>
          <w:tcPr>
            <w:tcW w:w="86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238"/>
        <w:spacing w:after="0" w:line="274" w:lineRule="auto"/>
        <w:rPr>
          <w:sz w:val="20"/>
          <w:szCs w:val="20"/>
          <w:color w:val="auto"/>
        </w:rPr>
      </w:pPr>
      <w:r>
        <w:rPr>
          <w:rFonts w:ascii="Times New Roman" w:cs="Times New Roman" w:eastAsia="Times New Roman" w:hAnsi="Times New Roman"/>
          <w:sz w:val="18"/>
          <w:szCs w:val="18"/>
          <w:color w:val="auto"/>
        </w:rPr>
        <w:t>The revenue in the Corporate and Other segment represents revenue generated by our non-title real estate technology subsidiaries as well as mark-to-market valuation changes on certain corporate deferred compensation plans.</w:t>
      </w:r>
    </w:p>
    <w:p>
      <w:pPr>
        <w:spacing w:after="0" w:line="57" w:lineRule="exact"/>
        <w:rPr>
          <w:sz w:val="20"/>
          <w:szCs w:val="20"/>
          <w:color w:val="auto"/>
        </w:rPr>
      </w:pPr>
    </w:p>
    <w:p>
      <w:pPr>
        <w:jc w:val="both"/>
        <w:ind w:firstLine="238"/>
        <w:spacing w:after="0" w:line="267" w:lineRule="auto"/>
        <w:rPr>
          <w:sz w:val="20"/>
          <w:szCs w:val="20"/>
          <w:color w:val="auto"/>
        </w:rPr>
      </w:pPr>
      <w:r>
        <w:rPr>
          <w:rFonts w:ascii="Times New Roman" w:cs="Times New Roman" w:eastAsia="Times New Roman" w:hAnsi="Times New Roman"/>
          <w:sz w:val="17"/>
          <w:szCs w:val="17"/>
          <w:color w:val="auto"/>
        </w:rPr>
        <w:t>Total revenues in the Corporate and Other segment increased $4 million, or 5%, in the three months ended June 30, 2025 and decreased $15 million, or 9% in the six months ended June 30, 2025 from the corresponding periods in 2024. The increase in the three months ended June 30, 2025 from the corresponding period in 2024 is primarily attributable to an increase in valuations associated with our deferred compensation plan assets of $7 million, partially offset by various immaterial items. The decrease in the six months ended June 30, 2025 from the corresponding period in 2024 is primarily attributable to a decrease in valuations associated with our deferred compensation plan assets of $11 million and various other immaterial items. Interest and investment income includes dividends received from F&amp;G of $28 million and $56 million in the three and six months ended June 30, 2025, respectively, and $27 million and $54 million in the three and six months ended June 30, 2024, respectively. The dividends received from F&amp;G are eliminated upon consolidation.</w:t>
      </w:r>
    </w:p>
    <w:p>
      <w:pPr>
        <w:spacing w:after="0" w:line="68" w:lineRule="exact"/>
        <w:rPr>
          <w:sz w:val="20"/>
          <w:szCs w:val="20"/>
          <w:color w:val="auto"/>
        </w:rPr>
      </w:pPr>
    </w:p>
    <w:p>
      <w:pPr>
        <w:jc w:val="both"/>
        <w:ind w:firstLine="238"/>
        <w:spacing w:after="0" w:line="255" w:lineRule="auto"/>
        <w:rPr>
          <w:sz w:val="20"/>
          <w:szCs w:val="20"/>
          <w:color w:val="auto"/>
        </w:rPr>
      </w:pPr>
      <w:r>
        <w:rPr>
          <w:rFonts w:ascii="Times New Roman" w:cs="Times New Roman" w:eastAsia="Times New Roman" w:hAnsi="Times New Roman"/>
          <w:sz w:val="18"/>
          <w:szCs w:val="18"/>
          <w:color w:val="auto"/>
        </w:rPr>
        <w:t>Personnel costs in the Corporate and Other segment increased $11 million, or 37%, in the three months ended June 30, 2025, and decreased $1 million, or 1% in the six months ended June 30, 2025 from the corresponding periods in 2024. The increase in the three months ended June 30, 2025 from the corresponding period in 2024 is primarily attributable to the aforementioned increase in valuations associated with our deferred compensation plan assets of $7 million, which increased both revenue and personnel costs.</w:t>
      </w:r>
    </w:p>
    <w:p>
      <w:pPr>
        <w:spacing w:after="0" w:line="74" w:lineRule="exact"/>
        <w:rPr>
          <w:sz w:val="20"/>
          <w:szCs w:val="20"/>
          <w:color w:val="auto"/>
        </w:rPr>
      </w:pPr>
    </w:p>
    <w:p>
      <w:pPr>
        <w:jc w:val="both"/>
        <w:ind w:firstLine="238"/>
        <w:spacing w:after="0" w:line="259" w:lineRule="auto"/>
        <w:rPr>
          <w:sz w:val="20"/>
          <w:szCs w:val="20"/>
          <w:color w:val="auto"/>
        </w:rPr>
      </w:pPr>
      <w:r>
        <w:rPr>
          <w:rFonts w:ascii="Times New Roman" w:cs="Times New Roman" w:eastAsia="Times New Roman" w:hAnsi="Times New Roman"/>
          <w:sz w:val="18"/>
          <w:szCs w:val="18"/>
          <w:color w:val="auto"/>
        </w:rPr>
        <w:t>Other operating expenses in the Corporate and Other segment increased $2 million, or 7%, in the three months ended June 30, 2025 and decreased $1 million, or 2% in the six months ended June 30, 2025 from the corresponding periods in 2024. The fluctuations in the three and six months ended June 30, 2025 from the corresponding periods in 2024 are attributable to various immaterial items.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claim payments, taxes, payments of interest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debt, capital expenditures, business acquisitions, stock repurchases, and dividends on our common stock. We paid dividends of $0.50 per share in the second quarter of 2025, or approximately $135 million to our common shareholders. On August 6, 2025, our Board of Directors declared cash dividends of $0.50 per share, payable on September 30, 2025, to FNF common shareholders of record as of September 16, 2025.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2025, we had cash and cash equivalents of $3,272 million, short term investments of $1,451 million, available capacity under our Revolving Credit Facility of $800 million, and available capacity under the Amended F&amp;G Credit agreement of $750 million. On January 13, 2025, F&amp;G completed its public offering of its 7.30% Junior Subordinated Notes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due 2065 with an aggregate principal amount of $375 million. F&amp;G is using the net proceeds of this offering for general corporate purposes, including the repurchase, redemption or repayment at maturity of outstanding indebtedness. On February 1, 2025, F&amp;G redeemed the outstanding $300 million aggregate principal amount of its 5.50% Senior Notes due May 1, 2025. The notes were redeemed for a redemption price equal to 100% of the principal amount of the notes plus accrued and unpaid interest to, but excluding, the redemption date. On March 24, 2025, F&amp;G completed a public offering of 8,000,000 shares of F&amp;G common stock, par value $0.001 per share, for net proceeds of $269 million. Pursuant to the underwriting agreement, the underwriters agreed to resell to FNF 4,500,000 shares of F&amp;G common stock at the same price per share paid by the underwriters. F&amp;G is using the net proceeds from the offering for general corporate purposes, including the support of organic growth opportunities.</w:t>
      </w:r>
    </w:p>
    <w:p>
      <w:pPr>
        <w:spacing w:after="0" w:line="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7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2024, $1,141 million of our net assets were restricted from dividend payments without prior approval from the relevant departments of insurance. We anticipate that our title insurance subsidiaries will pay or make dividends in the remainder of 2025 of approximately $253 million. Our underwritten title companies and non-insurance subsidiaries are not regulated to the same extent as our insurance subsidiaries.</w:t>
      </w:r>
    </w:p>
    <w:p>
      <w:pPr>
        <w:spacing w:after="0" w:line="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5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i w:val="1"/>
          <w:iCs w:val="1"/>
          <w:color w:val="auto"/>
        </w:rPr>
        <w:t>Operating Cash Flow</w:t>
      </w:r>
      <w:r>
        <w:rPr>
          <w:rFonts w:ascii="Times New Roman" w:cs="Times New Roman" w:eastAsia="Times New Roman" w:hAnsi="Times New Roman"/>
          <w:sz w:val="17"/>
          <w:szCs w:val="17"/>
          <w:color w:val="auto"/>
        </w:rPr>
        <w:t>. Our cash flows provided by operations for the six months ended June 30, 2025 and 2024 totaled $3,011 million and $2,954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increase in cash provided by operating activities in the 2025 period of $57 million is primarily attributable to increased net cash inflows associated with net earnings of $265 million, reduced net cash outflows associated with the change in other assets and other liabilities of $240 million and various other individually immaterial items, partially offset by reduced net cash inflows associated with the change in future policy benefits of $270 million, reduced net cash inflows associated with the change in derivative collateral liabilities of $126 million and net cash outflows associated with the change in income taxes of $52 million in the 2025 period as compared to net cash inflows associated with the change in income taxes of $79 million in the 2024 period.</w:t>
      </w:r>
    </w:p>
    <w:p>
      <w:pPr>
        <w:spacing w:after="0" w:line="6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flows used in investing activities for the six months ended June 30, 2025 and 2024 were $4,268 million and $3,021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increase in cash used in investing activities in the 2025 period of $1,247 million was primarily attributable to increased cash outflows for purchases of investment securities of $3,974 million and increased cash outflows for additional investments in unconsolidated affiliates of $418 million, partially offset by increased cash inflows from proceeds from sales, calls and maturities of investment securities of $2,274 million, increased cash inflows from net proceeds from sales and maturities of short-term investment securities of $481 million and reduced cash outflows for acquisitions of $331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capitalized software were $75 million and $76 million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2025 and 2024, respectively.</w:t>
      </w:r>
    </w:p>
    <w:p>
      <w:pPr>
        <w:spacing w:after="0" w:line="5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provided by financing activities for the six months ended June 30, 2025 and 2024 were $1,050 million and $2,190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decrease in cash provided by financing activities in the 2025 period of $1,140 million was primarily attributable to increased cash outflows for contractholder withdrawals of $663 million, reduced cash inflows from contractholder deposits of $396 million, reduced cash inflows from debt offerings of $175 million and increased purchases of treasury stock of $178 million, partially offset by increased cash inflows associated with the change in secured trust deposits of $224 million and cash inflows from the F&amp;G common stock offering of $117 million.</w:t>
      </w:r>
    </w:p>
    <w:p>
      <w:pPr>
        <w:spacing w:after="0" w:line="7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financing arrangements see Note G</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included in Item 8 of Part II of our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year ended December 31, 2024.</w:t>
      </w:r>
    </w:p>
    <w:p>
      <w:pPr>
        <w:spacing w:after="0" w:line="5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July 31, 2024, our Board of Directors approved a new three-year stock repurchase program effective July 31,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Repurchase Program") under which we are authorized to purchase up to 25 million shares of our FNF common stock through July 31, 2027. We repurchased 3,270,000 shares of FNF common stock under the 2024 Repurchase Program during the six months ended June 30, 2025 for approximately $184 million, at an average price of $56.18. Subsequent to June 30, 2025 and through market close on August 6, 2025, we repurchased a total of 91,224 shares for approximately $5 million, at an average price of $57.20 under this program.</w:t>
      </w:r>
    </w:p>
    <w:p>
      <w:pPr>
        <w:spacing w:after="0" w:line="75" w:lineRule="exact"/>
        <w:rPr>
          <w:sz w:val="20"/>
          <w:szCs w:val="20"/>
          <w:color w:val="auto"/>
        </w:rPr>
      </w:pPr>
    </w:p>
    <w:p>
      <w:pPr>
        <w:jc w:val="both"/>
        <w:ind w:right="2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and Preferred Security Investments. </w:t>
      </w:r>
      <w:r>
        <w:rPr>
          <w:rFonts w:ascii="Times New Roman" w:cs="Times New Roman" w:eastAsia="Times New Roman" w:hAnsi="Times New Roman"/>
          <w:sz w:val="18"/>
          <w:szCs w:val="18"/>
          <w:color w:val="auto"/>
        </w:rPr>
        <w:t>Our equity and preferred security investments may be subject to significant volatility. Currently prevailing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require us to record the change in fair value of equity and preferred security investments held as of any given period end within earnings. Our results of operations in future periods are anticipated to be subject to such volatility.</w:t>
      </w:r>
    </w:p>
    <w:p>
      <w:pPr>
        <w:spacing w:after="0" w:line="67"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Other than our unfunded investment commitments discussed below, there have been no significant changes to our off-balance sheet arrangements since our Annual Report on Form 10-K for the year ended December 31, 2024.</w:t>
      </w:r>
    </w:p>
    <w:p>
      <w:pPr>
        <w:spacing w:after="0" w:line="56"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 xml:space="preserve">We have unfunded investment commitments as of June 30, 2025 based upon the timing of when investments are executed compared to when the actual investments are funded, as some investments require that funding occur over a period of months or years. Please refer to Note F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to the unaudited Condensed Consolidated Financial Statements included in Item 1 of Part I of this Quarterly Report on Form 10-Q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details on unfunded investment commitments.</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material changes in the market risks described in our Annual Report on Form 10-K for the year ended December 31,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and six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See discussion of legal proceedings in Note F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 which is incorporated by reference into this Item 1 of Part II.</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on Form 10-Q, you should carefully consider the "Risk Factors" disclosed under "Item 1A. Risk Factors" in our Annual Report on Form 10-K for the year ended December 31, 2024.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F&amp;G segment is highly regulated and subject to numerous legal restrictions and regulations.</w:t>
      </w:r>
    </w:p>
    <w:p>
      <w:pPr>
        <w:spacing w:after="0" w:line="102"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State insurance regulators, the NAIC and federal regulators continually reexamine existing laws and regulations and may impose changes in the future. New interpretations of existing laws and the passage of new legislation may harm our ability to sell new policies, increase our claims exposure on policies we issued previously and adversely affect our profitability and financial strength. We are also subject to the risk that compliance with any particular regulator’s interpretation of a legal or accounting issue may not result in compliance with another regulator’s interpretation of the same issue, particularly when compliance is judged in hindsight. Regulators and other authorities have the power to bring administrative or judicial proceedings against us, which could result in, among other things, suspension or revocation of our licenses, cease and desist orders, fines, civil penalties, criminal penalties or other disciplinary action, which could materially harm our results of operations and financial condition.</w:t>
      </w:r>
    </w:p>
    <w:p>
      <w:pPr>
        <w:spacing w:after="0" w:line="7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cannot predict what form any future changes in these or other areas of regulation affecting the insurance industry might take or what effect, if any, such proposals might have on us if enacted into law. In addition, because our activities are relatively concentrated in a small number of lines of business, any change in law or regulation affecting one of those lines of business could have a disproportionate impact on us as compared to other more diversified insurance companies.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State Regulation</w:t>
      </w:r>
    </w:p>
    <w:p>
      <w:pPr>
        <w:spacing w:after="0" w:line="100"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Our business is subject to government regulation in each of the states in which we conduct business and is concerned primarily with the protection of policyholders and other customers rather than shareholders. Such regulation is vested in state agencies having broad administrative and discretionary authority, which may include, among other things, premium rates and increases thereto, underwriting practices, reserve requirements, marketing practices, advertising, privacy, policy forms, reinsurance reserve requirements, acquisitions, mergers and capital adequacy. At any given time, we and our insurance subsidiaries may be the subject of a number of ongoing financial or market conduct, audits or inquiries. From time to time, regulators raise issues during such examinations or audits that could have a material impact on our business.</w:t>
      </w:r>
    </w:p>
    <w:p>
      <w:pPr>
        <w:spacing w:after="0" w:line="77"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Under insurance guaranty fund laws in most states, insurance companies doing business therein can be assessed up to prescribed limits for policyholder losses incurred by insolvent companies. We cannot predict the amount or timing of any such future assessments and therefore the liability we have established for these potential assessments may not be adequate. In addition, regulators may change their interpretation or application of existing laws and regulations such as the case with broadening the scope of carriers that must contribute towards Long Term Care insolvencies.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NAIC</w:t>
      </w:r>
    </w:p>
    <w:p>
      <w:pPr>
        <w:spacing w:after="0" w:line="100"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Although our business is subject to regulation in each state in which we conduct business, in many instances the state regulatory models emanate from the NAIC. Some of the NAIC pronouncements, particularly as they affect accounting issues, take effect automatically in the various states without affirmative action by the states. Statutes, regulations and interpretations may be applied with retroactive impact, particularly in areas such as accounting and reserve requirements. The NAIC continues to work to reform state regulation in various areas, including comprehensive reforms relating to cybersecurity regulations, best interest standards, RBC and life insurance reserves.</w:t>
      </w:r>
    </w:p>
    <w:p>
      <w:pPr>
        <w:spacing w:after="0" w:line="73"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Our insurance subsidiaries are subject to minimum capitalization requirements based on RBC formulas for life insurance companies that establish capital requirements relating to insurance, business, asset, interest rate and certain other risks. Changes to statutory reserve or RBC requirements may increase the amount of reserves or capital our insurance companies are required to hold and may impact our ability to pay dividends. In addition, changes in statutory reserve or risk-based capital requirements may adversely impact our financial strength ratings. Changes currently under consideration include adding an operational risk component, factors for asset credit risk and group wide capital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Regulations under the Employee Retirement Income Security Act of 1974 ("ERISA"), including the United States Department of Labor’s (“DOL”) implementation of the “fiduciary rule.”</w:t>
      </w:r>
    </w:p>
    <w:p>
      <w:pPr>
        <w:spacing w:after="0" w:line="55"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The prohibited transaction rules of ERISA and the Internal Revenue Code of 1986, as amended (the “Code”) generally restrict the provision of investment advice to ERISA plans and participants and IRA owners, if the investment recommendation results in fees paid to the individual advisor, his or her firm, or their affiliates, which vary according to the investment recommendation chosen. In recent years, the DOL has issued or proposed several regulations that increase the level of disclosure that must be provided to plan sponsors and participants. These ERISA disclosure requirements could increase the Company’s regulatory and compliance burden, resulting in increased costs.</w:t>
      </w:r>
    </w:p>
    <w:p>
      <w:pPr>
        <w:spacing w:after="0" w:line="7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December 2020, the DOL issued its final version of an investment advice rule replacing the previous “Fiduciary Rule” that had been challenged by industry participants and vacated in March 2018 by the United States Fifth Circuit Court of Appeals. The new investment advice rule reinstates the five-part test for determining whether a person is considered a fiduciary for purposes of ERISA and the Code, and sets forth a new exemption, referred to as prohibited transaction class exemption (“PTE”) 2020-02. The rule’s preamble also contains the DOL’s reinterpretation of elements of the five-part test that appears to encompass more insurance agents selling IRA products and withdraws the DOL’s longstanding position that rollover recommendations out of employer plans are not subject to ERISA. The new rule took effect on February 16, 2021. The DOL left in place PTE 84-24, which is a longstanding class exemption providing prohibited transaction relief for insurance agents selling annuity products, provided that certain disclosures are made to the plan fiduciary, which is the policyholder in the case of an IRA, and certain other conditions are met. Among other things, these disclosures include the agent’s relationship to the insurer and commissions received in connection with the annuity sale. We, along with FGL Insurance and FGL NY Insurance, designed and launched a compliance program in January 2022 requiring all agents selling IRA products to submit an acknowledgment with each IRA application indicating the agent has satisfied PTE 84-24 requirements on a precautionary basis in case the agent acted or is found to have acted as a fiduciary.</w:t>
      </w:r>
    </w:p>
    <w:p>
      <w:pPr>
        <w:spacing w:after="0" w:line="8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On April 23, 2024, following previous attempts to expand fiduciary regulation for advisers, the DOL released a new rule, the “New Fiduciary Rule”, which significantly broadens the definition of “fiduciary” under ERISA and Section 4975 when advisers provide investment recommendations to plans subject to ERISA and Section 4975 of the Code. Among other requirements, the New Fiduciary Rule provides that any person will be an investment advice fiduciary if such person provides investment advice or makes an investment recommendation to a retirement investor (i.e., a plan, a discretionary plan fiduciary, a plan participant or beneficiary, an IRA, an IRA owner or beneficiary, or an IRA fiduciary) for a fee or other compensation, the person makes professional investment recommendations to investors on a regular basis as part of their business, and the recommendation is provided under circumstances that would indicate to a reasonable investor in like circumstances that the recommendation is based on a review of the particular needs or individual investor circumstances of the retirement investor, reflects the application of professional or expert judgment to the retirement investor’s particular needs or individual circumstances, and may be relied upon by the retirement investor as intended to advance the retirement investor’s best interest. Unlike the current ERISA standard, the New Fiduciary Rule subjects non-discretionary investment advice to retirement plans and accounts under the care and loyalty standards that also apply to investment advisors with discretionary authority or control over such plans and accounts. In addition, on the same date, the DOL issued amended versions of PTE 2020-02 and PTE 84-24, either or both of which provide prohibited transaction exemptive relief to insurance companies and insurance producers who make insurance product recommendations to retirement investors, subject to certain conditions. The New Fiduciary Rule likely means that certain of the Company’s agents will be considered fiduciaries for purposes of ERISA and the Code, subjecting the Company, and the insurance industry on the whole, to greater regulatory risk.</w:t>
      </w:r>
    </w:p>
    <w:p>
      <w:pPr>
        <w:spacing w:after="0" w:line="9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The DOL’s New Fiduciary Rule, which was scheduled to become effective on September 23, 2024, has been challenged. On July 25, 2024, in the case of </w:t>
      </w:r>
      <w:r>
        <w:rPr>
          <w:rFonts w:ascii="Times New Roman" w:cs="Times New Roman" w:eastAsia="Times New Roman" w:hAnsi="Times New Roman"/>
          <w:sz w:val="17"/>
          <w:szCs w:val="17"/>
          <w:i w:val="1"/>
          <w:iCs w:val="1"/>
          <w:color w:val="auto"/>
        </w:rPr>
        <w:t xml:space="preserve">Federation of Americans for Consumer Choice, Inc., et al. v. United States Department of Labor, et al., </w:t>
      </w:r>
      <w:r>
        <w:rPr>
          <w:rFonts w:ascii="Times New Roman" w:cs="Times New Roman" w:eastAsia="Times New Roman" w:hAnsi="Times New Roman"/>
          <w:sz w:val="17"/>
          <w:szCs w:val="17"/>
          <w:color w:val="auto"/>
        </w:rPr>
        <w:t>(“Federation of Americans”) the United States District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Court for the Eastern District of Texas issued an order staying the effective date of the DOL’s New Fiduciary Rule (and related amendments to PTE 84-24) that was issued in March 2024. The District Court, in part relying on the Supreme Court’s recent ruling in </w:t>
      </w:r>
      <w:r>
        <w:rPr>
          <w:rFonts w:ascii="Times New Roman" w:cs="Times New Roman" w:eastAsia="Times New Roman" w:hAnsi="Times New Roman"/>
          <w:sz w:val="17"/>
          <w:szCs w:val="17"/>
          <w:i w:val="1"/>
          <w:iCs w:val="1"/>
          <w:color w:val="auto"/>
        </w:rPr>
        <w:t>Loper Bright Enterprises v. Raimondo</w:t>
      </w:r>
      <w:r>
        <w:rPr>
          <w:rFonts w:ascii="Times New Roman" w:cs="Times New Roman" w:eastAsia="Times New Roman" w:hAnsi="Times New Roman"/>
          <w:sz w:val="17"/>
          <w:szCs w:val="17"/>
          <w:color w:val="auto"/>
        </w:rPr>
        <w:t>, found that the plaintiffs (primarily insurance agents) were likely to succeed on their arguments that the New Final Rule improperly expanded the definition of an “investment advice fiduciary” under ERISA. As a result, the New Final Rule’s original effective date of September 23, 2024 was delayed until further notice.</w:t>
      </w:r>
    </w:p>
    <w:p>
      <w:pPr>
        <w:spacing w:after="0" w:line="6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In addition, on July 26, 2024, a companion case to </w:t>
      </w:r>
      <w:r>
        <w:rPr>
          <w:rFonts w:ascii="Times New Roman" w:cs="Times New Roman" w:eastAsia="Times New Roman" w:hAnsi="Times New Roman"/>
          <w:sz w:val="18"/>
          <w:szCs w:val="18"/>
          <w:i w:val="1"/>
          <w:iCs w:val="1"/>
          <w:color w:val="auto"/>
        </w:rPr>
        <w:t>Federation of Americans</w:t>
      </w:r>
      <w:r>
        <w:rPr>
          <w:rFonts w:ascii="Times New Roman" w:cs="Times New Roman" w:eastAsia="Times New Roman" w:hAnsi="Times New Roman"/>
          <w:sz w:val="18"/>
          <w:szCs w:val="18"/>
          <w:color w:val="auto"/>
        </w:rPr>
        <w:t xml:space="preserve"> filed in the United States District Court for the Northern District of Texas, </w:t>
      </w:r>
      <w:r>
        <w:rPr>
          <w:rFonts w:ascii="Times New Roman" w:cs="Times New Roman" w:eastAsia="Times New Roman" w:hAnsi="Times New Roman"/>
          <w:sz w:val="18"/>
          <w:szCs w:val="18"/>
          <w:i w:val="1"/>
          <w:iCs w:val="1"/>
          <w:color w:val="auto"/>
        </w:rPr>
        <w:t xml:space="preserve">American Council of Life Insurers, et al. v. United States Dep’t of Labor, et al., </w:t>
      </w:r>
      <w:r>
        <w:rPr>
          <w:rFonts w:ascii="Times New Roman" w:cs="Times New Roman" w:eastAsia="Times New Roman" w:hAnsi="Times New Roman"/>
          <w:sz w:val="18"/>
          <w:szCs w:val="18"/>
          <w:color w:val="auto"/>
        </w:rPr>
        <w:t>held the remaining PTE amendments included in the New Final Rule (PTEs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2020-02, 75-1, 77-4, 80-83, 83-1 and 86-128) that were not challenged in </w:t>
      </w:r>
      <w:r>
        <w:rPr>
          <w:rFonts w:ascii="Times New Roman" w:cs="Times New Roman" w:eastAsia="Times New Roman" w:hAnsi="Times New Roman"/>
          <w:sz w:val="18"/>
          <w:szCs w:val="18"/>
          <w:i w:val="1"/>
          <w:iCs w:val="1"/>
          <w:color w:val="auto"/>
        </w:rPr>
        <w:t>Federation of Americans</w:t>
      </w:r>
      <w:r>
        <w:rPr>
          <w:rFonts w:ascii="Times New Roman" w:cs="Times New Roman" w:eastAsia="Times New Roman" w:hAnsi="Times New Roman"/>
          <w:sz w:val="18"/>
          <w:szCs w:val="18"/>
          <w:color w:val="auto"/>
        </w:rPr>
        <w:t xml:space="preserve"> were also stayed, noting that the Northern District fully agreed with the Eastern District’s analysis and decision to stay the effective date of the New Final Rule.</w:t>
      </w:r>
    </w:p>
    <w:p>
      <w:pPr>
        <w:spacing w:after="0" w:line="7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September 20, 2024, the DOL appealed both rulings to the Fifth Circuit Court of Appeals. In early 2025, the DOL filed successive unopposed motions to hold the appeals in abeyance to allow new agency officials time to become familiar with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issues in these cases and determine how they wish to proceed. The motions were granted so the appeals are in abeyance. A Fifth Circuit reversal of the Texas District Court rulings could have harmful effects on the insurance industry, creating additional hurdles to operate our business.</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cannot predict the final outcome of the pending litigation regarding the New Fiduciary Rule, however, 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we supervise our distribution force, compensation practices and liability exposure and costs, all of which could adversely impact our business, results of operations and/or financial condition. In addition to implementing the compliance procedures described above, management is monitoring further developments closely and will be working with IMOs and distributors to adapt to these evolving regulatory requirements and risks.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Bermuda and Cayman Islands Regulation</w:t>
      </w:r>
    </w:p>
    <w:p>
      <w:pPr>
        <w:spacing w:after="0" w:line="100"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Our business is subject to regulation in Bermuda and the Cayman Islands, including the BMA and the CIMA. These regulations may limit or curtail our activities, including activities that might be profitable, and changes to existing regulations may affect our ability to continue to offer our existing products and services, or new products and services we may wish to offer in the future.</w:t>
      </w:r>
    </w:p>
    <w:p>
      <w:pPr>
        <w:spacing w:after="0" w:line="7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Our reinsurance subsidiary, F&amp;G Life Re, is registered in Bermuda under the Bermuda Insurance Act and subject to the rules and regulations promulgated thereunder. The BMA has sought regulatory equivalency, which enables Bermuda’s commercial insurers to transact business with the European Union on a “level playing field.” In connection with its initial efforts to achieve equivalency under the European Union’s Directive (2009/138/EC) (“Solvency II”), the BMA implemented and imposed additional requirements on the companies it regulates. The European Commission in 2016 granted Bermuda’s commercial insurers full equivalence in all areas of Solvency II for an indefinite period of time.</w:t>
      </w:r>
    </w:p>
    <w:p>
      <w:pPr>
        <w:spacing w:after="0" w:line="77"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Our reinsurance subsidiary, F&amp;G Cayman Re, is licensed in the Cayman Islands by the CIMA and is subject to supervision by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8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as of the date of this Quarterly Report on Form 10-Q to the risk factors disclosed in “Item 1A. Risk Factors” included in our Annual Report on Form 10-K for the year ended December 31, 2024 other than those described above.</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FNF during the three months ended June 30, 2025:</w:t>
      </w:r>
    </w:p>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 Number of</w:t>
            </w: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6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46"/>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gridSpan w:val="2"/>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Purchased Under the</w:t>
            </w:r>
          </w:p>
        </w:tc>
        <w:tc>
          <w:tcPr>
            <w:tcW w:w="0" w:type="dxa"/>
            <w:vAlign w:val="bottom"/>
          </w:tcPr>
          <w:p>
            <w:pPr>
              <w:spacing w:after="0"/>
              <w:rPr>
                <w:sz w:val="1"/>
                <w:szCs w:val="1"/>
                <w:color w:val="auto"/>
              </w:rPr>
            </w:pPr>
          </w:p>
        </w:tc>
      </w:tr>
      <w:tr>
        <w:trPr>
          <w:trHeight w:val="193"/>
        </w:trPr>
        <w:tc>
          <w:tcPr>
            <w:tcW w:w="3940" w:type="dxa"/>
            <w:vAlign w:val="bottom"/>
            <w:gridSpan w:val="2"/>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6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(2)</w:t>
            </w:r>
          </w:p>
        </w:tc>
        <w:tc>
          <w:tcPr>
            <w:tcW w:w="0" w:type="dxa"/>
            <w:vAlign w:val="bottom"/>
          </w:tcPr>
          <w:p>
            <w:pPr>
              <w:spacing w:after="0"/>
              <w:rPr>
                <w:sz w:val="1"/>
                <w:szCs w:val="1"/>
                <w:color w:val="auto"/>
              </w:rPr>
            </w:pPr>
          </w:p>
        </w:tc>
      </w:tr>
      <w:tr>
        <w:trPr>
          <w:trHeight w:val="224"/>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4/1/2025 - 4/30/2025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24,550,000</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5/1/2025 - 5/31/2025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820,000</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23,730,000</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6/1/2025 - 06/30/2025</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21,730,000</w:t>
            </w:r>
          </w:p>
        </w:tc>
        <w:tc>
          <w:tcPr>
            <w:tcW w:w="0" w:type="dxa"/>
            <w:vAlign w:val="bottom"/>
          </w:tcPr>
          <w:p>
            <w:pPr>
              <w:spacing w:after="0"/>
              <w:rPr>
                <w:sz w:val="1"/>
                <w:szCs w:val="1"/>
                <w:color w:val="auto"/>
              </w:rPr>
            </w:pPr>
          </w:p>
        </w:tc>
      </w:tr>
      <w:tr>
        <w:trPr>
          <w:trHeight w:val="22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2,880,000</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2,880,000</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960" w:hanging="636"/>
        <w:spacing w:after="0" w:line="274" w:lineRule="auto"/>
        <w:tabs>
          <w:tab w:leader="none" w:pos="7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2024, our Board of Directors approved a three-year stock repurchase program effective July 31, 2024, under which we are authorized to purchase up to 25 million shares of our FNF common stock through July 31, 2027.</w:t>
      </w:r>
    </w:p>
    <w:p>
      <w:pPr>
        <w:spacing w:after="0" w:line="44"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and six months ended June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95"/>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Exhibits: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2.1</w:t>
            </w:r>
          </w:p>
        </w:tc>
        <w:tc>
          <w:tcPr>
            <w:tcW w:w="260" w:type="dxa"/>
            <w:vAlign w:val="bottom"/>
          </w:tcPr>
          <w:p>
            <w:pPr>
              <w:spacing w:after="0"/>
              <w:rPr>
                <w:sz w:val="18"/>
                <w:szCs w:val="18"/>
                <w:color w:val="auto"/>
              </w:rPr>
            </w:pPr>
          </w:p>
        </w:tc>
        <w:tc>
          <w:tcPr>
            <w:tcW w:w="9780" w:type="dxa"/>
            <w:vAlign w:val="bottom"/>
            <w:gridSpan w:val="14"/>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Plan of Conversion (incorporated by reference to Exhibit 2.1 to the Company's Current Report on Form 8-K, filed with the Commission</w:t>
              </w:r>
            </w:hyperlink>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20" w:type="dxa"/>
            <w:vAlign w:val="bottom"/>
            <w:tcBorders>
              <w:top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on June 12,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7"/>
        </w:trPr>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9780" w:type="dxa"/>
            <w:vAlign w:val="bottom"/>
            <w:gridSpan w:val="14"/>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Articles of Incorporation of Fidelity National Financial, Inc. (incorporated by reference to Exhibit 3.1 to the Company's Current Report</w:t>
              </w:r>
            </w:hyperlink>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on Form 8-K, filed with the Commission on June 12, 2025)</w:t>
              </w:r>
            </w:hyperlink>
          </w:p>
        </w:tc>
        <w:tc>
          <w:tcPr>
            <w:tcW w:w="54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3.2</w:t>
            </w:r>
          </w:p>
        </w:tc>
        <w:tc>
          <w:tcPr>
            <w:tcW w:w="260" w:type="dxa"/>
            <w:vAlign w:val="bottom"/>
          </w:tcPr>
          <w:p>
            <w:pPr>
              <w:spacing w:after="0"/>
              <w:rPr>
                <w:sz w:val="24"/>
                <w:szCs w:val="24"/>
                <w:color w:val="auto"/>
              </w:rPr>
            </w:pPr>
          </w:p>
        </w:tc>
        <w:tc>
          <w:tcPr>
            <w:tcW w:w="9780" w:type="dxa"/>
            <w:vAlign w:val="bottom"/>
            <w:gridSpan w:val="1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Bylaws of Fidelity National Financial, Inc. (incorporated by reference to Exhibit 3.2 to the Company's Current Report on Form 8-K,</w:t>
              </w:r>
            </w:hyperlink>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6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filed with the Commission on June 12, 2025)</w:t>
              </w:r>
            </w:hyperlink>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4"/>
        </w:trPr>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4.1</w:t>
            </w:r>
          </w:p>
        </w:tc>
        <w:tc>
          <w:tcPr>
            <w:tcW w:w="260" w:type="dxa"/>
            <w:vAlign w:val="bottom"/>
          </w:tcPr>
          <w:p>
            <w:pPr>
              <w:spacing w:after="0"/>
              <w:rPr>
                <w:sz w:val="24"/>
                <w:szCs w:val="24"/>
                <w:color w:val="auto"/>
              </w:rPr>
            </w:pPr>
          </w:p>
        </w:tc>
        <w:tc>
          <w:tcPr>
            <w:tcW w:w="9780" w:type="dxa"/>
            <w:vAlign w:val="bottom"/>
            <w:gridSpan w:val="14"/>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Ninth Supplemental Indenture, dated as of June 4, 2025 (incorporated by reference to Exhibit No. 4.1 to the Company’s Current Report</w:t>
              </w:r>
            </w:hyperlink>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on Form 8-K filed with the Commission on June 4, 2025).</w:t>
              </w:r>
            </w:hyperlink>
          </w:p>
        </w:tc>
        <w:tc>
          <w:tcPr>
            <w:tcW w:w="558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24"/>
        </w:trPr>
        <w:tc>
          <w:tcPr>
            <w:tcW w:w="12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31.1**</w:t>
            </w:r>
          </w:p>
        </w:tc>
        <w:tc>
          <w:tcPr>
            <w:tcW w:w="260" w:type="dxa"/>
            <w:vAlign w:val="bottom"/>
          </w:tcPr>
          <w:p>
            <w:pPr>
              <w:spacing w:after="0"/>
              <w:rPr>
                <w:sz w:val="24"/>
                <w:szCs w:val="24"/>
                <w:color w:val="auto"/>
              </w:rPr>
            </w:pPr>
          </w:p>
        </w:tc>
        <w:tc>
          <w:tcPr>
            <w:tcW w:w="7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302 of the Sarbanes-Oxley Act of 2002.</w:t>
            </w:r>
          </w:p>
        </w:tc>
        <w:tc>
          <w:tcPr>
            <w:tcW w:w="2680" w:type="dxa"/>
            <w:vAlign w:val="bottom"/>
            <w:gridSpan w:val="7"/>
          </w:tcPr>
          <w:p>
            <w:pPr>
              <w:spacing w:after="0"/>
              <w:rPr>
                <w:sz w:val="24"/>
                <w:szCs w:val="24"/>
                <w:color w:val="auto"/>
              </w:rPr>
            </w:pPr>
          </w:p>
        </w:tc>
      </w:tr>
      <w:tr>
        <w:trPr>
          <w:trHeight w:val="311"/>
        </w:trPr>
        <w:tc>
          <w:tcPr>
            <w:tcW w:w="12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31.2**</w:t>
            </w:r>
          </w:p>
        </w:tc>
        <w:tc>
          <w:tcPr>
            <w:tcW w:w="260" w:type="dxa"/>
            <w:vAlign w:val="bottom"/>
          </w:tcPr>
          <w:p>
            <w:pPr>
              <w:spacing w:after="0"/>
              <w:rPr>
                <w:sz w:val="24"/>
                <w:szCs w:val="24"/>
                <w:color w:val="auto"/>
              </w:rPr>
            </w:pP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5540" w:type="dxa"/>
            <w:vAlign w:val="bottom"/>
            <w:gridSpan w:val="4"/>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1"/>
        </w:trPr>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32.1***</w:t>
            </w:r>
          </w:p>
        </w:tc>
        <w:tc>
          <w:tcPr>
            <w:tcW w:w="260" w:type="dxa"/>
            <w:vAlign w:val="bottom"/>
          </w:tcPr>
          <w:p>
            <w:pPr>
              <w:spacing w:after="0"/>
              <w:rPr>
                <w:sz w:val="24"/>
                <w:szCs w:val="24"/>
                <w:color w:val="auto"/>
              </w:rPr>
            </w:pP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of Periodic Financial Reports pursuant to Section 906 of the Sarbanes-Oxley Act of 2002, 18</w:t>
            </w:r>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U.S.C. Section 1350.</w:t>
            </w:r>
          </w:p>
        </w:tc>
        <w:tc>
          <w:tcPr>
            <w:tcW w:w="824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64"/>
        </w:trPr>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32.2***</w:t>
            </w:r>
          </w:p>
        </w:tc>
        <w:tc>
          <w:tcPr>
            <w:tcW w:w="260" w:type="dxa"/>
            <w:vAlign w:val="bottom"/>
          </w:tcPr>
          <w:p>
            <w:pPr>
              <w:spacing w:after="0"/>
              <w:rPr>
                <w:sz w:val="24"/>
                <w:szCs w:val="24"/>
                <w:color w:val="auto"/>
              </w:rPr>
            </w:pP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w:t>
            </w:r>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U.S.C. Section 1350.</w:t>
            </w:r>
          </w:p>
        </w:tc>
        <w:tc>
          <w:tcPr>
            <w:tcW w:w="8160" w:type="dxa"/>
            <w:vAlign w:val="bottom"/>
            <w:tcBorders>
              <w:top w:val="single" w:sz="8" w:color="0000FF"/>
            </w:tcBorders>
            <w:gridSpan w:val="6"/>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405"/>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543"/>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71"/>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71"/>
        </w:trPr>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71"/>
        </w:trPr>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71"/>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140" w:lineRule="exact"/>
        <w:rPr>
          <w:sz w:val="20"/>
          <w:szCs w:val="20"/>
          <w:color w:val="auto"/>
        </w:rPr>
      </w:pPr>
    </w:p>
    <w:p>
      <w:pPr>
        <w:ind w:left="1520" w:hanging="1097"/>
        <w:spacing w:after="0"/>
        <w:tabs>
          <w:tab w:leader="none" w:pos="1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12"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hanging="174"/>
        <w:spacing w:after="0"/>
        <w:tabs>
          <w:tab w:leader="none" w:pos="1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9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5"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SIGNATURES</w:t>
      </w:r>
    </w:p>
    <w:p>
      <w:pPr>
        <w:spacing w:after="0" w:line="111" w:lineRule="exact"/>
        <w:rPr>
          <w:sz w:val="20"/>
          <w:szCs w:val="20"/>
          <w:color w:val="auto"/>
        </w:rPr>
      </w:pPr>
    </w:p>
    <w:p>
      <w:pPr>
        <w:ind w:firstLine="159"/>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160"/>
          </w:cols>
          <w:pgMar w:left="320" w:top="121" w:right="419" w:bottom="1440" w:gutter="0" w:footer="0" w:header="0"/>
        </w:sectPr>
      </w:pP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Date: August 7, 2025</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Times New Roman" w:cs="Times New Roman" w:eastAsia="Times New Roman" w:hAnsi="Times New Roman"/>
          <w:sz w:val="17"/>
          <w:szCs w:val="17"/>
          <w:color w:val="auto"/>
        </w:rPr>
        <w:t>FIDELITY NATIONAL FINANCIAL,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182" w:lineRule="exact"/>
        <w:rPr>
          <w:sz w:val="20"/>
          <w:szCs w:val="20"/>
          <w:color w:val="auto"/>
        </w:rPr>
      </w:pPr>
    </w:p>
    <w:p>
      <w:pPr>
        <w:sectPr>
          <w:pgSz w:w="11900" w:h="16838" w:orient="portrait"/>
          <w:cols w:equalWidth="0" w:num="2">
            <w:col w:w="4720" w:space="720"/>
            <w:col w:w="5720"/>
          </w:cols>
          <w:pgMar w:left="320" w:top="121" w:right="419" w:bottom="1440" w:gutter="0" w:footer="0" w:header="0"/>
          <w:type w:val="continuous"/>
        </w:sectPr>
      </w:pPr>
    </w:p>
    <w:p>
      <w:pPr>
        <w:spacing w:after="0" w:line="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27006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5700" w:space="220"/>
            <w:col w:w="5240"/>
          </w:cols>
          <w:pgMar w:left="320" w:top="121" w:right="419"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8"/>
          <w:szCs w:val="18"/>
          <w:color w:val="auto"/>
        </w:rPr>
        <w:t>Anthony J. Park</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ind w:left="59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60"/>
          </w:cols>
          <w:pgMar w:left="320" w:top="121" w:right="419" w:bottom="1440" w:gutter="0" w:footer="0" w:header="0"/>
          <w:type w:val="continuous"/>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Nolan, certify that:</w:t>
      </w:r>
    </w:p>
    <w:p>
      <w:pPr>
        <w:spacing w:after="0" w:line="145" w:lineRule="exact"/>
        <w:rPr>
          <w:sz w:val="20"/>
          <w:szCs w:val="20"/>
          <w:color w:val="auto"/>
        </w:rPr>
      </w:pPr>
    </w:p>
    <w:p>
      <w:pPr>
        <w:ind w:left="180" w:hanging="174"/>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64"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firstLine="6"/>
        <w:spacing w:after="0" w:line="259" w:lineRule="auto"/>
        <w:tabs>
          <w:tab w:leader="none" w:pos="1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firstLine="6"/>
        <w:spacing w:after="0" w:line="274" w:lineRule="auto"/>
        <w:tabs>
          <w:tab w:leader="none" w:pos="2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440" w:hanging="957"/>
        <w:spacing w:after="0" w:line="274" w:lineRule="auto"/>
        <w:tabs>
          <w:tab w:leader="none" w:pos="14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43" w:lineRule="exact"/>
        <w:rPr>
          <w:sz w:val="20"/>
          <w:szCs w:val="20"/>
          <w:color w:val="auto"/>
        </w:rPr>
      </w:pPr>
    </w:p>
    <w:p>
      <w:pPr>
        <w:ind w:left="46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15875</wp:posOffset>
            </wp:positionV>
            <wp:extent cx="26333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Michael J. Nolan</w:t>
      </w:r>
    </w:p>
    <w:p>
      <w:pPr>
        <w:ind w:left="1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7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145" w:lineRule="exact"/>
        <w:rPr>
          <w:sz w:val="20"/>
          <w:szCs w:val="20"/>
          <w:color w:val="auto"/>
        </w:rPr>
      </w:pPr>
    </w:p>
    <w:p>
      <w:pPr>
        <w:ind w:left="180" w:hanging="174"/>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64"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firstLine="6"/>
        <w:spacing w:after="0" w:line="259" w:lineRule="auto"/>
        <w:tabs>
          <w:tab w:leader="none" w:pos="1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firstLine="6"/>
        <w:spacing w:after="0" w:line="274" w:lineRule="auto"/>
        <w:tabs>
          <w:tab w:leader="none" w:pos="2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440" w:hanging="957"/>
        <w:spacing w:after="0" w:line="274" w:lineRule="auto"/>
        <w:tabs>
          <w:tab w:leader="none" w:pos="143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8" w:lineRule="exact"/>
        <w:rPr>
          <w:sz w:val="20"/>
          <w:szCs w:val="20"/>
          <w:color w:val="auto"/>
        </w:rPr>
      </w:pPr>
    </w:p>
    <w:p>
      <w:pPr>
        <w:ind w:left="1980"/>
        <w:spacing w:after="0"/>
        <w:tabs>
          <w:tab w:leader="none" w:pos="2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15875</wp:posOffset>
            </wp:positionV>
            <wp:extent cx="26333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ind w:left="2640"/>
        <w:spacing w:after="0"/>
        <w:rPr>
          <w:sz w:val="20"/>
          <w:szCs w:val="20"/>
          <w:color w:val="auto"/>
        </w:rPr>
      </w:pPr>
      <w:r>
        <w:rPr>
          <w:rFonts w:ascii="Times New Roman" w:cs="Times New Roman" w:eastAsia="Times New Roman" w:hAnsi="Times New Roman"/>
          <w:sz w:val="18"/>
          <w:szCs w:val="18"/>
          <w:color w:val="auto"/>
        </w:rPr>
        <w:t>Anthony J. Park</w:t>
      </w:r>
    </w:p>
    <w:p>
      <w:pPr>
        <w:ind w:left="2640"/>
        <w:spacing w:after="0" w:line="191" w:lineRule="auto"/>
        <w:rPr>
          <w:sz w:val="20"/>
          <w:szCs w:val="20"/>
          <w:color w:val="auto"/>
        </w:rPr>
      </w:pPr>
      <w:r>
        <w:rPr>
          <w:rFonts w:ascii="Times New Roman" w:cs="Times New Roman" w:eastAsia="Times New Roman" w:hAnsi="Times New Roman"/>
          <w:sz w:val="13"/>
          <w:szCs w:val="13"/>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Date: August 7, 2025</w:t>
      </w:r>
    </w:p>
    <w:p>
      <w:pPr>
        <w:sectPr>
          <w:pgSz w:w="11900" w:h="16838" w:orient="portrait"/>
          <w:cols w:equalWidth="0" w:num="1">
            <w:col w:w="11240"/>
          </w:cols>
          <w:pgMar w:left="320" w:top="87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46" w:lineRule="exact"/>
        <w:rPr>
          <w:sz w:val="20"/>
          <w:szCs w:val="20"/>
          <w:color w:val="auto"/>
        </w:rPr>
      </w:pPr>
    </w:p>
    <w:p>
      <w:pPr>
        <w:ind w:firstLine="363"/>
        <w:spacing w:after="0" w:line="274"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0" w:lineRule="exact"/>
        <w:rPr>
          <w:sz w:val="20"/>
          <w:szCs w:val="20"/>
          <w:color w:val="auto"/>
        </w:rPr>
      </w:pPr>
    </w:p>
    <w:p>
      <w:pPr>
        <w:ind w:left="880" w:hanging="874"/>
        <w:spacing w:after="0" w:line="274"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9" w:lineRule="exact"/>
        <w:rPr>
          <w:rFonts w:ascii="Times New Roman" w:cs="Times New Roman" w:eastAsia="Times New Roman" w:hAnsi="Times New Roman"/>
          <w:sz w:val="18"/>
          <w:szCs w:val="18"/>
          <w:color w:val="auto"/>
        </w:rPr>
      </w:pPr>
    </w:p>
    <w:p>
      <w:pPr>
        <w:ind w:left="880" w:hanging="874"/>
        <w:spacing w:after="0" w:line="274"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J. Nolan</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Nolan</w:t>
            </w:r>
          </w:p>
        </w:tc>
        <w:tc>
          <w:tcPr>
            <w:tcW w:w="0" w:type="dxa"/>
            <w:vAlign w:val="bottom"/>
          </w:tcPr>
          <w:p>
            <w:pPr>
              <w:spacing w:after="0"/>
              <w:rPr>
                <w:sz w:val="1"/>
                <w:szCs w:val="1"/>
                <w:color w:val="auto"/>
              </w:rPr>
            </w:pPr>
          </w:p>
        </w:tc>
      </w:tr>
      <w:tr>
        <w:trPr>
          <w:trHeight w:val="231"/>
        </w:trPr>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06"/>
        </w:trPr>
        <w:tc>
          <w:tcPr>
            <w:tcW w:w="2360" w:type="dxa"/>
            <w:vAlign w:val="bottom"/>
            <w:vMerge w:val="continue"/>
          </w:tcPr>
          <w:p>
            <w:pPr>
              <w:spacing w:after="0"/>
              <w:rPr>
                <w:sz w:val="9"/>
                <w:szCs w:val="9"/>
                <w:color w:val="auto"/>
              </w:rPr>
            </w:pPr>
          </w:p>
        </w:tc>
        <w:tc>
          <w:tcPr>
            <w:tcW w:w="5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66" w:lineRule="exact"/>
        <w:rPr>
          <w:sz w:val="20"/>
          <w:szCs w:val="20"/>
          <w:color w:val="auto"/>
        </w:rPr>
      </w:pPr>
    </w:p>
    <w:p>
      <w:pPr>
        <w:ind w:firstLine="373"/>
        <w:spacing w:after="0" w:line="274"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0" w:lineRule="exact"/>
        <w:rPr>
          <w:sz w:val="20"/>
          <w:szCs w:val="20"/>
          <w:color w:val="auto"/>
        </w:rPr>
      </w:pPr>
    </w:p>
    <w:p>
      <w:pPr>
        <w:ind w:left="880" w:hanging="874"/>
        <w:spacing w:after="0" w:line="274"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9" w:lineRule="exact"/>
        <w:rPr>
          <w:rFonts w:ascii="Times New Roman" w:cs="Times New Roman" w:eastAsia="Times New Roman" w:hAnsi="Times New Roman"/>
          <w:sz w:val="18"/>
          <w:szCs w:val="18"/>
          <w:color w:val="auto"/>
        </w:rPr>
      </w:pPr>
    </w:p>
    <w:p>
      <w:pPr>
        <w:ind w:left="880" w:hanging="874"/>
        <w:spacing w:after="0" w:line="274"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Anthony J. Park</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J. Park</w:t>
            </w:r>
          </w:p>
        </w:tc>
        <w:tc>
          <w:tcPr>
            <w:tcW w:w="0" w:type="dxa"/>
            <w:vAlign w:val="bottom"/>
          </w:tcPr>
          <w:p>
            <w:pPr>
              <w:spacing w:after="0"/>
              <w:rPr>
                <w:sz w:val="1"/>
                <w:szCs w:val="1"/>
                <w:color w:val="auto"/>
              </w:rPr>
            </w:pPr>
          </w:p>
        </w:tc>
      </w:tr>
      <w:tr>
        <w:trPr>
          <w:trHeight w:val="231"/>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06"/>
        </w:trPr>
        <w:tc>
          <w:tcPr>
            <w:tcW w:w="2300" w:type="dxa"/>
            <w:vAlign w:val="bottom"/>
            <w:vMerge w:val="continue"/>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lowerLetter"/>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Roman"/>
      <w:start w:val="2"/>
    </w:lvl>
  </w:abstractNum>
  <w:abstractNum w:abstractNumId="18">
    <w:nsid w:val="1E7FF521"/>
    <w:multiLevelType w:val="hybridMultilevel"/>
    <w:lvl w:ilvl="0">
      <w:lvlJc w:val="left"/>
      <w:lvlText w:val="(%1)"/>
      <w:numFmt w:val="lowerRoman"/>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lvl w:ilvl="1">
      <w:lvlJc w:val="left"/>
      <w:lvlText w:val="◦"/>
      <w:numFmt w:val="bullet"/>
      <w:start w:val="1"/>
    </w:lvl>
  </w:abstractNum>
  <w:abstractNum w:abstractNumId="29">
    <w:nsid w:val="5072367"/>
    <w:multiLevelType w:val="hybridMultilevel"/>
    <w:lvl w:ilvl="0">
      <w:lvlJc w:val="left"/>
      <w:lvlText w:val="•"/>
      <w:numFmt w:val="bullet"/>
      <w:start w:val="1"/>
    </w:lvl>
    <w:lvl w:ilvl="1">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
      <w:numFmt w:val="bullet"/>
      <w:start w:val="1"/>
    </w:lvl>
    <w:lvl w:ilvl="1">
      <w:lvlJc w:val="left"/>
      <w:lvlText w:val="%2"/>
      <w:numFmt w:val="decimal"/>
      <w:start w:val="104"/>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38" Type="http://schemas.openxmlformats.org/officeDocument/2006/relationships/hyperlink" Target="https://www.sec.gov/Archives/edgar/data/1331875/000133187525000046/fnf-planofconversion2025.htm" TargetMode="External"/><Relationship Id="rId139" Type="http://schemas.openxmlformats.org/officeDocument/2006/relationships/hyperlink" Target="https://www.sec.gov/Archives/edgar/data/1331875/000133187525000046/fidelitynationalfinancia.htm" TargetMode="External"/><Relationship Id="rId140" Type="http://schemas.openxmlformats.org/officeDocument/2006/relationships/hyperlink" Target="https://www.sec.gov/Archives/edgar/data/1331875/000133187525000046/fnf-bylawsnevadafinal339.htm" TargetMode="External"/><Relationship Id="rId141" Type="http://schemas.openxmlformats.org/officeDocument/2006/relationships/hyperlink" Target="https://www.sec.gov/ix?doc=/Archives/edgar/data/1331875/000133187525000046/fnf-202506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2025-08-07T16:05:14Z</dcterms:created>
  <dcterms:modified xsi:type="dcterms:W3CDTF">2025-08-07T16:05:14Z</dcterms:modified>
</cp:coreProperties>
</file>