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99060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127000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(Mark One)</w:t>
      </w:r>
    </w:p>
    <w:p>
      <w:pPr>
        <w:spacing w:after="0" w:line="10" w:lineRule="exact"/>
        <w:rPr>
          <w:sz w:val="20"/>
          <w:szCs w:val="20"/>
          <w:color w:val="auto"/>
        </w:rPr>
      </w:pPr>
    </w:p>
    <w:p>
      <w:pPr>
        <w:ind w:left="1960" w:hanging="1243"/>
        <w:spacing w:after="0"/>
        <w:tabs>
          <w:tab w:leader="none" w:pos="19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w:t>
      </w:r>
    </w:p>
    <w:p>
      <w:pPr>
        <w:ind w:left="1960" w:right="2880"/>
        <w:spacing w:after="0" w:line="345" w:lineRule="auto"/>
        <w:rPr>
          <w:rFonts w:ascii="MS PGothic" w:cs="MS PGothic" w:eastAsia="MS PGothic" w:hAnsi="MS PGothic"/>
          <w:sz w:val="22"/>
          <w:szCs w:val="22"/>
          <w:color w:val="auto"/>
        </w:rPr>
      </w:pPr>
      <w:r>
        <w:rPr>
          <w:rFonts w:ascii="Arial" w:cs="Arial" w:eastAsia="Arial" w:hAnsi="Arial"/>
          <w:sz w:val="22"/>
          <w:szCs w:val="22"/>
          <w:b w:val="1"/>
          <w:bCs w:val="1"/>
          <w:color w:val="auto"/>
        </w:rPr>
        <w:t>OF THE SECURITIES EXCHANGE ACT OF 1934 (No Fee Required) For the Fiscal Year Ended December 31, 2005</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209" w:lineRule="exact"/>
        <w:rPr>
          <w:sz w:val="20"/>
          <w:szCs w:val="20"/>
          <w:color w:val="auto"/>
        </w:rPr>
      </w:pPr>
    </w:p>
    <w:p>
      <w:pPr>
        <w:ind w:left="1960" w:right="1120" w:hanging="1202"/>
        <w:spacing w:after="0" w:line="256" w:lineRule="auto"/>
        <w:tabs>
          <w:tab w:leader="none" w:pos="19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 (No Fee Required)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No. 1-32630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85725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Fidelity National Title Group,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20" w:type="dxa"/>
            <w:vAlign w:val="bottom"/>
          </w:tcPr>
          <w:p>
            <w:pPr>
              <w:jc w:val="center"/>
              <w:ind w:left="151"/>
              <w:spacing w:after="0"/>
              <w:rPr>
                <w:sz w:val="20"/>
                <w:szCs w:val="20"/>
                <w:color w:val="auto"/>
              </w:rPr>
            </w:pPr>
            <w:r>
              <w:rPr>
                <w:rFonts w:ascii="Arial" w:cs="Arial" w:eastAsia="Arial" w:hAnsi="Arial"/>
                <w:sz w:val="18"/>
                <w:szCs w:val="18"/>
                <w:b w:val="1"/>
                <w:bCs w:val="1"/>
                <w:color w:val="auto"/>
                <w:w w:val="91"/>
              </w:rPr>
              <w:t>Delaware</w:t>
            </w:r>
          </w:p>
        </w:tc>
        <w:tc>
          <w:tcPr>
            <w:tcW w:w="402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16-1725106</w:t>
            </w:r>
          </w:p>
        </w:tc>
        <w:tc>
          <w:tcPr>
            <w:tcW w:w="1680" w:type="dxa"/>
            <w:vAlign w:val="bottom"/>
          </w:tcPr>
          <w:p>
            <w:pPr>
              <w:spacing w:after="0"/>
              <w:rPr>
                <w:sz w:val="19"/>
                <w:szCs w:val="19"/>
                <w:color w:val="auto"/>
              </w:rPr>
            </w:pPr>
          </w:p>
        </w:tc>
      </w:tr>
      <w:tr>
        <w:trPr>
          <w:trHeight w:val="216"/>
        </w:trPr>
        <w:tc>
          <w:tcPr>
            <w:tcW w:w="5720" w:type="dxa"/>
            <w:vAlign w:val="bottom"/>
          </w:tcPr>
          <w:p>
            <w:pPr>
              <w:jc w:val="center"/>
              <w:ind w:left="151"/>
              <w:spacing w:after="0"/>
              <w:rPr>
                <w:sz w:val="20"/>
                <w:szCs w:val="20"/>
                <w:color w:val="auto"/>
              </w:rPr>
            </w:pPr>
            <w:r>
              <w:rPr>
                <w:rFonts w:ascii="Arial" w:cs="Arial" w:eastAsia="Arial" w:hAnsi="Arial"/>
                <w:sz w:val="18"/>
                <w:szCs w:val="18"/>
                <w:i w:val="1"/>
                <w:iCs w:val="1"/>
                <w:color w:val="auto"/>
                <w:w w:val="93"/>
              </w:rPr>
              <w:t>(State or other jurisdiction</w:t>
            </w:r>
          </w:p>
        </w:tc>
        <w:tc>
          <w:tcPr>
            <w:tcW w:w="340" w:type="dxa"/>
            <w:vAlign w:val="bottom"/>
          </w:tcPr>
          <w:p>
            <w:pPr>
              <w:spacing w:after="0"/>
              <w:rPr>
                <w:sz w:val="18"/>
                <w:szCs w:val="18"/>
                <w:color w:val="auto"/>
              </w:rPr>
            </w:pPr>
          </w:p>
        </w:tc>
        <w:tc>
          <w:tcPr>
            <w:tcW w:w="3680" w:type="dxa"/>
            <w:vAlign w:val="bottom"/>
            <w:gridSpan w:val="2"/>
          </w:tcPr>
          <w:p>
            <w:pPr>
              <w:jc w:val="center"/>
              <w:ind w:left="1833"/>
              <w:spacing w:after="0"/>
              <w:rPr>
                <w:sz w:val="20"/>
                <w:szCs w:val="20"/>
                <w:color w:val="auto"/>
              </w:rPr>
            </w:pPr>
            <w:r>
              <w:rPr>
                <w:rFonts w:ascii="Arial" w:cs="Arial" w:eastAsia="Arial" w:hAnsi="Arial"/>
                <w:sz w:val="18"/>
                <w:szCs w:val="18"/>
                <w:i w:val="1"/>
                <w:iCs w:val="1"/>
                <w:color w:val="auto"/>
                <w:w w:val="90"/>
              </w:rPr>
              <w:t>(I.R.S. Employer</w:t>
            </w:r>
          </w:p>
        </w:tc>
        <w:tc>
          <w:tcPr>
            <w:tcW w:w="1680" w:type="dxa"/>
            <w:vAlign w:val="bottom"/>
          </w:tcPr>
          <w:p>
            <w:pPr>
              <w:spacing w:after="0"/>
              <w:rPr>
                <w:sz w:val="18"/>
                <w:szCs w:val="18"/>
                <w:color w:val="auto"/>
              </w:rPr>
            </w:pPr>
          </w:p>
        </w:tc>
      </w:tr>
      <w:tr>
        <w:trPr>
          <w:trHeight w:val="230"/>
        </w:trPr>
        <w:tc>
          <w:tcPr>
            <w:tcW w:w="5720" w:type="dxa"/>
            <w:vAlign w:val="bottom"/>
          </w:tcPr>
          <w:p>
            <w:pPr>
              <w:jc w:val="center"/>
              <w:ind w:left="151"/>
              <w:spacing w:after="0"/>
              <w:rPr>
                <w:sz w:val="20"/>
                <w:szCs w:val="20"/>
                <w:color w:val="auto"/>
              </w:rPr>
            </w:pPr>
            <w:r>
              <w:rPr>
                <w:rFonts w:ascii="Arial" w:cs="Arial" w:eastAsia="Arial" w:hAnsi="Arial"/>
                <w:sz w:val="18"/>
                <w:szCs w:val="18"/>
                <w:i w:val="1"/>
                <w:iCs w:val="1"/>
                <w:color w:val="auto"/>
                <w:w w:val="94"/>
              </w:rPr>
              <w:t>of incorporation or organization)</w:t>
            </w:r>
          </w:p>
        </w:tc>
        <w:tc>
          <w:tcPr>
            <w:tcW w:w="340" w:type="dxa"/>
            <w:vAlign w:val="bottom"/>
          </w:tcPr>
          <w:p>
            <w:pPr>
              <w:spacing w:after="0"/>
              <w:rPr>
                <w:sz w:val="20"/>
                <w:szCs w:val="20"/>
                <w:color w:val="auto"/>
              </w:rPr>
            </w:pPr>
          </w:p>
        </w:tc>
        <w:tc>
          <w:tcPr>
            <w:tcW w:w="3680" w:type="dxa"/>
            <w:vAlign w:val="bottom"/>
            <w:gridSpan w:val="2"/>
          </w:tcPr>
          <w:p>
            <w:pPr>
              <w:jc w:val="center"/>
              <w:ind w:left="1813"/>
              <w:spacing w:after="0"/>
              <w:rPr>
                <w:sz w:val="20"/>
                <w:szCs w:val="20"/>
                <w:color w:val="auto"/>
              </w:rPr>
            </w:pPr>
            <w:r>
              <w:rPr>
                <w:rFonts w:ascii="Arial" w:cs="Arial" w:eastAsia="Arial" w:hAnsi="Arial"/>
                <w:sz w:val="18"/>
                <w:szCs w:val="18"/>
                <w:i w:val="1"/>
                <w:iCs w:val="1"/>
                <w:color w:val="auto"/>
                <w:w w:val="95"/>
              </w:rPr>
              <w:t>Identification No.)</w:t>
            </w:r>
          </w:p>
        </w:tc>
        <w:tc>
          <w:tcPr>
            <w:tcW w:w="1680" w:type="dxa"/>
            <w:vAlign w:val="bottom"/>
          </w:tcPr>
          <w:p>
            <w:pPr>
              <w:spacing w:after="0"/>
              <w:rPr>
                <w:sz w:val="20"/>
                <w:szCs w:val="20"/>
                <w:color w:val="auto"/>
              </w:rPr>
            </w:pPr>
          </w:p>
        </w:tc>
      </w:tr>
      <w:tr>
        <w:trPr>
          <w:trHeight w:val="414"/>
        </w:trPr>
        <w:tc>
          <w:tcPr>
            <w:tcW w:w="5720" w:type="dxa"/>
            <w:vAlign w:val="bottom"/>
          </w:tcPr>
          <w:p>
            <w:pPr>
              <w:jc w:val="center"/>
              <w:ind w:left="151"/>
              <w:spacing w:after="0"/>
              <w:rPr>
                <w:sz w:val="20"/>
                <w:szCs w:val="20"/>
                <w:color w:val="auto"/>
              </w:rPr>
            </w:pPr>
            <w:r>
              <w:rPr>
                <w:rFonts w:ascii="Arial" w:cs="Arial" w:eastAsia="Arial" w:hAnsi="Arial"/>
                <w:sz w:val="18"/>
                <w:szCs w:val="18"/>
                <w:b w:val="1"/>
                <w:bCs w:val="1"/>
                <w:color w:val="auto"/>
                <w:w w:val="88"/>
              </w:rPr>
              <w:t>601 Riverside Avenue</w:t>
            </w:r>
          </w:p>
        </w:tc>
        <w:tc>
          <w:tcPr>
            <w:tcW w:w="402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(904) 854-8100</w:t>
            </w:r>
          </w:p>
        </w:tc>
        <w:tc>
          <w:tcPr>
            <w:tcW w:w="1680" w:type="dxa"/>
            <w:vAlign w:val="bottom"/>
          </w:tcPr>
          <w:p>
            <w:pPr>
              <w:spacing w:after="0"/>
              <w:rPr>
                <w:sz w:val="24"/>
                <w:szCs w:val="24"/>
                <w:color w:val="auto"/>
              </w:rPr>
            </w:pPr>
          </w:p>
        </w:tc>
      </w:tr>
      <w:tr>
        <w:trPr>
          <w:trHeight w:val="220"/>
        </w:trPr>
        <w:tc>
          <w:tcPr>
            <w:tcW w:w="5720" w:type="dxa"/>
            <w:vAlign w:val="bottom"/>
          </w:tcPr>
          <w:p>
            <w:pPr>
              <w:jc w:val="center"/>
              <w:ind w:left="151"/>
              <w:spacing w:after="0"/>
              <w:rPr>
                <w:sz w:val="20"/>
                <w:szCs w:val="20"/>
                <w:color w:val="auto"/>
              </w:rPr>
            </w:pPr>
            <w:r>
              <w:rPr>
                <w:rFonts w:ascii="Arial" w:cs="Arial" w:eastAsia="Arial" w:hAnsi="Arial"/>
                <w:sz w:val="18"/>
                <w:szCs w:val="18"/>
                <w:b w:val="1"/>
                <w:bCs w:val="1"/>
                <w:color w:val="auto"/>
                <w:w w:val="89"/>
              </w:rPr>
              <w:t>Jacksonville, Florida 32204</w:t>
            </w:r>
          </w:p>
        </w:tc>
        <w:tc>
          <w:tcPr>
            <w:tcW w:w="340" w:type="dxa"/>
            <w:vAlign w:val="bottom"/>
          </w:tcPr>
          <w:p>
            <w:pPr>
              <w:spacing w:after="0"/>
              <w:rPr>
                <w:sz w:val="19"/>
                <w:szCs w:val="19"/>
                <w:color w:val="auto"/>
              </w:rPr>
            </w:pPr>
          </w:p>
        </w:tc>
        <w:tc>
          <w:tcPr>
            <w:tcW w:w="5360" w:type="dxa"/>
            <w:vAlign w:val="bottom"/>
            <w:gridSpan w:val="3"/>
          </w:tcPr>
          <w:p>
            <w:pPr>
              <w:jc w:val="center"/>
              <w:ind w:left="153"/>
              <w:spacing w:after="0"/>
              <w:rPr>
                <w:sz w:val="20"/>
                <w:szCs w:val="20"/>
                <w:color w:val="auto"/>
              </w:rPr>
            </w:pPr>
            <w:r>
              <w:rPr>
                <w:rFonts w:ascii="Arial" w:cs="Arial" w:eastAsia="Arial" w:hAnsi="Arial"/>
                <w:sz w:val="18"/>
                <w:szCs w:val="18"/>
                <w:i w:val="1"/>
                <w:iCs w:val="1"/>
                <w:color w:val="auto"/>
                <w:w w:val="89"/>
              </w:rPr>
              <w:t>(Registrant’s telephone number,</w:t>
            </w:r>
          </w:p>
        </w:tc>
      </w:tr>
      <w:tr>
        <w:trPr>
          <w:trHeight w:val="216"/>
        </w:trPr>
        <w:tc>
          <w:tcPr>
            <w:tcW w:w="5720" w:type="dxa"/>
            <w:vAlign w:val="bottom"/>
          </w:tcPr>
          <w:p>
            <w:pPr>
              <w:jc w:val="center"/>
              <w:ind w:left="151"/>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40" w:type="dxa"/>
            <w:vAlign w:val="bottom"/>
          </w:tcPr>
          <w:p>
            <w:pPr>
              <w:spacing w:after="0"/>
              <w:rPr>
                <w:sz w:val="18"/>
                <w:szCs w:val="18"/>
                <w:color w:val="auto"/>
              </w:rPr>
            </w:pPr>
          </w:p>
        </w:tc>
        <w:tc>
          <w:tcPr>
            <w:tcW w:w="3680" w:type="dxa"/>
            <w:vAlign w:val="bottom"/>
            <w:gridSpan w:val="2"/>
          </w:tcPr>
          <w:p>
            <w:pPr>
              <w:jc w:val="center"/>
              <w:ind w:left="1813"/>
              <w:spacing w:after="0"/>
              <w:rPr>
                <w:sz w:val="20"/>
                <w:szCs w:val="20"/>
                <w:color w:val="auto"/>
              </w:rPr>
            </w:pPr>
            <w:r>
              <w:rPr>
                <w:rFonts w:ascii="Arial" w:cs="Arial" w:eastAsia="Arial" w:hAnsi="Arial"/>
                <w:sz w:val="18"/>
                <w:szCs w:val="18"/>
                <w:i w:val="1"/>
                <w:iCs w:val="1"/>
                <w:color w:val="auto"/>
                <w:w w:val="92"/>
              </w:rPr>
              <w:t>including area code)</w:t>
            </w:r>
          </w:p>
        </w:tc>
        <w:tc>
          <w:tcPr>
            <w:tcW w:w="1680" w:type="dxa"/>
            <w:vAlign w:val="bottom"/>
          </w:tcPr>
          <w:p>
            <w:pPr>
              <w:spacing w:after="0"/>
              <w:rPr>
                <w:sz w:val="18"/>
                <w:szCs w:val="18"/>
                <w:color w:val="auto"/>
              </w:rPr>
            </w:pPr>
          </w:p>
        </w:tc>
      </w:tr>
      <w:tr>
        <w:trPr>
          <w:trHeight w:val="230"/>
        </w:trPr>
        <w:tc>
          <w:tcPr>
            <w:tcW w:w="5720" w:type="dxa"/>
            <w:vAlign w:val="bottom"/>
          </w:tcPr>
          <w:p>
            <w:pPr>
              <w:jc w:val="center"/>
              <w:ind w:left="131"/>
              <w:spacing w:after="0"/>
              <w:rPr>
                <w:sz w:val="20"/>
                <w:szCs w:val="20"/>
                <w:color w:val="auto"/>
              </w:rPr>
            </w:pPr>
            <w:r>
              <w:rPr>
                <w:rFonts w:ascii="Arial" w:cs="Arial" w:eastAsia="Arial" w:hAnsi="Arial"/>
                <w:sz w:val="18"/>
                <w:szCs w:val="18"/>
                <w:i w:val="1"/>
                <w:iCs w:val="1"/>
                <w:color w:val="auto"/>
                <w:w w:val="92"/>
              </w:rPr>
              <w:t>including zip code)</w:t>
            </w:r>
          </w:p>
        </w:tc>
        <w:tc>
          <w:tcPr>
            <w:tcW w:w="3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24"/>
        </w:trPr>
        <w:tc>
          <w:tcPr>
            <w:tcW w:w="8900" w:type="dxa"/>
            <w:vAlign w:val="bottom"/>
            <w:gridSpan w:val="3"/>
          </w:tcPr>
          <w:p>
            <w:pPr>
              <w:jc w:val="center"/>
              <w:ind w:left="2451"/>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8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70"/>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40" w:type="dxa"/>
            <w:vAlign w:val="bottom"/>
          </w:tcPr>
          <w:p>
            <w:pPr>
              <w:spacing w:after="0"/>
              <w:rPr>
                <w:sz w:val="23"/>
                <w:szCs w:val="23"/>
                <w:color w:val="auto"/>
              </w:rPr>
            </w:pPr>
          </w:p>
        </w:tc>
        <w:tc>
          <w:tcPr>
            <w:tcW w:w="5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5720" w:type="dxa"/>
            <w:vAlign w:val="bottom"/>
          </w:tcPr>
          <w:p>
            <w:pPr>
              <w:jc w:val="center"/>
              <w:spacing w:after="0"/>
              <w:rPr>
                <w:sz w:val="20"/>
                <w:szCs w:val="20"/>
                <w:color w:val="auto"/>
              </w:rPr>
            </w:pPr>
            <w:r>
              <w:rPr>
                <w:rFonts w:ascii="Arial" w:cs="Arial" w:eastAsia="Arial" w:hAnsi="Arial"/>
                <w:sz w:val="18"/>
                <w:szCs w:val="18"/>
                <w:color w:val="auto"/>
                <w:w w:val="90"/>
              </w:rPr>
              <w:t>Common Stock, Class A, $.0001 par value</w:t>
            </w:r>
          </w:p>
        </w:tc>
        <w:tc>
          <w:tcPr>
            <w:tcW w:w="340" w:type="dxa"/>
            <w:vAlign w:val="bottom"/>
          </w:tcPr>
          <w:p>
            <w:pPr>
              <w:spacing w:after="0"/>
              <w:rPr>
                <w:sz w:val="19"/>
                <w:szCs w:val="19"/>
                <w:color w:val="auto"/>
              </w:rPr>
            </w:pPr>
          </w:p>
        </w:tc>
        <w:tc>
          <w:tcPr>
            <w:tcW w:w="3680" w:type="dxa"/>
            <w:vAlign w:val="bottom"/>
            <w:gridSpan w:val="2"/>
          </w:tcPr>
          <w:p>
            <w:pPr>
              <w:jc w:val="center"/>
              <w:ind w:left="1593"/>
              <w:spacing w:after="0"/>
              <w:rPr>
                <w:sz w:val="20"/>
                <w:szCs w:val="20"/>
                <w:color w:val="auto"/>
              </w:rPr>
            </w:pPr>
            <w:r>
              <w:rPr>
                <w:rFonts w:ascii="Arial" w:cs="Arial" w:eastAsia="Arial" w:hAnsi="Arial"/>
                <w:sz w:val="18"/>
                <w:szCs w:val="18"/>
                <w:color w:val="auto"/>
                <w:w w:val="91"/>
              </w:rPr>
              <w:t>New York Stock Exchange</w:t>
            </w:r>
          </w:p>
        </w:tc>
        <w:tc>
          <w:tcPr>
            <w:tcW w:w="1680" w:type="dxa"/>
            <w:vAlign w:val="bottom"/>
          </w:tcPr>
          <w:p>
            <w:pPr>
              <w:spacing w:after="0"/>
              <w:rPr>
                <w:sz w:val="19"/>
                <w:szCs w:val="19"/>
                <w:color w:val="auto"/>
              </w:rPr>
            </w:pPr>
          </w:p>
        </w:tc>
      </w:tr>
      <w:tr>
        <w:trPr>
          <w:trHeight w:val="323"/>
        </w:trPr>
        <w:tc>
          <w:tcPr>
            <w:tcW w:w="8900" w:type="dxa"/>
            <w:vAlign w:val="bottom"/>
            <w:gridSpan w:val="3"/>
          </w:tcPr>
          <w:p>
            <w:pPr>
              <w:jc w:val="center"/>
              <w:ind w:left="2431"/>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8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44"/>
        </w:trPr>
        <w:tc>
          <w:tcPr>
            <w:tcW w:w="8900" w:type="dxa"/>
            <w:vAlign w:val="bottom"/>
            <w:gridSpan w:val="3"/>
          </w:tcPr>
          <w:p>
            <w:pPr>
              <w:ind w:left="280"/>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840" w:type="dxa"/>
            <w:vAlign w:val="bottom"/>
          </w:tcPr>
          <w:p>
            <w:pPr>
              <w:ind w:left="40"/>
              <w:spacing w:after="0"/>
              <w:rPr>
                <w:sz w:val="20"/>
                <w:szCs w:val="20"/>
                <w:color w:val="auto"/>
              </w:rPr>
            </w:pPr>
            <w:r>
              <w:rPr>
                <w:rFonts w:ascii="Arial" w:cs="Arial" w:eastAsia="Arial" w:hAnsi="Arial"/>
                <w:sz w:val="18"/>
                <w:szCs w:val="18"/>
                <w:color w:val="auto"/>
              </w:rPr>
              <w:t>Yes o</w:t>
            </w:r>
          </w:p>
        </w:tc>
        <w:tc>
          <w:tcPr>
            <w:tcW w:w="168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24"/>
        </w:trPr>
        <w:tc>
          <w:tcPr>
            <w:tcW w:w="8900" w:type="dxa"/>
            <w:vAlign w:val="bottom"/>
            <w:gridSpan w:val="3"/>
          </w:tcPr>
          <w:p>
            <w:pPr>
              <w:ind w:left="280"/>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840" w:type="dxa"/>
            <w:vAlign w:val="bottom"/>
          </w:tcPr>
          <w:p>
            <w:pPr>
              <w:ind w:left="200"/>
              <w:spacing w:after="0"/>
              <w:rPr>
                <w:sz w:val="20"/>
                <w:szCs w:val="20"/>
                <w:color w:val="auto"/>
              </w:rPr>
            </w:pPr>
            <w:r>
              <w:rPr>
                <w:rFonts w:ascii="Arial" w:cs="Arial" w:eastAsia="Arial" w:hAnsi="Arial"/>
                <w:sz w:val="18"/>
                <w:szCs w:val="18"/>
                <w:color w:val="auto"/>
              </w:rPr>
              <w:t>Yes o</w:t>
            </w:r>
          </w:p>
        </w:tc>
        <w:tc>
          <w:tcPr>
            <w:tcW w:w="168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74" w:lineRule="exact"/>
        <w:rPr>
          <w:sz w:val="20"/>
          <w:szCs w:val="20"/>
          <w:color w:val="auto"/>
        </w:rPr>
      </w:pPr>
    </w:p>
    <w:p>
      <w:pPr>
        <w:ind w:right="200" w:firstLine="27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0"/>
          <w:szCs w:val="20"/>
          <w:color w:val="auto"/>
        </w:rPr>
      </w:pPr>
    </w:p>
    <w:p>
      <w:pPr>
        <w:ind w:right="300" w:firstLine="270"/>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definitions of “accelerated filer and large accelerated filer” in Rule 12b-2 of the Exchange Act.)</w:t>
      </w:r>
    </w:p>
    <w:p>
      <w:pPr>
        <w:sectPr>
          <w:pgSz w:w="11900" w:h="16838" w:orient="portrait"/>
          <w:cols w:equalWidth="0" w:num="1">
            <w:col w:w="11420"/>
          </w:cols>
          <w:pgMar w:left="240" w:top="122" w:right="239" w:bottom="1440" w:gutter="0" w:footer="0" w:header="0"/>
        </w:sectPr>
      </w:pPr>
    </w:p>
    <w:p>
      <w:pPr>
        <w:spacing w:after="0" w:line="1"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93" w:lineRule="exact"/>
        <w:rPr>
          <w:sz w:val="20"/>
          <w:szCs w:val="20"/>
          <w:color w:val="auto"/>
        </w:rPr>
      </w:pPr>
    </w:p>
    <w:p>
      <w:pPr>
        <w:sectPr>
          <w:pgSz w:w="11900" w:h="16838" w:orient="portrait"/>
          <w:cols w:equalWidth="0" w:num="3">
            <w:col w:w="4600" w:space="440"/>
            <w:col w:w="1340" w:space="460"/>
            <w:col w:w="4580"/>
          </w:cols>
          <w:pgMar w:left="240" w:top="122" w:right="239" w:bottom="1440" w:gutter="0" w:footer="0" w:header="0"/>
          <w:type w:val="continuous"/>
        </w:sectPr>
      </w:pPr>
    </w:p>
    <w:p>
      <w:pPr>
        <w:spacing w:after="0" w:line="3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Yes 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2" w:lineRule="exact"/>
        <w:rPr>
          <w:sz w:val="20"/>
          <w:szCs w:val="20"/>
          <w:color w:val="auto"/>
        </w:rPr>
      </w:pPr>
    </w:p>
    <w:p>
      <w:pPr>
        <w:sectPr>
          <w:pgSz w:w="11900" w:h="16838" w:orient="portrait"/>
          <w:cols w:equalWidth="0" w:num="3">
            <w:col w:w="8440" w:space="220"/>
            <w:col w:w="400" w:space="460"/>
            <w:col w:w="1900"/>
          </w:cols>
          <w:pgMar w:left="240" w:top="122" w:right="23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The aggregate market value of the shares of the Common Stock held by non-affiliates of the registrant as of December 31, 2005 was $696,787,961.</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As of March 1, 2006, there were 31,147,357 shares of Class A common stock and 143,176,041 shares of Class B common stock outstanding.</w:t>
      </w:r>
    </w:p>
    <w:p>
      <w:pPr>
        <w:spacing w:after="0" w:line="140" w:lineRule="exact"/>
        <w:rPr>
          <w:sz w:val="20"/>
          <w:szCs w:val="20"/>
          <w:color w:val="auto"/>
        </w:rPr>
      </w:pPr>
    </w:p>
    <w:p>
      <w:pPr>
        <w:ind w:right="560" w:firstLine="267"/>
        <w:spacing w:after="0" w:line="277" w:lineRule="auto"/>
        <w:rPr>
          <w:sz w:val="20"/>
          <w:szCs w:val="20"/>
          <w:color w:val="auto"/>
        </w:rPr>
      </w:pPr>
      <w:r>
        <w:rPr>
          <w:rFonts w:ascii="Arial" w:cs="Arial" w:eastAsia="Arial" w:hAnsi="Arial"/>
          <w:sz w:val="18"/>
          <w:szCs w:val="18"/>
          <w:color w:val="auto"/>
        </w:rPr>
        <w:t>The information in Part III hereof is incorporated herein by reference to the registrant’s Proxy Statement on Schedule 14A for the fiscal year ended December 31, 2005, to be filed within 120 days after the close of the fiscal year that is the subject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140" w:type="dxa"/>
            <w:vAlign w:val="bottom"/>
            <w:gridSpan w:val="17"/>
          </w:tcPr>
          <w:p>
            <w:pPr>
              <w:jc w:val="center"/>
              <w:ind w:right="3740"/>
              <w:spacing w:after="0"/>
              <w:rPr>
                <w:sz w:val="20"/>
                <w:szCs w:val="20"/>
                <w:color w:val="auto"/>
              </w:rPr>
            </w:pPr>
            <w:r>
              <w:rPr>
                <w:rFonts w:ascii="Arial" w:cs="Arial" w:eastAsia="Arial" w:hAnsi="Arial"/>
                <w:sz w:val="18"/>
                <w:szCs w:val="18"/>
                <w:b w:val="1"/>
                <w:bCs w:val="1"/>
                <w:color w:val="auto"/>
                <w:w w:val="98"/>
              </w:rPr>
              <w:t>TABLE OF CONTENTS</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40" w:type="dxa"/>
            <w:vAlign w:val="bottom"/>
            <w:gridSpan w:val="17"/>
          </w:tcPr>
          <w:p>
            <w:pPr>
              <w:jc w:val="center"/>
              <w:ind w:right="3760"/>
              <w:spacing w:after="0"/>
              <w:rPr>
                <w:sz w:val="20"/>
                <w:szCs w:val="20"/>
                <w:color w:val="auto"/>
              </w:rPr>
            </w:pPr>
            <w:r>
              <w:rPr>
                <w:rFonts w:ascii="Arial" w:cs="Arial" w:eastAsia="Arial" w:hAnsi="Arial"/>
                <w:sz w:val="18"/>
                <w:szCs w:val="18"/>
                <w:b w:val="1"/>
                <w:bCs w:val="1"/>
                <w:color w:val="auto"/>
              </w:rPr>
              <w:t>FORM 10-K</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gridSpan w:val="13"/>
            <w:vMerge w:val="restart"/>
          </w:tcPr>
          <w:p>
            <w:pPr>
              <w:jc w:val="center"/>
              <w:ind w:right="464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20" w:type="dxa"/>
            <w:vAlign w:val="bottom"/>
            <w:gridSpan w:val="13"/>
            <w:vMerge w:val="continue"/>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40" w:type="dxa"/>
            <w:vAlign w:val="bottom"/>
            <w:gridSpan w:val="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1320" w:type="dxa"/>
            <w:vAlign w:val="bottom"/>
          </w:tcPr>
          <w:p>
            <w:pPr>
              <w:spacing w:after="0"/>
              <w:rPr>
                <w:sz w:val="17"/>
                <w:szCs w:val="17"/>
                <w:color w:val="auto"/>
              </w:rPr>
            </w:pPr>
          </w:p>
        </w:tc>
        <w:tc>
          <w:tcPr>
            <w:tcW w:w="3020" w:type="dxa"/>
            <w:vAlign w:val="bottom"/>
            <w:gridSpan w:val="12"/>
          </w:tcPr>
          <w:p>
            <w:pPr>
              <w:ind w:left="6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tcBorders>
              <w:top w:val="single" w:sz="8" w:color="0000EE"/>
            </w:tcBorders>
            <w:gridSpan w:val="3"/>
          </w:tcPr>
          <w:p>
            <w:pPr>
              <w:spacing w:after="0"/>
              <w:rPr>
                <w:sz w:val="17"/>
                <w:szCs w:val="17"/>
                <w:color w:val="auto"/>
              </w:rPr>
            </w:pPr>
          </w:p>
        </w:tc>
        <w:tc>
          <w:tcPr>
            <w:tcW w:w="4640" w:type="dxa"/>
            <w:vAlign w:val="bottom"/>
            <w:gridSpan w:val="1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gridSpan w:val="4"/>
          </w:tcPr>
          <w:p>
            <w:pPr>
              <w:spacing w:after="0" w:line="19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Item 1A.</w:t>
              </w:r>
            </w:hyperlink>
          </w:p>
        </w:tc>
        <w:tc>
          <w:tcPr>
            <w:tcW w:w="40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8240" w:type="dxa"/>
            <w:vAlign w:val="bottom"/>
            <w:gridSpan w:val="25"/>
          </w:tcPr>
          <w:p>
            <w:pPr>
              <w:ind w:left="60"/>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gridSpan w:val="4"/>
          </w:tcPr>
          <w:p>
            <w:pPr>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Item 1B.</w:t>
              </w:r>
            </w:hyperlink>
          </w:p>
        </w:tc>
        <w:tc>
          <w:tcPr>
            <w:tcW w:w="40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8240" w:type="dxa"/>
            <w:vAlign w:val="bottom"/>
            <w:gridSpan w:val="25"/>
          </w:tcPr>
          <w:p>
            <w:pPr>
              <w:ind w:left="60"/>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20" w:type="dxa"/>
            <w:vAlign w:val="bottom"/>
            <w:gridSpan w:val="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420" w:type="dxa"/>
            <w:vAlign w:val="bottom"/>
            <w:gridSpan w:val="3"/>
          </w:tcPr>
          <w:p>
            <w:pPr>
              <w:spacing w:after="0"/>
              <w:rPr>
                <w:sz w:val="17"/>
                <w:szCs w:val="17"/>
                <w:color w:val="auto"/>
              </w:rPr>
            </w:pPr>
          </w:p>
        </w:tc>
        <w:tc>
          <w:tcPr>
            <w:tcW w:w="1320" w:type="dxa"/>
            <w:vAlign w:val="bottom"/>
          </w:tcPr>
          <w:p>
            <w:pPr>
              <w:spacing w:after="0"/>
              <w:rPr>
                <w:sz w:val="17"/>
                <w:szCs w:val="17"/>
                <w:color w:val="auto"/>
              </w:rPr>
            </w:pPr>
          </w:p>
        </w:tc>
        <w:tc>
          <w:tcPr>
            <w:tcW w:w="8240" w:type="dxa"/>
            <w:vAlign w:val="bottom"/>
            <w:gridSpan w:val="25"/>
          </w:tcPr>
          <w:p>
            <w:pPr>
              <w:ind w:left="6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40" w:type="dxa"/>
            <w:vAlign w:val="bottom"/>
            <w:gridSpan w:val="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3.</w:t>
              </w:r>
            </w:hyperlink>
          </w:p>
        </w:tc>
        <w:tc>
          <w:tcPr>
            <w:tcW w:w="1320" w:type="dxa"/>
            <w:vAlign w:val="bottom"/>
          </w:tcPr>
          <w:p>
            <w:pPr>
              <w:spacing w:after="0"/>
              <w:rPr>
                <w:sz w:val="17"/>
                <w:szCs w:val="17"/>
                <w:color w:val="auto"/>
              </w:rPr>
            </w:pPr>
          </w:p>
        </w:tc>
        <w:tc>
          <w:tcPr>
            <w:tcW w:w="8240" w:type="dxa"/>
            <w:vAlign w:val="bottom"/>
            <w:gridSpan w:val="25"/>
          </w:tcPr>
          <w:p>
            <w:pPr>
              <w:ind w:left="6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40" w:type="dxa"/>
            <w:vAlign w:val="bottom"/>
            <w:gridSpan w:val="6"/>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1320" w:type="dxa"/>
            <w:vAlign w:val="bottom"/>
          </w:tcPr>
          <w:p>
            <w:pPr>
              <w:spacing w:after="0"/>
              <w:rPr>
                <w:sz w:val="17"/>
                <w:szCs w:val="17"/>
                <w:color w:val="auto"/>
              </w:rPr>
            </w:pPr>
          </w:p>
        </w:tc>
        <w:tc>
          <w:tcPr>
            <w:tcW w:w="8240" w:type="dxa"/>
            <w:vAlign w:val="bottom"/>
            <w:gridSpan w:val="25"/>
          </w:tcPr>
          <w:p>
            <w:pPr>
              <w:ind w:left="6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Submission of Matters to a Vote of Security Holders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gridSpan w:val="9"/>
          </w:tcPr>
          <w:p>
            <w:pPr>
              <w:jc w:val="center"/>
              <w:ind w:right="180"/>
              <w:spacing w:after="0"/>
              <w:rPr>
                <w:rFonts w:ascii="Arial" w:cs="Arial" w:eastAsia="Arial" w:hAnsi="Arial"/>
                <w:sz w:val="18"/>
                <w:szCs w:val="18"/>
                <w:b w:val="1"/>
                <w:bCs w:val="1"/>
                <w:color w:val="0000EE"/>
                <w:w w:val="99"/>
              </w:rPr>
            </w:pPr>
            <w:hyperlink w:anchor="page26">
              <w:r>
                <w:rPr>
                  <w:rFonts w:ascii="Arial" w:cs="Arial" w:eastAsia="Arial" w:hAnsi="Arial"/>
                  <w:sz w:val="18"/>
                  <w:szCs w:val="18"/>
                  <w:b w:val="1"/>
                  <w:bCs w:val="1"/>
                  <w:color w:val="0000EE"/>
                  <w:w w:val="99"/>
                </w:rPr>
                <w:t>PART II</w:t>
              </w:r>
            </w:hyperlink>
          </w:p>
        </w:tc>
        <w:tc>
          <w:tcPr>
            <w:tcW w:w="4420" w:type="dxa"/>
            <w:vAlign w:val="bottom"/>
            <w:gridSpan w:val="5"/>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40" w:type="dxa"/>
            <w:vAlign w:val="bottom"/>
            <w:gridSpan w:val="6"/>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1320" w:type="dxa"/>
            <w:vAlign w:val="bottom"/>
          </w:tcPr>
          <w:p>
            <w:pPr>
              <w:spacing w:after="0"/>
              <w:rPr>
                <w:sz w:val="17"/>
                <w:szCs w:val="17"/>
                <w:color w:val="auto"/>
              </w:rPr>
            </w:pPr>
          </w:p>
        </w:tc>
        <w:tc>
          <w:tcPr>
            <w:tcW w:w="8240" w:type="dxa"/>
            <w:vAlign w:val="bottom"/>
            <w:gridSpan w:val="25"/>
          </w:tcPr>
          <w:p>
            <w:pPr>
              <w:ind w:left="6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Market for Registrant’s Common Equity, Related Stockholder Matters and Issuer Purchases of Equity</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26">
              <w:r>
                <w:rPr>
                  <w:rFonts w:ascii="Arial" w:cs="Arial" w:eastAsia="Arial" w:hAnsi="Arial"/>
                  <w:sz w:val="18"/>
                  <w:szCs w:val="18"/>
                  <w:color w:val="0000EE"/>
                  <w:w w:val="93"/>
                </w:rPr>
                <w:t>Securities</w:t>
              </w:r>
            </w:hyperlink>
          </w:p>
        </w:tc>
        <w:tc>
          <w:tcPr>
            <w:tcW w:w="7460" w:type="dxa"/>
            <w:vAlign w:val="bottom"/>
            <w:gridSpan w:val="2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40" w:type="dxa"/>
            <w:vAlign w:val="bottom"/>
            <w:gridSpan w:val="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6.</w:t>
              </w:r>
            </w:hyperlink>
          </w:p>
        </w:tc>
        <w:tc>
          <w:tcPr>
            <w:tcW w:w="1320" w:type="dxa"/>
            <w:vAlign w:val="bottom"/>
          </w:tcPr>
          <w:p>
            <w:pPr>
              <w:spacing w:after="0"/>
              <w:rPr>
                <w:sz w:val="17"/>
                <w:szCs w:val="17"/>
                <w:color w:val="auto"/>
              </w:rPr>
            </w:pPr>
          </w:p>
        </w:tc>
        <w:tc>
          <w:tcPr>
            <w:tcW w:w="8240" w:type="dxa"/>
            <w:vAlign w:val="bottom"/>
            <w:gridSpan w:val="25"/>
          </w:tcPr>
          <w:p>
            <w:pPr>
              <w:ind w:left="6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gridSpan w:val="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7.</w:t>
              </w:r>
            </w:hyperlink>
          </w:p>
        </w:tc>
        <w:tc>
          <w:tcPr>
            <w:tcW w:w="440" w:type="dxa"/>
            <w:vAlign w:val="bottom"/>
            <w:gridSpan w:val="4"/>
          </w:tcPr>
          <w:p>
            <w:pPr>
              <w:spacing w:after="0"/>
              <w:rPr>
                <w:sz w:val="17"/>
                <w:szCs w:val="17"/>
                <w:color w:val="auto"/>
              </w:rPr>
            </w:pPr>
          </w:p>
        </w:tc>
        <w:tc>
          <w:tcPr>
            <w:tcW w:w="1320" w:type="dxa"/>
            <w:vAlign w:val="bottom"/>
          </w:tcPr>
          <w:p>
            <w:pPr>
              <w:spacing w:after="0"/>
              <w:rPr>
                <w:sz w:val="17"/>
                <w:szCs w:val="17"/>
                <w:color w:val="auto"/>
              </w:rPr>
            </w:pPr>
          </w:p>
        </w:tc>
        <w:tc>
          <w:tcPr>
            <w:tcW w:w="8240" w:type="dxa"/>
            <w:vAlign w:val="bottom"/>
            <w:gridSpan w:val="25"/>
          </w:tcPr>
          <w:p>
            <w:pPr>
              <w:ind w:left="6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gridSpan w:val="4"/>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Item 7A.</w:t>
              </w:r>
            </w:hyperlink>
          </w:p>
        </w:tc>
        <w:tc>
          <w:tcPr>
            <w:tcW w:w="40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8240" w:type="dxa"/>
            <w:vAlign w:val="bottom"/>
            <w:gridSpan w:val="25"/>
          </w:tcPr>
          <w:p>
            <w:pPr>
              <w:ind w:left="60"/>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 about Market Risk</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gridSpan w:val="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Item 8.</w:t>
              </w:r>
            </w:hyperlink>
          </w:p>
        </w:tc>
        <w:tc>
          <w:tcPr>
            <w:tcW w:w="40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8240" w:type="dxa"/>
            <w:vAlign w:val="bottom"/>
            <w:gridSpan w:val="25"/>
          </w:tcPr>
          <w:p>
            <w:pPr>
              <w:ind w:left="60"/>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Financial Statements and Supplementary Data</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40" w:type="dxa"/>
            <w:vAlign w:val="bottom"/>
            <w:gridSpan w:val="6"/>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Item 9.</w:t>
              </w:r>
            </w:hyperlink>
          </w:p>
        </w:tc>
        <w:tc>
          <w:tcPr>
            <w:tcW w:w="1320" w:type="dxa"/>
            <w:vAlign w:val="bottom"/>
          </w:tcPr>
          <w:p>
            <w:pPr>
              <w:spacing w:after="0"/>
              <w:rPr>
                <w:sz w:val="17"/>
                <w:szCs w:val="17"/>
                <w:color w:val="auto"/>
              </w:rPr>
            </w:pPr>
          </w:p>
        </w:tc>
        <w:tc>
          <w:tcPr>
            <w:tcW w:w="8240" w:type="dxa"/>
            <w:vAlign w:val="bottom"/>
            <w:gridSpan w:val="25"/>
          </w:tcPr>
          <w:p>
            <w:pPr>
              <w:ind w:left="60"/>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Changes in and Disagreements with Accountants on Accounting and Financial Disclosure</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20" w:type="dxa"/>
            <w:vAlign w:val="bottom"/>
            <w:gridSpan w:val="4"/>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gridSpan w:val="4"/>
          </w:tcPr>
          <w:p>
            <w:pPr>
              <w:spacing w:after="0" w:line="196" w:lineRule="exact"/>
              <w:rPr>
                <w:rFonts w:ascii="Arial" w:cs="Arial" w:eastAsia="Arial" w:hAnsi="Arial"/>
                <w:sz w:val="18"/>
                <w:szCs w:val="18"/>
                <w:color w:val="0000EE"/>
                <w:w w:val="92"/>
              </w:rPr>
            </w:pPr>
            <w:hyperlink w:anchor="page89">
              <w:r>
                <w:rPr>
                  <w:rFonts w:ascii="Arial" w:cs="Arial" w:eastAsia="Arial" w:hAnsi="Arial"/>
                  <w:sz w:val="18"/>
                  <w:szCs w:val="18"/>
                  <w:color w:val="0000EE"/>
                  <w:w w:val="92"/>
                </w:rPr>
                <w:t>Item 9A.</w:t>
              </w:r>
            </w:hyperlink>
          </w:p>
        </w:tc>
        <w:tc>
          <w:tcPr>
            <w:tcW w:w="40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8240" w:type="dxa"/>
            <w:vAlign w:val="bottom"/>
            <w:gridSpan w:val="25"/>
          </w:tcPr>
          <w:p>
            <w:pPr>
              <w:ind w:left="60"/>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Controls and Procedures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gridSpan w:val="4"/>
          </w:tcPr>
          <w:p>
            <w:pPr>
              <w:spacing w:after="0" w:line="196" w:lineRule="exact"/>
              <w:rPr>
                <w:rFonts w:ascii="Arial" w:cs="Arial" w:eastAsia="Arial" w:hAnsi="Arial"/>
                <w:sz w:val="18"/>
                <w:szCs w:val="18"/>
                <w:color w:val="0000EE"/>
                <w:w w:val="92"/>
              </w:rPr>
            </w:pPr>
            <w:hyperlink w:anchor="page89">
              <w:r>
                <w:rPr>
                  <w:rFonts w:ascii="Arial" w:cs="Arial" w:eastAsia="Arial" w:hAnsi="Arial"/>
                  <w:sz w:val="18"/>
                  <w:szCs w:val="18"/>
                  <w:color w:val="0000EE"/>
                  <w:w w:val="92"/>
                </w:rPr>
                <w:t>Item 9B.</w:t>
              </w:r>
            </w:hyperlink>
          </w:p>
        </w:tc>
        <w:tc>
          <w:tcPr>
            <w:tcW w:w="40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8240" w:type="dxa"/>
            <w:vAlign w:val="bottom"/>
            <w:gridSpan w:val="25"/>
          </w:tcPr>
          <w:p>
            <w:pPr>
              <w:ind w:left="60"/>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Other Information</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Borders>
              <w:bottom w:val="single" w:sz="8" w:color="0000EE"/>
            </w:tcBorders>
            <w:gridSpan w:val="9"/>
          </w:tcPr>
          <w:p>
            <w:pPr>
              <w:jc w:val="center"/>
              <w:ind w:right="20"/>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PART III</w:t>
              </w:r>
            </w:hyperlink>
          </w:p>
        </w:tc>
        <w:tc>
          <w:tcPr>
            <w:tcW w:w="454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gridSpan w:val="2"/>
          </w:tcPr>
          <w:p>
            <w:pPr>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Item 10.</w:t>
              </w:r>
            </w:hyperlink>
          </w:p>
        </w:tc>
        <w:tc>
          <w:tcPr>
            <w:tcW w:w="440" w:type="dxa"/>
            <w:vAlign w:val="bottom"/>
            <w:gridSpan w:val="4"/>
          </w:tcPr>
          <w:p>
            <w:pPr>
              <w:spacing w:after="0"/>
              <w:rPr>
                <w:sz w:val="17"/>
                <w:szCs w:val="17"/>
                <w:color w:val="auto"/>
              </w:rPr>
            </w:pPr>
          </w:p>
        </w:tc>
        <w:tc>
          <w:tcPr>
            <w:tcW w:w="1320" w:type="dxa"/>
            <w:vAlign w:val="bottom"/>
          </w:tcPr>
          <w:p>
            <w:pPr>
              <w:spacing w:after="0"/>
              <w:rPr>
                <w:sz w:val="17"/>
                <w:szCs w:val="17"/>
                <w:color w:val="auto"/>
              </w:rPr>
            </w:pPr>
          </w:p>
        </w:tc>
        <w:tc>
          <w:tcPr>
            <w:tcW w:w="8240" w:type="dxa"/>
            <w:vAlign w:val="bottom"/>
            <w:gridSpan w:val="25"/>
          </w:tcPr>
          <w:p>
            <w:pPr>
              <w:ind w:left="60"/>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Directors and Executive Officers of the Registrant</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88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00" w:type="dxa"/>
            <w:vAlign w:val="bottom"/>
            <w:gridSpan w:val="7"/>
          </w:tcPr>
          <w:p>
            <w:pPr>
              <w:spacing w:after="0"/>
              <w:rPr>
                <w:sz w:val="20"/>
                <w:szCs w:val="20"/>
                <w:color w:val="auto"/>
              </w:rPr>
            </w:pPr>
            <w:r>
              <w:rPr>
                <w:rFonts w:ascii="Arial" w:cs="Arial" w:eastAsia="Arial" w:hAnsi="Arial"/>
                <w:sz w:val="18"/>
                <w:szCs w:val="18"/>
                <w:color w:val="auto"/>
              </w:rPr>
              <w:t>Item 11.</w:t>
            </w:r>
          </w:p>
        </w:tc>
        <w:tc>
          <w:tcPr>
            <w:tcW w:w="9560" w:type="dxa"/>
            <w:vAlign w:val="bottom"/>
            <w:gridSpan w:val="26"/>
          </w:tcPr>
          <w:p>
            <w:pPr>
              <w:ind w:left="1320"/>
              <w:spacing w:after="0"/>
              <w:rPr>
                <w:sz w:val="20"/>
                <w:szCs w:val="20"/>
                <w:color w:val="auto"/>
              </w:rPr>
            </w:pPr>
            <w:r>
              <w:rPr>
                <w:rFonts w:ascii="Arial" w:cs="Arial" w:eastAsia="Arial" w:hAnsi="Arial"/>
                <w:sz w:val="18"/>
                <w:szCs w:val="18"/>
                <w:color w:val="auto"/>
              </w:rPr>
              <w:t>Executive Compensation</w:t>
            </w:r>
          </w:p>
        </w:tc>
        <w:tc>
          <w:tcPr>
            <w:tcW w:w="54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600" w:type="dxa"/>
            <w:vAlign w:val="bottom"/>
            <w:gridSpan w:val="2"/>
          </w:tcPr>
          <w:p>
            <w:pPr>
              <w:spacing w:after="0" w:line="190"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Item 12.</w:t>
              </w:r>
            </w:hyperlink>
          </w:p>
        </w:tc>
        <w:tc>
          <w:tcPr>
            <w:tcW w:w="440" w:type="dxa"/>
            <w:vAlign w:val="bottom"/>
            <w:gridSpan w:val="4"/>
          </w:tcPr>
          <w:p>
            <w:pPr>
              <w:spacing w:after="0"/>
              <w:rPr>
                <w:sz w:val="16"/>
                <w:szCs w:val="16"/>
                <w:color w:val="auto"/>
              </w:rPr>
            </w:pPr>
          </w:p>
        </w:tc>
        <w:tc>
          <w:tcPr>
            <w:tcW w:w="1320" w:type="dxa"/>
            <w:vAlign w:val="bottom"/>
          </w:tcPr>
          <w:p>
            <w:pPr>
              <w:spacing w:after="0"/>
              <w:rPr>
                <w:sz w:val="16"/>
                <w:szCs w:val="16"/>
                <w:color w:val="auto"/>
              </w:rPr>
            </w:pPr>
          </w:p>
        </w:tc>
        <w:tc>
          <w:tcPr>
            <w:tcW w:w="8240" w:type="dxa"/>
            <w:vAlign w:val="bottom"/>
            <w:gridSpan w:val="25"/>
          </w:tcPr>
          <w:p>
            <w:pPr>
              <w:ind w:left="60"/>
              <w:spacing w:after="0" w:line="190" w:lineRule="exact"/>
              <w:rPr>
                <w:rFonts w:ascii="Arial" w:cs="Arial" w:eastAsia="Arial" w:hAnsi="Arial"/>
                <w:sz w:val="18"/>
                <w:szCs w:val="18"/>
                <w:color w:val="0000EE"/>
              </w:rPr>
            </w:pPr>
            <w:hyperlink w:anchor="page90">
              <w:r>
                <w:rPr>
                  <w:rFonts w:ascii="Arial" w:cs="Arial" w:eastAsia="Arial" w:hAnsi="Arial"/>
                  <w:sz w:val="18"/>
                  <w:szCs w:val="18"/>
                  <w:color w:val="0000EE"/>
                </w:rPr>
                <w:t>Security Ownership of Certain Beneficial Owners and Management and Related Stockholder Matters</w:t>
              </w:r>
            </w:hyperlink>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3660" w:type="dxa"/>
            <w:vAlign w:val="bottom"/>
            <w:gridSpan w:val="6"/>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gridSpan w:val="2"/>
          </w:tcPr>
          <w:p>
            <w:pPr>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Item 13.</w:t>
              </w:r>
            </w:hyperlink>
          </w:p>
        </w:tc>
        <w:tc>
          <w:tcPr>
            <w:tcW w:w="3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40" w:type="dxa"/>
            <w:vAlign w:val="bottom"/>
            <w:gridSpan w:val="25"/>
          </w:tcPr>
          <w:p>
            <w:pPr>
              <w:ind w:left="60"/>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Certain Relationships and Related Transactions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88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00" w:type="dxa"/>
            <w:vAlign w:val="bottom"/>
            <w:gridSpan w:val="7"/>
          </w:tcPr>
          <w:p>
            <w:pPr>
              <w:spacing w:after="0"/>
              <w:rPr>
                <w:sz w:val="20"/>
                <w:szCs w:val="20"/>
                <w:color w:val="auto"/>
              </w:rPr>
            </w:pPr>
            <w:r>
              <w:rPr>
                <w:rFonts w:ascii="Arial" w:cs="Arial" w:eastAsia="Arial" w:hAnsi="Arial"/>
                <w:sz w:val="18"/>
                <w:szCs w:val="18"/>
                <w:color w:val="auto"/>
              </w:rPr>
              <w:t>Item 14.</w:t>
            </w:r>
          </w:p>
        </w:tc>
        <w:tc>
          <w:tcPr>
            <w:tcW w:w="9560" w:type="dxa"/>
            <w:vAlign w:val="bottom"/>
            <w:gridSpan w:val="26"/>
          </w:tcPr>
          <w:p>
            <w:pPr>
              <w:ind w:left="1320"/>
              <w:spacing w:after="0"/>
              <w:rPr>
                <w:sz w:val="20"/>
                <w:szCs w:val="20"/>
                <w:color w:val="auto"/>
              </w:rPr>
            </w:pPr>
            <w:r>
              <w:rPr>
                <w:rFonts w:ascii="Arial" w:cs="Arial" w:eastAsia="Arial" w:hAnsi="Arial"/>
                <w:sz w:val="18"/>
                <w:szCs w:val="18"/>
                <w:color w:val="auto"/>
              </w:rPr>
              <w:t>Principal Accountant Fees and Services</w:t>
            </w:r>
          </w:p>
        </w:tc>
        <w:tc>
          <w:tcPr>
            <w:tcW w:w="54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bottom w:val="single" w:sz="8" w:color="0000EE"/>
            </w:tcBorders>
            <w:gridSpan w:val="8"/>
          </w:tcPr>
          <w:p>
            <w:pPr>
              <w:jc w:val="center"/>
              <w:spacing w:after="0"/>
              <w:rPr>
                <w:rFonts w:ascii="Arial" w:cs="Arial" w:eastAsia="Arial" w:hAnsi="Arial"/>
                <w:sz w:val="18"/>
                <w:szCs w:val="18"/>
                <w:b w:val="1"/>
                <w:bCs w:val="1"/>
                <w:color w:val="0000EE"/>
              </w:rPr>
            </w:pPr>
            <w:hyperlink w:anchor="page109">
              <w:r>
                <w:rPr>
                  <w:rFonts w:ascii="Arial" w:cs="Arial" w:eastAsia="Arial" w:hAnsi="Arial"/>
                  <w:sz w:val="18"/>
                  <w:szCs w:val="18"/>
                  <w:b w:val="1"/>
                  <w:bCs w:val="1"/>
                  <w:color w:val="0000EE"/>
                </w:rPr>
                <w:t>PART IV</w:t>
              </w:r>
            </w:hyperlink>
          </w:p>
        </w:tc>
        <w:tc>
          <w:tcPr>
            <w:tcW w:w="4560" w:type="dxa"/>
            <w:vAlign w:val="bottom"/>
            <w:gridSpan w:val="7"/>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gridSpan w:val="2"/>
          </w:tcPr>
          <w:p>
            <w:pPr>
              <w:spacing w:after="0" w:line="196" w:lineRule="exact"/>
              <w:rPr>
                <w:rFonts w:ascii="Arial" w:cs="Arial" w:eastAsia="Arial" w:hAnsi="Arial"/>
                <w:sz w:val="18"/>
                <w:szCs w:val="18"/>
                <w:color w:val="0000EE"/>
                <w:w w:val="89"/>
              </w:rPr>
            </w:pPr>
            <w:hyperlink w:anchor="page109">
              <w:r>
                <w:rPr>
                  <w:rFonts w:ascii="Arial" w:cs="Arial" w:eastAsia="Arial" w:hAnsi="Arial"/>
                  <w:sz w:val="18"/>
                  <w:szCs w:val="18"/>
                  <w:color w:val="0000EE"/>
                  <w:w w:val="89"/>
                </w:rPr>
                <w:t>Item 15.</w:t>
              </w:r>
            </w:hyperlink>
          </w:p>
        </w:tc>
        <w:tc>
          <w:tcPr>
            <w:tcW w:w="440" w:type="dxa"/>
            <w:vAlign w:val="bottom"/>
            <w:gridSpan w:val="4"/>
          </w:tcPr>
          <w:p>
            <w:pPr>
              <w:spacing w:after="0"/>
              <w:rPr>
                <w:sz w:val="17"/>
                <w:szCs w:val="17"/>
                <w:color w:val="auto"/>
              </w:rPr>
            </w:pPr>
          </w:p>
        </w:tc>
        <w:tc>
          <w:tcPr>
            <w:tcW w:w="1320" w:type="dxa"/>
            <w:vAlign w:val="bottom"/>
          </w:tcPr>
          <w:p>
            <w:pPr>
              <w:spacing w:after="0"/>
              <w:rPr>
                <w:sz w:val="17"/>
                <w:szCs w:val="17"/>
                <w:color w:val="auto"/>
              </w:rPr>
            </w:pPr>
          </w:p>
        </w:tc>
        <w:tc>
          <w:tcPr>
            <w:tcW w:w="8240" w:type="dxa"/>
            <w:vAlign w:val="bottom"/>
            <w:gridSpan w:val="25"/>
          </w:tcPr>
          <w:p>
            <w:pPr>
              <w:ind w:left="60"/>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Exhibits, Financial Statement Schedules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6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3"/>
              </w:rPr>
              <w:t>EXHIBIT 4.1</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EXHIBIT 10.2</w:t>
            </w: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10.3</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23.1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32.2</w:t>
      </w:r>
    </w:p>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58"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21" w:lineRule="exact"/>
        <w:rPr>
          <w:sz w:val="20"/>
          <w:szCs w:val="20"/>
          <w:color w:val="auto"/>
        </w:rPr>
      </w:pPr>
    </w:p>
    <w:p>
      <w:pPr>
        <w:ind w:firstLine="270"/>
        <w:spacing w:after="0" w:line="293" w:lineRule="auto"/>
        <w:rPr>
          <w:sz w:val="20"/>
          <w:szCs w:val="20"/>
          <w:color w:val="auto"/>
        </w:rPr>
      </w:pPr>
      <w:r>
        <w:rPr>
          <w:rFonts w:ascii="Arial" w:cs="Arial" w:eastAsia="Arial" w:hAnsi="Arial"/>
          <w:sz w:val="16"/>
          <w:szCs w:val="16"/>
          <w:color w:val="auto"/>
        </w:rPr>
        <w:t>Fidelity National Title Group, Inc. (“FNT” or the “Company”) is the largest title insurance company in the United States. Our title insurance underwriters — Fidelity National Title, Chicago Title, Ticor Title, Security Union Title and Alamo Title — together issued approximately 30.5% of all title insurance policies issued nationally during 2004, as measured by premiums. Our title business consists of providing title insurance and escrow and other title-related products and services arising from the real estate closing process. Our operations are conducted on a direct basis through our own employees who act as title and escrow agents and through independent agents. In addition to our independent agents, our customers are lenders, mortgage brokers, attorneys, real estate agents, home builders and commercial real estate developers. We do not focus our marketing efforts on the homeowner.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121" w:lineRule="exact"/>
        <w:rPr>
          <w:sz w:val="20"/>
          <w:szCs w:val="20"/>
          <w:color w:val="auto"/>
        </w:rPr>
      </w:pPr>
    </w:p>
    <w:p>
      <w:pPr>
        <w:ind w:firstLine="267"/>
        <w:spacing w:after="0" w:line="291" w:lineRule="auto"/>
        <w:rPr>
          <w:sz w:val="20"/>
          <w:szCs w:val="20"/>
          <w:color w:val="auto"/>
        </w:rPr>
      </w:pPr>
      <w:r>
        <w:rPr>
          <w:rFonts w:ascii="Arial" w:cs="Arial" w:eastAsia="Arial" w:hAnsi="Arial"/>
          <w:sz w:val="16"/>
          <w:szCs w:val="16"/>
          <w:color w:val="auto"/>
        </w:rPr>
        <w:t>The predecessors to FNT have primarily been title insurance companies, some of which have been in operation since the late 1800s. Many of these title insurance companies have been acquired in the last two decades. In 1984, our parent company, Fidelity National Financial, Inc. (“FNF”) acquired a controlling interest in Fidelity National Title Insurance Company. During the 1990s, FNF acquired Alamo Title, Nations Title Inc., Western Title Company of Washington and First Title Corp. In 2000, FNF completed the acquisition of Chicago Title Corp., creating the largest title insurance organization in the world. In 2004, FNF acquired American Pioneer Title Insurance Company, which now operates under our Ticor Title brand. Chicago Title had previously acquired Security Union Title in 1987 and Ticor Title Insurance Company in 1991. Our businesses have historically been operated as wholly-owned subsidiaries of FNF until October 2005, when FNF distributed to its shareholders a minority interest in FNT. (See “Recent Developments” below.)</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believe that our competitive strengths include the following:</w:t>
      </w:r>
    </w:p>
    <w:p>
      <w:pPr>
        <w:spacing w:after="0" w:line="117" w:lineRule="exact"/>
        <w:rPr>
          <w:sz w:val="20"/>
          <w:szCs w:val="20"/>
          <w:color w:val="auto"/>
        </w:rPr>
      </w:pPr>
    </w:p>
    <w:p>
      <w:pPr>
        <w:jc w:val="both"/>
        <w:ind w:left="360" w:firstLine="270"/>
        <w:spacing w:after="0" w:line="279" w:lineRule="auto"/>
        <w:rPr>
          <w:sz w:val="20"/>
          <w:szCs w:val="20"/>
          <w:color w:val="auto"/>
        </w:rPr>
      </w:pPr>
      <w:r>
        <w:rPr>
          <w:rFonts w:ascii="Arial" w:cs="Arial" w:eastAsia="Arial" w:hAnsi="Arial"/>
          <w:sz w:val="17"/>
          <w:szCs w:val="17"/>
          <w:i w:val="1"/>
          <w:iCs w:val="1"/>
          <w:color w:val="auto"/>
        </w:rPr>
        <w:t xml:space="preserve">Leading title insurance company. </w:t>
      </w:r>
      <w:r>
        <w:rPr>
          <w:rFonts w:ascii="Arial" w:cs="Arial" w:eastAsia="Arial" w:hAnsi="Arial"/>
          <w:sz w:val="17"/>
          <w:szCs w:val="17"/>
          <w:color w:val="auto"/>
        </w:rPr>
        <w:t>We are the largest title insurance company in the United States and a leading provider of escrow and other closing</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for real estate transactions. We currently have the leading market share for title insurance in California, New York, Texas and Florida, which are the four largest markets for title insurance in the United States and account for approximately 48% of all title insurance business in the United States. We have approximately 1,500 locations throughout the United States providing our title insurance services.</w:t>
      </w:r>
    </w:p>
    <w:p>
      <w:pPr>
        <w:spacing w:after="0" w:line="77" w:lineRule="exact"/>
        <w:rPr>
          <w:sz w:val="20"/>
          <w:szCs w:val="20"/>
          <w:color w:val="auto"/>
        </w:rPr>
      </w:pPr>
    </w:p>
    <w:p>
      <w:pPr>
        <w:ind w:left="360" w:right="40" w:firstLine="270"/>
        <w:spacing w:after="0" w:line="259" w:lineRule="auto"/>
        <w:rPr>
          <w:sz w:val="20"/>
          <w:szCs w:val="20"/>
          <w:color w:val="auto"/>
        </w:rPr>
      </w:pPr>
      <w:r>
        <w:rPr>
          <w:rFonts w:ascii="Arial" w:cs="Arial" w:eastAsia="Arial" w:hAnsi="Arial"/>
          <w:sz w:val="18"/>
          <w:szCs w:val="18"/>
          <w:i w:val="1"/>
          <w:iCs w:val="1"/>
          <w:color w:val="auto"/>
        </w:rPr>
        <w:t xml:space="preserve">Established relationships with our customers. </w:t>
      </w:r>
      <w:r>
        <w:rPr>
          <w:rFonts w:ascii="Arial" w:cs="Arial" w:eastAsia="Arial" w:hAnsi="Arial"/>
          <w:sz w:val="18"/>
          <w:szCs w:val="18"/>
          <w:color w:val="auto"/>
        </w:rPr>
        <w:t>We have strong relationships with the customers who use our title services. Our agent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which includes over 10,000 agents, is among the largest in the United States. We also benefit from strong brand recognition in our five FNT title brands that allows us to access a broader client base than if we operated under a single consolidated brand and provides our customers with a choice among FNT brands.</w:t>
      </w:r>
    </w:p>
    <w:p>
      <w:pPr>
        <w:spacing w:after="0" w:line="92" w:lineRule="exact"/>
        <w:rPr>
          <w:sz w:val="20"/>
          <w:szCs w:val="20"/>
          <w:color w:val="auto"/>
        </w:rPr>
      </w:pPr>
    </w:p>
    <w:p>
      <w:pPr>
        <w:ind w:left="360" w:right="200" w:firstLine="270"/>
        <w:spacing w:after="0" w:line="286" w:lineRule="auto"/>
        <w:rPr>
          <w:sz w:val="20"/>
          <w:szCs w:val="20"/>
          <w:color w:val="auto"/>
        </w:rPr>
      </w:pPr>
      <w:r>
        <w:rPr>
          <w:rFonts w:ascii="Arial" w:cs="Arial" w:eastAsia="Arial" w:hAnsi="Arial"/>
          <w:sz w:val="17"/>
          <w:szCs w:val="17"/>
          <w:i w:val="1"/>
          <w:iCs w:val="1"/>
          <w:color w:val="auto"/>
        </w:rPr>
        <w:t xml:space="preserve">Strong value proposition for our customers. </w:t>
      </w:r>
      <w:r>
        <w:rPr>
          <w:rFonts w:ascii="Arial" w:cs="Arial" w:eastAsia="Arial" w:hAnsi="Arial"/>
          <w:sz w:val="17"/>
          <w:szCs w:val="17"/>
          <w:color w:val="auto"/>
        </w:rPr>
        <w:t>We provide our customers with title insurance and escrow and other closing services that support their</w:t>
      </w:r>
      <w:r>
        <w:rPr>
          <w:rFonts w:ascii="Arial" w:cs="Arial" w:eastAsia="Arial" w:hAnsi="Arial"/>
          <w:sz w:val="17"/>
          <w:szCs w:val="17"/>
          <w:i w:val="1"/>
          <w:iCs w:val="1"/>
          <w:color w:val="auto"/>
        </w:rPr>
        <w:t xml:space="preserve"> </w:t>
      </w:r>
      <w:r>
        <w:rPr>
          <w:rFonts w:ascii="Arial" w:cs="Arial" w:eastAsia="Arial" w:hAnsi="Arial"/>
          <w:sz w:val="17"/>
          <w:szCs w:val="17"/>
          <w:color w:val="auto"/>
        </w:rPr>
        <w:t>ability to effectively close real estate transactions. We help make the real estate closing more efficient for our customers by offering a single point of access to a broad platform of title-related products and resources necessary to close real estate transactions.</w:t>
      </w:r>
    </w:p>
    <w:p>
      <w:pPr>
        <w:spacing w:after="0" w:line="71" w:lineRule="exact"/>
        <w:rPr>
          <w:sz w:val="20"/>
          <w:szCs w:val="20"/>
          <w:color w:val="auto"/>
        </w:rPr>
      </w:pPr>
    </w:p>
    <w:p>
      <w:pPr>
        <w:ind w:left="360" w:right="100" w:firstLine="270"/>
        <w:spacing w:after="0" w:line="312" w:lineRule="auto"/>
        <w:rPr>
          <w:sz w:val="20"/>
          <w:szCs w:val="20"/>
          <w:color w:val="auto"/>
        </w:rPr>
      </w:pPr>
      <w:r>
        <w:rPr>
          <w:rFonts w:ascii="Arial" w:cs="Arial" w:eastAsia="Arial" w:hAnsi="Arial"/>
          <w:sz w:val="16"/>
          <w:szCs w:val="16"/>
          <w:i w:val="1"/>
          <w:iCs w:val="1"/>
          <w:color w:val="auto"/>
        </w:rPr>
        <w:t xml:space="preserve">Proven management team. </w:t>
      </w:r>
      <w:r>
        <w:rPr>
          <w:rFonts w:ascii="Arial" w:cs="Arial" w:eastAsia="Arial" w:hAnsi="Arial"/>
          <w:sz w:val="16"/>
          <w:szCs w:val="16"/>
          <w:color w:val="auto"/>
        </w:rPr>
        <w:t>The managers of our operating businesses have successfully built our title business over an extended period of time,</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our business attaining the size, scope and presence in the industry that it has today. Our managers have demonstrated their leadership ability during numerous acquisitions through which we have grown and throughout a number of business cycles and significant periods of industry change.</w:t>
      </w:r>
    </w:p>
    <w:p>
      <w:pPr>
        <w:spacing w:after="0" w:line="52" w:lineRule="exact"/>
        <w:rPr>
          <w:sz w:val="20"/>
          <w:szCs w:val="20"/>
          <w:color w:val="auto"/>
        </w:rPr>
      </w:pPr>
    </w:p>
    <w:p>
      <w:pPr>
        <w:ind w:left="360" w:right="500" w:firstLine="270"/>
        <w:spacing w:after="0" w:line="277" w:lineRule="auto"/>
        <w:rPr>
          <w:sz w:val="20"/>
          <w:szCs w:val="20"/>
          <w:color w:val="auto"/>
        </w:rPr>
      </w:pPr>
      <w:r>
        <w:rPr>
          <w:rFonts w:ascii="Arial" w:cs="Arial" w:eastAsia="Arial" w:hAnsi="Arial"/>
          <w:sz w:val="18"/>
          <w:szCs w:val="18"/>
          <w:i w:val="1"/>
          <w:iCs w:val="1"/>
          <w:color w:val="auto"/>
        </w:rPr>
        <w:t xml:space="preserve">Competitive cost structure. </w:t>
      </w:r>
      <w:r>
        <w:rPr>
          <w:rFonts w:ascii="Arial" w:cs="Arial" w:eastAsia="Arial" w:hAnsi="Arial"/>
          <w:sz w:val="18"/>
          <w:szCs w:val="18"/>
          <w:color w:val="auto"/>
        </w:rPr>
        <w:t>We have been able to maintain competitive operating margins in part by monitoring our businesses in a disciplined</w:t>
      </w:r>
      <w:r>
        <w:rPr>
          <w:rFonts w:ascii="Arial" w:cs="Arial" w:eastAsia="Arial" w:hAnsi="Arial"/>
          <w:sz w:val="18"/>
          <w:szCs w:val="18"/>
          <w:i w:val="1"/>
          <w:iCs w:val="1"/>
          <w:color w:val="auto"/>
        </w:rPr>
        <w:t xml:space="preserve"> </w:t>
      </w:r>
      <w:r>
        <w:rPr>
          <w:rFonts w:ascii="Arial" w:cs="Arial" w:eastAsia="Arial" w:hAnsi="Arial"/>
          <w:sz w:val="18"/>
          <w:szCs w:val="18"/>
          <w:color w:val="auto"/>
        </w:rPr>
        <w:t>manner through continual evaluation and management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320"/>
        <w:spacing w:after="0" w:line="277" w:lineRule="auto"/>
        <w:rPr>
          <w:sz w:val="20"/>
          <w:szCs w:val="20"/>
          <w:color w:val="auto"/>
        </w:rPr>
      </w:pPr>
      <w:r>
        <w:rPr>
          <w:rFonts w:ascii="Arial" w:cs="Arial" w:eastAsia="Arial" w:hAnsi="Arial"/>
          <w:sz w:val="18"/>
          <w:szCs w:val="18"/>
          <w:color w:val="auto"/>
        </w:rPr>
        <w:t>our cost structure. When compared to other industry competitors, we also believe that our management structure has fewer layers of managers which allows us to operate with lower overhead costs.</w:t>
      </w:r>
    </w:p>
    <w:p>
      <w:pPr>
        <w:spacing w:after="0" w:line="76" w:lineRule="exact"/>
        <w:rPr>
          <w:sz w:val="20"/>
          <w:szCs w:val="20"/>
          <w:color w:val="auto"/>
        </w:rPr>
      </w:pPr>
    </w:p>
    <w:p>
      <w:pPr>
        <w:ind w:left="360" w:right="240" w:firstLine="270"/>
        <w:spacing w:after="0" w:line="279" w:lineRule="auto"/>
        <w:rPr>
          <w:sz w:val="20"/>
          <w:szCs w:val="20"/>
          <w:color w:val="auto"/>
        </w:rPr>
      </w:pPr>
      <w:r>
        <w:rPr>
          <w:rFonts w:ascii="Arial" w:cs="Arial" w:eastAsia="Arial" w:hAnsi="Arial"/>
          <w:sz w:val="17"/>
          <w:szCs w:val="17"/>
          <w:i w:val="1"/>
          <w:iCs w:val="1"/>
          <w:color w:val="auto"/>
        </w:rPr>
        <w:t xml:space="preserve">Commercial title insurance. </w:t>
      </w:r>
      <w:r>
        <w:rPr>
          <w:rFonts w:ascii="Arial" w:cs="Arial" w:eastAsia="Arial" w:hAnsi="Arial"/>
          <w:sz w:val="17"/>
          <w:szCs w:val="17"/>
          <w:color w:val="auto"/>
        </w:rPr>
        <w:t>While residential title insurance comprises the majority of our business, we believe we are the largest provider of</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real estate title insurance in the United States. Our network of agents, attorneys, underwriters and closers that service the commercial real estate markets is one of the largest in the industry. Our commercial network combined with our financial strength makes our title insurance operations attractive to large national lenders who require the underwriting and issuing of larger commercial title policies.</w:t>
      </w:r>
    </w:p>
    <w:p>
      <w:pPr>
        <w:spacing w:after="0" w:line="77" w:lineRule="exact"/>
        <w:rPr>
          <w:sz w:val="20"/>
          <w:szCs w:val="20"/>
          <w:color w:val="auto"/>
        </w:rPr>
      </w:pPr>
    </w:p>
    <w:p>
      <w:pPr>
        <w:ind w:left="360" w:right="320" w:firstLine="270"/>
        <w:spacing w:after="0" w:line="277" w:lineRule="auto"/>
        <w:rPr>
          <w:sz w:val="20"/>
          <w:szCs w:val="20"/>
          <w:color w:val="auto"/>
        </w:rPr>
      </w:pPr>
      <w:r>
        <w:rPr>
          <w:rFonts w:ascii="Arial" w:cs="Arial" w:eastAsia="Arial" w:hAnsi="Arial"/>
          <w:sz w:val="18"/>
          <w:szCs w:val="18"/>
          <w:i w:val="1"/>
          <w:iCs w:val="1"/>
          <w:color w:val="auto"/>
        </w:rPr>
        <w:t xml:space="preserve">Corporate principles. </w:t>
      </w:r>
      <w:r>
        <w:rPr>
          <w:rFonts w:ascii="Arial" w:cs="Arial" w:eastAsia="Arial" w:hAnsi="Arial"/>
          <w:sz w:val="18"/>
          <w:szCs w:val="18"/>
          <w:color w:val="auto"/>
        </w:rPr>
        <w:t>A cornerstone of our management philosophy and operating success is the five fundamental precepts upon which FNF was</w:t>
      </w:r>
      <w:r>
        <w:rPr>
          <w:rFonts w:ascii="Arial" w:cs="Arial" w:eastAsia="Arial" w:hAnsi="Arial"/>
          <w:sz w:val="18"/>
          <w:szCs w:val="18"/>
          <w:i w:val="1"/>
          <w:iCs w:val="1"/>
          <w:color w:val="auto"/>
        </w:rPr>
        <w:t xml:space="preserve"> </w:t>
      </w:r>
      <w:r>
        <w:rPr>
          <w:rFonts w:ascii="Arial" w:cs="Arial" w:eastAsia="Arial" w:hAnsi="Arial"/>
          <w:sz w:val="18"/>
          <w:szCs w:val="18"/>
          <w:color w:val="auto"/>
        </w:rPr>
        <w:t>founded:</w:t>
      </w:r>
    </w:p>
    <w:p>
      <w:pPr>
        <w:spacing w:after="0" w:line="170" w:lineRule="exact"/>
        <w:rPr>
          <w:sz w:val="20"/>
          <w:szCs w:val="20"/>
          <w:color w:val="auto"/>
        </w:rPr>
      </w:pPr>
    </w:p>
    <w:p>
      <w:pPr>
        <w:ind w:left="820" w:hanging="123"/>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Bias for action</w:t>
      </w:r>
    </w:p>
    <w:p>
      <w:pPr>
        <w:spacing w:after="0" w:line="130" w:lineRule="exact"/>
        <w:rPr>
          <w:rFonts w:ascii="Arial" w:cs="Arial" w:eastAsia="Arial" w:hAnsi="Arial"/>
          <w:sz w:val="18"/>
          <w:szCs w:val="18"/>
          <w:color w:val="auto"/>
        </w:rPr>
      </w:pPr>
    </w:p>
    <w:p>
      <w:pPr>
        <w:ind w:left="820" w:hanging="123"/>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Autonomy and entrepreneurship</w:t>
      </w:r>
    </w:p>
    <w:p>
      <w:pPr>
        <w:spacing w:after="0" w:line="130" w:lineRule="exact"/>
        <w:rPr>
          <w:rFonts w:ascii="Arial" w:cs="Arial" w:eastAsia="Arial" w:hAnsi="Arial"/>
          <w:sz w:val="18"/>
          <w:szCs w:val="18"/>
          <w:color w:val="auto"/>
        </w:rPr>
      </w:pPr>
    </w:p>
    <w:p>
      <w:pPr>
        <w:ind w:left="820" w:hanging="123"/>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Employee ownership</w:t>
      </w:r>
    </w:p>
    <w:p>
      <w:pPr>
        <w:spacing w:after="0" w:line="130" w:lineRule="exact"/>
        <w:rPr>
          <w:rFonts w:ascii="Arial" w:cs="Arial" w:eastAsia="Arial" w:hAnsi="Arial"/>
          <w:sz w:val="18"/>
          <w:szCs w:val="18"/>
          <w:color w:val="auto"/>
        </w:rPr>
      </w:pPr>
    </w:p>
    <w:p>
      <w:pPr>
        <w:ind w:left="820" w:hanging="123"/>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Minimal bureaucracy</w:t>
      </w:r>
    </w:p>
    <w:p>
      <w:pPr>
        <w:spacing w:after="0" w:line="130" w:lineRule="exact"/>
        <w:rPr>
          <w:rFonts w:ascii="Arial" w:cs="Arial" w:eastAsia="Arial" w:hAnsi="Arial"/>
          <w:sz w:val="18"/>
          <w:szCs w:val="18"/>
          <w:color w:val="auto"/>
        </w:rPr>
      </w:pPr>
    </w:p>
    <w:p>
      <w:pPr>
        <w:ind w:left="820" w:hanging="123"/>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Close customer relationships</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These five precepts are emphasized to our employees from the first day of employment and are integral to many of our strategies described below.</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Our strategy in the title insurance business is to maximize operating profits by increasing our market share and managing operating expenses throughout the real estate business cycle. To accomplish our goals, we intend to:</w:t>
      </w:r>
    </w:p>
    <w:p>
      <w:pPr>
        <w:spacing w:after="0" w:line="62" w:lineRule="exact"/>
        <w:rPr>
          <w:sz w:val="20"/>
          <w:szCs w:val="20"/>
          <w:color w:val="auto"/>
        </w:rPr>
      </w:pPr>
    </w:p>
    <w:p>
      <w:pPr>
        <w:ind w:left="360" w:right="20" w:firstLine="270"/>
        <w:spacing w:after="0" w:line="257" w:lineRule="auto"/>
        <w:rPr>
          <w:sz w:val="20"/>
          <w:szCs w:val="20"/>
          <w:color w:val="auto"/>
        </w:rPr>
      </w:pPr>
      <w:r>
        <w:rPr>
          <w:rFonts w:ascii="Arial" w:cs="Arial" w:eastAsia="Arial" w:hAnsi="Arial"/>
          <w:sz w:val="18"/>
          <w:szCs w:val="18"/>
          <w:i w:val="1"/>
          <w:iCs w:val="1"/>
          <w:color w:val="auto"/>
        </w:rPr>
        <w:t xml:space="preserve">Continue to operate each of our five title brands independently. </w:t>
      </w:r>
      <w:r>
        <w:rPr>
          <w:rFonts w:ascii="Arial" w:cs="Arial" w:eastAsia="Arial" w:hAnsi="Arial"/>
          <w:sz w:val="18"/>
          <w:szCs w:val="18"/>
          <w:color w:val="auto"/>
        </w:rPr>
        <w:t>We believe that in order to maintain and strengthen our title insurance customer base,</w:t>
      </w:r>
      <w:r>
        <w:rPr>
          <w:rFonts w:ascii="Arial" w:cs="Arial" w:eastAsia="Arial" w:hAnsi="Arial"/>
          <w:sz w:val="18"/>
          <w:szCs w:val="18"/>
          <w:i w:val="1"/>
          <w:iCs w:val="1"/>
          <w:color w:val="auto"/>
        </w:rPr>
        <w:t xml:space="preserve"> </w:t>
      </w:r>
      <w:r>
        <w:rPr>
          <w:rFonts w:ascii="Arial" w:cs="Arial" w:eastAsia="Arial" w:hAnsi="Arial"/>
          <w:sz w:val="18"/>
          <w:szCs w:val="18"/>
          <w:color w:val="auto"/>
        </w:rPr>
        <w:t>we must leave the Fidelity National Title, Chicago Title, Ticor Title, Security Union Title and Alamo Title brands intact and operate these brands independently. In most of our largest markets, we operate two, and in a few cases, three brands. This approach allows us to continue to attract customers who identify with one brand over another and allows us to utilize a broader base of local agents and local operations than we would have with a single consolidated brand.</w:t>
      </w:r>
    </w:p>
    <w:p>
      <w:pPr>
        <w:spacing w:after="0" w:line="94" w:lineRule="exact"/>
        <w:rPr>
          <w:sz w:val="20"/>
          <w:szCs w:val="20"/>
          <w:color w:val="auto"/>
        </w:rPr>
      </w:pPr>
    </w:p>
    <w:p>
      <w:pPr>
        <w:ind w:left="360" w:firstLine="270"/>
        <w:spacing w:after="0" w:line="259" w:lineRule="auto"/>
        <w:rPr>
          <w:sz w:val="20"/>
          <w:szCs w:val="20"/>
          <w:color w:val="auto"/>
        </w:rPr>
      </w:pPr>
      <w:r>
        <w:rPr>
          <w:rFonts w:ascii="Arial" w:cs="Arial" w:eastAsia="Arial" w:hAnsi="Arial"/>
          <w:sz w:val="18"/>
          <w:szCs w:val="18"/>
          <w:i w:val="1"/>
          <w:iCs w:val="1"/>
          <w:color w:val="auto"/>
        </w:rPr>
        <w:t xml:space="preserve">Consistently deliver superior customer service. </w:t>
      </w:r>
      <w:r>
        <w:rPr>
          <w:rFonts w:ascii="Arial" w:cs="Arial" w:eastAsia="Arial" w:hAnsi="Arial"/>
          <w:sz w:val="18"/>
          <w:szCs w:val="18"/>
          <w:color w:val="auto"/>
        </w:rPr>
        <w:t>We believe customer service and consistent product delivery are the most important factors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attracting and retaining customers. Our ability to provide superior customer service and provide consistent product delivery requires continued focus on providing high quality service and products at competitive prices. Our goal is to continue to improve the experience of our customers in all aspects of our business.</w:t>
      </w:r>
    </w:p>
    <w:p>
      <w:pPr>
        <w:spacing w:after="0" w:line="92" w:lineRule="exact"/>
        <w:rPr>
          <w:sz w:val="20"/>
          <w:szCs w:val="20"/>
          <w:color w:val="auto"/>
        </w:rPr>
      </w:pPr>
    </w:p>
    <w:p>
      <w:pPr>
        <w:ind w:left="360" w:firstLine="270"/>
        <w:spacing w:after="0" w:line="293" w:lineRule="auto"/>
        <w:rPr>
          <w:sz w:val="20"/>
          <w:szCs w:val="20"/>
          <w:color w:val="auto"/>
        </w:rPr>
      </w:pPr>
      <w:r>
        <w:rPr>
          <w:rFonts w:ascii="Arial" w:cs="Arial" w:eastAsia="Arial" w:hAnsi="Arial"/>
          <w:sz w:val="16"/>
          <w:szCs w:val="16"/>
          <w:i w:val="1"/>
          <w:iCs w:val="1"/>
          <w:color w:val="auto"/>
        </w:rPr>
        <w:t xml:space="preserve">Manage our operations successfully through business cycles. </w:t>
      </w:r>
      <w:r>
        <w:rPr>
          <w:rFonts w:ascii="Arial" w:cs="Arial" w:eastAsia="Arial" w:hAnsi="Arial"/>
          <w:sz w:val="16"/>
          <w:szCs w:val="16"/>
          <w:color w:val="auto"/>
        </w:rPr>
        <w:t>We operate in a cyclical business and our ability to diversify our revenue base within</w:t>
      </w:r>
      <w:r>
        <w:rPr>
          <w:rFonts w:ascii="Arial" w:cs="Arial" w:eastAsia="Arial" w:hAnsi="Arial"/>
          <w:sz w:val="16"/>
          <w:szCs w:val="16"/>
          <w:i w:val="1"/>
          <w:iCs w:val="1"/>
          <w:color w:val="auto"/>
        </w:rPr>
        <w:t xml:space="preserve"> </w:t>
      </w:r>
      <w:r>
        <w:rPr>
          <w:rFonts w:ascii="Arial" w:cs="Arial" w:eastAsia="Arial" w:hAnsi="Arial"/>
          <w:sz w:val="16"/>
          <w:szCs w:val="16"/>
          <w:color w:val="auto"/>
        </w:rPr>
        <w:t>our core title insurance business and manage the duration of our investments may allow us to better operate in this cyclical business. Maintaining a broad geographic revenue base, utilizing both direct and independent agency operations and pursuing both residential and commercial title insurance business help diversify our title insurance revenues. Maintaining shorter durations on our investment portfolio allows us to increase our investment revenue in a rising interest rate environment, which may offset some of the decline in premiums and service revenues we would expect in such an environment. For a more detailed discussion of our investment strategies, see “— Investment Policies and Investment Portfolio.”</w:t>
      </w:r>
    </w:p>
    <w:p>
      <w:pPr>
        <w:spacing w:after="0" w:line="70" w:lineRule="exact"/>
        <w:rPr>
          <w:sz w:val="20"/>
          <w:szCs w:val="20"/>
          <w:color w:val="auto"/>
        </w:rPr>
      </w:pPr>
    </w:p>
    <w:p>
      <w:pPr>
        <w:ind w:left="360" w:right="80" w:firstLine="270"/>
        <w:spacing w:after="0" w:line="264" w:lineRule="auto"/>
        <w:rPr>
          <w:sz w:val="20"/>
          <w:szCs w:val="20"/>
          <w:color w:val="auto"/>
        </w:rPr>
      </w:pPr>
      <w:r>
        <w:rPr>
          <w:rFonts w:ascii="Arial" w:cs="Arial" w:eastAsia="Arial" w:hAnsi="Arial"/>
          <w:sz w:val="18"/>
          <w:szCs w:val="18"/>
          <w:i w:val="1"/>
          <w:iCs w:val="1"/>
          <w:color w:val="auto"/>
        </w:rPr>
        <w:t xml:space="preserve">Continue to improve our products and technology. </w:t>
      </w:r>
      <w:r>
        <w:rPr>
          <w:rFonts w:ascii="Arial" w:cs="Arial" w:eastAsia="Arial" w:hAnsi="Arial"/>
          <w:sz w:val="18"/>
          <w:szCs w:val="18"/>
          <w:color w:val="auto"/>
        </w:rPr>
        <w:t>As a national provider of real estate transaction products and services, we participate in an</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that is subject to significant change, frequent new product and service introductions and evolving industry standards. We believe that our future success will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40"/>
        <w:spacing w:after="0" w:line="264" w:lineRule="auto"/>
        <w:rPr>
          <w:sz w:val="20"/>
          <w:szCs w:val="20"/>
          <w:color w:val="auto"/>
        </w:rPr>
      </w:pPr>
      <w:r>
        <w:rPr>
          <w:rFonts w:ascii="Arial" w:cs="Arial" w:eastAsia="Arial" w:hAnsi="Arial"/>
          <w:sz w:val="18"/>
          <w:szCs w:val="18"/>
          <w:color w:val="auto"/>
        </w:rPr>
        <w:t>depend in part on our ability to anticipate industry changes and offer products and services that meet evolving industry standards. In connection with our service offerings, we are currently upgrading our operating system to improve the process of ordering title services and improve the delivery of our products to our customers.</w:t>
      </w:r>
    </w:p>
    <w:p>
      <w:pPr>
        <w:spacing w:after="0" w:line="87" w:lineRule="exact"/>
        <w:rPr>
          <w:sz w:val="20"/>
          <w:szCs w:val="20"/>
          <w:color w:val="auto"/>
        </w:rPr>
      </w:pPr>
    </w:p>
    <w:p>
      <w:pPr>
        <w:ind w:left="360" w:firstLine="270"/>
        <w:spacing w:after="0" w:line="279" w:lineRule="auto"/>
        <w:rPr>
          <w:sz w:val="20"/>
          <w:szCs w:val="20"/>
          <w:color w:val="auto"/>
        </w:rPr>
      </w:pPr>
      <w:r>
        <w:rPr>
          <w:rFonts w:ascii="Arial" w:cs="Arial" w:eastAsia="Arial" w:hAnsi="Arial"/>
          <w:sz w:val="17"/>
          <w:szCs w:val="17"/>
          <w:i w:val="1"/>
          <w:iCs w:val="1"/>
          <w:color w:val="auto"/>
        </w:rPr>
        <w:t xml:space="preserve">Maintain values supporting our strategy. </w:t>
      </w:r>
      <w:r>
        <w:rPr>
          <w:rFonts w:ascii="Arial" w:cs="Arial" w:eastAsia="Arial" w:hAnsi="Arial"/>
          <w:sz w:val="17"/>
          <w:szCs w:val="17"/>
          <w:color w:val="auto"/>
        </w:rPr>
        <w:t>We believe that continuing to focus on and support our long-established corporate culture will reinforce and</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our business strategy. Our goal is to foster and support a corporate culture where our agents and employees seek to operate independently and profitably at the local level while forming close customer relationships by meeting customer needs and improving customer service. Utilizing a relatively flat managerial structure and providing our employees with a sense of individual ownership supports this goal.</w:t>
      </w:r>
    </w:p>
    <w:p>
      <w:pPr>
        <w:spacing w:after="0" w:line="77" w:lineRule="exact"/>
        <w:rPr>
          <w:sz w:val="20"/>
          <w:szCs w:val="20"/>
          <w:color w:val="auto"/>
        </w:rPr>
      </w:pPr>
    </w:p>
    <w:p>
      <w:pPr>
        <w:ind w:left="360" w:firstLine="270"/>
        <w:spacing w:after="0" w:line="259" w:lineRule="auto"/>
        <w:rPr>
          <w:sz w:val="20"/>
          <w:szCs w:val="20"/>
          <w:color w:val="auto"/>
        </w:rPr>
      </w:pPr>
      <w:r>
        <w:rPr>
          <w:rFonts w:ascii="Arial" w:cs="Arial" w:eastAsia="Arial" w:hAnsi="Arial"/>
          <w:sz w:val="18"/>
          <w:szCs w:val="18"/>
          <w:i w:val="1"/>
          <w:iCs w:val="1"/>
          <w:color w:val="auto"/>
        </w:rPr>
        <w:t xml:space="preserve">Effectively manage costs based on economic factors. </w:t>
      </w:r>
      <w:r>
        <w:rPr>
          <w:rFonts w:ascii="Arial" w:cs="Arial" w:eastAsia="Arial" w:hAnsi="Arial"/>
          <w:sz w:val="18"/>
          <w:szCs w:val="18"/>
          <w:color w:val="auto"/>
        </w:rPr>
        <w:t>We believe that our focus on our operating margins is essential to our continued success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title insurance business. Regardless of the business cycle in which we may be operating, we seek to continue to evaluate and manage our cost structure and make appropriate adjustments where economic conditions dictate. This continual focus on our cost structure helps us to better maintain our operating margins.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On September 26, 2005, FNF received all regulatory approvals required to contribute to FNT all of the legal entities that are reflected in our financial statements presented in Item 8. On that date, FNF declared a dividend to its stockholders of record as of October 6, 2005 which resulted in a distribution on October 17, 2005, of 17.5% of its interest in FNT, which represents the title insurance segment of FNF. Prior to October 17, 2005, FNT was a wholly-owned subsidiary of FNF. On October 17, 2005, FNF distributed to its stockholders 0.175 shares of FNT Class A common stock for each share of FNF common stock held on the record date (the “Distribution”). FNF beneficially owns 100% of the FNT Class B common stock representing an 82.5% ownership interest. As of December 31, 2005, there were 31.1 million shares outstanding of Class A common stock, which has one vote per share, and 143.2 million shares outstanding of Class B common stock, which has ten votes per share. As of December 31, 2005, FNF controls 97.9% of the voting rights of FNT.</w:t>
      </w:r>
    </w:p>
    <w:p>
      <w:pPr>
        <w:spacing w:after="0" w:line="59"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color w:val="auto"/>
        </w:rPr>
        <w:t>In connection with the Distribution, we issued two $250 million intercompany notes payable to FNF (the “Mirror Notes”), with terms that mirrored FNF’s existing $250 million 7.30% public notes due in August 2011 and $250 million 5.25% public notes due in March 2013. Proceeds from the issuance of the</w:t>
      </w:r>
    </w:p>
    <w:p>
      <w:pPr>
        <w:spacing w:after="0" w:line="287" w:lineRule="auto"/>
        <w:rPr>
          <w:sz w:val="20"/>
          <w:szCs w:val="20"/>
          <w:color w:val="auto"/>
        </w:rPr>
      </w:pPr>
      <w:r>
        <w:rPr>
          <w:rFonts w:ascii="Arial" w:cs="Arial" w:eastAsia="Arial" w:hAnsi="Arial"/>
          <w:sz w:val="16"/>
          <w:szCs w:val="16"/>
          <w:color w:val="auto"/>
        </w:rPr>
        <w:t>7.30% FNF notes due 2011 were used by FNF to repay debt incurred in connection with the acquisition of our subsidiary, Chicago Title, and the proceeds from the 5.25% FNF notes due 2013 were used for general corporate purposes. Following the issuance of the Mirror Notes, we filed a Registration Statement on Form S-4, pursuant to which we offered to accept the outstanding FNF notes in exchange for FNT notes we issued having substantially the same terms. On January 18, 2006, we completed these exchange offers and received $241,347,000 in aggregate principal amount of FNF’s 7.30% Notes due August 15, 2011, and the entire $250,000,000 in aggregate principal amount of FNF’s 5.25% Notes due March 15, 2013. The FNF notes received by us in the exchange were subsequently delivered to FNF in partial redemption of the 7.30% Mirror Note due August 15, 2011, and in full redemption of the 5.25% Mirror Note due March 15, 2013. In order to reflect the partial redemption of the 7.30% Mirror Note due August 15, 2011, the original note has been replaced with an identical Mirror Note with a principal balance of $8,653,000, which reflects the unredeemed portion of the original Mirror Note.</w:t>
      </w:r>
    </w:p>
    <w:p>
      <w:pPr>
        <w:spacing w:after="0" w:line="62" w:lineRule="exact"/>
        <w:rPr>
          <w:sz w:val="20"/>
          <w:szCs w:val="20"/>
          <w:color w:val="auto"/>
        </w:rPr>
      </w:pPr>
    </w:p>
    <w:p>
      <w:pPr>
        <w:jc w:val="both"/>
        <w:ind w:right="120" w:firstLine="270"/>
        <w:spacing w:after="0" w:line="264" w:lineRule="auto"/>
        <w:rPr>
          <w:sz w:val="20"/>
          <w:szCs w:val="20"/>
          <w:color w:val="auto"/>
        </w:rPr>
      </w:pPr>
      <w:r>
        <w:rPr>
          <w:rFonts w:ascii="Arial" w:cs="Arial" w:eastAsia="Arial" w:hAnsi="Arial"/>
          <w:sz w:val="18"/>
          <w:szCs w:val="18"/>
          <w:color w:val="auto"/>
        </w:rPr>
        <w:t>On October 17, 2005, we also entered into a credit agreement in the amount of $400 million. On October 24, 2005, we borrowed $150 million under this facility and paid it to FNF in satisfaction of a $150 million intercompany note issued by one of the Company’s subsidiaries to FNF in August 2005. Later in the fourth quarter, we repaid $50 million of this amount.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Recent Acquisitions</w:t>
      </w:r>
    </w:p>
    <w:p>
      <w:pPr>
        <w:spacing w:after="0" w:line="121" w:lineRule="exact"/>
        <w:rPr>
          <w:sz w:val="20"/>
          <w:szCs w:val="20"/>
          <w:color w:val="auto"/>
        </w:rPr>
      </w:pPr>
    </w:p>
    <w:p>
      <w:pPr>
        <w:ind w:right="420" w:firstLine="270"/>
        <w:spacing w:after="0" w:line="308" w:lineRule="auto"/>
        <w:rPr>
          <w:sz w:val="20"/>
          <w:szCs w:val="20"/>
          <w:color w:val="auto"/>
        </w:rPr>
      </w:pPr>
      <w:r>
        <w:rPr>
          <w:rFonts w:ascii="Arial" w:cs="Arial" w:eastAsia="Arial" w:hAnsi="Arial"/>
          <w:sz w:val="17"/>
          <w:szCs w:val="17"/>
          <w:color w:val="auto"/>
        </w:rPr>
        <w:t>On August 1, 2005, we acquired Service Link, L.P. (“Service Link”), a national provider of centralized mortgage and residential real estate title and closing services to major financial institutions and institutional lenders. The acquisition price was approximately $110.2 million in cash.</w:t>
      </w:r>
    </w:p>
    <w:p>
      <w:pPr>
        <w:spacing w:after="0" w:line="38"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On March 22, 2004, we acquired American Pioneer Title Insurance Company (“APTIC”) for $115.2 million in cash. APTIC is a title insurance underwriter licensed in 45 states with significant agency operations and computerized title plant assets in the state of Florida. APTIC now operates under our Ticor Title brand.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Insurance</w:t>
      </w:r>
    </w:p>
    <w:p>
      <w:pPr>
        <w:spacing w:after="0" w:line="121"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i w:val="1"/>
          <w:iCs w:val="1"/>
          <w:color w:val="auto"/>
        </w:rPr>
        <w:t xml:space="preserve">Market for title insurance. </w:t>
      </w:r>
      <w:r>
        <w:rPr>
          <w:rFonts w:ascii="Arial" w:cs="Arial" w:eastAsia="Arial" w:hAnsi="Arial"/>
          <w:sz w:val="18"/>
          <w:szCs w:val="18"/>
          <w:color w:val="auto"/>
        </w:rPr>
        <w:t>The title insurance market in the United States is large and has grown in the last 10 years. According to Demotech, Inc</w:t>
      </w:r>
      <w:r>
        <w:rPr>
          <w:rFonts w:ascii="Arial" w:cs="Arial" w:eastAsia="Arial" w:hAnsi="Arial"/>
          <w:sz w:val="18"/>
          <w:szCs w:val="18"/>
          <w:i w:val="1"/>
          <w:iCs w:val="1"/>
          <w:color w:val="auto"/>
        </w:rPr>
        <w:t xml:space="preserve"> </w:t>
      </w:r>
      <w:r>
        <w:rPr>
          <w:rFonts w:ascii="Arial" w:cs="Arial" w:eastAsia="Arial" w:hAnsi="Arial"/>
          <w:sz w:val="18"/>
          <w:szCs w:val="18"/>
          <w:color w:val="auto"/>
        </w:rPr>
        <w:t>(“Demotech”), total operating income for the entire U.S. title insurance industry grew from $4.8 billion in 1995 to $15.5 billion in 2004. Growth in the industry is closely tied to various macroeconomic factors, including, but not limited to, growth in the gross national product, inflation, interest rates and sales of and prices for new and existing homes, as well as the refinancing of previously issued mortgages.</w:t>
      </w:r>
    </w:p>
    <w:p>
      <w:pPr>
        <w:spacing w:after="0" w:line="79" w:lineRule="exact"/>
        <w:rPr>
          <w:sz w:val="20"/>
          <w:szCs w:val="20"/>
          <w:color w:val="auto"/>
        </w:rPr>
      </w:pPr>
    </w:p>
    <w:p>
      <w:pPr>
        <w:ind w:right="260" w:firstLine="270"/>
        <w:spacing w:after="0" w:line="259" w:lineRule="auto"/>
        <w:rPr>
          <w:sz w:val="20"/>
          <w:szCs w:val="20"/>
          <w:color w:val="auto"/>
        </w:rPr>
      </w:pPr>
      <w:r>
        <w:rPr>
          <w:rFonts w:ascii="Arial" w:cs="Arial" w:eastAsia="Arial" w:hAnsi="Arial"/>
          <w:sz w:val="18"/>
          <w:szCs w:val="18"/>
          <w:color w:val="auto"/>
        </w:rPr>
        <w:t>Most real estate transactions consummated in the U.S. require the use of title insurance by a lending institution before a transaction can be completed. Generally, revenues from title insurance policies are directly correlated with the value of the property underlying the title policy, and appreciation in the overall value of the real estate market helps drive growth in total industry revenues. Industry revenues are also driven by changes in interest rates, which affect demand for new mortgage loans and refinancing transactions.</w:t>
      </w:r>
    </w:p>
    <w:p>
      <w:pPr>
        <w:spacing w:after="0" w:line="79"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The U.S. title insurance industry is concentrated among a handful of industry participants. According to Demotech, the top five title insurance companies accounted for 90.2% of net premiums collected in 2004. Over 40 independent title insurance companies accounted for the remaining 9.8% of net premiums collected in 2004. Over the years, the title insurance industry has been consolidating, beginning with the merger of Lawyers Title Insurance and Commonwealth Land Title Insurance in 1998 to create LandAmerica Financial Group, Inc., followed by FNF’s acquisition of Chicago Title in March 2000. Consolidation has created opportunities for increased financial and operating efficiencies for the industry’s largest participants and should continue to drive profitability and market share in the industry.</w:t>
      </w:r>
    </w:p>
    <w:p>
      <w:pPr>
        <w:spacing w:after="0" w:line="85" w:lineRule="exact"/>
        <w:rPr>
          <w:sz w:val="20"/>
          <w:szCs w:val="20"/>
          <w:color w:val="auto"/>
        </w:rPr>
      </w:pPr>
    </w:p>
    <w:p>
      <w:pPr>
        <w:ind w:right="60" w:firstLine="270"/>
        <w:spacing w:after="0" w:line="277" w:lineRule="auto"/>
        <w:rPr>
          <w:sz w:val="20"/>
          <w:szCs w:val="20"/>
          <w:color w:val="auto"/>
        </w:rPr>
      </w:pPr>
      <w:r>
        <w:rPr>
          <w:rFonts w:ascii="Arial" w:cs="Arial" w:eastAsia="Arial" w:hAnsi="Arial"/>
          <w:sz w:val="18"/>
          <w:szCs w:val="18"/>
          <w:i w:val="1"/>
          <w:iCs w:val="1"/>
          <w:color w:val="auto"/>
        </w:rPr>
        <w:t xml:space="preserve">Title Insurance Policies. </w:t>
      </w:r>
      <w:r>
        <w:rPr>
          <w:rFonts w:ascii="Arial" w:cs="Arial" w:eastAsia="Arial" w:hAnsi="Arial"/>
          <w:sz w:val="18"/>
          <w:szCs w:val="18"/>
          <w:color w:val="auto"/>
        </w:rPr>
        <w:t>Generally, real estate buyers and mortgage lenders purchase title insurance to insure good and marketable title to real estate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 of the lien. A brief generalized description of the process of issuing a title insurance policy is as follows:</w:t>
      </w:r>
    </w:p>
    <w:p>
      <w:pPr>
        <w:spacing w:after="0" w:line="62" w:lineRule="exact"/>
        <w:rPr>
          <w:sz w:val="20"/>
          <w:szCs w:val="20"/>
          <w:color w:val="auto"/>
        </w:rPr>
      </w:pPr>
    </w:p>
    <w:p>
      <w:pPr>
        <w:ind w:left="460" w:hanging="101"/>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customer, typically a real estate salesperson or broker, escrow agent, attorney or lender, places an order for a title policy.</w:t>
      </w:r>
    </w:p>
    <w:p>
      <w:pPr>
        <w:spacing w:after="0" w:line="130" w:lineRule="exact"/>
        <w:rPr>
          <w:rFonts w:ascii="Arial" w:cs="Arial" w:eastAsia="Arial" w:hAnsi="Arial"/>
          <w:sz w:val="18"/>
          <w:szCs w:val="18"/>
          <w:color w:val="auto"/>
        </w:rPr>
      </w:pPr>
    </w:p>
    <w:p>
      <w:pPr>
        <w:ind w:left="460" w:right="480" w:hanging="101"/>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Company personnel note the specifics of the title policy order and place a request with the title company or its agents for a preliminary report or commitment.</w:t>
      </w:r>
    </w:p>
    <w:p>
      <w:pPr>
        <w:spacing w:after="0" w:line="75" w:lineRule="exact"/>
        <w:rPr>
          <w:rFonts w:ascii="Arial" w:cs="Arial" w:eastAsia="Arial" w:hAnsi="Arial"/>
          <w:sz w:val="18"/>
          <w:szCs w:val="18"/>
          <w:color w:val="auto"/>
        </w:rPr>
      </w:pPr>
    </w:p>
    <w:p>
      <w:pPr>
        <w:ind w:left="460" w:right="80" w:hanging="101"/>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After the relevant historical data on the property is compiled, the title officer prepares a preliminary report that documents the current status of title to the property, any exclusions, exceptions and/or limitations that the title company might include in the policy, and specific issues that need to be addressed and resolved by the parties to the transaction before the title policy will be issued.</w:t>
      </w:r>
    </w:p>
    <w:p>
      <w:pPr>
        <w:spacing w:after="0" w:line="86" w:lineRule="exact"/>
        <w:rPr>
          <w:rFonts w:ascii="Arial" w:cs="Arial" w:eastAsia="Arial" w:hAnsi="Arial"/>
          <w:sz w:val="18"/>
          <w:szCs w:val="18"/>
          <w:color w:val="auto"/>
        </w:rPr>
      </w:pPr>
    </w:p>
    <w:p>
      <w:pPr>
        <w:ind w:left="460" w:hanging="101"/>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preliminary report is circulated to all the parties for satisfaction of any specific issues.</w:t>
      </w:r>
    </w:p>
    <w:p>
      <w:pPr>
        <w:spacing w:after="0" w:line="130" w:lineRule="exact"/>
        <w:rPr>
          <w:rFonts w:ascii="Arial" w:cs="Arial" w:eastAsia="Arial" w:hAnsi="Arial"/>
          <w:sz w:val="18"/>
          <w:szCs w:val="18"/>
          <w:color w:val="auto"/>
        </w:rPr>
      </w:pPr>
    </w:p>
    <w:p>
      <w:pPr>
        <w:ind w:left="460" w:right="100" w:hanging="101"/>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After the specific issues identified in the preliminary report are satisfied, an escrow agent closes the transaction in accordance with the instructions of the parties and the title company’s conditions.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Once the transaction is closed and all monies have been released, the title company issues a title insurance policy.</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70"/>
        <w:spacing w:after="0" w:line="276" w:lineRule="auto"/>
        <w:rPr>
          <w:sz w:val="20"/>
          <w:szCs w:val="20"/>
          <w:color w:val="auto"/>
        </w:rPr>
      </w:pPr>
      <w:r>
        <w:rPr>
          <w:rFonts w:ascii="Arial" w:cs="Arial" w:eastAsia="Arial" w:hAnsi="Arial"/>
          <w:sz w:val="17"/>
          <w:szCs w:val="17"/>
          <w:color w:val="auto"/>
        </w:rPr>
        <w:t>In a real estate transaction financed with a mortgage, virtually all real property mortgage lenders require their borrowers to obtain a title insurance policy at the time a mortgage loan is made. This lender’s policy insures the lender against any defect affecting the priority of the mortgage in an amount equal to the outstanding balance of the related mortgage loan. An owner’s policy is typically also issued, insuring the buyer against defects in title in an amount equal to the purchase price. In a refinancing transaction, only a lender’s policy is generally purchased because ownership of the property has not changed. In the case of an all-cash real estate purchase, no lender’s policy is issued but typically an owner’s title policy is issued.</w:t>
      </w:r>
    </w:p>
    <w:p>
      <w:pPr>
        <w:spacing w:after="0" w:line="64" w:lineRule="exact"/>
        <w:rPr>
          <w:sz w:val="20"/>
          <w:szCs w:val="20"/>
          <w:color w:val="auto"/>
        </w:rPr>
      </w:pPr>
    </w:p>
    <w:p>
      <w:pPr>
        <w:ind w:right="180" w:firstLine="267"/>
        <w:spacing w:after="0" w:line="264" w:lineRule="auto"/>
        <w:rPr>
          <w:sz w:val="20"/>
          <w:szCs w:val="20"/>
          <w:color w:val="auto"/>
        </w:rPr>
      </w:pPr>
      <w:r>
        <w:rPr>
          <w:rFonts w:ascii="Arial" w:cs="Arial" w:eastAsia="Arial" w:hAnsi="Arial"/>
          <w:sz w:val="18"/>
          <w:szCs w:val="18"/>
          <w:color w:val="auto"/>
        </w:rPr>
        <w:t>Title insurance premiums paid in connection with a title insurance policy are based on (and typically a percentage of) either the amount of the mortgage loan or the purchase price of the property insured. Title insurance premiums are due in full at the closing of the real estate transaction. The lender’s policy generally terminates upon the refinancing or resale of the property.</w:t>
      </w:r>
    </w:p>
    <w:p>
      <w:pPr>
        <w:spacing w:after="0" w:line="73" w:lineRule="exact"/>
        <w:rPr>
          <w:sz w:val="20"/>
          <w:szCs w:val="20"/>
          <w:color w:val="auto"/>
        </w:rPr>
      </w:pPr>
    </w:p>
    <w:p>
      <w:pPr>
        <w:ind w:right="100" w:firstLine="267"/>
        <w:spacing w:after="0" w:line="297" w:lineRule="auto"/>
        <w:rPr>
          <w:sz w:val="20"/>
          <w:szCs w:val="20"/>
          <w:color w:val="auto"/>
        </w:rPr>
      </w:pPr>
      <w:r>
        <w:rPr>
          <w:rFonts w:ascii="Arial" w:cs="Arial" w:eastAsia="Arial" w:hAnsi="Arial"/>
          <w:sz w:val="16"/>
          <w:szCs w:val="16"/>
          <w:color w:val="auto"/>
        </w:rPr>
        <w:t>The amount of the insured risk or “face amount” of insurance under a title insurance policy is generally equal to either the amount of the loan secured by the property or the purchase price of the property (subject to adjustment if the policy includes inflation adjustment provisions). The title insurer is also responsible for the cost of defending the insured title against covered claims. The insurer’s actual exposure at any given time, however, generally is less than the total face amount of policies outstanding because the coverage of a lender’s policy is reduced and eventually terminated as a result of payment of the mortgage loan. Because of these factors, the total liability of a title underwriter on outstanding policies cannot be precisely determined.</w:t>
      </w:r>
    </w:p>
    <w:p>
      <w:pPr>
        <w:spacing w:after="0" w:line="50" w:lineRule="exact"/>
        <w:rPr>
          <w:sz w:val="20"/>
          <w:szCs w:val="20"/>
          <w:color w:val="auto"/>
        </w:rPr>
      </w:pPr>
    </w:p>
    <w:p>
      <w:pPr>
        <w:ind w:firstLine="267"/>
        <w:spacing w:after="0" w:line="290" w:lineRule="auto"/>
        <w:rPr>
          <w:sz w:val="20"/>
          <w:szCs w:val="20"/>
          <w:color w:val="auto"/>
        </w:rPr>
      </w:pPr>
      <w:r>
        <w:rPr>
          <w:rFonts w:ascii="Arial" w:cs="Arial" w:eastAsia="Arial" w:hAnsi="Arial"/>
          <w:sz w:val="16"/>
          <w:szCs w:val="16"/>
          <w:color w:val="auto"/>
        </w:rPr>
        <w:t>Title insurance companies typically issue title insurance policies directly through branch offices or through title agencies which are subsidiaries of the title insurance company, and indirectly through independent third party agencies unaffiliated with the title insurance company. Where the policy is issued through a branch or wholly-owned subsidiary agency operation, the title company typically performs or directs the search, and the premiums collected are retained by the title company. Where the policy is issued through an independent agent, the agent generally performs the search (in some areas searches are performed by approved attorneys), examines the title, collects the premium and retains a majority of the premium. The remainder of the premium is remitted to the title company as compensation, part of which is for bearing the risk of loss in the event a claim is made under the policy. The percentage of the premium retained by an agent varies from region to region and is sometimes regulated by the states. The title company is obligated to pay title claims in accordance with the terms of its policies, regardless of whether the title company issues policies through its direct operations or through independent agents.</w:t>
      </w:r>
    </w:p>
    <w:p>
      <w:pPr>
        <w:spacing w:after="0" w:line="58" w:lineRule="exact"/>
        <w:rPr>
          <w:sz w:val="20"/>
          <w:szCs w:val="20"/>
          <w:color w:val="auto"/>
        </w:rPr>
      </w:pPr>
    </w:p>
    <w:p>
      <w:pPr>
        <w:ind w:right="180" w:firstLine="270"/>
        <w:spacing w:after="0" w:line="257" w:lineRule="auto"/>
        <w:rPr>
          <w:sz w:val="20"/>
          <w:szCs w:val="20"/>
          <w:color w:val="auto"/>
        </w:rPr>
      </w:pPr>
      <w:r>
        <w:rPr>
          <w:rFonts w:ascii="Arial" w:cs="Arial" w:eastAsia="Arial" w:hAnsi="Arial"/>
          <w:sz w:val="18"/>
          <w:szCs w:val="18"/>
          <w:color w:val="auto"/>
        </w:rPr>
        <w:t>Prior to issuing policies, title insurers and their agents attempt to reduce the risk of future claim losses by accurately performing searches and examinations. A title company’s predominant expense relates to such searches and examinations, the preparation of preliminary title reports, policies or commitments and the maintenance of title “plants,” which are indexed compilations of public records, maps and other relevant historical documents. Claim losses generally result from errors made in the title search and examination process and from hidden defects such as fraud, forgery, incapacity, or missing heirs of the property.</w:t>
      </w:r>
    </w:p>
    <w:p>
      <w:pPr>
        <w:spacing w:after="0" w:line="80" w:lineRule="exact"/>
        <w:rPr>
          <w:sz w:val="20"/>
          <w:szCs w:val="20"/>
          <w:color w:val="auto"/>
        </w:rPr>
      </w:pPr>
    </w:p>
    <w:p>
      <w:pPr>
        <w:ind w:right="120" w:firstLine="270"/>
        <w:spacing w:after="0" w:line="257" w:lineRule="auto"/>
        <w:rPr>
          <w:sz w:val="20"/>
          <w:szCs w:val="20"/>
          <w:color w:val="auto"/>
        </w:rPr>
      </w:pPr>
      <w:r>
        <w:rPr>
          <w:rFonts w:ascii="Arial" w:cs="Arial" w:eastAsia="Arial" w:hAnsi="Arial"/>
          <w:sz w:val="18"/>
          <w:szCs w:val="18"/>
          <w:color w:val="auto"/>
        </w:rPr>
        <w:t>Residential real estate business results from the construction, sale, resale and refinancing of residential properties, while commercial real estate business results from similar activities with respect to properties with a business or commercial use. Commercial real estate title insurance policies insure title to commercial real property, and generally involve higher coverage amounts and yield higher premiums. Residential real estate transaction volume is primarily affected by macroeconomic and seasonal factors while commercial real estate transaction volume is affected primarily by fluctuations in local supply and demand conditions for commercial space.</w:t>
      </w:r>
    </w:p>
    <w:p>
      <w:pPr>
        <w:spacing w:after="0" w:line="8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i w:val="1"/>
          <w:iCs w:val="1"/>
          <w:color w:val="auto"/>
        </w:rPr>
        <w:t xml:space="preserve">Direct and Agency Operations. </w:t>
      </w:r>
      <w:r>
        <w:rPr>
          <w:rFonts w:ascii="Arial" w:cs="Arial" w:eastAsia="Arial" w:hAnsi="Arial"/>
          <w:sz w:val="18"/>
          <w:szCs w:val="18"/>
          <w:color w:val="auto"/>
        </w:rPr>
        <w:t>We provide title insurance services through our direct operations and through independent title insurance agents who issue</w:t>
      </w:r>
      <w:r>
        <w:rPr>
          <w:rFonts w:ascii="Arial" w:cs="Arial" w:eastAsia="Arial" w:hAnsi="Arial"/>
          <w:sz w:val="18"/>
          <w:szCs w:val="18"/>
          <w:i w:val="1"/>
          <w:iCs w:val="1"/>
          <w:color w:val="auto"/>
        </w:rPr>
        <w:t xml:space="preserve"> </w:t>
      </w:r>
      <w:r>
        <w:rPr>
          <w:rFonts w:ascii="Arial" w:cs="Arial" w:eastAsia="Arial" w:hAnsi="Arial"/>
          <w:sz w:val="18"/>
          <w:szCs w:val="18"/>
          <w:color w:val="auto"/>
        </w:rPr>
        <w:t>title policies on behalf of our title insurance companies. Our title insurance companies determine the terms and conditions upon which they will insure title to the real property according to their underwriting standards, policies and procedures.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270"/>
        <w:spacing w:after="0" w:line="277" w:lineRule="auto"/>
        <w:rPr>
          <w:sz w:val="20"/>
          <w:szCs w:val="20"/>
          <w:color w:val="auto"/>
        </w:rPr>
      </w:pPr>
      <w:r>
        <w:rPr>
          <w:rFonts w:ascii="Arial" w:cs="Arial" w:eastAsia="Arial" w:hAnsi="Arial"/>
          <w:sz w:val="18"/>
          <w:szCs w:val="18"/>
          <w:i w:val="1"/>
          <w:iCs w:val="1"/>
          <w:color w:val="auto"/>
        </w:rPr>
        <w:t xml:space="preserve">Direct Operations. </w:t>
      </w:r>
      <w:r>
        <w:rPr>
          <w:rFonts w:ascii="Arial" w:cs="Arial" w:eastAsia="Arial" w:hAnsi="Arial"/>
          <w:sz w:val="18"/>
          <w:szCs w:val="18"/>
          <w:color w:val="auto"/>
        </w:rPr>
        <w:t>In our direct operations, the title insurer issues the title insurance policy and retains the entire premium paid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Our direct operations provide the following benefits:</w:t>
      </w:r>
    </w:p>
    <w:p>
      <w:pPr>
        <w:spacing w:after="0" w:line="62" w:lineRule="exact"/>
        <w:rPr>
          <w:sz w:val="20"/>
          <w:szCs w:val="20"/>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margins because we retain the entire premium from each transaction instead of paying a commission to an independent agent;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continuity of service levels to a broad range of customers;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additional sources of income through escrow and closing services.</w:t>
      </w:r>
    </w:p>
    <w:p>
      <w:pPr>
        <w:spacing w:after="0" w:line="117" w:lineRule="exact"/>
        <w:rPr>
          <w:sz w:val="20"/>
          <w:szCs w:val="20"/>
          <w:color w:val="auto"/>
        </w:rPr>
      </w:pPr>
    </w:p>
    <w:p>
      <w:pPr>
        <w:ind w:right="120" w:firstLine="267"/>
        <w:spacing w:after="0" w:line="286" w:lineRule="auto"/>
        <w:rPr>
          <w:sz w:val="20"/>
          <w:szCs w:val="20"/>
          <w:color w:val="auto"/>
        </w:rPr>
      </w:pPr>
      <w:r>
        <w:rPr>
          <w:rFonts w:ascii="Arial" w:cs="Arial" w:eastAsia="Arial" w:hAnsi="Arial"/>
          <w:sz w:val="17"/>
          <w:szCs w:val="17"/>
          <w:color w:val="auto"/>
        </w:rPr>
        <w:t>We have approximately 1,500 offices throughout the U.S. primarily providing residential real estate title insurance. Our commercial real estate title insurance business is operated almost exclusively through our direct operations. We maintain direct operations for our commercial title insurance business in all the major real estate markets including New York, Los Angeles, Chicago, Atlanta, Dallas, Philadelphia, Phoenix, Seattle and Houston.</w:t>
      </w:r>
    </w:p>
    <w:p>
      <w:pPr>
        <w:spacing w:after="0" w:line="57" w:lineRule="exact"/>
        <w:rPr>
          <w:sz w:val="20"/>
          <w:szCs w:val="20"/>
          <w:color w:val="auto"/>
        </w:rPr>
      </w:pPr>
    </w:p>
    <w:p>
      <w:pPr>
        <w:ind w:right="20" w:firstLine="270"/>
        <w:spacing w:after="0" w:line="270" w:lineRule="auto"/>
        <w:rPr>
          <w:sz w:val="20"/>
          <w:szCs w:val="20"/>
          <w:color w:val="auto"/>
        </w:rPr>
      </w:pPr>
      <w:r>
        <w:rPr>
          <w:rFonts w:ascii="Arial" w:cs="Arial" w:eastAsia="Arial" w:hAnsi="Arial"/>
          <w:sz w:val="17"/>
          <w:szCs w:val="17"/>
          <w:i w:val="1"/>
          <w:iCs w:val="1"/>
          <w:color w:val="auto"/>
        </w:rPr>
        <w:t xml:space="preserve">Agency Operations. </w:t>
      </w:r>
      <w:r>
        <w:rPr>
          <w:rFonts w:ascii="Arial" w:cs="Arial" w:eastAsia="Arial" w:hAnsi="Arial"/>
          <w:sz w:val="17"/>
          <w:szCs w:val="17"/>
          <w:color w:val="auto"/>
        </w:rPr>
        <w:t>In our agency operations, the search and examination function is performed by an independent agent or the agent may purchase the</w:t>
      </w:r>
      <w:r>
        <w:rPr>
          <w:rFonts w:ascii="Arial" w:cs="Arial" w:eastAsia="Arial" w:hAnsi="Arial"/>
          <w:sz w:val="17"/>
          <w:szCs w:val="17"/>
          <w:i w:val="1"/>
          <w:iCs w:val="1"/>
          <w:color w:val="auto"/>
        </w:rPr>
        <w:t xml:space="preserve"> </w:t>
      </w:r>
      <w:r>
        <w:rPr>
          <w:rFonts w:ascii="Arial" w:cs="Arial" w:eastAsia="Arial" w:hAnsi="Arial"/>
          <w:sz w:val="17"/>
          <w:szCs w:val="17"/>
          <w:color w:val="auto"/>
        </w:rPr>
        <w:t>search and examination from us. In either case, the agent is responsible to ensure that the search and examination is completed. The agent thus retains the majority of the title premium collected, with the balance remitted to the title underwriter for bearing the risk of loss in the event that a claim is made under the title insurance policy. Independent agents may select among several title underwriters based upon their relationship with the underwriter, the amount of the premium “split” offered by the underwriter, the overall terms and conditions of the agency agreement and the scope of services offered to the agent. Premium splits vary by geographic region. Our relationship with each agent is governed by an agency agreement defining how the agent issues a title insurance policy on our behalf. The agency agreement also sets forth the agent’s liability to us for policy losses attributable to the agent’s errors. An agency agreement is usually terminable without cause upon 30 days’ notice or immediately for cause. In determining whether to engage or retain an independent agent, we consider the agent’s experience, financial condition and loss history. For each agent with whom we enter into an agency agreement we maintain financial and loss experience records. We also conduct periodic audits of our agents.</w:t>
      </w:r>
    </w:p>
    <w:p>
      <w:pPr>
        <w:spacing w:after="0" w:line="70"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i w:val="1"/>
          <w:iCs w:val="1"/>
          <w:color w:val="auto"/>
        </w:rPr>
        <w:t xml:space="preserve">Fees and Premiums. </w:t>
      </w:r>
      <w:r>
        <w:rPr>
          <w:rFonts w:ascii="Arial" w:cs="Arial" w:eastAsia="Arial" w:hAnsi="Arial"/>
          <w:sz w:val="18"/>
          <w:szCs w:val="18"/>
          <w:color w:val="auto"/>
        </w:rPr>
        <w:t>One method of analyzing our business is to examine the level of premiums generated by direct and agency operations.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table presents the percentages of our title insurance premiums generated by direct and agency operations: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2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2005</w:t>
            </w:r>
          </w:p>
        </w:tc>
        <w:tc>
          <w:tcPr>
            <w:tcW w:w="58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348"/>
              <w:spacing w:after="0" w:line="155" w:lineRule="exact"/>
              <w:rPr>
                <w:sz w:val="20"/>
                <w:szCs w:val="20"/>
                <w:color w:val="auto"/>
              </w:rPr>
            </w:pPr>
            <w:r>
              <w:rPr>
                <w:rFonts w:ascii="Arial" w:cs="Arial" w:eastAsia="Arial" w:hAnsi="Arial"/>
                <w:sz w:val="14"/>
                <w:szCs w:val="14"/>
                <w:b w:val="1"/>
                <w:bCs w:val="1"/>
                <w:color w:val="auto"/>
              </w:rPr>
              <w:t>2004</w:t>
            </w: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2003</w:t>
            </w:r>
          </w:p>
        </w:tc>
        <w:tc>
          <w:tcPr>
            <w:tcW w:w="6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56"/>
        </w:trPr>
        <w:tc>
          <w:tcPr>
            <w:tcW w:w="2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jc w:val="right"/>
              <w:ind w:right="900"/>
              <w:spacing w:after="0" w:line="155" w:lineRule="exact"/>
              <w:rPr>
                <w:sz w:val="20"/>
                <w:szCs w:val="20"/>
                <w:color w:val="auto"/>
              </w:rPr>
            </w:pPr>
            <w:r>
              <w:rPr>
                <w:rFonts w:ascii="Arial" w:cs="Arial" w:eastAsia="Arial" w:hAnsi="Arial"/>
                <w:sz w:val="14"/>
                <w:szCs w:val="14"/>
                <w:b w:val="1"/>
                <w:bCs w:val="1"/>
                <w:color w:val="auto"/>
              </w:rPr>
              <w:t>Amount</w:t>
            </w:r>
          </w:p>
        </w:tc>
        <w:tc>
          <w:tcPr>
            <w:tcW w:w="580" w:type="dxa"/>
            <w:vAlign w:val="bottom"/>
          </w:tcPr>
          <w:p>
            <w:pPr>
              <w:jc w:val="right"/>
              <w:ind w:right="134"/>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rPr>
              <w:t>Amount</w:t>
            </w:r>
          </w:p>
        </w:tc>
        <w:tc>
          <w:tcPr>
            <w:tcW w:w="420" w:type="dxa"/>
            <w:vAlign w:val="bottom"/>
          </w:tcPr>
          <w:p>
            <w:pPr>
              <w:jc w:val="right"/>
              <w:ind w:right="134"/>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jc w:val="right"/>
              <w:ind w:right="900"/>
              <w:spacing w:after="0" w:line="155" w:lineRule="exact"/>
              <w:rPr>
                <w:sz w:val="20"/>
                <w:szCs w:val="20"/>
                <w:color w:val="auto"/>
              </w:rPr>
            </w:pPr>
            <w:r>
              <w:rPr>
                <w:rFonts w:ascii="Arial" w:cs="Arial" w:eastAsia="Arial" w:hAnsi="Arial"/>
                <w:sz w:val="14"/>
                <w:szCs w:val="14"/>
                <w:b w:val="1"/>
                <w:bCs w:val="1"/>
                <w:color w:val="auto"/>
              </w:rPr>
              <w:t>Amount</w:t>
            </w:r>
          </w:p>
        </w:tc>
        <w:tc>
          <w:tcPr>
            <w:tcW w:w="660" w:type="dxa"/>
            <w:vAlign w:val="bottom"/>
          </w:tcPr>
          <w:p>
            <w:pPr>
              <w:jc w:val="right"/>
              <w:ind w:right="174"/>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2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(Dollars in</w:t>
            </w: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4"/>
              </w:rPr>
              <w:t>thousands)</w:t>
            </w:r>
          </w:p>
        </w:tc>
        <w:tc>
          <w:tcPr>
            <w:tcW w:w="1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2,184,993</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2,003,447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2,105,317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Agency</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2,763,973</w:t>
            </w:r>
          </w:p>
        </w:tc>
        <w:tc>
          <w:tcPr>
            <w:tcW w:w="5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55.8%</w:t>
            </w:r>
          </w:p>
        </w:tc>
        <w:tc>
          <w:tcPr>
            <w:tcW w:w="200" w:type="dxa"/>
            <w:vAlign w:val="bottom"/>
          </w:tcPr>
          <w:p>
            <w:pPr>
              <w:spacing w:after="0"/>
              <w:rPr>
                <w:sz w:val="18"/>
                <w:szCs w:val="18"/>
                <w:color w:val="auto"/>
              </w:rPr>
            </w:pPr>
          </w:p>
        </w:tc>
        <w:tc>
          <w:tcPr>
            <w:tcW w:w="1520" w:type="dxa"/>
            <w:vAlign w:val="bottom"/>
            <w:gridSpan w:val="2"/>
          </w:tcPr>
          <w:p>
            <w:pPr>
              <w:jc w:val="right"/>
              <w:ind w:right="508"/>
              <w:spacing w:after="0"/>
              <w:rPr>
                <w:sz w:val="20"/>
                <w:szCs w:val="20"/>
                <w:color w:val="auto"/>
              </w:rPr>
            </w:pPr>
            <w:r>
              <w:rPr>
                <w:rFonts w:ascii="Arial" w:cs="Arial" w:eastAsia="Arial" w:hAnsi="Arial"/>
                <w:sz w:val="18"/>
                <w:szCs w:val="18"/>
                <w:color w:val="auto"/>
              </w:rPr>
              <w:t>2,714,770</w:t>
            </w: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57.5%</w:t>
            </w:r>
          </w:p>
        </w:tc>
        <w:tc>
          <w:tcPr>
            <w:tcW w:w="22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2,595,433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55.2</w:t>
            </w:r>
          </w:p>
        </w:tc>
      </w:tr>
      <w:tr>
        <w:trPr>
          <w:trHeight w:val="27"/>
        </w:trPr>
        <w:tc>
          <w:tcPr>
            <w:tcW w:w="2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title insurance Premiums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4,948,966</w:t>
            </w: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4,718,217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100.0%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4,700,750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
        </w:trPr>
        <w:tc>
          <w:tcPr>
            <w:tcW w:w="2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67"/>
        <w:spacing w:after="0" w:line="257" w:lineRule="auto"/>
        <w:rPr>
          <w:sz w:val="20"/>
          <w:szCs w:val="20"/>
          <w:color w:val="auto"/>
        </w:rPr>
      </w:pPr>
      <w:r>
        <w:rPr>
          <w:rFonts w:ascii="Arial" w:cs="Arial" w:eastAsia="Arial" w:hAnsi="Arial"/>
          <w:sz w:val="18"/>
          <w:szCs w:val="18"/>
          <w:color w:val="auto"/>
        </w:rPr>
        <w:t>The premium for title insurance is due in full when the real estate transaction is closed. We recognize title insurance premium revenues from direct operations upon the closing of the transaction, whereas premium revenues from agency operations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and is based on estimates utilizing historical information.</w:t>
      </w:r>
    </w:p>
    <w:p>
      <w:pPr>
        <w:spacing w:after="0" w:line="80" w:lineRule="exact"/>
        <w:rPr>
          <w:sz w:val="20"/>
          <w:szCs w:val="20"/>
          <w:color w:val="auto"/>
        </w:rPr>
      </w:pPr>
    </w:p>
    <w:p>
      <w:pPr>
        <w:ind w:right="160" w:firstLine="270"/>
        <w:spacing w:after="0" w:line="286" w:lineRule="auto"/>
        <w:rPr>
          <w:sz w:val="20"/>
          <w:szCs w:val="20"/>
          <w:color w:val="auto"/>
        </w:rPr>
      </w:pPr>
      <w:r>
        <w:rPr>
          <w:rFonts w:ascii="Arial" w:cs="Arial" w:eastAsia="Arial" w:hAnsi="Arial"/>
          <w:sz w:val="17"/>
          <w:szCs w:val="17"/>
          <w:i w:val="1"/>
          <w:iCs w:val="1"/>
          <w:color w:val="auto"/>
        </w:rPr>
        <w:t xml:space="preserve">Geographic Operations. </w:t>
      </w:r>
      <w:r>
        <w:rPr>
          <w:rFonts w:ascii="Arial" w:cs="Arial" w:eastAsia="Arial" w:hAnsi="Arial"/>
          <w:sz w:val="17"/>
          <w:szCs w:val="17"/>
          <w:color w:val="auto"/>
        </w:rPr>
        <w:t>Our direct operations are divided into approximately 244 profit centers consisting of more than 1,500 direct offices. Each profit</w:t>
      </w:r>
      <w:r>
        <w:rPr>
          <w:rFonts w:ascii="Arial" w:cs="Arial" w:eastAsia="Arial" w:hAnsi="Arial"/>
          <w:sz w:val="17"/>
          <w:szCs w:val="17"/>
          <w:i w:val="1"/>
          <w:iCs w:val="1"/>
          <w:color w:val="auto"/>
        </w:rPr>
        <w:t xml:space="preserve"> </w:t>
      </w:r>
      <w:r>
        <w:rPr>
          <w:rFonts w:ascii="Arial" w:cs="Arial" w:eastAsia="Arial" w:hAnsi="Arial"/>
          <w:sz w:val="17"/>
          <w:szCs w:val="17"/>
          <w:color w:val="auto"/>
        </w:rPr>
        <w:t>center processes title insurance transactions within its geographical area, which is usually identified by a county, a group of counties forming a region, or a state, depending on the management structure in that part of the country. We also transact title insurance business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2120"/>
        <w:spacing w:after="0"/>
        <w:rPr>
          <w:sz w:val="20"/>
          <w:szCs w:val="20"/>
          <w:color w:val="auto"/>
        </w:rPr>
      </w:pPr>
      <w:r>
        <w:rPr>
          <w:rFonts w:ascii="Arial" w:cs="Arial" w:eastAsia="Arial" w:hAnsi="Arial"/>
          <w:sz w:val="16"/>
          <w:szCs w:val="16"/>
          <w:color w:val="auto"/>
        </w:rPr>
        <w:t>through a network of over 10,000 agents, primarily in those areas in which agents are the more prevalent title insurance provider.</w:t>
      </w:r>
    </w:p>
    <w:p>
      <w:pPr>
        <w:spacing w:after="0" w:line="140" w:lineRule="exact"/>
        <w:rPr>
          <w:sz w:val="20"/>
          <w:szCs w:val="20"/>
          <w:color w:val="auto"/>
        </w:rPr>
      </w:pPr>
    </w:p>
    <w:p>
      <w:pPr>
        <w:jc w:val="right"/>
        <w:ind w:right="2060"/>
        <w:spacing w:after="0"/>
        <w:rPr>
          <w:sz w:val="20"/>
          <w:szCs w:val="20"/>
          <w:color w:val="auto"/>
        </w:rPr>
      </w:pPr>
      <w:r>
        <w:rPr>
          <w:rFonts w:ascii="Arial" w:cs="Arial" w:eastAsia="Arial" w:hAnsi="Arial"/>
          <w:sz w:val="16"/>
          <w:szCs w:val="16"/>
          <w:color w:val="auto"/>
        </w:rPr>
        <w:t>The following table sets forth the approximate dollar and percentage volumes of our title insurance premium revenue by state.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3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2005</w:t>
            </w:r>
          </w:p>
        </w:tc>
        <w:tc>
          <w:tcPr>
            <w:tcW w:w="5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368"/>
              <w:spacing w:after="0" w:line="155" w:lineRule="exact"/>
              <w:rPr>
                <w:sz w:val="20"/>
                <w:szCs w:val="20"/>
                <w:color w:val="auto"/>
              </w:rPr>
            </w:pPr>
            <w:r>
              <w:rPr>
                <w:rFonts w:ascii="Arial" w:cs="Arial" w:eastAsia="Arial" w:hAnsi="Arial"/>
                <w:sz w:val="14"/>
                <w:szCs w:val="14"/>
                <w:b w:val="1"/>
                <w:bCs w:val="1"/>
                <w:color w:val="auto"/>
              </w:rPr>
              <w:t>2004</w:t>
            </w: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2003</w:t>
            </w:r>
          </w:p>
        </w:tc>
        <w:tc>
          <w:tcPr>
            <w:tcW w:w="6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56"/>
        </w:trPr>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right"/>
              <w:ind w:right="900"/>
              <w:spacing w:after="0" w:line="155" w:lineRule="exact"/>
              <w:rPr>
                <w:sz w:val="20"/>
                <w:szCs w:val="20"/>
                <w:color w:val="auto"/>
              </w:rPr>
            </w:pPr>
            <w:r>
              <w:rPr>
                <w:rFonts w:ascii="Arial" w:cs="Arial" w:eastAsia="Arial" w:hAnsi="Arial"/>
                <w:sz w:val="14"/>
                <w:szCs w:val="14"/>
                <w:b w:val="1"/>
                <w:bCs w:val="1"/>
                <w:color w:val="auto"/>
              </w:rPr>
              <w:t>Amount</w:t>
            </w:r>
          </w:p>
        </w:tc>
        <w:tc>
          <w:tcPr>
            <w:tcW w:w="580" w:type="dxa"/>
            <w:vAlign w:val="bottom"/>
          </w:tcPr>
          <w:p>
            <w:pPr>
              <w:jc w:val="right"/>
              <w:ind w:right="132"/>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420" w:type="dxa"/>
            <w:vAlign w:val="bottom"/>
          </w:tcPr>
          <w:p>
            <w:pPr>
              <w:jc w:val="right"/>
              <w:ind w:right="132"/>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jc w:val="right"/>
              <w:ind w:right="920"/>
              <w:spacing w:after="0" w:line="155" w:lineRule="exact"/>
              <w:rPr>
                <w:sz w:val="20"/>
                <w:szCs w:val="20"/>
                <w:color w:val="auto"/>
              </w:rPr>
            </w:pPr>
            <w:r>
              <w:rPr>
                <w:rFonts w:ascii="Arial" w:cs="Arial" w:eastAsia="Arial" w:hAnsi="Arial"/>
                <w:sz w:val="14"/>
                <w:szCs w:val="14"/>
                <w:b w:val="1"/>
                <w:bCs w:val="1"/>
                <w:color w:val="auto"/>
              </w:rPr>
              <w:t>Amount</w:t>
            </w:r>
          </w:p>
        </w:tc>
        <w:tc>
          <w:tcPr>
            <w:tcW w:w="66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3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(Dollars in</w:t>
            </w: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4"/>
              </w:rPr>
              <w:t>thousands)</w:t>
            </w:r>
          </w:p>
        </w:tc>
        <w:tc>
          <w:tcPr>
            <w:tcW w:w="1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1,034,467</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1,055,296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1,183,643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Florida</w:t>
            </w:r>
          </w:p>
        </w:tc>
        <w:tc>
          <w:tcPr>
            <w:tcW w:w="20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699,492</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483,860</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310,545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476,432</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514,417</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527,583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New York</w:t>
            </w:r>
          </w:p>
        </w:tc>
        <w:tc>
          <w:tcPr>
            <w:tcW w:w="20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402,768</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400,827</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378,341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Arizona</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206,242</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164,225</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175,229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All others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2,129,565</w:t>
            </w:r>
          </w:p>
        </w:tc>
        <w:tc>
          <w:tcPr>
            <w:tcW w:w="5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2,099,592</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44.4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2,125,409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45.3</w:t>
            </w:r>
          </w:p>
        </w:tc>
      </w:tr>
      <w:tr>
        <w:trPr>
          <w:trHeight w:val="27"/>
        </w:trPr>
        <w:tc>
          <w:tcPr>
            <w:tcW w:w="3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4,948,966</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4,718,217</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100.0%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4,700,750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
        </w:trPr>
        <w:tc>
          <w:tcPr>
            <w:tcW w:w="3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i w:val="1"/>
          <w:iCs w:val="1"/>
          <w:color w:val="auto"/>
        </w:rPr>
        <w:t xml:space="preserve">Escrow and Other Title Related Fees. </w:t>
      </w:r>
      <w:r>
        <w:rPr>
          <w:rFonts w:ascii="Arial" w:cs="Arial" w:eastAsia="Arial" w:hAnsi="Arial"/>
          <w:sz w:val="18"/>
          <w:szCs w:val="18"/>
          <w:color w:val="auto"/>
        </w:rPr>
        <w:t>In addition to fees for underwriting title insurance policies, we derive a significant amount of our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escrow and other title-related services, including closing services. The escrow and other services provided by us include all of those typically required in connection with residential and commercial real estate purchase and refinance activities. Escrow and other title-related fees represented approximately 18.4% and 17.7% of our revenues for 2005 and 2004, respectively. Escrow and other title-related fees are primarily generated by our direct title operations and increases or decreases in the amount of revenue we receive from these services are closely related to increases or decreases in revenues from our direct title operations.</w:t>
      </w:r>
    </w:p>
    <w:p>
      <w:pPr>
        <w:spacing w:after="0" w:line="85" w:lineRule="exact"/>
        <w:rPr>
          <w:sz w:val="20"/>
          <w:szCs w:val="20"/>
          <w:color w:val="auto"/>
        </w:rPr>
      </w:pPr>
    </w:p>
    <w:p>
      <w:pPr>
        <w:ind w:right="40" w:firstLine="270"/>
        <w:spacing w:after="0" w:line="257" w:lineRule="auto"/>
        <w:rPr>
          <w:sz w:val="20"/>
          <w:szCs w:val="20"/>
          <w:color w:val="auto"/>
        </w:rPr>
      </w:pPr>
      <w:r>
        <w:rPr>
          <w:rFonts w:ascii="Arial" w:cs="Arial" w:eastAsia="Arial" w:hAnsi="Arial"/>
          <w:sz w:val="18"/>
          <w:szCs w:val="18"/>
          <w:i w:val="1"/>
          <w:iCs w:val="1"/>
          <w:color w:val="auto"/>
        </w:rPr>
        <w:t xml:space="preserve">Reinsurance and Coinsurance. </w:t>
      </w:r>
      <w:r>
        <w:rPr>
          <w:rFonts w:ascii="Arial" w:cs="Arial" w:eastAsia="Arial" w:hAnsi="Arial"/>
          <w:sz w:val="18"/>
          <w:szCs w:val="18"/>
          <w:color w:val="auto"/>
        </w:rPr>
        <w:t>In a limited number of situations we limit our maximum loss exposure by reinsuring certain risks with other title insurers</w:t>
      </w:r>
      <w:r>
        <w:rPr>
          <w:rFonts w:ascii="Arial" w:cs="Arial" w:eastAsia="Arial" w:hAnsi="Arial"/>
          <w:sz w:val="18"/>
          <w:szCs w:val="18"/>
          <w:i w:val="1"/>
          <w:iCs w:val="1"/>
          <w:color w:val="auto"/>
        </w:rPr>
        <w:t xml:space="preserve"> </w:t>
      </w:r>
      <w:r>
        <w:rPr>
          <w:rFonts w:ascii="Arial" w:cs="Arial" w:eastAsia="Arial" w:hAnsi="Arial"/>
          <w:sz w:val="18"/>
          <w:szCs w:val="18"/>
          <w:color w:val="auto"/>
        </w:rPr>
        <w:t>under agent fidelity, excess of loss and case-by-case reinsurance agreements. We also earn a small amount of additional income, which is reflected in our direct premiums, by assuming reinsurance for certain risks of other title insurers. Reinsurance agreements provide generally that the reinsurer is liable for loss and loss adjustment expense payments exceeding the amount retained by the ceding company. However, the ceding company remains primarily liable in the event the reinsurer does not meet its contractual obligations.</w:t>
      </w:r>
    </w:p>
    <w:p>
      <w:pPr>
        <w:spacing w:after="0" w:line="80" w:lineRule="exact"/>
        <w:rPr>
          <w:sz w:val="20"/>
          <w:szCs w:val="20"/>
          <w:color w:val="auto"/>
        </w:rPr>
      </w:pPr>
    </w:p>
    <w:p>
      <w:pPr>
        <w:ind w:right="40" w:firstLine="267"/>
        <w:spacing w:after="0" w:line="264" w:lineRule="auto"/>
        <w:rPr>
          <w:sz w:val="20"/>
          <w:szCs w:val="20"/>
          <w:color w:val="auto"/>
        </w:rPr>
      </w:pPr>
      <w:r>
        <w:rPr>
          <w:rFonts w:ascii="Arial" w:cs="Arial" w:eastAsia="Arial" w:hAnsi="Arial"/>
          <w:sz w:val="18"/>
          <w:szCs w:val="18"/>
          <w:color w:val="auto"/>
        </w:rPr>
        <w:t>We also use coinsurance in our commercial title business to provide coverage in amounts greater than we would be willing or able to provide individually. In coinsurance transactions, each individual underwriting company issues a separate policy and assumes a portion of the overall total risk. As a coinsurer we are only liable for the portion of the risk we assumed.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firstLine="267"/>
        <w:spacing w:after="0" w:line="271" w:lineRule="auto"/>
        <w:rPr>
          <w:sz w:val="20"/>
          <w:szCs w:val="20"/>
          <w:color w:val="auto"/>
        </w:rPr>
      </w:pPr>
      <w:r>
        <w:rPr>
          <w:rFonts w:ascii="Arial" w:cs="Arial" w:eastAsia="Arial" w:hAnsi="Arial"/>
          <w:sz w:val="17"/>
          <w:szCs w:val="17"/>
          <w:color w:val="auto"/>
        </w:rPr>
        <w:t>We market and distribute our title and escrow products and services to customers in the residential and commercial market sectors of the real estate industry through customer solicitation by sales personnel. Although in many instances the individual homeowner is the beneficiary of a title insurance policy, we do not focus our marketing efforts on the homeowner. We actively encourage our sales personnel to develop new business relationships with persons in the real estate community, such as real estate sales agents and brokers, financial institutions, independent escrow companies and title agents, real estate developers, mortgage brokers and attorneys who order title insurance policies for their clients. While our smaller, local clients remain important, large customers, such as national residential mortgage lenders, real estate investment trusts and developers have become an increasingly important part of our business. The buying criteria of locally based clients differ from those of large, geographically diverse customers in that the former tend to emphasize personal relationships and ease of transaction execution, while the latter generally place more emphasis 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consistent product delivery across diverse geographical regions and ability of service providers to meet their information systems requirements for electronic product delivery.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Losses and Reserves</w:t>
      </w:r>
    </w:p>
    <w:p>
      <w:pPr>
        <w:spacing w:after="0" w:line="121" w:lineRule="exact"/>
        <w:rPr>
          <w:sz w:val="20"/>
          <w:szCs w:val="20"/>
          <w:color w:val="auto"/>
        </w:rPr>
      </w:pPr>
    </w:p>
    <w:p>
      <w:pPr>
        <w:ind w:right="180" w:firstLine="267"/>
        <w:spacing w:after="0" w:line="259" w:lineRule="auto"/>
        <w:rPr>
          <w:sz w:val="20"/>
          <w:szCs w:val="20"/>
          <w:color w:val="auto"/>
        </w:rPr>
      </w:pPr>
      <w:r>
        <w:rPr>
          <w:rFonts w:ascii="Arial" w:cs="Arial" w:eastAsia="Arial" w:hAnsi="Arial"/>
          <w:sz w:val="18"/>
          <w:szCs w:val="18"/>
          <w:color w:val="auto"/>
        </w:rPr>
        <w:t>While most other forms of insurance provide for the assumption of risk of loss arising out of unforeseen events, title insurance serves to protect the policyholder from risk of loss from events that predate the issuance of the policy. As a result, claim losses associated with issuing title policies are less expensive when compared to many other types of insurance. The maximum amount of liability under a title insurance policy is generally the face amount of the policy plus the cost of defending the insured’s title against an adverse claim.</w:t>
      </w:r>
    </w:p>
    <w:p>
      <w:pPr>
        <w:spacing w:after="0" w:line="79" w:lineRule="exact"/>
        <w:rPr>
          <w:sz w:val="20"/>
          <w:szCs w:val="20"/>
          <w:color w:val="auto"/>
        </w:rPr>
      </w:pPr>
    </w:p>
    <w:p>
      <w:pPr>
        <w:jc w:val="both"/>
        <w:ind w:right="100" w:firstLine="270"/>
        <w:spacing w:after="0" w:line="286" w:lineRule="auto"/>
        <w:rPr>
          <w:sz w:val="20"/>
          <w:szCs w:val="20"/>
          <w:color w:val="auto"/>
        </w:rPr>
      </w:pPr>
      <w:r>
        <w:rPr>
          <w:rFonts w:ascii="Arial" w:cs="Arial" w:eastAsia="Arial" w:hAnsi="Arial"/>
          <w:sz w:val="17"/>
          <w:szCs w:val="17"/>
          <w:color w:val="auto"/>
        </w:rPr>
        <w:t>Reserves for claim losses are established based upon known claims, as well as losses incurred but not yet reported to us based upon historical experience and other factors, including industry trends, claim loss history, legal environment, geographic considerations, expected recoupments and the types of policies written. We also reserve for losses arising from escrow, closing and disbursement functions due to fraud or operational error.</w:t>
      </w:r>
    </w:p>
    <w:p>
      <w:pPr>
        <w:spacing w:after="0" w:line="57" w:lineRule="exact"/>
        <w:rPr>
          <w:sz w:val="20"/>
          <w:szCs w:val="20"/>
          <w:color w:val="auto"/>
        </w:rPr>
      </w:pPr>
    </w:p>
    <w:p>
      <w:pPr>
        <w:ind w:right="40" w:firstLine="260"/>
        <w:spacing w:after="0" w:line="279" w:lineRule="auto"/>
        <w:rPr>
          <w:sz w:val="20"/>
          <w:szCs w:val="20"/>
          <w:color w:val="auto"/>
        </w:rPr>
      </w:pPr>
      <w:r>
        <w:rPr>
          <w:rFonts w:ascii="Arial" w:cs="Arial" w:eastAsia="Arial" w:hAnsi="Arial"/>
          <w:sz w:val="17"/>
          <w:szCs w:val="17"/>
          <w:color w:val="auto"/>
        </w:rPr>
        <w:t>Although most claims against title insurance policies are reported relatively soon after the policy has been issued, claims may be reported many years later. By their nature,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63" w:lineRule="exact"/>
        <w:rPr>
          <w:sz w:val="20"/>
          <w:szCs w:val="20"/>
          <w:color w:val="auto"/>
        </w:rPr>
      </w:pPr>
    </w:p>
    <w:p>
      <w:pPr>
        <w:ind w:firstLine="260"/>
        <w:spacing w:after="0" w:line="297" w:lineRule="auto"/>
        <w:rPr>
          <w:sz w:val="20"/>
          <w:szCs w:val="20"/>
          <w:color w:val="auto"/>
        </w:rPr>
      </w:pPr>
      <w:r>
        <w:rPr>
          <w:rFonts w:ascii="Arial" w:cs="Arial" w:eastAsia="Arial" w:hAnsi="Arial"/>
          <w:sz w:val="16"/>
          <w:szCs w:val="16"/>
          <w:color w:val="auto"/>
        </w:rPr>
        <w:t>A title insurance company can minimize its losses by having strict quality control systems and underwriting standards in place. These controls increase the likelihood that the appropriate level of diligence is conducted in completing a title search so that the possibility of potential claims is significantly mitigated. In the case of independent agents who conduct their own title searches, the agency agreement between the agent and the title insurance underwriter gives the underwriter the ability to proceed against the agent when a loss arises from a flawed title search. We take an aggressive stance in pursuing claims against independent agents for losses that arise from fraud, misrepresentation, deceptive trade practices or other wrongful acts commonly referred to as “bad faith.”</w:t>
      </w:r>
    </w:p>
    <w:p>
      <w:pPr>
        <w:spacing w:after="0" w:line="50"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Courts and juries sometimes award damages against insurance companies, including title insurance companies, in excess of policy limits. Such awards are typically based on allegations of fraud, misrepresentation, deceptive trade practices or other wrongful acts. The possibility of such bad faith damage awards may cause us to experience increased costs and difficulty in settling title claims.</w:t>
      </w:r>
    </w:p>
    <w:p>
      <w:pPr>
        <w:spacing w:after="0" w:line="73" w:lineRule="exact"/>
        <w:rPr>
          <w:sz w:val="20"/>
          <w:szCs w:val="20"/>
          <w:color w:val="auto"/>
        </w:rPr>
      </w:pPr>
    </w:p>
    <w:p>
      <w:pPr>
        <w:ind w:right="100" w:firstLine="267"/>
        <w:spacing w:after="0" w:line="277" w:lineRule="auto"/>
        <w:rPr>
          <w:sz w:val="20"/>
          <w:szCs w:val="20"/>
          <w:color w:val="auto"/>
        </w:rPr>
      </w:pPr>
      <w:r>
        <w:rPr>
          <w:rFonts w:ascii="Arial" w:cs="Arial" w:eastAsia="Arial" w:hAnsi="Arial"/>
          <w:sz w:val="18"/>
          <w:szCs w:val="18"/>
          <w:color w:val="auto"/>
        </w:rPr>
        <w:t>The maximum insurable amount under any single title insurance policy is determined by statutorily calculated net worth. The highest self-imposed single policy maximum insurable amount for any of our title insurance subsidiaries is $475.0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Policies and Investment Portfolio</w:t>
      </w:r>
    </w:p>
    <w:p>
      <w:pPr>
        <w:spacing w:after="0" w:line="121" w:lineRule="exact"/>
        <w:rPr>
          <w:sz w:val="20"/>
          <w:szCs w:val="20"/>
          <w:color w:val="auto"/>
        </w:rPr>
      </w:pPr>
    </w:p>
    <w:p>
      <w:pPr>
        <w:ind w:right="320" w:firstLine="270"/>
        <w:spacing w:after="0" w:line="259" w:lineRule="auto"/>
        <w:rPr>
          <w:sz w:val="20"/>
          <w:szCs w:val="20"/>
          <w:color w:val="auto"/>
        </w:rPr>
      </w:pPr>
      <w:r>
        <w:rPr>
          <w:rFonts w:ascii="Arial" w:cs="Arial" w:eastAsia="Arial" w:hAnsi="Arial"/>
          <w:sz w:val="18"/>
          <w:szCs w:val="18"/>
          <w:color w:val="auto"/>
        </w:rPr>
        <w:t>Our investment policy is designed to maintain a high quality portfolio, maximize income and minimize interest rate risk. We also make investments in certain equity securities in order to take advantage of perceived value and for strategic purposes. Various states regulate what types of assets qualify for purposes of capital and surplus and statutory unearned premium reserves. We manage our investment portfolio and do not utilize third party investment managers.</w:t>
      </w:r>
    </w:p>
    <w:p>
      <w:pPr>
        <w:spacing w:after="0" w:line="79" w:lineRule="exact"/>
        <w:rPr>
          <w:sz w:val="20"/>
          <w:szCs w:val="20"/>
          <w:color w:val="auto"/>
        </w:rPr>
      </w:pPr>
    </w:p>
    <w:p>
      <w:pPr>
        <w:ind w:right="580" w:firstLine="260"/>
        <w:spacing w:after="0" w:line="277" w:lineRule="auto"/>
        <w:rPr>
          <w:sz w:val="20"/>
          <w:szCs w:val="20"/>
          <w:color w:val="auto"/>
        </w:rPr>
      </w:pPr>
      <w:r>
        <w:rPr>
          <w:rFonts w:ascii="Arial" w:cs="Arial" w:eastAsia="Arial" w:hAnsi="Arial"/>
          <w:sz w:val="18"/>
          <w:szCs w:val="18"/>
          <w:color w:val="auto"/>
        </w:rPr>
        <w:t>As of December 31, 2005 and 2004, the carrying amount, which approximates the fair value, of total investments was $3.3 billion and $2.8 billion, respectively.</w:t>
      </w:r>
    </w:p>
    <w:p>
      <w:pPr>
        <w:spacing w:after="0" w:line="62" w:lineRule="exact"/>
        <w:rPr>
          <w:sz w:val="20"/>
          <w:szCs w:val="20"/>
          <w:color w:val="auto"/>
        </w:rPr>
      </w:pPr>
    </w:p>
    <w:p>
      <w:pPr>
        <w:ind w:right="280" w:firstLine="267"/>
        <w:spacing w:after="0" w:line="277" w:lineRule="auto"/>
        <w:rPr>
          <w:sz w:val="20"/>
          <w:szCs w:val="20"/>
          <w:color w:val="auto"/>
        </w:rPr>
      </w:pPr>
      <w:r>
        <w:rPr>
          <w:rFonts w:ascii="Arial" w:cs="Arial" w:eastAsia="Arial" w:hAnsi="Arial"/>
          <w:sz w:val="18"/>
          <w:szCs w:val="18"/>
          <w:color w:val="auto"/>
        </w:rPr>
        <w:t>We purchase investment grade fixed maturity securities, selected non-investment grade fixed maturity securities and equity securities. The securities in our portfolio are subject to economic conditions and normal market risks and uncertainties.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presents certain information regarding the investment ratings of our fixed maturity portfolio at December 31, 2005 and 2004.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6"/>
          </w:tcPr>
          <w:p>
            <w:pPr>
              <w:jc w:val="right"/>
              <w:ind w:right="1180"/>
              <w:spacing w:after="0"/>
              <w:rPr>
                <w:sz w:val="20"/>
                <w:szCs w:val="20"/>
                <w:color w:val="auto"/>
              </w:rPr>
            </w:pPr>
            <w:r>
              <w:rPr>
                <w:rFonts w:ascii="Arial" w:cs="Arial" w:eastAsia="Arial" w:hAnsi="Arial"/>
                <w:sz w:val="13"/>
                <w:szCs w:val="13"/>
                <w:b w:val="1"/>
                <w:bCs w:val="1"/>
                <w:color w:val="auto"/>
              </w:rPr>
              <w:t>December 31,</w:t>
            </w:r>
          </w:p>
        </w:tc>
        <w:tc>
          <w:tcPr>
            <w:tcW w:w="4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42"/>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20"/>
              <w:spacing w:after="0" w:line="143" w:lineRule="exact"/>
              <w:rPr>
                <w:sz w:val="20"/>
                <w:szCs w:val="20"/>
                <w:color w:val="auto"/>
              </w:rPr>
            </w:pPr>
            <w:r>
              <w:rPr>
                <w:rFonts w:ascii="Arial" w:cs="Arial" w:eastAsia="Arial" w:hAnsi="Arial"/>
                <w:sz w:val="13"/>
                <w:szCs w:val="13"/>
                <w:b w:val="1"/>
                <w:bCs w:val="1"/>
                <w:color w:val="auto"/>
              </w:rPr>
              <w:t>2005</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64"/>
              <w:spacing w:after="0" w:line="143" w:lineRule="exact"/>
              <w:rPr>
                <w:sz w:val="20"/>
                <w:szCs w:val="20"/>
                <w:color w:val="auto"/>
              </w:rPr>
            </w:pPr>
            <w:r>
              <w:rPr>
                <w:rFonts w:ascii="Arial" w:cs="Arial" w:eastAsia="Arial" w:hAnsi="Arial"/>
                <w:sz w:val="13"/>
                <w:szCs w:val="13"/>
                <w:b w:val="1"/>
                <w:bCs w:val="1"/>
                <w:color w:val="auto"/>
              </w:rPr>
              <w:t>2004</w:t>
            </w: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24"/>
        </w:trPr>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right"/>
              <w:ind w:right="103"/>
              <w:spacing w:after="0" w:line="124" w:lineRule="exact"/>
              <w:rPr>
                <w:sz w:val="20"/>
                <w:szCs w:val="20"/>
                <w:color w:val="auto"/>
              </w:rPr>
            </w:pPr>
            <w:r>
              <w:rPr>
                <w:rFonts w:ascii="Arial" w:cs="Arial" w:eastAsia="Arial" w:hAnsi="Arial"/>
                <w:sz w:val="13"/>
                <w:szCs w:val="13"/>
                <w:b w:val="1"/>
                <w:bCs w:val="1"/>
                <w:color w:val="auto"/>
                <w:w w:val="97"/>
              </w:rPr>
              <w:t>Amortized</w:t>
            </w:r>
          </w:p>
        </w:tc>
        <w:tc>
          <w:tcPr>
            <w:tcW w:w="460" w:type="dxa"/>
            <w:vAlign w:val="bottom"/>
          </w:tcPr>
          <w:p>
            <w:pPr>
              <w:spacing w:after="0"/>
              <w:rPr>
                <w:sz w:val="10"/>
                <w:szCs w:val="10"/>
                <w:color w:val="auto"/>
              </w:rPr>
            </w:pPr>
          </w:p>
        </w:tc>
        <w:tc>
          <w:tcPr>
            <w:tcW w:w="820" w:type="dxa"/>
            <w:vAlign w:val="bottom"/>
            <w:gridSpan w:val="2"/>
          </w:tcPr>
          <w:p>
            <w:pPr>
              <w:jc w:val="right"/>
              <w:ind w:right="460"/>
              <w:spacing w:after="0" w:line="124"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ind w:left="100"/>
              <w:spacing w:after="0" w:line="124"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right"/>
              <w:ind w:right="660"/>
              <w:spacing w:after="0" w:line="124" w:lineRule="exact"/>
              <w:rPr>
                <w:sz w:val="20"/>
                <w:szCs w:val="20"/>
                <w:color w:val="auto"/>
              </w:rPr>
            </w:pPr>
            <w:r>
              <w:rPr>
                <w:rFonts w:ascii="Arial" w:cs="Arial" w:eastAsia="Arial" w:hAnsi="Arial"/>
                <w:sz w:val="13"/>
                <w:szCs w:val="13"/>
                <w:b w:val="1"/>
                <w:bCs w:val="1"/>
                <w:color w:val="auto"/>
                <w:w w:val="94"/>
              </w:rPr>
              <w:t>Amortized</w:t>
            </w:r>
          </w:p>
        </w:tc>
        <w:tc>
          <w:tcPr>
            <w:tcW w:w="840" w:type="dxa"/>
            <w:vAlign w:val="bottom"/>
            <w:gridSpan w:val="2"/>
          </w:tcPr>
          <w:p>
            <w:pPr>
              <w:jc w:val="right"/>
              <w:ind w:right="480"/>
              <w:spacing w:after="0" w:line="124"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jc w:val="right"/>
              <w:ind w:right="63"/>
              <w:spacing w:after="0" w:line="124"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r>
      <w:tr>
        <w:trPr>
          <w:trHeight w:val="153"/>
        </w:trPr>
        <w:tc>
          <w:tcPr>
            <w:tcW w:w="2380" w:type="dxa"/>
            <w:vAlign w:val="bottom"/>
            <w:gridSpan w:val="3"/>
          </w:tcPr>
          <w:p>
            <w:pPr>
              <w:spacing w:after="0"/>
              <w:rPr>
                <w:sz w:val="20"/>
                <w:szCs w:val="20"/>
                <w:color w:val="auto"/>
              </w:rPr>
            </w:pPr>
            <w:r>
              <w:rPr>
                <w:rFonts w:ascii="Arial" w:cs="Arial" w:eastAsia="Arial" w:hAnsi="Arial"/>
                <w:sz w:val="13"/>
                <w:szCs w:val="13"/>
                <w:b w:val="1"/>
                <w:bCs w:val="1"/>
                <w:color w:val="auto"/>
              </w:rPr>
              <w:t>Rating(1)</w:t>
            </w:r>
          </w:p>
        </w:tc>
        <w:tc>
          <w:tcPr>
            <w:tcW w:w="140" w:type="dxa"/>
            <w:vAlign w:val="bottom"/>
          </w:tcPr>
          <w:p>
            <w:pPr>
              <w:spacing w:after="0"/>
              <w:rPr>
                <w:sz w:val="13"/>
                <w:szCs w:val="13"/>
                <w:color w:val="auto"/>
              </w:rPr>
            </w:pPr>
          </w:p>
        </w:tc>
        <w:tc>
          <w:tcPr>
            <w:tcW w:w="820" w:type="dxa"/>
            <w:vAlign w:val="bottom"/>
          </w:tcPr>
          <w:p>
            <w:pPr>
              <w:jc w:val="right"/>
              <w:ind w:right="283"/>
              <w:spacing w:after="0"/>
              <w:rPr>
                <w:sz w:val="20"/>
                <w:szCs w:val="20"/>
                <w:color w:val="auto"/>
              </w:rPr>
            </w:pPr>
            <w:r>
              <w:rPr>
                <w:rFonts w:ascii="Arial" w:cs="Arial" w:eastAsia="Arial" w:hAnsi="Arial"/>
                <w:sz w:val="13"/>
                <w:szCs w:val="13"/>
                <w:b w:val="1"/>
                <w:bCs w:val="1"/>
                <w:color w:val="auto"/>
              </w:rPr>
              <w:t>Cost</w:t>
            </w:r>
          </w:p>
        </w:tc>
        <w:tc>
          <w:tcPr>
            <w:tcW w:w="460" w:type="dxa"/>
            <w:vAlign w:val="bottom"/>
          </w:tcPr>
          <w:p>
            <w:pPr>
              <w:spacing w:after="0"/>
              <w:rPr>
                <w:sz w:val="13"/>
                <w:szCs w:val="13"/>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3"/>
                <w:szCs w:val="13"/>
                <w:color w:val="auto"/>
              </w:rPr>
            </w:pPr>
          </w:p>
        </w:tc>
        <w:tc>
          <w:tcPr>
            <w:tcW w:w="820" w:type="dxa"/>
            <w:vAlign w:val="bottom"/>
          </w:tcPr>
          <w:p>
            <w:pPr>
              <w:jc w:val="right"/>
              <w:ind w:right="122"/>
              <w:spacing w:after="0"/>
              <w:rPr>
                <w:sz w:val="20"/>
                <w:szCs w:val="20"/>
                <w:color w:val="auto"/>
              </w:rPr>
            </w:pPr>
            <w:r>
              <w:rPr>
                <w:rFonts w:ascii="Arial" w:cs="Arial" w:eastAsia="Arial" w:hAnsi="Arial"/>
                <w:sz w:val="13"/>
                <w:szCs w:val="13"/>
                <w:b w:val="1"/>
                <w:bCs w:val="1"/>
                <w:color w:val="auto"/>
                <w:w w:val="96"/>
              </w:rPr>
              <w:t>Fair Value</w:t>
            </w:r>
          </w:p>
        </w:tc>
        <w:tc>
          <w:tcPr>
            <w:tcW w:w="5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3"/>
                <w:szCs w:val="13"/>
                <w:b w:val="1"/>
                <w:bCs w:val="1"/>
                <w:color w:val="auto"/>
              </w:rPr>
              <w:t>Cost</w:t>
            </w:r>
          </w:p>
        </w:tc>
        <w:tc>
          <w:tcPr>
            <w:tcW w:w="8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3"/>
                <w:szCs w:val="13"/>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w w:val="96"/>
              </w:rPr>
              <w:t>Fair Value</w:t>
            </w:r>
          </w:p>
        </w:tc>
        <w:tc>
          <w:tcPr>
            <w:tcW w:w="7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r>
      <w:tr>
        <w:trPr>
          <w:trHeight w:val="142"/>
        </w:trPr>
        <w:tc>
          <w:tcPr>
            <w:tcW w:w="2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Borders>
              <w:top w:val="single" w:sz="8" w:color="auto"/>
            </w:tcBorders>
          </w:tcPr>
          <w:p>
            <w:pPr>
              <w:ind w:left="100"/>
              <w:spacing w:after="0" w:line="143" w:lineRule="exact"/>
              <w:rPr>
                <w:sz w:val="20"/>
                <w:szCs w:val="20"/>
                <w:color w:val="auto"/>
              </w:rPr>
            </w:pPr>
            <w:r>
              <w:rPr>
                <w:rFonts w:ascii="Arial" w:cs="Arial" w:eastAsia="Arial" w:hAnsi="Arial"/>
                <w:sz w:val="13"/>
                <w:szCs w:val="13"/>
                <w:b w:val="1"/>
                <w:bCs w:val="1"/>
                <w:color w:val="auto"/>
                <w:w w:val="70"/>
              </w:rPr>
              <w:t>(Dollars</w:t>
            </w:r>
          </w:p>
        </w:tc>
        <w:tc>
          <w:tcPr>
            <w:tcW w:w="360" w:type="dxa"/>
            <w:vAlign w:val="bottom"/>
            <w:gridSpan w:val="2"/>
          </w:tcPr>
          <w:p>
            <w:pPr>
              <w:ind w:left="100"/>
              <w:spacing w:after="0" w:line="143" w:lineRule="exact"/>
              <w:rPr>
                <w:sz w:val="20"/>
                <w:szCs w:val="20"/>
                <w:color w:val="auto"/>
              </w:rPr>
            </w:pPr>
            <w:r>
              <w:rPr>
                <w:rFonts w:ascii="Arial" w:cs="Arial" w:eastAsia="Arial" w:hAnsi="Arial"/>
                <w:sz w:val="13"/>
                <w:szCs w:val="13"/>
                <w:b w:val="1"/>
                <w:bCs w:val="1"/>
                <w:color w:val="auto"/>
              </w:rPr>
              <w:t>in</w:t>
            </w:r>
          </w:p>
        </w:tc>
        <w:tc>
          <w:tcPr>
            <w:tcW w:w="96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3"/>
                <w:szCs w:val="13"/>
                <w:b w:val="1"/>
                <w:bCs w:val="1"/>
                <w:color w:val="auto"/>
              </w:rPr>
              <w:t>thousands)</w:t>
            </w:r>
          </w:p>
        </w:tc>
        <w:tc>
          <w:tcPr>
            <w:tcW w:w="4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03"/>
        </w:trPr>
        <w:tc>
          <w:tcPr>
            <w:tcW w:w="23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AAA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1,501,178</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60.2%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1,480,165</w:t>
            </w:r>
          </w:p>
        </w:tc>
        <w:tc>
          <w:tcPr>
            <w:tcW w:w="1240" w:type="dxa"/>
            <w:vAlign w:val="bottom"/>
            <w:gridSpan w:val="3"/>
            <w:shd w:val="clear" w:color="auto" w:fill="CCEEFF"/>
          </w:tcPr>
          <w:p>
            <w:pPr>
              <w:jc w:val="right"/>
              <w:ind w:right="57"/>
              <w:spacing w:after="0"/>
              <w:rPr>
                <w:sz w:val="20"/>
                <w:szCs w:val="20"/>
                <w:color w:val="auto"/>
              </w:rPr>
            </w:pPr>
            <w:r>
              <w:rPr>
                <w:rFonts w:ascii="Arial" w:cs="Arial" w:eastAsia="Arial" w:hAnsi="Arial"/>
                <w:sz w:val="16"/>
                <w:szCs w:val="16"/>
                <w:color w:val="auto"/>
              </w:rPr>
              <w:t>60.2%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1,421,948</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1,424,800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65.5%</w:t>
            </w:r>
          </w:p>
        </w:tc>
      </w:tr>
      <w:tr>
        <w:trPr>
          <w:trHeight w:val="203"/>
        </w:trPr>
        <w:tc>
          <w:tcPr>
            <w:tcW w:w="2380" w:type="dxa"/>
            <w:vAlign w:val="bottom"/>
            <w:gridSpan w:val="3"/>
          </w:tcPr>
          <w:p>
            <w:pPr>
              <w:spacing w:after="0"/>
              <w:rPr>
                <w:sz w:val="20"/>
                <w:szCs w:val="20"/>
                <w:color w:val="auto"/>
              </w:rPr>
            </w:pPr>
            <w:r>
              <w:rPr>
                <w:rFonts w:ascii="Arial" w:cs="Arial" w:eastAsia="Arial" w:hAnsi="Arial"/>
                <w:sz w:val="16"/>
                <w:szCs w:val="16"/>
                <w:color w:val="auto"/>
              </w:rPr>
              <w:t>AA</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460,469</w:t>
            </w:r>
          </w:p>
        </w:tc>
        <w:tc>
          <w:tcPr>
            <w:tcW w:w="1280" w:type="dxa"/>
            <w:vAlign w:val="bottom"/>
            <w:gridSpan w:val="3"/>
          </w:tcPr>
          <w:p>
            <w:pPr>
              <w:jc w:val="right"/>
              <w:ind w:right="360"/>
              <w:spacing w:after="0"/>
              <w:rPr>
                <w:sz w:val="20"/>
                <w:szCs w:val="20"/>
                <w:color w:val="auto"/>
              </w:rPr>
            </w:pPr>
            <w:r>
              <w:rPr>
                <w:rFonts w:ascii="Arial" w:cs="Arial" w:eastAsia="Arial" w:hAnsi="Arial"/>
                <w:sz w:val="16"/>
                <w:szCs w:val="16"/>
                <w:color w:val="auto"/>
              </w:rPr>
              <w:t>18.4</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454,535</w:t>
            </w:r>
          </w:p>
        </w:tc>
        <w:tc>
          <w:tcPr>
            <w:tcW w:w="1240" w:type="dxa"/>
            <w:vAlign w:val="bottom"/>
            <w:gridSpan w:val="3"/>
          </w:tcPr>
          <w:p>
            <w:pPr>
              <w:jc w:val="right"/>
              <w:ind w:right="177"/>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6"/>
                <w:szCs w:val="16"/>
                <w:color w:val="auto"/>
              </w:rPr>
              <w:t>407,671</w:t>
            </w:r>
          </w:p>
        </w:tc>
        <w:tc>
          <w:tcPr>
            <w:tcW w:w="840" w:type="dxa"/>
            <w:vAlign w:val="bottom"/>
            <w:gridSpan w:val="2"/>
          </w:tcPr>
          <w:p>
            <w:pPr>
              <w:jc w:val="right"/>
              <w:ind w:right="380"/>
              <w:spacing w:after="0"/>
              <w:rPr>
                <w:sz w:val="20"/>
                <w:szCs w:val="20"/>
                <w:color w:val="auto"/>
              </w:rPr>
            </w:pPr>
            <w:r>
              <w:rPr>
                <w:rFonts w:ascii="Arial" w:cs="Arial" w:eastAsia="Arial" w:hAnsi="Arial"/>
                <w:sz w:val="16"/>
                <w:szCs w:val="16"/>
                <w:color w:val="auto"/>
              </w:rPr>
              <w:t>18.7</w:t>
            </w:r>
          </w:p>
        </w:tc>
        <w:tc>
          <w:tcPr>
            <w:tcW w:w="140" w:type="dxa"/>
            <w:vAlign w:val="bottom"/>
          </w:tcPr>
          <w:p>
            <w:pPr>
              <w:spacing w:after="0"/>
              <w:rPr>
                <w:sz w:val="17"/>
                <w:szCs w:val="17"/>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6"/>
                <w:szCs w:val="16"/>
                <w:color w:val="auto"/>
              </w:rPr>
              <w:t>411,298</w:t>
            </w:r>
          </w:p>
        </w:tc>
        <w:tc>
          <w:tcPr>
            <w:tcW w:w="540" w:type="dxa"/>
            <w:vAlign w:val="bottom"/>
          </w:tcPr>
          <w:p>
            <w:pPr>
              <w:jc w:val="right"/>
              <w:spacing w:after="0"/>
              <w:rPr>
                <w:sz w:val="20"/>
                <w:szCs w:val="20"/>
                <w:color w:val="auto"/>
              </w:rPr>
            </w:pPr>
            <w:r>
              <w:rPr>
                <w:rFonts w:ascii="Arial" w:cs="Arial" w:eastAsia="Arial" w:hAnsi="Arial"/>
                <w:sz w:val="16"/>
                <w:szCs w:val="16"/>
                <w:color w:val="auto"/>
              </w:rPr>
              <w:t>18.9</w:t>
            </w:r>
          </w:p>
        </w:tc>
        <w:tc>
          <w:tcPr>
            <w:tcW w:w="180" w:type="dxa"/>
            <w:vAlign w:val="bottom"/>
          </w:tcPr>
          <w:p>
            <w:pPr>
              <w:spacing w:after="0"/>
              <w:rPr>
                <w:sz w:val="17"/>
                <w:szCs w:val="17"/>
                <w:color w:val="auto"/>
              </w:rPr>
            </w:pPr>
          </w:p>
        </w:tc>
      </w:tr>
      <w:tr>
        <w:trPr>
          <w:trHeight w:val="203"/>
        </w:trPr>
        <w:tc>
          <w:tcPr>
            <w:tcW w:w="23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436,974</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17.5</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428,908</w:t>
            </w:r>
          </w:p>
        </w:tc>
        <w:tc>
          <w:tcPr>
            <w:tcW w:w="1240" w:type="dxa"/>
            <w:vAlign w:val="bottom"/>
            <w:gridSpan w:val="3"/>
            <w:shd w:val="clear" w:color="auto" w:fill="CCEEFF"/>
          </w:tcPr>
          <w:p>
            <w:pPr>
              <w:jc w:val="right"/>
              <w:ind w:right="177"/>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280,004</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12.9</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277,556</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80" w:type="dxa"/>
            <w:vAlign w:val="bottom"/>
            <w:shd w:val="clear" w:color="auto" w:fill="CCEEFF"/>
          </w:tcPr>
          <w:p>
            <w:pPr>
              <w:spacing w:after="0"/>
              <w:rPr>
                <w:sz w:val="17"/>
                <w:szCs w:val="17"/>
                <w:color w:val="auto"/>
              </w:rPr>
            </w:pPr>
          </w:p>
        </w:tc>
      </w:tr>
      <w:tr>
        <w:trPr>
          <w:trHeight w:val="203"/>
        </w:trPr>
        <w:tc>
          <w:tcPr>
            <w:tcW w:w="2380" w:type="dxa"/>
            <w:vAlign w:val="bottom"/>
            <w:gridSpan w:val="3"/>
          </w:tcPr>
          <w:p>
            <w:pPr>
              <w:spacing w:after="0"/>
              <w:rPr>
                <w:sz w:val="20"/>
                <w:szCs w:val="20"/>
                <w:color w:val="auto"/>
              </w:rPr>
            </w:pPr>
            <w:r>
              <w:rPr>
                <w:rFonts w:ascii="Arial" w:cs="Arial" w:eastAsia="Arial" w:hAnsi="Arial"/>
                <w:sz w:val="16"/>
                <w:szCs w:val="16"/>
                <w:color w:val="auto"/>
              </w:rPr>
              <w:t>BBB</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94,123</w:t>
            </w:r>
          </w:p>
        </w:tc>
        <w:tc>
          <w:tcPr>
            <w:tcW w:w="1280" w:type="dxa"/>
            <w:vAlign w:val="bottom"/>
            <w:gridSpan w:val="3"/>
          </w:tcPr>
          <w:p>
            <w:pPr>
              <w:jc w:val="right"/>
              <w:ind w:right="360"/>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92,176</w:t>
            </w:r>
          </w:p>
        </w:tc>
        <w:tc>
          <w:tcPr>
            <w:tcW w:w="1240" w:type="dxa"/>
            <w:vAlign w:val="bottom"/>
            <w:gridSpan w:val="3"/>
          </w:tcPr>
          <w:p>
            <w:pPr>
              <w:jc w:val="right"/>
              <w:ind w:right="177"/>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6"/>
                <w:szCs w:val="16"/>
                <w:color w:val="auto"/>
              </w:rPr>
              <w:t>60,067</w:t>
            </w:r>
          </w:p>
        </w:tc>
        <w:tc>
          <w:tcPr>
            <w:tcW w:w="840" w:type="dxa"/>
            <w:vAlign w:val="bottom"/>
            <w:gridSpan w:val="2"/>
          </w:tcPr>
          <w:p>
            <w:pPr>
              <w:jc w:val="right"/>
              <w:ind w:right="380"/>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7"/>
                <w:szCs w:val="17"/>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6"/>
                <w:szCs w:val="16"/>
                <w:color w:val="auto"/>
              </w:rPr>
              <w:t>59,252</w:t>
            </w:r>
          </w:p>
        </w:tc>
        <w:tc>
          <w:tcPr>
            <w:tcW w:w="540" w:type="dxa"/>
            <w:vAlign w:val="bottom"/>
          </w:tcPr>
          <w:p>
            <w:pPr>
              <w:jc w:val="right"/>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17"/>
                <w:szCs w:val="17"/>
                <w:color w:val="auto"/>
              </w:rPr>
            </w:pPr>
          </w:p>
        </w:tc>
      </w:tr>
      <w:tr>
        <w:trPr>
          <w:trHeight w:val="203"/>
        </w:trPr>
        <w:tc>
          <w:tcPr>
            <w:tcW w:w="23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BB</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w:t>
            </w:r>
          </w:p>
        </w:tc>
        <w:tc>
          <w:tcPr>
            <w:tcW w:w="4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1240" w:type="dxa"/>
            <w:vAlign w:val="bottom"/>
            <w:gridSpan w:val="3"/>
            <w:shd w:val="clear" w:color="auto" w:fill="CCEEFF"/>
          </w:tcPr>
          <w:p>
            <w:pPr>
              <w:jc w:val="right"/>
              <w:ind w:right="177"/>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1,996</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1,911</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80" w:type="dxa"/>
            <w:vAlign w:val="bottom"/>
            <w:shd w:val="clear" w:color="auto" w:fill="CCEEFF"/>
          </w:tcPr>
          <w:p>
            <w:pPr>
              <w:spacing w:after="0"/>
              <w:rPr>
                <w:sz w:val="17"/>
                <w:szCs w:val="17"/>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7"/>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2,494,688</w:t>
            </w:r>
          </w:p>
        </w:tc>
        <w:tc>
          <w:tcPr>
            <w:tcW w:w="46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100.0%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2,457,632</w:t>
            </w:r>
          </w:p>
        </w:tc>
        <w:tc>
          <w:tcPr>
            <w:tcW w:w="1240" w:type="dxa"/>
            <w:vAlign w:val="bottom"/>
            <w:gridSpan w:val="3"/>
          </w:tcPr>
          <w:p>
            <w:pPr>
              <w:jc w:val="right"/>
              <w:ind w:right="57"/>
              <w:spacing w:after="0"/>
              <w:rPr>
                <w:sz w:val="20"/>
                <w:szCs w:val="20"/>
                <w:color w:val="auto"/>
              </w:rPr>
            </w:pPr>
            <w:r>
              <w:rPr>
                <w:rFonts w:ascii="Arial" w:cs="Arial" w:eastAsia="Arial" w:hAnsi="Arial"/>
                <w:sz w:val="16"/>
                <w:szCs w:val="16"/>
                <w:color w:val="auto"/>
              </w:rPr>
              <w:t>100.0%</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460"/>
              <w:spacing w:after="0"/>
              <w:rPr>
                <w:sz w:val="20"/>
                <w:szCs w:val="20"/>
                <w:color w:val="auto"/>
              </w:rPr>
            </w:pPr>
            <w:r>
              <w:rPr>
                <w:rFonts w:ascii="Arial" w:cs="Arial" w:eastAsia="Arial" w:hAnsi="Arial"/>
                <w:sz w:val="16"/>
                <w:szCs w:val="16"/>
                <w:color w:val="auto"/>
              </w:rPr>
              <w:t>2,171,686</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100.0%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540"/>
              <w:spacing w:after="0"/>
              <w:rPr>
                <w:sz w:val="20"/>
                <w:szCs w:val="20"/>
                <w:color w:val="auto"/>
              </w:rPr>
            </w:pPr>
            <w:r>
              <w:rPr>
                <w:rFonts w:ascii="Arial" w:cs="Arial" w:eastAsia="Arial" w:hAnsi="Arial"/>
                <w:sz w:val="16"/>
                <w:szCs w:val="16"/>
                <w:color w:val="auto"/>
              </w:rPr>
              <w:t>2,174,817</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100.0%</w:t>
            </w:r>
          </w:p>
        </w:tc>
      </w:tr>
      <w:tr>
        <w:trPr>
          <w:trHeight w:val="24"/>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115"/>
        </w:trPr>
        <w:tc>
          <w:tcPr>
            <w:tcW w:w="20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spacing w:after="0" w:line="6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Ratings as assigned by Standard &amp; Poor’s Ratings Group and Moody’s Investors Service.</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December 31, 2005: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5"/>
          </w:tcPr>
          <w:p>
            <w:pPr>
              <w:jc w:val="right"/>
              <w:ind w:right="1740"/>
              <w:spacing w:after="0"/>
              <w:rPr>
                <w:sz w:val="20"/>
                <w:szCs w:val="20"/>
                <w:color w:val="auto"/>
              </w:rPr>
            </w:pPr>
            <w:r>
              <w:rPr>
                <w:rFonts w:ascii="Arial" w:cs="Arial" w:eastAsia="Arial" w:hAnsi="Arial"/>
                <w:sz w:val="14"/>
                <w:szCs w:val="14"/>
                <w:b w:val="1"/>
                <w:bCs w:val="1"/>
                <w:color w:val="auto"/>
              </w:rPr>
              <w:t>December 31, 2005</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Maturity</w:t>
            </w:r>
          </w:p>
        </w:tc>
        <w:tc>
          <w:tcPr>
            <w:tcW w:w="200" w:type="dxa"/>
            <w:vAlign w:val="bottom"/>
          </w:tcPr>
          <w:p>
            <w:pPr>
              <w:spacing w:after="0"/>
              <w:rPr>
                <w:sz w:val="11"/>
                <w:szCs w:val="11"/>
                <w:color w:val="auto"/>
              </w:rPr>
            </w:pPr>
          </w:p>
        </w:tc>
        <w:tc>
          <w:tcPr>
            <w:tcW w:w="1020" w:type="dxa"/>
            <w:vAlign w:val="bottom"/>
          </w:tcPr>
          <w:p>
            <w:pPr>
              <w:jc w:val="right"/>
              <w:ind w:right="194"/>
              <w:spacing w:after="0" w:line="133" w:lineRule="exact"/>
              <w:rPr>
                <w:sz w:val="20"/>
                <w:szCs w:val="20"/>
                <w:color w:val="auto"/>
              </w:rPr>
            </w:pPr>
            <w:r>
              <w:rPr>
                <w:rFonts w:ascii="Arial" w:cs="Arial" w:eastAsia="Arial" w:hAnsi="Arial"/>
                <w:sz w:val="14"/>
                <w:szCs w:val="14"/>
                <w:b w:val="1"/>
                <w:bCs w:val="1"/>
                <w:color w:val="auto"/>
              </w:rPr>
              <w:t>Amortized</w:t>
            </w:r>
          </w:p>
        </w:tc>
        <w:tc>
          <w:tcPr>
            <w:tcW w:w="660" w:type="dxa"/>
            <w:vAlign w:val="bottom"/>
          </w:tcPr>
          <w:p>
            <w:pPr>
              <w:spacing w:after="0"/>
              <w:rPr>
                <w:sz w:val="11"/>
                <w:szCs w:val="11"/>
                <w:color w:val="auto"/>
              </w:rPr>
            </w:pPr>
          </w:p>
        </w:tc>
        <w:tc>
          <w:tcPr>
            <w:tcW w:w="1280" w:type="dxa"/>
            <w:vAlign w:val="bottom"/>
            <w:gridSpan w:val="2"/>
          </w:tcPr>
          <w:p>
            <w:pPr>
              <w:jc w:val="right"/>
              <w:ind w:right="708"/>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1940" w:type="dxa"/>
            <w:vAlign w:val="bottom"/>
            <w:gridSpan w:val="2"/>
            <w:vMerge w:val="restart"/>
          </w:tcPr>
          <w:p>
            <w:pPr>
              <w:jc w:val="right"/>
              <w:ind w:right="1180"/>
              <w:spacing w:after="0"/>
              <w:rPr>
                <w:sz w:val="20"/>
                <w:szCs w:val="20"/>
                <w:color w:val="auto"/>
              </w:rPr>
            </w:pPr>
            <w:r>
              <w:rPr>
                <w:rFonts w:ascii="Arial" w:cs="Arial" w:eastAsia="Arial" w:hAnsi="Arial"/>
                <w:sz w:val="14"/>
                <w:szCs w:val="14"/>
                <w:b w:val="1"/>
                <w:bCs w:val="1"/>
                <w:color w:val="auto"/>
              </w:rPr>
              <w:t>Fair Value</w:t>
            </w:r>
          </w:p>
        </w:tc>
        <w:tc>
          <w:tcPr>
            <w:tcW w:w="680" w:type="dxa"/>
            <w:vAlign w:val="bottom"/>
          </w:tcPr>
          <w:p>
            <w:pPr>
              <w:jc w:val="right"/>
              <w:ind w:right="114"/>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374"/>
              <w:spacing w:after="0"/>
              <w:rPr>
                <w:sz w:val="20"/>
                <w:szCs w:val="20"/>
                <w:color w:val="auto"/>
              </w:rPr>
            </w:pPr>
            <w:r>
              <w:rPr>
                <w:rFonts w:ascii="Arial" w:cs="Arial" w:eastAsia="Arial" w:hAnsi="Arial"/>
                <w:sz w:val="14"/>
                <w:szCs w:val="14"/>
                <w:b w:val="1"/>
                <w:bCs w:val="1"/>
                <w:color w:val="auto"/>
              </w:rPr>
              <w:t>Cost</w:t>
            </w:r>
          </w:p>
        </w:tc>
        <w:tc>
          <w:tcPr>
            <w:tcW w:w="660" w:type="dxa"/>
            <w:vAlign w:val="bottom"/>
          </w:tcPr>
          <w:p>
            <w:pPr>
              <w:spacing w:after="0"/>
              <w:rPr>
                <w:sz w:val="14"/>
                <w:szCs w:val="14"/>
                <w:color w:val="auto"/>
              </w:rPr>
            </w:pPr>
          </w:p>
        </w:tc>
        <w:tc>
          <w:tcPr>
            <w:tcW w:w="1280" w:type="dxa"/>
            <w:vAlign w:val="bottom"/>
            <w:gridSpan w:val="2"/>
          </w:tcPr>
          <w:p>
            <w:pPr>
              <w:jc w:val="right"/>
              <w:ind w:right="708"/>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8"/>
              </w:rPr>
              <w:t>(Dollars in</w:t>
            </w:r>
          </w:p>
        </w:tc>
        <w:tc>
          <w:tcPr>
            <w:tcW w:w="130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thousands)</w:t>
            </w:r>
          </w:p>
        </w:tc>
        <w:tc>
          <w:tcPr>
            <w:tcW w:w="8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347,745</w:t>
            </w:r>
          </w:p>
        </w:tc>
        <w:tc>
          <w:tcPr>
            <w:tcW w:w="194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345,246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After one year through five years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1,190,201</w:t>
            </w:r>
          </w:p>
        </w:tc>
        <w:tc>
          <w:tcPr>
            <w:tcW w:w="1940" w:type="dxa"/>
            <w:vAlign w:val="bottom"/>
            <w:gridSpan w:val="3"/>
          </w:tcPr>
          <w:p>
            <w:pPr>
              <w:jc w:val="right"/>
              <w:ind w:right="508"/>
              <w:spacing w:after="0"/>
              <w:rPr>
                <w:sz w:val="20"/>
                <w:szCs w:val="20"/>
                <w:color w:val="auto"/>
              </w:rPr>
            </w:pPr>
            <w:r>
              <w:rPr>
                <w:rFonts w:ascii="Arial" w:cs="Arial" w:eastAsia="Arial" w:hAnsi="Arial"/>
                <w:sz w:val="18"/>
                <w:szCs w:val="18"/>
                <w:color w:val="auto"/>
              </w:rPr>
              <w:t>47.7</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1,168,915</w:t>
            </w:r>
          </w:p>
        </w:tc>
        <w:tc>
          <w:tcPr>
            <w:tcW w:w="8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five years through ten years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736,030</w:t>
            </w:r>
          </w:p>
        </w:tc>
        <w:tc>
          <w:tcPr>
            <w:tcW w:w="194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29.6</w:t>
            </w: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723,827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After ten years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220,671</w:t>
            </w:r>
          </w:p>
        </w:tc>
        <w:tc>
          <w:tcPr>
            <w:tcW w:w="1940" w:type="dxa"/>
            <w:vAlign w:val="bottom"/>
            <w:gridSpan w:val="3"/>
          </w:tcPr>
          <w:p>
            <w:pPr>
              <w:jc w:val="right"/>
              <w:ind w:right="508"/>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219,601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2,494,687</w:t>
            </w:r>
          </w:p>
        </w:tc>
        <w:tc>
          <w:tcPr>
            <w:tcW w:w="660" w:type="dxa"/>
            <w:vAlign w:val="bottom"/>
            <w:vMerge w:val="continue"/>
          </w:tcPr>
          <w:p>
            <w:pPr>
              <w:spacing w:after="0"/>
              <w:rPr>
                <w:sz w:val="19"/>
                <w:szCs w:val="19"/>
                <w:color w:val="auto"/>
              </w:rPr>
            </w:pPr>
          </w:p>
        </w:tc>
        <w:tc>
          <w:tcPr>
            <w:tcW w:w="1280" w:type="dxa"/>
            <w:vAlign w:val="bottom"/>
            <w:gridSpan w:val="2"/>
          </w:tcPr>
          <w:p>
            <w:pPr>
              <w:jc w:val="right"/>
              <w:ind w:right="368"/>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2,457,632</w:t>
            </w:r>
          </w:p>
        </w:tc>
        <w:tc>
          <w:tcPr>
            <w:tcW w:w="8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Subject to call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322,319</w:t>
            </w:r>
          </w:p>
        </w:tc>
        <w:tc>
          <w:tcPr>
            <w:tcW w:w="194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318,929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w:t>
      </w:r>
    </w:p>
    <w:p>
      <w:pPr>
        <w:spacing w:after="0" w:line="62" w:lineRule="exact"/>
        <w:rPr>
          <w:sz w:val="20"/>
          <w:szCs w:val="20"/>
          <w:color w:val="auto"/>
        </w:rPr>
      </w:pPr>
    </w:p>
    <w:p>
      <w:pPr>
        <w:ind w:right="300" w:firstLine="270"/>
        <w:spacing w:after="0" w:line="259" w:lineRule="auto"/>
        <w:rPr>
          <w:sz w:val="20"/>
          <w:szCs w:val="20"/>
          <w:color w:val="auto"/>
        </w:rPr>
      </w:pPr>
      <w:r>
        <w:rPr>
          <w:rFonts w:ascii="Arial" w:cs="Arial" w:eastAsia="Arial" w:hAnsi="Arial"/>
          <w:sz w:val="18"/>
          <w:szCs w:val="18"/>
          <w:color w:val="auto"/>
        </w:rPr>
        <w:t>Our equity securities at December 31, 2005 and 2004 consisted of investments in various industrial and miscellaneous other industry groups. At December 31, 2005, the Company held equity securities with a total cost of $185,651 and an aggregate fair value of $176,987. At December 31, 2004, the Company held equity securities with a total cost of $108,574 and an aggregate fair value of $115,070. There are no significant investments in banks, trusts and insurance companies at December 31, 2005 or 2004.</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long-term investments as of December 31, 2005 amounted to $21.0 million and consisted primarily of equity investments.</w:t>
      </w:r>
    </w:p>
    <w:p>
      <w:pPr>
        <w:spacing w:after="0" w:line="117" w:lineRule="exact"/>
        <w:rPr>
          <w:sz w:val="20"/>
          <w:szCs w:val="20"/>
          <w:color w:val="auto"/>
        </w:rPr>
      </w:pPr>
    </w:p>
    <w:p>
      <w:pPr>
        <w:ind w:right="340" w:firstLine="270"/>
        <w:spacing w:after="0" w:line="264" w:lineRule="auto"/>
        <w:rPr>
          <w:sz w:val="20"/>
          <w:szCs w:val="20"/>
          <w:color w:val="auto"/>
        </w:rPr>
      </w:pPr>
      <w:r>
        <w:rPr>
          <w:rFonts w:ascii="Arial" w:cs="Arial" w:eastAsia="Arial" w:hAnsi="Arial"/>
          <w:sz w:val="18"/>
          <w:szCs w:val="18"/>
          <w:color w:val="auto"/>
        </w:rPr>
        <w:t>Short-term investments, which consist primarily of securities purchased under agreements to resell, commercial paper and money market instruments, which have an original maturity of one year or less, are carried at amortized cost, which approximates fair value. As of December 31, 2005, short-term investments amounted to $645.1 million.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investment results for the years ended December 31, 2005, 2004 and 2003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ind w:right="960"/>
              <w:spacing w:after="0"/>
              <w:rPr>
                <w:sz w:val="20"/>
                <w:szCs w:val="20"/>
                <w:color w:val="auto"/>
              </w:rPr>
            </w:pPr>
            <w:r>
              <w:rPr>
                <w:rFonts w:ascii="Arial" w:cs="Arial" w:eastAsia="Arial" w:hAnsi="Arial"/>
                <w:sz w:val="14"/>
                <w:szCs w:val="14"/>
                <w:b w:val="1"/>
                <w:bCs w:val="1"/>
                <w:color w:val="auto"/>
                <w:w w:val="94"/>
              </w:rPr>
              <w:t>December 31,</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r>
      <w:tr>
        <w:trPr>
          <w:trHeight w:val="156"/>
        </w:trPr>
        <w:tc>
          <w:tcPr>
            <w:tcW w:w="20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2004</w:t>
            </w:r>
          </w:p>
        </w:tc>
        <w:tc>
          <w:tcPr>
            <w:tcW w:w="7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3"/>
                <w:szCs w:val="13"/>
                <w:color w:val="auto"/>
              </w:rPr>
            </w:pPr>
          </w:p>
        </w:tc>
      </w:tr>
      <w:tr>
        <w:trPr>
          <w:trHeight w:val="156"/>
        </w:trPr>
        <w:tc>
          <w:tcPr>
            <w:tcW w:w="20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81"/>
              </w:rPr>
              <w:t>(Dollars in thousands)</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income(1)</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142,319</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86,120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70,940</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Average invested assets</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3,732,630</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3,226,243</w:t>
            </w:r>
          </w:p>
        </w:tc>
        <w:tc>
          <w:tcPr>
            <w:tcW w:w="7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2,811,408</w:t>
            </w: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return on average invested assets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r>
      <w:tr>
        <w:trPr>
          <w:trHeight w:val="108"/>
        </w:trPr>
        <w:tc>
          <w:tcPr>
            <w:tcW w:w="2060" w:type="dxa"/>
            <w:vAlign w:val="bottom"/>
            <w:tcBorders>
              <w:bottom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r>
    </w:tbl>
    <w:p>
      <w:pPr>
        <w:spacing w:after="0" w:line="67" w:lineRule="exact"/>
        <w:rPr>
          <w:sz w:val="20"/>
          <w:szCs w:val="20"/>
          <w:color w:val="auto"/>
        </w:rPr>
      </w:pPr>
    </w:p>
    <w:p>
      <w:pPr>
        <w:ind w:left="460" w:right="20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investment income as reported in our Combined Statements of Earnings has been adjusted in the presentation above to provide the tax equivalent yield on tax exempt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21" w:lineRule="exact"/>
        <w:rPr>
          <w:sz w:val="20"/>
          <w:szCs w:val="20"/>
          <w:color w:val="auto"/>
        </w:rPr>
      </w:pPr>
    </w:p>
    <w:p>
      <w:pPr>
        <w:ind w:right="240" w:firstLine="267"/>
        <w:spacing w:after="0" w:line="308" w:lineRule="auto"/>
        <w:rPr>
          <w:sz w:val="20"/>
          <w:szCs w:val="20"/>
          <w:color w:val="auto"/>
        </w:rPr>
      </w:pPr>
      <w:r>
        <w:rPr>
          <w:rFonts w:ascii="Arial" w:cs="Arial" w:eastAsia="Arial" w:hAnsi="Arial"/>
          <w:sz w:val="17"/>
          <w:szCs w:val="17"/>
          <w:color w:val="auto"/>
        </w:rPr>
        <w:t>To meet the changing business and technology needs of our customers, we continually invest in our applications and services. This investment includes maintenance and enhancement of existing software applications and the development of new and innovative software applications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80" w:firstLine="267"/>
        <w:spacing w:after="0" w:line="253" w:lineRule="auto"/>
        <w:rPr>
          <w:sz w:val="20"/>
          <w:szCs w:val="20"/>
          <w:color w:val="auto"/>
        </w:rPr>
      </w:pPr>
      <w:r>
        <w:rPr>
          <w:rFonts w:ascii="Arial" w:cs="Arial" w:eastAsia="Arial" w:hAnsi="Arial"/>
          <w:sz w:val="18"/>
          <w:szCs w:val="18"/>
          <w:color w:val="auto"/>
        </w:rPr>
        <w:t>The title insurance industry is highly competitive, with the top five insurance companies accounting for 90.2% of net premiums collected in 2004 according to Demotech. The number and size of competing companies varies in the different geographic areas in which we conduct our business. In our principal markets, competitors include other major title underwriters such as The First American Corporation, LandAmerica Financial Group, Inc., Old Republic International Corporation and Stewart Information Services Corporation, as well as numerous smaller title insurance companies and independent agency operations at the regional and local level. These smaller companies may expand into other markets in which we compete. Also, the removal of regulatory barriers might result in new competitors entering the title insurance business, and those new competitors may include diversified financial services companies that have greater financial resources than we do and possess other competitive advantages. Competition among the major title insurance companies, expansion by smaller regional companies and any new entrants with alternative products could affect our business operations and financial condition.</w:t>
      </w:r>
    </w:p>
    <w:p>
      <w:pPr>
        <w:spacing w:after="0" w:line="89" w:lineRule="exact"/>
        <w:rPr>
          <w:sz w:val="20"/>
          <w:szCs w:val="20"/>
          <w:color w:val="auto"/>
        </w:rPr>
      </w:pPr>
    </w:p>
    <w:p>
      <w:pPr>
        <w:jc w:val="both"/>
        <w:ind w:right="120" w:firstLine="270"/>
        <w:spacing w:after="0" w:line="286" w:lineRule="auto"/>
        <w:rPr>
          <w:sz w:val="20"/>
          <w:szCs w:val="20"/>
          <w:color w:val="auto"/>
        </w:rPr>
      </w:pPr>
      <w:r>
        <w:rPr>
          <w:rFonts w:ascii="Arial" w:cs="Arial" w:eastAsia="Arial" w:hAnsi="Arial"/>
          <w:sz w:val="17"/>
          <w:szCs w:val="17"/>
          <w:color w:val="auto"/>
        </w:rPr>
        <w:t>Competition in the title insurance industry is based primarily on expertise, service and price. In addition, the financial strength of the insurer has become an increasingly important factor in decisions relating to the purchase of title insurance, particularly in multi-state transactions and in situations involving real estate-related investment vehicles such as real estate investment trusts and real estate mortgage investment conduits.</w:t>
      </w:r>
    </w:p>
    <w:p>
      <w:pPr>
        <w:spacing w:after="0" w:line="57" w:lineRule="exact"/>
        <w:rPr>
          <w:sz w:val="20"/>
          <w:szCs w:val="20"/>
          <w:color w:val="auto"/>
        </w:rPr>
      </w:pPr>
    </w:p>
    <w:p>
      <w:pPr>
        <w:ind w:right="120" w:firstLine="267"/>
        <w:spacing w:after="0" w:line="259" w:lineRule="auto"/>
        <w:rPr>
          <w:sz w:val="20"/>
          <w:szCs w:val="20"/>
          <w:color w:val="auto"/>
        </w:rPr>
      </w:pPr>
      <w:r>
        <w:rPr>
          <w:rFonts w:ascii="Arial" w:cs="Arial" w:eastAsia="Arial" w:hAnsi="Arial"/>
          <w:sz w:val="18"/>
          <w:szCs w:val="18"/>
          <w:color w:val="auto"/>
        </w:rPr>
        <w:t>The title insurance industry has also experienced periods of consolidation. We expect that, from time to time, we may evaluate opportunities for the acquisition of books of business or of title insurance companies or other complementary businesses as a going concern, for business combinations with other concerns and for the provision of insurance related advisory services to third parties. There can be no assurance, however, that any suitable business opportunity will arise.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140" w:firstLine="270"/>
        <w:spacing w:after="0" w:line="273" w:lineRule="auto"/>
        <w:rPr>
          <w:sz w:val="20"/>
          <w:szCs w:val="20"/>
          <w:color w:val="auto"/>
        </w:rPr>
      </w:pPr>
      <w:r>
        <w:rPr>
          <w:rFonts w:ascii="Arial" w:cs="Arial" w:eastAsia="Arial" w:hAnsi="Arial"/>
          <w:sz w:val="17"/>
          <w:szCs w:val="17"/>
          <w:color w:val="auto"/>
        </w:rPr>
        <w:t>Our insurance subsidiaries, including title insurers, underwritten title companies and insurance agencies, are subject to extensive regulation under applicable state laws. Each of the insurance underwriters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70"/>
        <w:spacing w:after="0" w:line="293" w:lineRule="auto"/>
        <w:rPr>
          <w:sz w:val="20"/>
          <w:szCs w:val="20"/>
          <w:color w:val="auto"/>
        </w:rPr>
      </w:pPr>
      <w:r>
        <w:rPr>
          <w:rFonts w:ascii="Arial" w:cs="Arial" w:eastAsia="Arial" w:hAnsi="Arial"/>
          <w:sz w:val="16"/>
          <w:szCs w:val="16"/>
          <w:color w:val="auto"/>
        </w:rPr>
        <w:t>Pursuant to statutory accounting requirements of the various states in which our title insurers are domiciled, these insurers must defer a portion of premiums earned as an unearned premium reserve for the protection of policyholders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2005, the combined statutory unearned premium reserve required and reported for our title insurers was $1,303.8 million. In addition to statutory unearned premium reserves, each of our insurers maintains surplus funds for policyholder protection and business operations.</w:t>
      </w:r>
    </w:p>
    <w:p>
      <w:pPr>
        <w:spacing w:after="0" w:line="57" w:lineRule="exact"/>
        <w:rPr>
          <w:sz w:val="20"/>
          <w:szCs w:val="20"/>
          <w:color w:val="auto"/>
        </w:rPr>
      </w:pPr>
    </w:p>
    <w:p>
      <w:pPr>
        <w:ind w:right="220" w:firstLine="270"/>
        <w:spacing w:after="0" w:line="286" w:lineRule="auto"/>
        <w:rPr>
          <w:sz w:val="20"/>
          <w:szCs w:val="20"/>
          <w:color w:val="auto"/>
        </w:rPr>
      </w:pPr>
      <w:r>
        <w:rPr>
          <w:rFonts w:ascii="Arial" w:cs="Arial" w:eastAsia="Arial" w:hAnsi="Arial"/>
          <w:sz w:val="17"/>
          <w:szCs w:val="17"/>
          <w:color w:val="auto"/>
        </w:rPr>
        <w:t>Our title insurers are regulated by the insurance regulatory authority in their respective state of domicile, as well as that of each state in which it is licensed. The insurance commissioners of their respective states of domicile regulate our title insurance subsidiaries. Regulatory financial examinations are conducted generally by regulatory authorities at three-year intervals, and certain of these examinations are currently ongoing.</w:t>
      </w:r>
    </w:p>
    <w:p>
      <w:pPr>
        <w:spacing w:after="0" w:line="57"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Under the statutes governing insurance holding companies in most states, insurers may not enter into various transactions, including certain sales, reinsurance agreements and service or management contracts with their affiliates unless the regulatory authority of the insurer’s state of domicile has received notice at least 30 days prior to the intended effective date of such transaction and has not objected to or has approved, the transaction within the 30 day period.</w:t>
      </w:r>
    </w:p>
    <w:p>
      <w:pPr>
        <w:spacing w:after="0" w:line="79" w:lineRule="exact"/>
        <w:rPr>
          <w:sz w:val="20"/>
          <w:szCs w:val="20"/>
          <w:color w:val="auto"/>
        </w:rPr>
      </w:pPr>
    </w:p>
    <w:p>
      <w:pPr>
        <w:ind w:right="80" w:firstLine="260"/>
        <w:spacing w:after="0" w:line="255" w:lineRule="auto"/>
        <w:rPr>
          <w:sz w:val="20"/>
          <w:szCs w:val="20"/>
          <w:color w:val="auto"/>
        </w:rPr>
      </w:pPr>
      <w:r>
        <w:rPr>
          <w:rFonts w:ascii="Arial" w:cs="Arial" w:eastAsia="Arial" w:hAnsi="Arial"/>
          <w:sz w:val="18"/>
          <w:szCs w:val="18"/>
          <w:color w:val="auto"/>
        </w:rPr>
        <w:t>As a holding company with no significant business operations of our own, we depend on dividends or other distributions from our subsidiaries as the principal source of cash to meet our obligations, including the payment of interest on, and repayment of, principal of any debt obligations. The payment of dividends or other distributions to us by our title insurers is regulated by the insurance laws and regulations of their respective states of domicile. In general, an insurance company subsidiary may not pay an “extraordinary” dividend or distribution unless the applicable insurance regulator has received notice of the intended payment at least 30 days prior to payment, and has not objected to or has approved, the payment within the 30-day period. In general, an “extraordinary” dividend or distribution is statutorily defined as a dividend or distribution that, together with other dividends and distributions made within the preceding 12 months, exceeds the greater of:</w:t>
      </w:r>
    </w:p>
    <w:p>
      <w:pPr>
        <w:spacing w:after="0" w:line="81" w:lineRule="exact"/>
        <w:rPr>
          <w:sz w:val="20"/>
          <w:szCs w:val="20"/>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 of the insurer’s statutory surplus as of the immediately prior year end; 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statutory net investment income or the statutory net income of the insurer during the prior calendar year.</w:t>
      </w:r>
    </w:p>
    <w:p>
      <w:pPr>
        <w:spacing w:after="0" w:line="117" w:lineRule="exact"/>
        <w:rPr>
          <w:sz w:val="20"/>
          <w:szCs w:val="20"/>
          <w:color w:val="auto"/>
        </w:rPr>
      </w:pPr>
    </w:p>
    <w:p>
      <w:pPr>
        <w:ind w:right="120" w:firstLine="267"/>
        <w:spacing w:after="0" w:line="257" w:lineRule="auto"/>
        <w:rPr>
          <w:sz w:val="20"/>
          <w:szCs w:val="20"/>
          <w:color w:val="auto"/>
        </w:rPr>
      </w:pPr>
      <w:r>
        <w:rPr>
          <w:rFonts w:ascii="Arial" w:cs="Arial" w:eastAsia="Arial" w:hAnsi="Arial"/>
          <w:sz w:val="18"/>
          <w:szCs w:val="18"/>
          <w:color w:val="auto"/>
        </w:rPr>
        <w:t>The laws and regulations of some jurisdictions also prohibit an insurer from declaring or paying a dividend except out of its earned surplus or require the insurer to obtain prior regulatory approval. During 2006, our directly owned title insurers can pay dividends or make distributions to us of approximately $289.9 million without prior regulatory approval; however, insurance regulators have the authority to prohibit the payment of ordinary dividends or other payments by our title insurers to us (such as a payment under a tax sharing agreement or for employee or other services) if they determine that such payment could be adverse to our policyholders.</w:t>
      </w:r>
    </w:p>
    <w:p>
      <w:pPr>
        <w:spacing w:after="0" w:line="80" w:lineRule="exact"/>
        <w:rPr>
          <w:sz w:val="20"/>
          <w:szCs w:val="20"/>
          <w:color w:val="auto"/>
        </w:rPr>
      </w:pPr>
    </w:p>
    <w:p>
      <w:pPr>
        <w:jc w:val="both"/>
        <w:ind w:right="320" w:firstLine="267"/>
        <w:spacing w:after="0" w:line="264" w:lineRule="auto"/>
        <w:rPr>
          <w:sz w:val="20"/>
          <w:szCs w:val="20"/>
          <w:color w:val="auto"/>
        </w:rPr>
      </w:pPr>
      <w:r>
        <w:rPr>
          <w:rFonts w:ascii="Arial" w:cs="Arial" w:eastAsia="Arial" w:hAnsi="Arial"/>
          <w:sz w:val="18"/>
          <w:szCs w:val="18"/>
          <w:color w:val="auto"/>
        </w:rPr>
        <w:t>The combined statutory capital and surplus of the Company’s title insurers was $852.2 million and $887.2 million as of December 31, 2005 and 2004, respectively. The combined statutory earnings of the Company’s title insurers were $400.4 million, $371.0 million and $477.9 million for the years ended December 31, 2005, 2004, and 2003, respectively.</w:t>
      </w:r>
    </w:p>
    <w:p>
      <w:pPr>
        <w:spacing w:after="0" w:line="73" w:lineRule="exact"/>
        <w:rPr>
          <w:sz w:val="20"/>
          <w:szCs w:val="20"/>
          <w:color w:val="auto"/>
        </w:rPr>
      </w:pPr>
    </w:p>
    <w:p>
      <w:pPr>
        <w:ind w:right="60" w:firstLine="260"/>
        <w:spacing w:after="0" w:line="277" w:lineRule="auto"/>
        <w:rPr>
          <w:sz w:val="20"/>
          <w:szCs w:val="20"/>
          <w:color w:val="auto"/>
        </w:rPr>
      </w:pPr>
      <w:r>
        <w:rPr>
          <w:rFonts w:ascii="Arial" w:cs="Arial" w:eastAsia="Arial" w:hAnsi="Arial"/>
          <w:sz w:val="18"/>
          <w:szCs w:val="18"/>
          <w:color w:val="auto"/>
        </w:rPr>
        <w:t>As a condition to continued authority to underwrite policies in the states in which our title insurers conduct their business, they are required to pay certain fees and file information regarding their officers, directors and financial condition.</w:t>
      </w:r>
    </w:p>
    <w:p>
      <w:pPr>
        <w:spacing w:after="0" w:line="62"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statutory requirements of the various states in which our title insurers are domiciled, they must maintain certain levels of minimum capital and surplus. Each of our title insurers complied with the minimum statutory requirements as of December 31, 2005.</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70"/>
        <w:spacing w:after="0" w:line="259" w:lineRule="auto"/>
        <w:rPr>
          <w:sz w:val="20"/>
          <w:szCs w:val="20"/>
          <w:color w:val="auto"/>
        </w:rPr>
      </w:pPr>
      <w:r>
        <w:rPr>
          <w:rFonts w:ascii="Arial" w:cs="Arial" w:eastAsia="Arial" w:hAnsi="Arial"/>
          <w:sz w:val="18"/>
          <w:szCs w:val="18"/>
          <w:color w:val="auto"/>
        </w:rPr>
        <w:t>Our underwritten title companies are also subject to certain regulation by insurance regulatory or banking authorities, primarily relating to minimum net worth. Minimum net worth of $7.5 million, $2.5 million, $3.0 million and $0.4 million is required for Fidelity National Title Company, Fidelity National Title Company of California, Chicago Title Company and Ticor Title Company of California, respectively. All of our companies were in compliance with their respective minimum net worth requirements at December 31, 2005.</w:t>
      </w:r>
    </w:p>
    <w:p>
      <w:pPr>
        <w:spacing w:after="0" w:line="79" w:lineRule="exact"/>
        <w:rPr>
          <w:sz w:val="20"/>
          <w:szCs w:val="20"/>
          <w:color w:val="auto"/>
        </w:rPr>
      </w:pPr>
    </w:p>
    <w:p>
      <w:pPr>
        <w:ind w:right="180" w:firstLine="267"/>
        <w:spacing w:after="0" w:line="279" w:lineRule="auto"/>
        <w:rPr>
          <w:sz w:val="20"/>
          <w:szCs w:val="20"/>
          <w:color w:val="auto"/>
        </w:rPr>
      </w:pPr>
      <w:r>
        <w:rPr>
          <w:rFonts w:ascii="Arial" w:cs="Arial" w:eastAsia="Arial" w:hAnsi="Arial"/>
          <w:sz w:val="17"/>
          <w:szCs w:val="17"/>
          <w:color w:val="auto"/>
        </w:rPr>
        <w:t>We receive inquiries and requests for information from state insurance departments, attorneys general and other regulatory agencies from time to time about various matters relating to our business. Sometimes these take the form of civil investigative subpoenas. We attempt to cooperate with all such inquiries. From time to time, we are assessed fines for violations of regulations or other matters or enter into settlements with such authorities which require us to pay money or take other actions. For a discussion of certain pending matters, see “Legal Proceedings.”</w:t>
      </w:r>
    </w:p>
    <w:p>
      <w:pPr>
        <w:spacing w:after="0" w:line="63" w:lineRule="exact"/>
        <w:rPr>
          <w:sz w:val="20"/>
          <w:szCs w:val="20"/>
          <w:color w:val="auto"/>
        </w:rPr>
      </w:pPr>
    </w:p>
    <w:p>
      <w:pPr>
        <w:ind w:right="40" w:firstLine="270"/>
        <w:spacing w:after="0" w:line="288" w:lineRule="auto"/>
        <w:rPr>
          <w:sz w:val="20"/>
          <w:szCs w:val="20"/>
          <w:color w:val="auto"/>
        </w:rPr>
      </w:pPr>
      <w:r>
        <w:rPr>
          <w:rFonts w:ascii="Arial" w:cs="Arial" w:eastAsia="Arial" w:hAnsi="Arial"/>
          <w:sz w:val="16"/>
          <w:szCs w:val="16"/>
          <w:color w:val="auto"/>
        </w:rPr>
        <w:t>Before a person can acquire control of a U.S. insurance company, prior written approval must be obtained from the insurance commissioner of the state in which the insurer is domiciled. Prior to granting approval of an application to acquire control of a domestic insurer, the state insurance commissioner will consider such factors as the financial strength of the applicant, the integrity and management of the applicant’s board of directors and executive officers, the acquirer’s plans for the insurer’s board of directors and executive officers, the acquirer’s plans for the future operations of the domestic insurer and any anti-competitive results that may arise from the consummation of the acquisition of control. Generally, state statutes provide that control over a domestic insurer is presumed to exist if any person, directly or indirectly, owns, controls, holds with the power to vote, or holds proxies representing, 10% or more of the voting securities of the domestic insurer (in the state of Florida, where one of our subsidiaries is domiciled, control may be presumed to exist upon acquisition of 5% or more of the insurer’s voting securities). Because a person acquiring 10% or more of our common shares would indirectly control the same percentage of the stock of our title insurers, the insurance change of control laws would likely apply to such a transaction (and any acquisition of 5% or more would require filing a disclaimer of control with, or obtaining a change of control approval from, the State of Florida).</w:t>
      </w:r>
    </w:p>
    <w:p>
      <w:pPr>
        <w:spacing w:after="0" w:line="61" w:lineRule="exact"/>
        <w:rPr>
          <w:sz w:val="20"/>
          <w:szCs w:val="20"/>
          <w:color w:val="auto"/>
        </w:rPr>
      </w:pPr>
    </w:p>
    <w:p>
      <w:pPr>
        <w:ind w:right="180" w:firstLine="267"/>
        <w:spacing w:after="0" w:line="264" w:lineRule="auto"/>
        <w:rPr>
          <w:sz w:val="20"/>
          <w:szCs w:val="20"/>
          <w:color w:val="auto"/>
        </w:rPr>
      </w:pPr>
      <w:r>
        <w:rPr>
          <w:rFonts w:ascii="Arial" w:cs="Arial" w:eastAsia="Arial" w:hAnsi="Arial"/>
          <w:sz w:val="18"/>
          <w:szCs w:val="18"/>
          <w:color w:val="auto"/>
        </w:rPr>
        <w:t>The National Association of Insurance Commissioners (“NAIC”) has adopted an instruction requiring an annual certification of reserve adequacy by a qualified actuary. Because all of the states in which our title insurers are domiciled require adherence to NAIC filing procedures, each such insurer, unless it qualifies for an exemption, must file an actuarial opinion with respect to the adequacy of its reserves.</w:t>
      </w:r>
    </w:p>
    <w:p>
      <w:pPr>
        <w:spacing w:after="0" w:line="73" w:lineRule="exact"/>
        <w:rPr>
          <w:sz w:val="20"/>
          <w:szCs w:val="20"/>
          <w:color w:val="auto"/>
        </w:rPr>
      </w:pPr>
    </w:p>
    <w:p>
      <w:pPr>
        <w:ind w:right="460" w:firstLine="270"/>
        <w:spacing w:after="0" w:line="342" w:lineRule="auto"/>
        <w:rPr>
          <w:sz w:val="20"/>
          <w:szCs w:val="20"/>
          <w:color w:val="auto"/>
        </w:rPr>
      </w:pPr>
      <w:r>
        <w:rPr>
          <w:rFonts w:ascii="Arial" w:cs="Arial" w:eastAsia="Arial" w:hAnsi="Arial"/>
          <w:sz w:val="16"/>
          <w:szCs w:val="16"/>
          <w:color w:val="auto"/>
        </w:rPr>
        <w:t>Since we are governed by both state and federal governments and the applicable insurance laws are constantly subject to change, it is not possible to predict the potential effects of any laws or regulations that may become more restrictive in the future or if new restrictive laws will be enacted.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Ratings</w:t>
      </w:r>
    </w:p>
    <w:p>
      <w:pPr>
        <w:spacing w:after="0" w:line="121"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Our title insurance subsidiaries are regularly assigned ratings by independent agencies designed to indicate their financial condition and/or claims paying ability. The ratings agencies determine ratings by quantitatively and qualitatively analyzing financial data and other information. Our title subsidiaries include Fidelity National Title, Chicago Title, Ticor Title, Security Union Title and Alamo Title. The insurer financial strength/stability ratings of our principal title insurance subsidiaries are listed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S&amp;P</w:t>
            </w:r>
          </w:p>
        </w:tc>
        <w:tc>
          <w:tcPr>
            <w:tcW w:w="480" w:type="dxa"/>
            <w:vAlign w:val="bottom"/>
          </w:tcPr>
          <w:p>
            <w:pPr>
              <w:spacing w:after="0"/>
              <w:rPr>
                <w:sz w:val="15"/>
                <w:szCs w:val="15"/>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Moody’s</w:t>
            </w:r>
          </w:p>
        </w:tc>
        <w:tc>
          <w:tcPr>
            <w:tcW w:w="560" w:type="dxa"/>
            <w:vAlign w:val="bottom"/>
          </w:tcPr>
          <w:p>
            <w:pPr>
              <w:spacing w:after="0"/>
              <w:rPr>
                <w:sz w:val="15"/>
                <w:szCs w:val="15"/>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Fitch</w:t>
            </w:r>
          </w:p>
        </w:tc>
        <w:tc>
          <w:tcPr>
            <w:tcW w:w="440" w:type="dxa"/>
            <w:vAlign w:val="bottom"/>
          </w:tcPr>
          <w:p>
            <w:pPr>
              <w:spacing w:after="0"/>
              <w:rPr>
                <w:sz w:val="15"/>
                <w:szCs w:val="15"/>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 Best</w:t>
            </w:r>
          </w:p>
        </w:tc>
        <w:tc>
          <w:tcPr>
            <w:tcW w:w="660" w:type="dxa"/>
            <w:vAlign w:val="bottom"/>
          </w:tcPr>
          <w:p>
            <w:pPr>
              <w:spacing w:after="0"/>
              <w:rPr>
                <w:sz w:val="15"/>
                <w:szCs w:val="15"/>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1"/>
              </w:rPr>
              <w:t>Demotech</w:t>
            </w:r>
          </w:p>
        </w:tc>
        <w:tc>
          <w:tcPr>
            <w:tcW w:w="680" w:type="dxa"/>
            <w:vAlign w:val="bottom"/>
          </w:tcPr>
          <w:p>
            <w:pPr>
              <w:spacing w:after="0"/>
              <w:rPr>
                <w:sz w:val="15"/>
                <w:szCs w:val="15"/>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LACE</w:t>
            </w:r>
          </w:p>
        </w:tc>
        <w:tc>
          <w:tcPr>
            <w:tcW w:w="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Alamo Title Insurance</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w:t>
            </w: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A3</w:t>
            </w:r>
          </w:p>
        </w:tc>
        <w:tc>
          <w:tcPr>
            <w:tcW w:w="1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w:t>
            </w:r>
          </w:p>
        </w:tc>
        <w:tc>
          <w:tcPr>
            <w:tcW w:w="13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A’</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A</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Chicago Title Insurance Co.</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A</w:t>
            </w: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A3</w:t>
            </w: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A-</w:t>
            </w:r>
          </w:p>
        </w:tc>
        <w:tc>
          <w:tcPr>
            <w:tcW w:w="1340" w:type="dxa"/>
            <w:vAlign w:val="bottom"/>
            <w:gridSpan w:val="2"/>
          </w:tcPr>
          <w:p>
            <w:pPr>
              <w:ind w:left="480"/>
              <w:spacing w:after="0"/>
              <w:rPr>
                <w:sz w:val="20"/>
                <w:szCs w:val="20"/>
                <w:color w:val="auto"/>
              </w:rPr>
            </w:pPr>
            <w:r>
              <w:rPr>
                <w:rFonts w:ascii="Arial" w:cs="Arial" w:eastAsia="Arial" w:hAnsi="Arial"/>
                <w:sz w:val="18"/>
                <w:szCs w:val="18"/>
                <w:color w:val="auto"/>
              </w:rPr>
              <w:t>A-</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A”</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A+</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Chicago Title Insurance Co. of Oregon</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w:t>
            </w: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A3</w:t>
            </w:r>
          </w:p>
        </w:tc>
        <w:tc>
          <w:tcPr>
            <w:tcW w:w="1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w:t>
            </w:r>
          </w:p>
        </w:tc>
        <w:tc>
          <w:tcPr>
            <w:tcW w:w="13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A’</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Fidelity National Title Insurance Co.</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A</w:t>
            </w: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A3</w:t>
            </w: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A-</w:t>
            </w:r>
          </w:p>
        </w:tc>
        <w:tc>
          <w:tcPr>
            <w:tcW w:w="1340" w:type="dxa"/>
            <w:vAlign w:val="bottom"/>
            <w:gridSpan w:val="2"/>
          </w:tcPr>
          <w:p>
            <w:pPr>
              <w:ind w:left="480"/>
              <w:spacing w:after="0"/>
              <w:rPr>
                <w:sz w:val="20"/>
                <w:szCs w:val="20"/>
                <w:color w:val="auto"/>
              </w:rPr>
            </w:pPr>
            <w:r>
              <w:rPr>
                <w:rFonts w:ascii="Arial" w:cs="Arial" w:eastAsia="Arial" w:hAnsi="Arial"/>
                <w:sz w:val="18"/>
                <w:szCs w:val="18"/>
                <w:color w:val="auto"/>
              </w:rPr>
              <w:t>A-</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A’</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B+</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Ticor Title Insurance Co.</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w:t>
            </w: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A3</w:t>
            </w:r>
          </w:p>
        </w:tc>
        <w:tc>
          <w:tcPr>
            <w:tcW w:w="1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w:t>
            </w:r>
          </w:p>
        </w:tc>
        <w:tc>
          <w:tcPr>
            <w:tcW w:w="13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A’</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A</w:t>
            </w: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Security Union Title Insurance Co.</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A</w:t>
            </w: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A3</w:t>
            </w: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A-</w:t>
            </w:r>
          </w:p>
        </w:tc>
        <w:tc>
          <w:tcPr>
            <w:tcW w:w="1340" w:type="dxa"/>
            <w:vAlign w:val="bottom"/>
            <w:gridSpan w:val="2"/>
          </w:tcPr>
          <w:p>
            <w:pPr>
              <w:ind w:left="480"/>
              <w:spacing w:after="0"/>
              <w:rPr>
                <w:sz w:val="20"/>
                <w:szCs w:val="20"/>
                <w:color w:val="auto"/>
              </w:rPr>
            </w:pPr>
            <w:r>
              <w:rPr>
                <w:rFonts w:ascii="Arial" w:cs="Arial" w:eastAsia="Arial" w:hAnsi="Arial"/>
                <w:sz w:val="18"/>
                <w:szCs w:val="18"/>
                <w:color w:val="auto"/>
              </w:rPr>
              <w:t>A-</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A’</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B</w:t>
            </w:r>
          </w:p>
        </w:tc>
      </w:tr>
    </w:tbl>
    <w:p>
      <w:pPr>
        <w:spacing w:after="0" w:line="79" w:lineRule="exact"/>
        <w:rPr>
          <w:sz w:val="20"/>
          <w:szCs w:val="20"/>
          <w:color w:val="auto"/>
        </w:rPr>
      </w:pPr>
    </w:p>
    <w:p>
      <w:pPr>
        <w:ind w:right="200" w:firstLine="267"/>
        <w:spacing w:after="0" w:line="277" w:lineRule="auto"/>
        <w:rPr>
          <w:sz w:val="20"/>
          <w:szCs w:val="20"/>
          <w:color w:val="auto"/>
        </w:rPr>
      </w:pPr>
      <w:r>
        <w:rPr>
          <w:rFonts w:ascii="Arial" w:cs="Arial" w:eastAsia="Arial" w:hAnsi="Arial"/>
          <w:sz w:val="18"/>
          <w:szCs w:val="18"/>
          <w:color w:val="auto"/>
        </w:rPr>
        <w:t>The ratings of Standard &amp; Poor’s (“S&amp;P”), Moody’s Investors Services (“Moody’s”), A.M. Best Company (“A.M. Best”), Fitch Ratings, Ltd. (“Fitch”), Demotech, and LACE Financial Corporation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(“LACE”) described above are not designed to be, and do not serve as, measures of protection or valuation offered to investors. These financial strength ratings should not be relied on with respect to making an investment in our securities. In connection with the announcement of the distribution of our common stock to stockholders of FNF and the increased financial leverage that would result therefrom, S&amp;P placed the “A-” financial strength rating on CreditWatch negative, Moody’s affirmed the “A3” financial strength rating although the rating outlook was changed to negative and Fitch placed the financial strength rating on Rating Watch Negative. In addition, A.M. Best downgraded the financial strength ratings of our principal insurance subsidiaries to “A-”. After the announcement of the merger between FNF’s subsidiary, Fidelity National Information Services, Inc. (“FIS”) and Certegy Inc., S&amp;P revised its CreditWatch to positive from negative, Moody’s changed its rating outlook to stable from negative and Fitch revised its rating watch to stable from negative. Our ratings are likely to continue to be affected in the future by credit events that may occur with respect to FNF and its other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As of December 31, 2005, we had approximately 19,500 full-time equivalent employees. We believe our employee relations are generally satisfactory.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 of our employees are subject to collective bargaining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Regarding Forward-Looking Information</w:t>
      </w:r>
    </w:p>
    <w:p>
      <w:pPr>
        <w:spacing w:after="0" w:line="121" w:lineRule="exact"/>
        <w:rPr>
          <w:sz w:val="20"/>
          <w:szCs w:val="20"/>
          <w:color w:val="auto"/>
        </w:rPr>
      </w:pPr>
    </w:p>
    <w:p>
      <w:pPr>
        <w:ind w:firstLine="267"/>
        <w:spacing w:after="0" w:line="276" w:lineRule="auto"/>
        <w:rPr>
          <w:sz w:val="20"/>
          <w:szCs w:val="20"/>
          <w:color w:val="auto"/>
        </w:rPr>
      </w:pPr>
      <w:r>
        <w:rPr>
          <w:rFonts w:ascii="Arial" w:cs="Arial" w:eastAsia="Arial" w:hAnsi="Arial"/>
          <w:sz w:val="17"/>
          <w:szCs w:val="17"/>
          <w:color w:val="auto"/>
        </w:rPr>
        <w:t>The information contained in this Form 10-K contains forward-looking statements that involve a number of risks and uncertainties. Statements that are not historical facts, including statements about our beliefs and expectations, are forward-looking statements. Forward-looking statements are based on management’s beliefs, as well as assumptions made by, and information currently available to, management. Because such statements are based on expectations as to future economic performance and are not statements of fact, actual results may differ materially from those projected. We undertake no obligation to update any forward-looking statements, whether as a result of new information, future events or otherwise.</w:t>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Important factors that may affect these projections or expectations include, but are not limited to:</w:t>
      </w:r>
    </w:p>
    <w:p>
      <w:pPr>
        <w:spacing w:after="0" w:line="117" w:lineRule="exact"/>
        <w:rPr>
          <w:sz w:val="20"/>
          <w:szCs w:val="20"/>
          <w:color w:val="auto"/>
        </w:rPr>
      </w:pPr>
    </w:p>
    <w:p>
      <w:pPr>
        <w:ind w:left="460" w:right="520" w:hanging="101"/>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political, economic and business conditions, including the possibility of intensified international hostilities, acts of terrorism, and general volatility in the capital markets;</w:t>
      </w:r>
    </w:p>
    <w:p>
      <w:pPr>
        <w:spacing w:after="0" w:line="75" w:lineRule="exact"/>
        <w:rPr>
          <w:rFonts w:ascii="Arial" w:cs="Arial" w:eastAsia="Arial" w:hAnsi="Arial"/>
          <w:sz w:val="18"/>
          <w:szCs w:val="18"/>
          <w:color w:val="auto"/>
        </w:rPr>
      </w:pPr>
    </w:p>
    <w:p>
      <w:pPr>
        <w:ind w:left="460" w:right="460" w:hanging="101"/>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the volume of real estate transactions such as real estate sales and mortgage refinancings, which can be caused by high or increasing interest rates, a shortage of mortgage funding, or a weak United States economy;</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consolidation in the mortgage lending or banking industry;</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security breaches of our systems and computer viruses affecting our software;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competitive products and pricing;</w:t>
      </w:r>
    </w:p>
    <w:p>
      <w:pPr>
        <w:spacing w:after="0" w:line="130" w:lineRule="exact"/>
        <w:rPr>
          <w:rFonts w:ascii="Arial" w:cs="Arial" w:eastAsia="Arial" w:hAnsi="Arial"/>
          <w:sz w:val="18"/>
          <w:szCs w:val="18"/>
          <w:color w:val="auto"/>
        </w:rPr>
      </w:pPr>
    </w:p>
    <w:p>
      <w:pPr>
        <w:ind w:left="460" w:right="140" w:hanging="101"/>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identify suitable acquisition candidates and the ability to finance such acquisitions, which depends upon the availability of adequate cash reserves from operations or of acceptable financing terms and the variability of our stock price;</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integrate any acquired business’ operations, products, clients and personnel;</w:t>
      </w:r>
    </w:p>
    <w:p>
      <w:pPr>
        <w:spacing w:after="0" w:line="130" w:lineRule="exact"/>
        <w:rPr>
          <w:rFonts w:ascii="Arial" w:cs="Arial" w:eastAsia="Arial" w:hAnsi="Arial"/>
          <w:sz w:val="18"/>
          <w:szCs w:val="18"/>
          <w:color w:val="auto"/>
        </w:rPr>
      </w:pPr>
    </w:p>
    <w:p>
      <w:pPr>
        <w:ind w:left="460" w:right="640" w:hanging="101"/>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or the failure to comply with, government regulations, including privacy regulations and the extensive regulations imposed by state insurance authorities in each state in which our insurance subsidiaries conduct operations; and</w:t>
      </w:r>
    </w:p>
    <w:p>
      <w:pPr>
        <w:spacing w:after="0" w:line="75" w:lineRule="exact"/>
        <w:rPr>
          <w:rFonts w:ascii="Arial" w:cs="Arial" w:eastAsia="Arial" w:hAnsi="Arial"/>
          <w:sz w:val="18"/>
          <w:szCs w:val="18"/>
          <w:color w:val="auto"/>
        </w:rPr>
      </w:pPr>
    </w:p>
    <w:p>
      <w:pPr>
        <w:ind w:left="460" w:right="520" w:hanging="101"/>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detailed elsewhere in this document (including in the Risk Factors section which follows this section) and in our other filings with the Securities and Exchange Commission.</w:t>
      </w:r>
    </w:p>
    <w:p>
      <w:pPr>
        <w:spacing w:after="0" w:line="62" w:lineRule="exact"/>
        <w:rPr>
          <w:sz w:val="20"/>
          <w:szCs w:val="20"/>
          <w:color w:val="auto"/>
        </w:rPr>
      </w:pPr>
    </w:p>
    <w:p>
      <w:pPr>
        <w:ind w:right="600" w:firstLine="260"/>
        <w:spacing w:after="0" w:line="277" w:lineRule="auto"/>
        <w:rPr>
          <w:sz w:val="20"/>
          <w:szCs w:val="20"/>
          <w:color w:val="auto"/>
        </w:rPr>
      </w:pPr>
      <w:r>
        <w:rPr>
          <w:rFonts w:ascii="Arial" w:cs="Arial" w:eastAsia="Arial" w:hAnsi="Arial"/>
          <w:sz w:val="18"/>
          <w:szCs w:val="18"/>
          <w:color w:val="auto"/>
        </w:rPr>
        <w:t>All of these factors are difficult to predict and many are beyond our control. Accordingly, while we believe these forward-looking statements to be reasonable, there can be no assurance that they will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approximate actual experience or that expectations derived from them will be realized. When used in our documents or oral presentations, the words “anticipate,” “believe,” “estimate,” “objective,” “projection,” “forecast,” “goal,” or similar words are intended to identify forward-looking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right="120" w:firstLine="270"/>
        <w:spacing w:after="0" w:line="279" w:lineRule="auto"/>
        <w:rPr>
          <w:sz w:val="20"/>
          <w:szCs w:val="20"/>
          <w:color w:val="auto"/>
        </w:rPr>
      </w:pPr>
      <w:r>
        <w:rPr>
          <w:rFonts w:ascii="Arial" w:cs="Arial" w:eastAsia="Arial" w:hAnsi="Arial"/>
          <w:sz w:val="17"/>
          <w:szCs w:val="17"/>
          <w:color w:val="auto"/>
        </w:rPr>
        <w:t>Our website address is www.fntg.com. We make available free of charge on or through our website our Annual Report on Form 10-K, Quarterly Reports on Form 10-Q, Current Reports on Form 8-K and all amendments to those reports filed or furnished pursuant to Section 13(a) or 15(d) of the Securities Exchange Act of 1934, as amended, as soon as reasonably practicable after such material is electronically filed with or furnished to the Securities and Exchange Commission. However, the information found on our website is not part of this or any other report.</w:t>
      </w:r>
    </w:p>
    <w:p>
      <w:pPr>
        <w:spacing w:after="0" w:line="1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In addition to the normal risks of business, we are subject to significant risks and uncertainties, including those listed below and others described elsewhere in this Annual Report on Form 10-K or incorporated herein. Any of the risks described herein could result in a significant or material adverse effect on our results of operations or financial condition.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If adverse changes in the levels of real estate activity occur, our revenues may decline.</w:t>
      </w:r>
    </w:p>
    <w:p>
      <w:pPr>
        <w:spacing w:after="0" w:line="117" w:lineRule="exact"/>
        <w:rPr>
          <w:sz w:val="20"/>
          <w:szCs w:val="20"/>
          <w:color w:val="auto"/>
        </w:rPr>
      </w:pPr>
    </w:p>
    <w:p>
      <w:pPr>
        <w:ind w:right="40" w:firstLine="267"/>
        <w:spacing w:after="0" w:line="257" w:lineRule="auto"/>
        <w:rPr>
          <w:sz w:val="20"/>
          <w:szCs w:val="20"/>
          <w:color w:val="auto"/>
        </w:rPr>
      </w:pPr>
      <w:r>
        <w:rPr>
          <w:rFonts w:ascii="Arial" w:cs="Arial" w:eastAsia="Arial" w:hAnsi="Arial"/>
          <w:sz w:val="18"/>
          <w:szCs w:val="18"/>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 While both the volume and the average price of residential real estate transactions have recently experienced record highs, we do not expect these trends to continue. Further, interest rates have risen from record low levels in 2003, resulting in reductions in the level of mortgage refinancings and total mortgage originations in 2004 and again in 2005.</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have found that residential real estate activity generally decreases in the following situations:</w:t>
      </w:r>
    </w:p>
    <w:p>
      <w:pPr>
        <w:spacing w:after="0" w:line="117" w:lineRule="exact"/>
        <w:rPr>
          <w:sz w:val="20"/>
          <w:szCs w:val="20"/>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 mortgage interest rates are high or increasing;</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 the mortgage funding supply is limited;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 the United States economy is weak.</w:t>
      </w:r>
    </w:p>
    <w:p>
      <w:pPr>
        <w:spacing w:after="0" w:line="117"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If either the level of real estate activity or the average price of real estate sales declines, it could adversely affect our title insurance revenues. The Mortgage Bankers Association currently projects residential mortgage production in 2006 to be $2.24 trillion, which would represent a 19.2% decline relative to 2005. The MBA further projects that the 19.2% decrease will result from purchase transactions declining from $1.49 billion in 2005 to $1.43 billion in 2006, or 3.6%, and refinancing transactions dropping from $1.29 billion to $0.81 billion, or 37.1%.</w:t>
      </w:r>
    </w:p>
    <w:p>
      <w:pPr>
        <w:spacing w:after="0" w:line="187" w:lineRule="exact"/>
        <w:rPr>
          <w:sz w:val="20"/>
          <w:szCs w:val="20"/>
          <w:color w:val="auto"/>
        </w:rPr>
      </w:pPr>
    </w:p>
    <w:p>
      <w:pPr>
        <w:ind w:left="360" w:right="80"/>
        <w:spacing w:after="0" w:line="277" w:lineRule="auto"/>
        <w:rPr>
          <w:sz w:val="20"/>
          <w:szCs w:val="20"/>
          <w:color w:val="auto"/>
        </w:rPr>
      </w:pPr>
      <w:r>
        <w:rPr>
          <w:rFonts w:ascii="Arial" w:cs="Arial" w:eastAsia="Arial" w:hAnsi="Arial"/>
          <w:sz w:val="18"/>
          <w:szCs w:val="18"/>
          <w:b w:val="1"/>
          <w:bCs w:val="1"/>
          <w:i w:val="1"/>
          <w:iCs w:val="1"/>
          <w:color w:val="auto"/>
        </w:rPr>
        <w:t>Our subsidiaries must comply with extensive regulations. These regulations may increase our costs or impede, or impose burdensome conditions on, actions that we might seek to take to increase the revenues of our subsidiaries.</w:t>
      </w:r>
    </w:p>
    <w:p>
      <w:pPr>
        <w:spacing w:after="0" w:line="62" w:lineRule="exact"/>
        <w:rPr>
          <w:sz w:val="20"/>
          <w:szCs w:val="20"/>
          <w:color w:val="auto"/>
        </w:rPr>
      </w:pPr>
    </w:p>
    <w:p>
      <w:pPr>
        <w:ind w:right="200" w:firstLine="270"/>
        <w:spacing w:after="0" w:line="277" w:lineRule="auto"/>
        <w:rPr>
          <w:sz w:val="20"/>
          <w:szCs w:val="20"/>
          <w:color w:val="auto"/>
        </w:rPr>
      </w:pPr>
      <w:r>
        <w:rPr>
          <w:rFonts w:ascii="Arial" w:cs="Arial" w:eastAsia="Arial" w:hAnsi="Arial"/>
          <w:sz w:val="18"/>
          <w:szCs w:val="18"/>
          <w:color w:val="auto"/>
        </w:rPr>
        <w:t>Our insurance businesses are subject to extensive regulation by state insurance authorities in each state in which we operate. These agencies have broad administrative and supervisory power relating to the following, among other matters:</w:t>
      </w:r>
    </w:p>
    <w:p>
      <w:pPr>
        <w:spacing w:after="0" w:line="62" w:lineRule="exact"/>
        <w:rPr>
          <w:sz w:val="20"/>
          <w:szCs w:val="20"/>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licensing requirements;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and marketing practices;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accounting and financing practices;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and surplus requirements;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of dividends and other payments made by insurance subsidiaries;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 practices;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rate schedules;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deposits of securities for the benefit of policyholders;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reserves;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regulation of reinsurance.</w:t>
      </w:r>
    </w:p>
    <w:p>
      <w:pPr>
        <w:spacing w:after="0" w:line="117" w:lineRule="exact"/>
        <w:rPr>
          <w:sz w:val="20"/>
          <w:szCs w:val="20"/>
          <w:color w:val="auto"/>
        </w:rPr>
      </w:pPr>
    </w:p>
    <w:p>
      <w:pPr>
        <w:ind w:right="60" w:firstLine="270"/>
        <w:spacing w:after="0" w:line="302" w:lineRule="auto"/>
        <w:rPr>
          <w:sz w:val="20"/>
          <w:szCs w:val="20"/>
          <w:color w:val="auto"/>
        </w:rPr>
      </w:pPr>
      <w:r>
        <w:rPr>
          <w:rFonts w:ascii="Arial" w:cs="Arial" w:eastAsia="Arial" w:hAnsi="Arial"/>
          <w:sz w:val="16"/>
          <w:szCs w:val="16"/>
          <w:color w:val="auto"/>
        </w:rPr>
        <w:t>Most states also regulate insurance holding companies like us with respect to acquisitions, changes of control and the terms of transactions with our affiliates. State regulations may impede or impose burdensome conditions on our ability to increase or maintain rate levels or on other actions that we may want to take to enhance our operating results. In addition, we may incur significant costs in the course of complying with regulatory requirements. We cannot assure you that future legislative or regulatory changes will not adversely affect our business operations. See “Business — Regulation.”</w:t>
      </w:r>
    </w:p>
    <w:p>
      <w:pPr>
        <w:spacing w:after="0" w:line="154"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b w:val="1"/>
          <w:bCs w:val="1"/>
          <w:i w:val="1"/>
          <w:iCs w:val="1"/>
          <w:color w:val="auto"/>
        </w:rPr>
        <w:t>Regulatory investigations of the insurance industry may lead to fines, settlements, new regulation or legal uncertainty, which could negatively affect our results of operations.</w:t>
      </w:r>
    </w:p>
    <w:p>
      <w:pPr>
        <w:spacing w:after="0" w:line="62" w:lineRule="exact"/>
        <w:rPr>
          <w:sz w:val="20"/>
          <w:szCs w:val="20"/>
          <w:color w:val="auto"/>
        </w:rPr>
      </w:pPr>
    </w:p>
    <w:p>
      <w:pPr>
        <w:ind w:right="80" w:firstLine="267"/>
        <w:spacing w:after="0" w:line="257" w:lineRule="auto"/>
        <w:rPr>
          <w:sz w:val="20"/>
          <w:szCs w:val="20"/>
          <w:color w:val="auto"/>
        </w:rPr>
      </w:pPr>
      <w:r>
        <w:rPr>
          <w:rFonts w:ascii="Arial" w:cs="Arial" w:eastAsia="Arial" w:hAnsi="Arial"/>
          <w:sz w:val="18"/>
          <w:szCs w:val="18"/>
          <w:color w:val="auto"/>
        </w:rPr>
        <w:t>We get inquiries and requests for information from state insurance departments, attorneys general and other regulatory agencies from time to time about various matters relating to our business. Sometimes these take the form of civil investigative subpoenas. We attempt to cooperate with all such inquiries. From time to time, we are assessed fines for violations of regulations or other matters or enter into settlements with such authorities which require us to pay money or take other actions. These fines may be significant and actions we are required to take may adversely affect our business. For a discussion of certain pending or potential matters, see “Item 3 - Legal Proceedings.”</w:t>
      </w:r>
    </w:p>
    <w:p>
      <w:pPr>
        <w:spacing w:after="0" w:line="188" w:lineRule="exact"/>
        <w:rPr>
          <w:sz w:val="20"/>
          <w:szCs w:val="20"/>
          <w:color w:val="auto"/>
        </w:rPr>
      </w:pPr>
    </w:p>
    <w:p>
      <w:pPr>
        <w:ind w:left="360"/>
        <w:spacing w:after="0" w:line="277" w:lineRule="auto"/>
        <w:rPr>
          <w:sz w:val="20"/>
          <w:szCs w:val="20"/>
          <w:color w:val="auto"/>
        </w:rPr>
      </w:pPr>
      <w:r>
        <w:rPr>
          <w:rFonts w:ascii="Arial" w:cs="Arial" w:eastAsia="Arial" w:hAnsi="Arial"/>
          <w:sz w:val="18"/>
          <w:szCs w:val="18"/>
          <w:b w:val="1"/>
          <w:bCs w:val="1"/>
          <w:i w:val="1"/>
          <w:iCs w:val="1"/>
          <w:color w:val="auto"/>
        </w:rPr>
        <w:t>Because we are dependent upon California for over 20 percent of our title insurance premiums, our business may be adversely affected by regulatory conditions in California.</w:t>
      </w:r>
    </w:p>
    <w:p>
      <w:pPr>
        <w:spacing w:after="0" w:line="62" w:lineRule="exact"/>
        <w:rPr>
          <w:sz w:val="20"/>
          <w:szCs w:val="20"/>
          <w:color w:val="auto"/>
        </w:rPr>
      </w:pPr>
    </w:p>
    <w:p>
      <w:pPr>
        <w:ind w:right="20" w:firstLine="270"/>
        <w:spacing w:after="0" w:line="273" w:lineRule="auto"/>
        <w:rPr>
          <w:sz w:val="20"/>
          <w:szCs w:val="20"/>
          <w:color w:val="auto"/>
        </w:rPr>
      </w:pPr>
      <w:r>
        <w:rPr>
          <w:rFonts w:ascii="Arial" w:cs="Arial" w:eastAsia="Arial" w:hAnsi="Arial"/>
          <w:sz w:val="17"/>
          <w:szCs w:val="17"/>
          <w:color w:val="auto"/>
        </w:rPr>
        <w:t>California is the largest source of revenue for the title insurance industry and, in 2005, California-based premiums accounted for 45.1% of premiums earned by our direct operations and 1.8% of our agency premium revenues. In the aggregate, California accounted for approximately 21% of our total title insurance premiums for 2005. A significant part of our revenues and profitability are therefore subject to our operations in California and to the prevailing regulatory conditions in California. Adverse regulatory developments in California, which could include reductions in the maximum rates permitted to be charged, inadequate rate increases or more fundamental changes in the design or implementation of the California title insurance regulatory framework, could have a material adverse effect on our results of operations and financial condition.</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State regulation of the rates we charge for title insurance could adversely affect our results of operations.</w:t>
      </w:r>
    </w:p>
    <w:p>
      <w:pPr>
        <w:spacing w:after="0" w:line="117"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Our subsidiaries are subject to extensive rate regulation by the applicable state agencies in the jurisdictions in which they operate. Title insurance rates are regulated differently in the various states, with some states requiring our subsidiaries to file rates before such rates become effective and some states promulgating the rates that can be charged. In almost all states in which our subsidiaries operate, our rates must not be excessive, inadequate or unfairly discriminatory.</w:t>
      </w:r>
    </w:p>
    <w:p>
      <w:pPr>
        <w:spacing w:after="0" w:line="79"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The California Department of Insurance (“CDI”) has recently undertaken an examination of the levels of pricing and competition in the title insurance industry in California, with a view to determining whether prices are too high and, if so, implementing rate reductions. The CDI commissioned an analysis of the title insurance and escrow industry in California, and a report was prepared by an economist at the request of the California Insurance Commissioner. The report concluded that a reasonable degree of competition does not exist in the markets for title insurance and escrow services in California, and the CDI began holding hearings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January 2006 to address the report’s findings. The Company is unable to predict the outcome of the CDI’s examination or whether it will result in new legislation, regulation or restrictions on its title insurance operations in California.</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California is the largest source of revenue for the title insurance industry, including for us.</w:t>
      </w:r>
    </w:p>
    <w:p>
      <w:pPr>
        <w:spacing w:after="0" w:line="117" w:lineRule="exact"/>
        <w:rPr>
          <w:sz w:val="20"/>
          <w:szCs w:val="20"/>
          <w:color w:val="auto"/>
        </w:rPr>
      </w:pPr>
    </w:p>
    <w:p>
      <w:pPr>
        <w:ind w:right="200" w:firstLine="270"/>
        <w:spacing w:after="0" w:line="264" w:lineRule="auto"/>
        <w:rPr>
          <w:sz w:val="20"/>
          <w:szCs w:val="20"/>
          <w:color w:val="auto"/>
        </w:rPr>
      </w:pPr>
      <w:r>
        <w:rPr>
          <w:rFonts w:ascii="Arial" w:cs="Arial" w:eastAsia="Arial" w:hAnsi="Arial"/>
          <w:sz w:val="18"/>
          <w:szCs w:val="18"/>
          <w:color w:val="auto"/>
        </w:rPr>
        <w:t>Insurance regulators in New York, Colorado, Florida, Nevada and Texas have also announced similar inquiries (or other reviews of title insurance rates) and other states could follow. State regulators may use their rate-regulation oversight authority to take steps to cause us to reduce our rates, or block our attempts to increase our rates. Such actions by regulators could adversely affect our operating results.</w:t>
      </w:r>
    </w:p>
    <w:p>
      <w:pPr>
        <w:spacing w:after="0" w:line="73" w:lineRule="exact"/>
        <w:rPr>
          <w:sz w:val="20"/>
          <w:szCs w:val="20"/>
          <w:color w:val="auto"/>
        </w:rPr>
      </w:pPr>
    </w:p>
    <w:p>
      <w:pPr>
        <w:ind w:right="20" w:firstLine="270"/>
        <w:spacing w:after="0" w:line="276" w:lineRule="auto"/>
        <w:rPr>
          <w:sz w:val="20"/>
          <w:szCs w:val="20"/>
          <w:color w:val="auto"/>
        </w:rPr>
      </w:pPr>
      <w:r>
        <w:rPr>
          <w:rFonts w:ascii="Arial" w:cs="Arial" w:eastAsia="Arial" w:hAnsi="Arial"/>
          <w:sz w:val="17"/>
          <w:szCs w:val="17"/>
          <w:color w:val="auto"/>
        </w:rPr>
        <w:t>Further, U.S. Representative Oxley, the Chairman of the House Financial Services Committee, recently asked the Government Accountability Office (the GAO) to investigate the title insurance industry. Representative Oxley stated that the Committee is concerned about payments that certain title insurers have made to developers, lenders and real estate agents for referrals of title insurance business. See Item 3 — “Legal Proceedings.” Representative Oxley asked the GAO to examine, among other things, the foregoing relationships and the levels of pricing and competition in the title insurance industry. We are unable to predict the outcome of this inquiry or whether it will adversely affect our business or results of operations.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If the rating agencies further downgrade our company our results of operations and competitive position in the industry may suffer.</w:t>
      </w:r>
    </w:p>
    <w:p>
      <w:pPr>
        <w:spacing w:after="0" w:line="129"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color w:val="auto"/>
        </w:rPr>
        <w:t>Ratings have always been an important factor in establishing the competitive position of insurance companies. Our insurance companies are rated by S&amp;P, Moody’s, Fitch, A.M. Best, Demotech, and LACE. Ratings reflect the opinion of a rating agency with regard to an insurance company’s or insurance holding company’s financial strength, operating performance, and ability to meet its obligations to policyholders and are not evaluations directed to investors. In connection with the announcement of the Distribution, S&amp;P placed our A-financial strength rating on CreditWatch negative, Moody’s affirmed its A3 financial strength rating although the rating outlook was changed to negative and Fitch placed its financial strength rating on Rating Watch Negative. In addition, A.M. Best downgraded the financial strength ratings of our principal insurance subsidiaries to A-. After the announcement of a merger between Fidelity National Information Services, Inc. (“FIS”) and Certegy Inc. (“Certegy”), S&amp;P revised its CreditWatch to positive from negative, Moody’s changed its rating outlook to stable from negative and Fitch revised its rating watch to stable from negative. S&amp;P later upgraded our financial strength rating to A and revised its rating watch to stable. Our ratings are likely to continue to be affected in the future by credit events that may occur with respect to FNF and its other operations, including non-title insurance operations. Our ratings are subject to continued periodic review by those entities and the continued retention of those ratings cannot be assured. If our ratings are reduced from their current levels by those entities, our results of operations could be adversely affected.</w:t>
      </w:r>
    </w:p>
    <w:p>
      <w:pPr>
        <w:spacing w:after="0" w:line="173" w:lineRule="exact"/>
        <w:rPr>
          <w:sz w:val="20"/>
          <w:szCs w:val="20"/>
          <w:color w:val="auto"/>
        </w:rPr>
      </w:pPr>
    </w:p>
    <w:p>
      <w:pPr>
        <w:ind w:left="360" w:right="440"/>
        <w:spacing w:after="0" w:line="277" w:lineRule="auto"/>
        <w:rPr>
          <w:sz w:val="20"/>
          <w:szCs w:val="20"/>
          <w:color w:val="auto"/>
        </w:rPr>
      </w:pPr>
      <w:r>
        <w:rPr>
          <w:rFonts w:ascii="Arial" w:cs="Arial" w:eastAsia="Arial" w:hAnsi="Arial"/>
          <w:sz w:val="18"/>
          <w:szCs w:val="18"/>
          <w:b w:val="1"/>
          <w:bCs w:val="1"/>
          <w:i w:val="1"/>
          <w:iCs w:val="1"/>
          <w:color w:val="auto"/>
        </w:rPr>
        <w:t>As a holding company, we depend on distributions from our subsidiaries, and if distributions from our subsidiaries are materially impaired, our ability to declare and pay dividends may be adversely affected.</w:t>
      </w:r>
    </w:p>
    <w:p>
      <w:pPr>
        <w:spacing w:after="0" w:line="62" w:lineRule="exact"/>
        <w:rPr>
          <w:sz w:val="20"/>
          <w:szCs w:val="20"/>
          <w:color w:val="auto"/>
        </w:rPr>
      </w:pPr>
    </w:p>
    <w:p>
      <w:pPr>
        <w:jc w:val="both"/>
        <w:ind w:right="40" w:firstLine="267"/>
        <w:spacing w:after="0" w:line="264" w:lineRule="auto"/>
        <w:rPr>
          <w:sz w:val="20"/>
          <w:szCs w:val="20"/>
          <w:color w:val="auto"/>
        </w:rPr>
      </w:pPr>
      <w:r>
        <w:rPr>
          <w:rFonts w:ascii="Arial" w:cs="Arial" w:eastAsia="Arial" w:hAnsi="Arial"/>
          <w:sz w:val="18"/>
          <w:szCs w:val="18"/>
          <w:color w:val="auto"/>
        </w:rPr>
        <w:t>We are a holding company whose primary assets are the securities of our operating subsidiaries. Our ability to pay dividends is dependent on the ability of our subsidiaries to pay dividends or make other payments to us. If our operating subsidiaries are not able to pay dividends or other funds to us, we may not be able to declare and pay dividends to our stockholders.</w:t>
      </w:r>
    </w:p>
    <w:p>
      <w:pPr>
        <w:spacing w:after="0" w:line="73"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Our title insurance subsidiaries must comply with state and federal laws which require them to maintain minimum amounts of working capital, surplus and reserves and place restrictions on the amount of dividends that they can distribute to us. Compliance with these laws will limit the amounts our regulated subsidiaries can dividend to us. During 2006, our directly owned title insurers can pay dividends or make distributions to us of approximately $289.9 million without prior regulatory approval.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face competition in our title business from traditional title insurers and from new entrants with alternative products.</w:t>
      </w:r>
    </w:p>
    <w:p>
      <w:pPr>
        <w:spacing w:after="0" w:line="117" w:lineRule="exact"/>
        <w:rPr>
          <w:sz w:val="20"/>
          <w:szCs w:val="20"/>
          <w:color w:val="auto"/>
        </w:rPr>
      </w:pPr>
    </w:p>
    <w:p>
      <w:pPr>
        <w:ind w:right="40" w:firstLine="267"/>
        <w:spacing w:after="0" w:line="255" w:lineRule="auto"/>
        <w:rPr>
          <w:sz w:val="20"/>
          <w:szCs w:val="20"/>
          <w:color w:val="auto"/>
        </w:rPr>
      </w:pPr>
      <w:r>
        <w:rPr>
          <w:rFonts w:ascii="Arial" w:cs="Arial" w:eastAsia="Arial" w:hAnsi="Arial"/>
          <w:sz w:val="18"/>
          <w:szCs w:val="18"/>
          <w:color w:val="auto"/>
        </w:rPr>
        <w:t>The title insurance industry is highly competitive. According to Demotech, the top five title insurance companies accounted for 90.2% of net premiums collected in 2004. Over 40 independent title insurance companies accounted for the remaining 9.8% of the market. The number and size of competing companies varies in the different geographic areas in which we conduct our business. In our principal markets, competitors include other major title underwriters such as The First American Corporation, LandAmerica Financial Group, Inc., Old Republic International Corporation and Stewart Information Services Corporation, as well as numerous smaller title insurance companies and independent agency operations at the regional and local level. These smaller companies may expand into other markets in which we compete.</w:t>
      </w:r>
    </w:p>
    <w:p>
      <w:pPr>
        <w:spacing w:after="0" w:line="85" w:lineRule="exact"/>
        <w:rPr>
          <w:sz w:val="20"/>
          <w:szCs w:val="20"/>
          <w:color w:val="auto"/>
        </w:rPr>
      </w:pPr>
    </w:p>
    <w:p>
      <w:pPr>
        <w:ind w:right="380" w:firstLine="260"/>
        <w:spacing w:after="0" w:line="259" w:lineRule="auto"/>
        <w:rPr>
          <w:sz w:val="20"/>
          <w:szCs w:val="20"/>
          <w:color w:val="auto"/>
        </w:rPr>
      </w:pPr>
      <w:r>
        <w:rPr>
          <w:rFonts w:ascii="Arial" w:cs="Arial" w:eastAsia="Arial" w:hAnsi="Arial"/>
          <w:sz w:val="18"/>
          <w:szCs w:val="18"/>
          <w:color w:val="auto"/>
        </w:rPr>
        <w:t>Also, the removal of regulatory barriers might result in new competitors entering the title insurance business, and those new competitors may include companies that have greater financial resources than we do and possess other competitive advantages. Competition among the major title insurance companies, expansion by smaller regional companies and any new entrants with alternative products could affect our business operations and financial condition.</w:t>
      </w:r>
    </w:p>
    <w:p>
      <w:pPr>
        <w:spacing w:after="0" w:line="79"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From time to time, we adjust the rates we charge in a particular state as a result of competitive conditions in that state. For example, in response to recent rate reductions by certain of our competitors, we recently adjusted our rate structure in California for refinancings. This change could have an adverse impact on our results of operations, although its ultimate impact will depend, among other things, on the volume and mix of our future refinancing business in that state.</w:t>
      </w:r>
    </w:p>
    <w:p>
      <w:pPr>
        <w:spacing w:after="0" w:line="79" w:lineRule="exact"/>
        <w:rPr>
          <w:sz w:val="20"/>
          <w:szCs w:val="20"/>
          <w:color w:val="auto"/>
        </w:rPr>
      </w:pPr>
    </w:p>
    <w:p>
      <w:pPr>
        <w:ind w:right="20" w:firstLine="267"/>
        <w:spacing w:after="0" w:line="277" w:lineRule="auto"/>
        <w:rPr>
          <w:sz w:val="20"/>
          <w:szCs w:val="20"/>
          <w:color w:val="auto"/>
        </w:rPr>
      </w:pPr>
      <w:r>
        <w:rPr>
          <w:rFonts w:ascii="Arial" w:cs="Arial" w:eastAsia="Arial" w:hAnsi="Arial"/>
          <w:sz w:val="18"/>
          <w:szCs w:val="18"/>
          <w:color w:val="auto"/>
        </w:rPr>
        <w:t>We expect the title insurance industry to remain highly competitive. Our failure to remain competitive may have a material adverse effect on our business, financial condition and results of operations.</w:t>
      </w:r>
    </w:p>
    <w:p>
      <w:pPr>
        <w:spacing w:after="0" w:line="170" w:lineRule="exact"/>
        <w:rPr>
          <w:sz w:val="20"/>
          <w:szCs w:val="20"/>
          <w:color w:val="auto"/>
        </w:rPr>
      </w:pPr>
    </w:p>
    <w:p>
      <w:pPr>
        <w:ind w:left="360" w:right="460"/>
        <w:spacing w:after="0" w:line="277" w:lineRule="auto"/>
        <w:rPr>
          <w:sz w:val="20"/>
          <w:szCs w:val="20"/>
          <w:color w:val="auto"/>
        </w:rPr>
      </w:pPr>
      <w:r>
        <w:rPr>
          <w:rFonts w:ascii="Arial" w:cs="Arial" w:eastAsia="Arial" w:hAnsi="Arial"/>
          <w:sz w:val="18"/>
          <w:szCs w:val="18"/>
          <w:b w:val="1"/>
          <w:bCs w:val="1"/>
          <w:i w:val="1"/>
          <w:iCs w:val="1"/>
          <w:color w:val="auto"/>
        </w:rPr>
        <w:t>Our historical financial information may not be representative of our results as a consolidated, stand-alone company and may not be a reliable indicator of our future results.</w:t>
      </w:r>
    </w:p>
    <w:p>
      <w:pPr>
        <w:spacing w:after="0" w:line="62"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color w:val="auto"/>
        </w:rPr>
        <w:t>Our historical financial statements may not be indicative of our future performance as a consolidated, stand-alone company. We were incorporated on May 24, 2005 in anticipation of the distribution of shares of our Class A Common Stock to FNF stockholders. On September 26, 2005, FNF contributed to us the various FNF subsidiaries that conduct our business. Our historical financial statements reflect assets, liabilities, revenues and expenses directly attributable to our operations, which include transactions between us and FNF and other affiliated entities. They exclude certain of our expenses that have been allocated to other operations of FNF and of FIS, and they reflect an allocation to us of a portion of the compensation of certain senior officers and other personnel of FNF who, following the Distribution, are no longer our employees but who have historically provided services to us. These allocations are expected to in general continue under the corporate services agreements we entered into in connection with the Distribution. Further, our financial statements reflect transactions with related parties, which were not negotiated on an arms-length basis. Our historical financial statements do not reflect the debt or interest expense we might have incurred if we had been a stand-alone entity. In addition, we will incur other expenses, not reflected in our historical financial statements, as a result of being a separate publicly traded company. As a result of these and other factors, our historical financial statements do not necessarily reflect what our financial position and results of operations would have been if we had been operated as a stand-alone public entity during the periods covered, and may not be indicative of future results of operations or financial position.</w:t>
      </w:r>
    </w:p>
    <w:p>
      <w:pPr>
        <w:spacing w:after="0" w:line="169" w:lineRule="exact"/>
        <w:rPr>
          <w:sz w:val="20"/>
          <w:szCs w:val="20"/>
          <w:color w:val="auto"/>
        </w:rPr>
      </w:pPr>
    </w:p>
    <w:p>
      <w:pPr>
        <w:ind w:left="360" w:right="320"/>
        <w:spacing w:after="0" w:line="277" w:lineRule="auto"/>
        <w:rPr>
          <w:sz w:val="20"/>
          <w:szCs w:val="20"/>
          <w:color w:val="auto"/>
        </w:rPr>
      </w:pPr>
      <w:r>
        <w:rPr>
          <w:rFonts w:ascii="Arial" w:cs="Arial" w:eastAsia="Arial" w:hAnsi="Arial"/>
          <w:sz w:val="18"/>
          <w:szCs w:val="18"/>
          <w:b w:val="1"/>
          <w:bCs w:val="1"/>
          <w:i w:val="1"/>
          <w:iCs w:val="1"/>
          <w:color w:val="auto"/>
        </w:rPr>
        <w:t>We will be controlled by FNF as long as it owns a majority of the voting power of our common stock, which could make it more difficult for us to raise capital.</w:t>
      </w:r>
    </w:p>
    <w:p>
      <w:pPr>
        <w:spacing w:after="0" w:line="62" w:lineRule="exact"/>
        <w:rPr>
          <w:sz w:val="20"/>
          <w:szCs w:val="20"/>
          <w:color w:val="auto"/>
        </w:rPr>
      </w:pPr>
    </w:p>
    <w:p>
      <w:pPr>
        <w:ind w:right="100" w:firstLine="260"/>
        <w:spacing w:after="0" w:line="259" w:lineRule="auto"/>
        <w:rPr>
          <w:sz w:val="20"/>
          <w:szCs w:val="20"/>
          <w:color w:val="auto"/>
        </w:rPr>
      </w:pPr>
      <w:r>
        <w:rPr>
          <w:rFonts w:ascii="Arial" w:cs="Arial" w:eastAsia="Arial" w:hAnsi="Arial"/>
          <w:sz w:val="18"/>
          <w:szCs w:val="18"/>
          <w:color w:val="auto"/>
        </w:rPr>
        <w:t>As long as FNF continues to hold a majority of the voting power of our outstanding stock, FNF will be able to elect all of our directors and determine the outcome of all corporate actions requiring stockholder approval. FNF currently owns 100% of our Class B Common Stock, representing approximately 82.5% of our outstanding common stock, and 97.9% of all voting power of our outstanding common stock. In order to consolidate the results of our operations for tax purposes and to get favorable tax treatment of dividends paid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by us, FNF is required to own at least 80% of our outstanding common stock and as a result FNF may be unlikely to decrease its ownership below 80%. The Class B Common Stock entitles FNF to ten votes per share on all matters submitted to stockholders until converted to Class A Common Stock.</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While it controls us, FNF will control decisions with respect to:</w:t>
      </w:r>
    </w:p>
    <w:p>
      <w:pPr>
        <w:spacing w:after="0" w:line="117" w:lineRule="exact"/>
        <w:rPr>
          <w:sz w:val="20"/>
          <w:szCs w:val="20"/>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direction and policies, including the election and removal of our directors;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mergers or other business combinations involving us;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acquisition or disposition of assets by us;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issuance of stock;</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payment of dividends;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financing;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amendments to our certificate of incorporation and bylaws.</w:t>
      </w:r>
    </w:p>
    <w:p>
      <w:pPr>
        <w:spacing w:after="0" w:line="117" w:lineRule="exact"/>
        <w:rPr>
          <w:sz w:val="20"/>
          <w:szCs w:val="20"/>
          <w:color w:val="auto"/>
        </w:rPr>
      </w:pPr>
    </w:p>
    <w:p>
      <w:pPr>
        <w:ind w:firstLine="267"/>
        <w:spacing w:after="0" w:line="279" w:lineRule="auto"/>
        <w:rPr>
          <w:sz w:val="20"/>
          <w:szCs w:val="20"/>
          <w:color w:val="auto"/>
        </w:rPr>
      </w:pPr>
      <w:r>
        <w:rPr>
          <w:rFonts w:ascii="Arial" w:cs="Arial" w:eastAsia="Arial" w:hAnsi="Arial"/>
          <w:sz w:val="17"/>
          <w:szCs w:val="17"/>
          <w:color w:val="auto"/>
        </w:rPr>
        <w:t>We have agreed that, without FNF’s consent, we will not issue any shares of our stock if as a result FNF would no longer be able to consolidate our results for tax purposes, receive favorable treatment with respect to dividends paid by us or, if it so desired, distribute the remainder of its FNT stock to its stockholders in a tax-free distribution. These limits will generally enable FNF to continue to own at least 80% of our outstanding common stock. Among other things, this control could make it more difficult for us to raise capital by selling stock or to use our stock as currency in acquisitions.</w:t>
      </w:r>
    </w:p>
    <w:p>
      <w:pPr>
        <w:spacing w:after="0" w:line="171" w:lineRule="exact"/>
        <w:rPr>
          <w:sz w:val="20"/>
          <w:szCs w:val="20"/>
          <w:color w:val="auto"/>
        </w:rPr>
      </w:pPr>
    </w:p>
    <w:p>
      <w:pPr>
        <w:ind w:left="360" w:right="540"/>
        <w:spacing w:after="0" w:line="277" w:lineRule="auto"/>
        <w:rPr>
          <w:sz w:val="20"/>
          <w:szCs w:val="20"/>
          <w:color w:val="auto"/>
        </w:rPr>
      </w:pPr>
      <w:r>
        <w:rPr>
          <w:rFonts w:ascii="Arial" w:cs="Arial" w:eastAsia="Arial" w:hAnsi="Arial"/>
          <w:sz w:val="18"/>
          <w:szCs w:val="18"/>
          <w:b w:val="1"/>
          <w:bCs w:val="1"/>
          <w:i w:val="1"/>
          <w:iCs w:val="1"/>
          <w:color w:val="auto"/>
        </w:rPr>
        <w:t>We could have conflicts with the entities remaining with FNF, and the chairman of our board of directors is also the chairman of the board of directors of FNF and FIS.</w:t>
      </w:r>
    </w:p>
    <w:p>
      <w:pPr>
        <w:spacing w:after="0" w:line="62" w:lineRule="exact"/>
        <w:rPr>
          <w:sz w:val="20"/>
          <w:szCs w:val="20"/>
          <w:color w:val="auto"/>
        </w:rPr>
      </w:pPr>
    </w:p>
    <w:p>
      <w:pPr>
        <w:ind w:right="200" w:firstLine="270"/>
        <w:spacing w:after="0" w:line="312" w:lineRule="auto"/>
        <w:rPr>
          <w:sz w:val="20"/>
          <w:szCs w:val="20"/>
          <w:color w:val="auto"/>
        </w:rPr>
      </w:pPr>
      <w:r>
        <w:rPr>
          <w:rFonts w:ascii="Arial" w:cs="Arial" w:eastAsia="Arial" w:hAnsi="Arial"/>
          <w:sz w:val="16"/>
          <w:szCs w:val="16"/>
          <w:color w:val="auto"/>
        </w:rPr>
        <w:t>Conflicts may arise between entities remaining with FNF and us as a result of our ongoing agreements and the nature of our respective businesses. We will seek to manage any potential conflicts through our agreements with FNF and other FNF entities and through oversight by independent members of our board of directors. However, there can be no assurances that such measures will be effective or that we will be able to resolve all potential conflicts.</w:t>
      </w:r>
    </w:p>
    <w:p>
      <w:pPr>
        <w:spacing w:after="0" w:line="39" w:lineRule="exact"/>
        <w:rPr>
          <w:sz w:val="20"/>
          <w:szCs w:val="20"/>
          <w:color w:val="auto"/>
        </w:rPr>
      </w:pPr>
    </w:p>
    <w:p>
      <w:pPr>
        <w:ind w:right="240" w:firstLine="270"/>
        <w:spacing w:after="0" w:line="276" w:lineRule="auto"/>
        <w:rPr>
          <w:sz w:val="20"/>
          <w:szCs w:val="20"/>
          <w:color w:val="auto"/>
        </w:rPr>
      </w:pPr>
      <w:r>
        <w:rPr>
          <w:rFonts w:ascii="Arial" w:cs="Arial" w:eastAsia="Arial" w:hAnsi="Arial"/>
          <w:sz w:val="17"/>
          <w:szCs w:val="17"/>
          <w:color w:val="auto"/>
        </w:rPr>
        <w:t>Mr. Foley is the chairman of our board of directors, the chief executive officer and chairman of the board of directors of FNF, and the chairman of the board of directors of FIS. As an officer and director of multiple companies, he has obligations to us and to such other companies and may have conflicts of interest with respect to matters potentially or actually involving or affecting our and their respective businesses. As an officer and director of multiple companies, he may also have conflicts of time with respect to his multiple responsibilities. If his duties to any of these companies require more time than Mr. Foley is able to allot, then his oversight of that company’s activities could be diminished.</w:t>
      </w:r>
    </w:p>
    <w:p>
      <w:pPr>
        <w:spacing w:after="0" w:line="173" w:lineRule="exact"/>
        <w:rPr>
          <w:sz w:val="20"/>
          <w:szCs w:val="20"/>
          <w:color w:val="auto"/>
        </w:rPr>
      </w:pPr>
    </w:p>
    <w:p>
      <w:pPr>
        <w:jc w:val="both"/>
        <w:ind w:left="360" w:right="100"/>
        <w:spacing w:after="0" w:line="264" w:lineRule="auto"/>
        <w:rPr>
          <w:sz w:val="20"/>
          <w:szCs w:val="20"/>
          <w:color w:val="auto"/>
        </w:rPr>
      </w:pPr>
      <w:r>
        <w:rPr>
          <w:rFonts w:ascii="Arial" w:cs="Arial" w:eastAsia="Arial" w:hAnsi="Arial"/>
          <w:sz w:val="18"/>
          <w:szCs w:val="18"/>
          <w:b w:val="1"/>
          <w:bCs w:val="1"/>
          <w:i w:val="1"/>
          <w:iCs w:val="1"/>
          <w:color w:val="auto"/>
        </w:rPr>
        <w:t>Some of our executive officers and directors own substantial amounts of FNF and FIS stock and options. Such ownership could create or appear to create potential conflicts of interest when directors and officers are faced with decisions that could have different implications for our company and FNF or FIS.</w:t>
      </w:r>
    </w:p>
    <w:p>
      <w:pPr>
        <w:spacing w:after="0" w:line="73" w:lineRule="exact"/>
        <w:rPr>
          <w:sz w:val="20"/>
          <w:szCs w:val="20"/>
          <w:color w:val="auto"/>
        </w:rPr>
      </w:pPr>
    </w:p>
    <w:p>
      <w:pPr>
        <w:ind w:firstLine="270"/>
        <w:spacing w:after="0" w:line="297" w:lineRule="auto"/>
        <w:rPr>
          <w:sz w:val="20"/>
          <w:szCs w:val="20"/>
          <w:color w:val="auto"/>
        </w:rPr>
      </w:pPr>
      <w:r>
        <w:rPr>
          <w:rFonts w:ascii="Arial" w:cs="Arial" w:eastAsia="Arial" w:hAnsi="Arial"/>
          <w:sz w:val="16"/>
          <w:szCs w:val="16"/>
          <w:color w:val="auto"/>
        </w:rPr>
        <w:t>Some of our executive officers and directors own substantial amounts of FNF and FIS stock and stock options because of their relationships with FNF and FIS. Such ownership could create or appear to create potential conflicts of interest when our directors and officers are faced with decisions that involve FNF, FIS or any of their respective subsidiaries. Substantially all members of our board of directors beneficially own shares of FNF common stock. Further, our senior officers hold interests in FNF and in some cases FIS that were obtained through various employee benefit and compensation plans while at FNF. In addition, officers of FNF will provide services from time to time to us. These persons also hold equity interests in FNF and FIS.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Provisions of our certificate of incorporation may prevent us from receiving the benefit of certain corporate opportunities.</w:t>
      </w:r>
    </w:p>
    <w:p>
      <w:pPr>
        <w:spacing w:after="0" w:line="117"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Because FNF and FIS may engage in some of the same activities in which we engage, there is a risk that we may be in direct competition with FNF and FIS over business activities and corporate opportunities. To address these potential conflicts, we have adopted a corporate opportunity policy that has been incorporated into our certificate of incorporation. Among other things, this policy provides that FNF has no duty not to compete with us or to provide us with corporate opportunities of which it becomes aware. The policy also limits the situations in which one of our directors or officers, if also a director or officer of FNF, must offer corporate opportunities to us of which such individual becomes aware. These provisions may limit the corporate opportunities of which we are made aware or which are offered to us. Moreover, our ability to take advantage of certain corporate opportunities may be limited by FNF’s voting control over us.</w:t>
      </w:r>
    </w:p>
    <w:p>
      <w:pPr>
        <w:spacing w:after="0" w:line="1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right="400" w:firstLine="267"/>
        <w:spacing w:after="0" w:line="277" w:lineRule="auto"/>
        <w:rPr>
          <w:sz w:val="20"/>
          <w:szCs w:val="20"/>
          <w:color w:val="auto"/>
        </w:rPr>
      </w:pPr>
      <w:r>
        <w:rPr>
          <w:rFonts w:ascii="Arial" w:cs="Arial" w:eastAsia="Arial" w:hAnsi="Arial"/>
          <w:sz w:val="18"/>
          <w:szCs w:val="18"/>
          <w:color w:val="auto"/>
        </w:rPr>
        <w:t>The majority of our offices are leased from third parties. We own the remaining offices. As of December 31, 2005, we leased office space and related facilities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 of</w:t>
            </w:r>
          </w:p>
        </w:tc>
      </w:tr>
      <w:tr>
        <w:trPr>
          <w:trHeight w:val="178"/>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Locations</w:t>
            </w:r>
          </w:p>
        </w:tc>
        <w:tc>
          <w:tcPr>
            <w:tcW w:w="5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575</w:t>
            </w: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Arizona</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159</w:t>
            </w: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146</w:t>
            </w: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Florida</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96</w:t>
            </w: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Oregon</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w:t>
            </w: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Michigan</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Nevada</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 and Ohio(1)</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North Carolina</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Colorado</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Kansas, New Jersey, and Pennsylvania(1)</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Hawaii</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Virginia</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Minnesota</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Tennessee and Wisconsin(1)</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Missouri</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Connecticut, Louisiana, and New Mexico(1)</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Maryland and Massachusetts(1)</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Montana</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Alabama</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Maine, Oklahoma, and Rhode Island(1)</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 Idaho, Kentucky, Mississippi, New Hampshire, Utah, and Washington D.C.(1)</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r>
      <w:tr>
        <w:trPr>
          <w:trHeight w:val="108"/>
        </w:trPr>
        <w:tc>
          <w:tcPr>
            <w:tcW w:w="20" w:type="dxa"/>
            <w:vAlign w:val="bottom"/>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7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r>
    </w:tbl>
    <w:p>
      <w:pPr>
        <w:spacing w:after="0" w:line="6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Represents the number of locations in each state listed.</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addition, six locations are leased in Canada. We believe our properties are adequate for our business as presently conducted.</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color w:val="auto"/>
        </w:rPr>
        <w:t>In the ordinary course of business, we are involved in various pending and threatened litigation matters related to our operations, some of which include claims for punitive or exemplary damages. We believe that no actions, other than those listed below, depart from customary litigation incidental to our business. As background to the disclosure below, please note the following:</w:t>
      </w:r>
    </w:p>
    <w:p>
      <w:pPr>
        <w:spacing w:after="0" w:line="73" w:lineRule="exact"/>
        <w:rPr>
          <w:sz w:val="20"/>
          <w:szCs w:val="20"/>
          <w:color w:val="auto"/>
        </w:rPr>
      </w:pPr>
    </w:p>
    <w:p>
      <w:pPr>
        <w:ind w:left="460" w:right="140" w:hanging="101"/>
        <w:spacing w:after="0" w:line="34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matters raise difficult and complicated factual and legal issues and are subject to many uncertainties and complexities, including but not limited to the underlying facts of each matter, novel legal issues, variations between jurisdictions in which matters are being litigated, differences in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60"/>
        <w:spacing w:after="0" w:line="257" w:lineRule="auto"/>
        <w:rPr>
          <w:sz w:val="20"/>
          <w:szCs w:val="20"/>
          <w:color w:val="auto"/>
        </w:rPr>
      </w:pPr>
      <w:r>
        <w:rPr>
          <w:rFonts w:ascii="Arial" w:cs="Arial" w:eastAsia="Arial" w:hAnsi="Arial"/>
          <w:sz w:val="18"/>
          <w:szCs w:val="18"/>
          <w:color w:val="auto"/>
        </w:rPr>
        <w:t>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94" w:lineRule="exact"/>
        <w:rPr>
          <w:sz w:val="20"/>
          <w:szCs w:val="20"/>
          <w:color w:val="auto"/>
        </w:rPr>
      </w:pPr>
    </w:p>
    <w:p>
      <w:pPr>
        <w:ind w:left="460" w:hanging="101"/>
        <w:spacing w:after="0" w:line="255"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 general, the dollar amount of damages sought is not specified. In those cases where plaintiffs have made a specific statement with regard to monetary damages, they often specify damages just below a jurisdictional limit regardless of the facts of the case. This represents the maximum they can seek without risking removal from state court to federal court. In our experience, monetary demands in plaintiffs’ court pleadings bear little relation to the ultimate loss, if any, we may experience.</w:t>
      </w:r>
    </w:p>
    <w:p>
      <w:pPr>
        <w:spacing w:after="0" w:line="94" w:lineRule="exact"/>
        <w:rPr>
          <w:rFonts w:ascii="Arial" w:cs="Arial" w:eastAsia="Arial" w:hAnsi="Arial"/>
          <w:sz w:val="18"/>
          <w:szCs w:val="18"/>
          <w:color w:val="auto"/>
        </w:rPr>
      </w:pPr>
    </w:p>
    <w:p>
      <w:pPr>
        <w:ind w:left="460" w:right="160" w:hanging="101"/>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reasons specified above, it is not possible to make meaningful estimates of the amount or range of loss that could result from these matters at this time. We review these matters on an on-going basis and follow the provisions of Statement of Financial Accounting Standards (“SFAS”) No. 5, “Accounting for Contingencies” when making accrual and disclosure decisions. When assessing reasonably possible and probable outcomes, we base our decision on our assessment of the ultimate outcome following all appeals.</w:t>
      </w:r>
    </w:p>
    <w:p>
      <w:pPr>
        <w:spacing w:after="0" w:line="92" w:lineRule="exact"/>
        <w:rPr>
          <w:rFonts w:ascii="Arial" w:cs="Arial" w:eastAsia="Arial" w:hAnsi="Arial"/>
          <w:sz w:val="18"/>
          <w:szCs w:val="18"/>
          <w:color w:val="auto"/>
        </w:rPr>
      </w:pPr>
    </w:p>
    <w:p>
      <w:pPr>
        <w:ind w:left="460" w:right="400" w:hanging="101"/>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opinion of our management, while some of these matters may be material to our operating results for any particular period if an unfavorable outcome results, none will have a material adverse effect on our overall financial condition.</w:t>
      </w:r>
    </w:p>
    <w:p>
      <w:pPr>
        <w:spacing w:after="0" w:line="170"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color w:val="auto"/>
        </w:rPr>
        <w:t>Several class actions are pending in Ohio, Pennsylvania and Florida alleging improper premiums were charged for title insurance. The cases allege that the named defendant companies failed to provide notice of premium discounts to consumers refinancing their mortgages, and failed to give discounts in refinancing transactions in violation of the filed rates. The actions seek refunds of the premiums charged and punitive damages. Recently the court’s order denying class certification in one of the Ohio actions was reversed and the case was remanded to the trial court for further proceedings. The Company petitioned the Supreme Court of Ohio for review, but the court declined to accept jurisdiction over the matter. The Company intends to vigorously defend the actions.</w:t>
      </w:r>
    </w:p>
    <w:p>
      <w:pPr>
        <w:spacing w:after="0" w:line="85" w:lineRule="exact"/>
        <w:rPr>
          <w:sz w:val="20"/>
          <w:szCs w:val="20"/>
          <w:color w:val="auto"/>
        </w:rPr>
      </w:pPr>
    </w:p>
    <w:p>
      <w:pPr>
        <w:ind w:right="140" w:firstLine="260"/>
        <w:spacing w:after="0" w:line="264" w:lineRule="auto"/>
        <w:rPr>
          <w:sz w:val="20"/>
          <w:szCs w:val="20"/>
          <w:color w:val="auto"/>
        </w:rPr>
      </w:pPr>
      <w:r>
        <w:rPr>
          <w:rFonts w:ascii="Arial" w:cs="Arial" w:eastAsia="Arial" w:hAnsi="Arial"/>
          <w:sz w:val="18"/>
          <w:szCs w:val="18"/>
          <w:color w:val="auto"/>
        </w:rPr>
        <w:t>A class action in California alleges that the Company violated state law by giving favorable discounts or rates to builders and developers for escrow fees and requiring purchasers to use Chicago Title Insurance Company for escrow services. The action seeks refunds of the premiums charged and additional damages. The Company intends to vigorously defend this action.</w:t>
      </w:r>
    </w:p>
    <w:p>
      <w:pPr>
        <w:spacing w:after="0" w:line="73" w:lineRule="exact"/>
        <w:rPr>
          <w:sz w:val="20"/>
          <w:szCs w:val="20"/>
          <w:color w:val="auto"/>
        </w:rPr>
      </w:pPr>
    </w:p>
    <w:p>
      <w:pPr>
        <w:ind w:right="460" w:firstLine="260"/>
        <w:spacing w:after="0" w:line="264" w:lineRule="auto"/>
        <w:rPr>
          <w:sz w:val="20"/>
          <w:szCs w:val="20"/>
          <w:color w:val="auto"/>
        </w:rPr>
      </w:pPr>
      <w:r>
        <w:rPr>
          <w:rFonts w:ascii="Arial" w:cs="Arial" w:eastAsia="Arial" w:hAnsi="Arial"/>
          <w:sz w:val="18"/>
          <w:szCs w:val="18"/>
          <w:color w:val="auto"/>
        </w:rPr>
        <w:t>A class action in Missouri alleges that the Company has engaged in the unauthorized practice of law by preparing documents in conjunction with its business of insuring title and closing real estate transactions. The action seeks refunds of the payments and treble damages. The Company intends to vigorously defend this action.</w:t>
      </w:r>
    </w:p>
    <w:p>
      <w:pPr>
        <w:spacing w:after="0" w:line="73" w:lineRule="exact"/>
        <w:rPr>
          <w:sz w:val="20"/>
          <w:szCs w:val="20"/>
          <w:color w:val="auto"/>
        </w:rPr>
      </w:pPr>
    </w:p>
    <w:p>
      <w:pPr>
        <w:ind w:right="160" w:firstLine="260"/>
        <w:spacing w:after="0" w:line="297" w:lineRule="auto"/>
        <w:rPr>
          <w:sz w:val="20"/>
          <w:szCs w:val="20"/>
          <w:color w:val="auto"/>
        </w:rPr>
      </w:pPr>
      <w:r>
        <w:rPr>
          <w:rFonts w:ascii="Arial" w:cs="Arial" w:eastAsia="Arial" w:hAnsi="Arial"/>
          <w:sz w:val="16"/>
          <w:szCs w:val="16"/>
          <w:color w:val="auto"/>
        </w:rPr>
        <w:t>A shareholder derivative action was filed in Florida on February 11, 2005 alleging that FNF directors and certain executive officers breached their fiduciary and other duties, and exposed FNF to potential fines, penalties and suits in the future, by permitting so called contingent commissions to obtain business. FNF and the directors and executive officers named as defendants filed motions to dismiss the action on June 3, 2005. The plaintiff abandoned his original complaint and responded to the motions by filing an amended complaint on July 13, 2005, and FNF, along with the directors and executive officers named as defendants, has responded to the amended complaint. Recently, the magistrate judge granted the defendant’s motion to stay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discovery. The amended complaint repeats the allegations of the original complaint and adds allegations about “captive reinsurance” programs, which FNF continues to believe were lawful. These “captive reinsurance” programs have been the subject of investigations by several state departments of insurance and attorneys general. FNT is obligated to indemnify FNF in connection with this matter under the separation agreement that was entered into in connection with the distribution of FNT common stock and the Company intends to vigorously defend this action.</w:t>
      </w:r>
    </w:p>
    <w:p>
      <w:pPr>
        <w:spacing w:after="0" w:line="63" w:lineRule="exact"/>
        <w:rPr>
          <w:sz w:val="20"/>
          <w:szCs w:val="20"/>
          <w:color w:val="auto"/>
        </w:rPr>
      </w:pPr>
    </w:p>
    <w:p>
      <w:pPr>
        <w:jc w:val="both"/>
        <w:ind w:right="100" w:firstLine="270"/>
        <w:spacing w:after="0" w:line="375" w:lineRule="auto"/>
        <w:rPr>
          <w:sz w:val="20"/>
          <w:szCs w:val="20"/>
          <w:color w:val="auto"/>
        </w:rPr>
      </w:pPr>
      <w:r>
        <w:rPr>
          <w:rFonts w:ascii="Arial" w:cs="Arial" w:eastAsia="Arial" w:hAnsi="Arial"/>
          <w:sz w:val="15"/>
          <w:szCs w:val="15"/>
          <w:color w:val="auto"/>
        </w:rPr>
        <w:t>None of the cases described above includes a statement as to the dollar amount of damages demanded. Instead, each of the cases includes a demand in an amount to be proved at trial. Two of the Ohio cases state that the damages per class member are less than the jurisdictional limit for removal to federal court.</w:t>
      </w:r>
    </w:p>
    <w:p>
      <w:pPr>
        <w:spacing w:after="0" w:line="1" w:lineRule="exact"/>
        <w:rPr>
          <w:sz w:val="20"/>
          <w:szCs w:val="20"/>
          <w:color w:val="auto"/>
        </w:rPr>
      </w:pPr>
    </w:p>
    <w:p>
      <w:pPr>
        <w:ind w:right="40" w:firstLine="267"/>
        <w:spacing w:after="0" w:line="259" w:lineRule="auto"/>
        <w:rPr>
          <w:sz w:val="20"/>
          <w:szCs w:val="20"/>
          <w:color w:val="auto"/>
        </w:rPr>
      </w:pPr>
      <w:r>
        <w:rPr>
          <w:rFonts w:ascii="Arial" w:cs="Arial" w:eastAsia="Arial" w:hAnsi="Arial"/>
          <w:sz w:val="18"/>
          <w:szCs w:val="18"/>
          <w:color w:val="auto"/>
        </w:rPr>
        <w:t>The Company receives inquiries and requests for information from state insurance departments, attorneys general and other regulatory agencies from time to time about various matters relating to its business. Sometimes these take the form of civil investigative subpoenas. The Company attempts to cooperate with all such inquiries. From time to time, the Company is assessed fines for violations of regulations or other matters or enters into settlements with such authorities which require the Company to pay money or take other actions.</w:t>
      </w:r>
    </w:p>
    <w:p>
      <w:pPr>
        <w:spacing w:after="0" w:line="79" w:lineRule="exact"/>
        <w:rPr>
          <w:sz w:val="20"/>
          <w:szCs w:val="20"/>
          <w:color w:val="auto"/>
        </w:rPr>
      </w:pPr>
    </w:p>
    <w:p>
      <w:pPr>
        <w:ind w:right="100" w:firstLine="270"/>
        <w:spacing w:after="0" w:line="257" w:lineRule="auto"/>
        <w:rPr>
          <w:sz w:val="20"/>
          <w:szCs w:val="20"/>
          <w:color w:val="auto"/>
        </w:rPr>
      </w:pPr>
      <w:r>
        <w:rPr>
          <w:rFonts w:ascii="Arial" w:cs="Arial" w:eastAsia="Arial" w:hAnsi="Arial"/>
          <w:sz w:val="18"/>
          <w:szCs w:val="18"/>
          <w:color w:val="auto"/>
        </w:rPr>
        <w:t>In the Fall of 2004, the California Department of Insurance began an investigation into reinsurance practices in the title insurance industry. In February 2005 FNF was issued a subpoena to provide information to the California Department of Insurance as part of its investigation. This investigation paralleled similar inquiries of the NAIC, which began earlier in 2004. The investigations have focused on arrangements in which title insurers would write title insurance generated by realtors, developers and lenders and cede a portion of the premiums to a reinsurance company affiliate of the entity that generated the business.</w:t>
      </w:r>
    </w:p>
    <w:p>
      <w:pPr>
        <w:spacing w:after="0" w:line="80"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The Company recently negotiated a settlement with the California Department of Insurance in 2005 with respect to that department’s inquiry into these arrangements, which the Company refers to as captive reinsurance arrangements. Under the terms of the settlement, the Company will refund approximately $7.7 million to those consumers whose California property was subject to a captive reinsurance arrangement and paid a penalty of $5.6 million. The Company also recently entered into similar settlements with 26 other states, in which the Company agreed to refund a total of approximately $1.2 million to policyholders. Other state insurance departments and attorneys general and HUD also have made formal or informal inquiries of the Company regarding these matters.</w:t>
      </w:r>
    </w:p>
    <w:p>
      <w:pPr>
        <w:spacing w:after="0" w:line="85" w:lineRule="exact"/>
        <w:rPr>
          <w:sz w:val="20"/>
          <w:szCs w:val="20"/>
          <w:color w:val="auto"/>
        </w:rPr>
      </w:pPr>
    </w:p>
    <w:p>
      <w:pPr>
        <w:ind w:right="20" w:firstLine="267"/>
        <w:spacing w:after="0" w:line="259" w:lineRule="auto"/>
        <w:rPr>
          <w:sz w:val="20"/>
          <w:szCs w:val="20"/>
          <w:color w:val="auto"/>
        </w:rPr>
      </w:pPr>
      <w:r>
        <w:rPr>
          <w:rFonts w:ascii="Arial" w:cs="Arial" w:eastAsia="Arial" w:hAnsi="Arial"/>
          <w:sz w:val="18"/>
          <w:szCs w:val="18"/>
          <w:color w:val="auto"/>
        </w:rPr>
        <w:t>The Company has been cooperating and intends to continue to cooperate with the other ongoing investigations. The Company has discontinued all captive reinsurance arrangements. The total amount of premiums the Company ceded to reinsurers was approximately $10 million over the existence of these agreements. The remaining investigations are continuing and the Company currently is unable to give any assurance regarding their consequences for the industry or for FNT.</w:t>
      </w:r>
    </w:p>
    <w:p>
      <w:pPr>
        <w:spacing w:after="0" w:line="79" w:lineRule="exact"/>
        <w:rPr>
          <w:sz w:val="20"/>
          <w:szCs w:val="20"/>
          <w:color w:val="auto"/>
        </w:rPr>
      </w:pPr>
    </w:p>
    <w:p>
      <w:pPr>
        <w:ind w:right="20" w:firstLine="260"/>
        <w:spacing w:after="0" w:line="255" w:lineRule="auto"/>
        <w:rPr>
          <w:sz w:val="20"/>
          <w:szCs w:val="20"/>
          <w:color w:val="auto"/>
        </w:rPr>
      </w:pPr>
      <w:r>
        <w:rPr>
          <w:rFonts w:ascii="Arial" w:cs="Arial" w:eastAsia="Arial" w:hAnsi="Arial"/>
          <w:sz w:val="18"/>
          <w:szCs w:val="18"/>
          <w:color w:val="auto"/>
        </w:rPr>
        <w:t>Additionally, the Company has received inquiries from regulators about its business involvement with title insurance agencies affiliated with builders, realtors and other traditional sources of title insurance business, some of which the Company participated in forming as joint ventures with its subsidiaries. These inquiries have focused on whether the placement of title insurance with the Company through these affiliated agencies is proper or an improper form of referral payment. Like most other title insurers, the Company participates in these affiliated business arrangements in a number of states. The Company recently entered into a settlement with the Florida Department of Financial Services under which it agreed to refund approximately $3 million in premiums received though these types of agencies in Florida and paid a fine of $1 million. The other pending inquiries are at an early stage and as a result the Company can give no assurance as to their likely outcome.</w:t>
      </w:r>
    </w:p>
    <w:p>
      <w:pPr>
        <w:spacing w:after="0" w:line="81"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Since 2004, the Company’s subsidiaries have received civil subpoenas and other inquiries from the New York State Attorney General (the “NYAG”), requesting information about their arrangements with agents and customers and other matters relating to, among other things, rates, rate calculation practices, use of blended rates in multi-state transactions, rebates, entertainment expenses, and referral fees. Title insurance rates in New York are set by regulation and generally title insurers may not charge less than the established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rate. Among other things, the NYAG has asked for information about an industry practice (called “blended rates” and “delayed blends”) in which discounts on title insurance on properties outside New York are sometimes given in connection with multi-state commercial transactions in which one or more of the properties is located in New York or when a credit is given subsequent to the transaction. The NYAG is also reviewing the possibility that our Chicago Title subsidiary may have provided incorrect data in connection with rate-setting proceedings in New York and in connection with reaching a settlement of a class action suit over charges for title insurance issued in 1996 through 2002. The New York State Insurance Department has also joined the NYAG in the latter’s wide-ranging review of the title insurance industry and the Company. The Company can give no assurance as to the likely outcome of these investigations, including but not limited to whether they may result in fines, monetary settlements, reductions in title insurance rates or other actions, any of which could adversely affect us. The Company is cooperating fully with the NYAG and New York State Insurance Department inquiries into these matters.</w:t>
      </w:r>
    </w:p>
    <w:p>
      <w:pPr>
        <w:spacing w:after="0" w:line="58" w:lineRule="exact"/>
        <w:rPr>
          <w:sz w:val="20"/>
          <w:szCs w:val="20"/>
          <w:color w:val="auto"/>
        </w:rPr>
      </w:pPr>
    </w:p>
    <w:p>
      <w:pPr>
        <w:ind w:firstLine="270"/>
        <w:spacing w:after="0" w:line="276" w:lineRule="auto"/>
        <w:rPr>
          <w:sz w:val="20"/>
          <w:szCs w:val="20"/>
          <w:color w:val="auto"/>
        </w:rPr>
      </w:pPr>
      <w:r>
        <w:rPr>
          <w:rFonts w:ascii="Arial" w:cs="Arial" w:eastAsia="Arial" w:hAnsi="Arial"/>
          <w:sz w:val="17"/>
          <w:szCs w:val="17"/>
          <w:color w:val="auto"/>
        </w:rPr>
        <w:t>Further, U.S. Representative Oxley, the Chairman of the House Financial Services Committee, recently asked the Government Accountability Office (the “GAO”) to investigate the title insurance industry. Representative Oxley stated that the Committee is concerned about payments that certain title insurers have made to developers, lenders and real estate agents for referrals of title insurance business. Representative Oxley asked the GAO to examine, among other things, the foregoing relationships and the levels of pricing and competition in the title insurance industry. The Company is unable to predict the outcome of this inquiry or whether it will adversely affect the Company’s business or results of operations.</w:t>
      </w:r>
    </w:p>
    <w:p>
      <w:pPr>
        <w:spacing w:after="0" w:line="64"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Finally, the California Department of Insurance has recently begun to examine levels of pricing and competition in the title insurance industry in California, with a view to determining whether prices are too high and if so, implementing rate reductions. New York, Colorado, Florida, Nevada, and Texas insurance regulators have also announced similar inquiries (or other reviews of title insurance rates) and other states could follow. At this stage, the Company is unable to predict what the outcome will be of this or any similar review. See “Risk Factors — State regulation of the rates we charge for title insurance could adversely affect our results of operations.”</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jc w:val="both"/>
        <w:ind w:right="100" w:firstLine="270"/>
        <w:spacing w:after="0" w:line="342" w:lineRule="auto"/>
        <w:rPr>
          <w:sz w:val="20"/>
          <w:szCs w:val="20"/>
          <w:color w:val="auto"/>
        </w:rPr>
      </w:pPr>
      <w:r>
        <w:rPr>
          <w:rFonts w:ascii="Arial" w:cs="Arial" w:eastAsia="Arial" w:hAnsi="Arial"/>
          <w:sz w:val="16"/>
          <w:szCs w:val="16"/>
          <w:color w:val="auto"/>
        </w:rPr>
        <w:t>Our common stock trades on the New York Stock Exchange under the symbol “FNT”. The following table shows, for the periods indicated, the high and low sales prices of our common stock, as reported by the New York Stock Exchange, and the amounts of dividends per share declared on our common stock.</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7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High</w:t>
            </w:r>
          </w:p>
        </w:tc>
        <w:tc>
          <w:tcPr>
            <w:tcW w:w="340" w:type="dxa"/>
            <w:vAlign w:val="bottom"/>
          </w:tcPr>
          <w:p>
            <w:pPr>
              <w:spacing w:after="0"/>
              <w:rPr>
                <w:sz w:val="14"/>
                <w:szCs w:val="14"/>
                <w:color w:val="auto"/>
              </w:rPr>
            </w:pPr>
          </w:p>
        </w:tc>
        <w:tc>
          <w:tcPr>
            <w:tcW w:w="8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Low</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42"/>
              <w:spacing w:after="0"/>
              <w:rPr>
                <w:sz w:val="20"/>
                <w:szCs w:val="20"/>
                <w:color w:val="auto"/>
              </w:rPr>
            </w:pPr>
            <w:r>
              <w:rPr>
                <w:rFonts w:ascii="Arial" w:cs="Arial" w:eastAsia="Arial" w:hAnsi="Arial"/>
                <w:sz w:val="14"/>
                <w:szCs w:val="14"/>
                <w:b w:val="1"/>
                <w:bCs w:val="1"/>
                <w:color w:val="auto"/>
                <w:w w:val="92"/>
              </w:rPr>
              <w:t>Dividends</w:t>
            </w:r>
          </w:p>
        </w:tc>
        <w:tc>
          <w:tcPr>
            <w:tcW w:w="0" w:type="dxa"/>
            <w:vAlign w:val="bottom"/>
          </w:tcPr>
          <w:p>
            <w:pPr>
              <w:spacing w:after="0"/>
              <w:rPr>
                <w:sz w:val="1"/>
                <w:szCs w:val="1"/>
                <w:color w:val="auto"/>
              </w:rPr>
            </w:pPr>
          </w:p>
        </w:tc>
      </w:tr>
      <w:tr>
        <w:trPr>
          <w:trHeight w:val="171"/>
        </w:trPr>
        <w:tc>
          <w:tcPr>
            <w:tcW w:w="7700" w:type="dxa"/>
            <w:vAlign w:val="bottom"/>
            <w:vMerge w:val="restart"/>
          </w:tcPr>
          <w:p>
            <w:pPr>
              <w:spacing w:after="0"/>
              <w:rPr>
                <w:sz w:val="20"/>
                <w:szCs w:val="20"/>
                <w:color w:val="auto"/>
              </w:rPr>
            </w:pPr>
            <w:r>
              <w:rPr>
                <w:rFonts w:ascii="Arial" w:cs="Arial" w:eastAsia="Arial" w:hAnsi="Arial"/>
                <w:sz w:val="18"/>
                <w:szCs w:val="18"/>
                <w:color w:val="auto"/>
              </w:rPr>
              <w:t>Year ended December 31, 2005</w:t>
            </w:r>
          </w:p>
        </w:tc>
        <w:tc>
          <w:tcPr>
            <w:tcW w:w="78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209"/>
        </w:trPr>
        <w:tc>
          <w:tcPr>
            <w:tcW w:w="77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340"/>
              <w:spacing w:after="0"/>
              <w:rPr>
                <w:sz w:val="20"/>
                <w:szCs w:val="20"/>
                <w:color w:val="auto"/>
              </w:rPr>
            </w:pPr>
            <w:r>
              <w:rPr>
                <w:rFonts w:ascii="Arial" w:cs="Arial" w:eastAsia="Arial" w:hAnsi="Arial"/>
                <w:sz w:val="18"/>
                <w:szCs w:val="18"/>
                <w:color w:val="auto"/>
              </w:rPr>
              <w:t>Fourth quarter</w:t>
            </w:r>
          </w:p>
        </w:tc>
        <w:tc>
          <w:tcPr>
            <w:tcW w:w="780" w:type="dxa"/>
            <w:vAlign w:val="bottom"/>
          </w:tcPr>
          <w:p>
            <w:pPr>
              <w:jc w:val="right"/>
              <w:ind w:right="219"/>
              <w:spacing w:after="0"/>
              <w:rPr>
                <w:sz w:val="20"/>
                <w:szCs w:val="20"/>
                <w:color w:val="auto"/>
              </w:rPr>
            </w:pPr>
            <w:r>
              <w:rPr>
                <w:rFonts w:ascii="Arial" w:cs="Arial" w:eastAsia="Arial" w:hAnsi="Arial"/>
                <w:sz w:val="18"/>
                <w:szCs w:val="18"/>
                <w:color w:val="auto"/>
                <w:w w:val="83"/>
              </w:rPr>
              <w:t>$24.35</w:t>
            </w:r>
          </w:p>
        </w:tc>
        <w:tc>
          <w:tcPr>
            <w:tcW w:w="1140" w:type="dxa"/>
            <w:vAlign w:val="bottom"/>
            <w:gridSpan w:val="2"/>
          </w:tcPr>
          <w:p>
            <w:pPr>
              <w:jc w:val="right"/>
              <w:ind w:right="228"/>
              <w:spacing w:after="0"/>
              <w:rPr>
                <w:sz w:val="20"/>
                <w:szCs w:val="20"/>
                <w:color w:val="auto"/>
              </w:rPr>
            </w:pPr>
            <w:r>
              <w:rPr>
                <w:rFonts w:ascii="Arial" w:cs="Arial" w:eastAsia="Arial" w:hAnsi="Arial"/>
                <w:sz w:val="18"/>
                <w:szCs w:val="18"/>
                <w:color w:val="auto"/>
              </w:rPr>
              <w:t>$20.30</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On March 1, 2006, the last reported sale price of our common stock on the New York Stock Exchange was $23.51 per share. As of March 1, 2006, we had approximately 354 stockholders of record.</w:t>
      </w:r>
    </w:p>
    <w:p>
      <w:pPr>
        <w:spacing w:after="0" w:line="62" w:lineRule="exact"/>
        <w:rPr>
          <w:sz w:val="20"/>
          <w:szCs w:val="20"/>
          <w:color w:val="auto"/>
        </w:rPr>
      </w:pPr>
    </w:p>
    <w:p>
      <w:pPr>
        <w:ind w:right="200" w:firstLine="270"/>
        <w:spacing w:after="0" w:line="257" w:lineRule="auto"/>
        <w:rPr>
          <w:sz w:val="20"/>
          <w:szCs w:val="20"/>
          <w:color w:val="auto"/>
        </w:rPr>
      </w:pPr>
      <w:r>
        <w:rPr>
          <w:rFonts w:ascii="Arial" w:cs="Arial" w:eastAsia="Arial" w:hAnsi="Arial"/>
          <w:sz w:val="18"/>
          <w:szCs w:val="18"/>
          <w:color w:val="auto"/>
        </w:rPr>
        <w:t>Our current dividend policy anticipates the payment of quarterly dividends in the future. The declaration and payment of dividends will be at the discretion of our Board of Directors and will be dependent upon our future earnings, financial condition and capital requirements. Our ability to declare and pay dividends is also subject to our compliance with the financial covenants contained in our credit agreement and further described below. On February 8, 2006, our Board of Directors declared an increase in our quarterly cash dividend to $0.29 per share, a 16% increase over the previous cash dividend of $0.25 per share.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70"/>
        <w:spacing w:after="0" w:line="255" w:lineRule="auto"/>
        <w:rPr>
          <w:sz w:val="20"/>
          <w:szCs w:val="20"/>
          <w:color w:val="auto"/>
        </w:rPr>
      </w:pPr>
      <w:r>
        <w:rPr>
          <w:rFonts w:ascii="Arial" w:cs="Arial" w:eastAsia="Arial" w:hAnsi="Arial"/>
          <w:sz w:val="18"/>
          <w:szCs w:val="18"/>
          <w:color w:val="auto"/>
        </w:rPr>
        <w:t>Since we are a holding company, our ability to pay dividends will depend largely on the ability of our subsidiaries to pay dividends to us, and the ability of our title insurance subsidiaries to do so is subject to, among other factors, their compliance with applicable insurance regulations. As of December 31, 2005, $1.9 billion of our net assets are restricted from dividend payments without prior approval from the Departments of Insurance in the states where our title insurance subsidiaries are domiciled. During 2006, our directly owned title insurance subsidiaries can pay dividends or make distributions to us of approximately $289.9 million without prior approval. In addition, our ability to declare dividends is subject to restrictions under our credit agreement. We do not believe the restrictions contained in our credit agreement will, in the foreseeable future, adversely affect our ability to pay cash dividends at the current dividend rate.</w:t>
      </w:r>
    </w:p>
    <w:p>
      <w:pPr>
        <w:spacing w:after="0" w:line="18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121" w:lineRule="exact"/>
        <w:rPr>
          <w:sz w:val="20"/>
          <w:szCs w:val="20"/>
          <w:color w:val="auto"/>
        </w:rPr>
      </w:pPr>
    </w:p>
    <w:p>
      <w:pPr>
        <w:ind w:right="80" w:firstLine="267"/>
        <w:spacing w:after="0" w:line="270" w:lineRule="auto"/>
        <w:rPr>
          <w:sz w:val="20"/>
          <w:szCs w:val="20"/>
          <w:color w:val="auto"/>
        </w:rPr>
      </w:pPr>
      <w:r>
        <w:rPr>
          <w:rFonts w:ascii="Arial" w:cs="Arial" w:eastAsia="Arial" w:hAnsi="Arial"/>
          <w:sz w:val="17"/>
          <w:szCs w:val="17"/>
          <w:color w:val="auto"/>
        </w:rPr>
        <w:t>The selected financial data as of December 31, 2005, 2004, and 2003 and for each of the years in the four-year period ended December 31, 2005 has been derived from our consolidated and combined financial statements and related notes, which have been audited by KPMG LLP, an independent registered public accounting firm. The selected financial data as of December 31, 2002 and as of and for the year ended December 31, 2001 has been derived from our unaudited combined financial statements. The information set forth below should be read in conjunction with the consolidated and combined financial statements and related notes and “Management’s Discussion and Analysis of Financial Condition and Results of Operations” included elsewhere in this Form 10-K. Our selected financial data has been prepared from the results of the operations transferred to us and gives effect to allocations of certain corporate expenses to and from FNF. Our selected financial data may not be indicative of our future performance and does not necessarily reflect what our financial position and results of operations would have been had we operated as a stand-alone entity during the periods presented. Certain reclassifications have been made to the prior year amounts to conform with the 2005 presentation.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8"/>
              </w:rPr>
              <w:t>Year Ended December 31,</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2005(1)</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2004(1)</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2003(1)</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2002</w:t>
            </w:r>
          </w:p>
        </w:tc>
        <w:tc>
          <w:tcPr>
            <w:tcW w:w="5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2001(2)(3)</w:t>
            </w:r>
          </w:p>
        </w:tc>
        <w:tc>
          <w:tcPr>
            <w:tcW w:w="3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90"/>
              </w:rPr>
              <w:t>(In thousands, except per</w:t>
            </w:r>
          </w:p>
        </w:tc>
        <w:tc>
          <w:tcPr>
            <w:tcW w:w="78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w w:val="85"/>
              </w:rPr>
              <w:t>share data)</w:t>
            </w: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Earnings Data</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Direct title insurance premium</w:t>
            </w:r>
          </w:p>
        </w:tc>
        <w:tc>
          <w:tcPr>
            <w:tcW w:w="1860" w:type="dxa"/>
            <w:vAlign w:val="bottom"/>
            <w:gridSpan w:val="3"/>
          </w:tcPr>
          <w:p>
            <w:pPr>
              <w:jc w:val="right"/>
              <w:ind w:right="280"/>
              <w:spacing w:after="0"/>
              <w:rPr>
                <w:sz w:val="20"/>
                <w:szCs w:val="20"/>
                <w:color w:val="auto"/>
              </w:rPr>
            </w:pPr>
            <w:r>
              <w:rPr>
                <w:rFonts w:ascii="Arial" w:cs="Arial" w:eastAsia="Arial" w:hAnsi="Arial"/>
                <w:sz w:val="18"/>
                <w:szCs w:val="18"/>
                <w:color w:val="auto"/>
              </w:rPr>
              <w:t>$   2,184,993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2,003,447</w:t>
            </w:r>
          </w:p>
        </w:tc>
        <w:tc>
          <w:tcPr>
            <w:tcW w:w="180" w:type="dxa"/>
            <w:vAlign w:val="bottom"/>
          </w:tcPr>
          <w:p>
            <w:pPr>
              <w:spacing w:after="0"/>
              <w:rPr>
                <w:sz w:val="18"/>
                <w:szCs w:val="18"/>
                <w:color w:val="auto"/>
              </w:rPr>
            </w:pPr>
          </w:p>
        </w:tc>
        <w:tc>
          <w:tcPr>
            <w:tcW w:w="1880" w:type="dxa"/>
            <w:vAlign w:val="bottom"/>
            <w:gridSpan w:val="3"/>
          </w:tcPr>
          <w:p>
            <w:pPr>
              <w:jc w:val="right"/>
              <w:ind w:right="368"/>
              <w:spacing w:after="0"/>
              <w:rPr>
                <w:sz w:val="20"/>
                <w:szCs w:val="20"/>
                <w:color w:val="auto"/>
              </w:rPr>
            </w:pPr>
            <w:r>
              <w:rPr>
                <w:rFonts w:ascii="Arial" w:cs="Arial" w:eastAsia="Arial" w:hAnsi="Arial"/>
                <w:sz w:val="18"/>
                <w:szCs w:val="18"/>
                <w:color w:val="auto"/>
              </w:rPr>
              <w:t>$   2,105,317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1,557,769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1,252,656</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Agency title insurance premiums</w:t>
            </w:r>
          </w:p>
        </w:tc>
        <w:tc>
          <w:tcPr>
            <w:tcW w:w="1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2,763,973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2,714,770</w:t>
            </w:r>
          </w:p>
        </w:tc>
        <w:tc>
          <w:tcPr>
            <w:tcW w:w="1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2,595,433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1,989,958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1,441,416</w:t>
            </w:r>
          </w:p>
        </w:tc>
        <w:tc>
          <w:tcPr>
            <w:tcW w:w="320" w:type="dxa"/>
            <w:vAlign w:val="bottom"/>
            <w:shd w:val="clear" w:color="auto" w:fill="CCEEFF"/>
          </w:tcPr>
          <w:p>
            <w:pPr>
              <w:spacing w:after="0"/>
              <w:rPr>
                <w:sz w:val="18"/>
                <w:szCs w:val="18"/>
                <w:color w:val="auto"/>
              </w:rPr>
            </w:pPr>
          </w:p>
        </w:tc>
      </w:tr>
      <w:tr>
        <w:trPr>
          <w:trHeight w:val="223"/>
        </w:trPr>
        <w:tc>
          <w:tcPr>
            <w:tcW w:w="2980" w:type="dxa"/>
            <w:vAlign w:val="bottom"/>
            <w:gridSpan w:val="2"/>
          </w:tcPr>
          <w:p>
            <w:pPr>
              <w:spacing w:after="0"/>
              <w:rPr>
                <w:sz w:val="20"/>
                <w:szCs w:val="20"/>
                <w:color w:val="auto"/>
              </w:rPr>
            </w:pPr>
            <w:r>
              <w:rPr>
                <w:rFonts w:ascii="Arial" w:cs="Arial" w:eastAsia="Arial" w:hAnsi="Arial"/>
                <w:sz w:val="18"/>
                <w:szCs w:val="18"/>
                <w:color w:val="auto"/>
              </w:rPr>
              <w:t>Total title premiums</w:t>
            </w:r>
          </w:p>
        </w:tc>
        <w:tc>
          <w:tcPr>
            <w:tcW w:w="5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4,948,966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4,718,217</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4,700,750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3,547,727</w:t>
            </w:r>
          </w:p>
        </w:tc>
        <w:tc>
          <w:tcPr>
            <w:tcW w:w="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2,694,072</w:t>
            </w:r>
          </w:p>
        </w:tc>
        <w:tc>
          <w:tcPr>
            <w:tcW w:w="3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Escrow and other title related fees</w:t>
            </w:r>
          </w:p>
        </w:tc>
        <w:tc>
          <w:tcPr>
            <w:tcW w:w="1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1,162,344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1,039,835</w:t>
            </w:r>
          </w:p>
        </w:tc>
        <w:tc>
          <w:tcPr>
            <w:tcW w:w="1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1,058,729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790,787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656,739</w:t>
            </w:r>
          </w:p>
        </w:tc>
        <w:tc>
          <w:tcPr>
            <w:tcW w:w="320" w:type="dxa"/>
            <w:vAlign w:val="bottom"/>
            <w:shd w:val="clear" w:color="auto" w:fill="CCEEFF"/>
          </w:tcPr>
          <w:p>
            <w:pPr>
              <w:spacing w:after="0"/>
              <w:rPr>
                <w:sz w:val="18"/>
                <w:szCs w:val="18"/>
                <w:color w:val="auto"/>
              </w:rPr>
            </w:pPr>
          </w:p>
        </w:tc>
      </w:tr>
      <w:tr>
        <w:trPr>
          <w:trHeight w:val="223"/>
        </w:trPr>
        <w:tc>
          <w:tcPr>
            <w:tcW w:w="2980" w:type="dxa"/>
            <w:vAlign w:val="bottom"/>
            <w:gridSpan w:val="2"/>
          </w:tcPr>
          <w:p>
            <w:pPr>
              <w:spacing w:after="0"/>
              <w:rPr>
                <w:sz w:val="20"/>
                <w:szCs w:val="20"/>
                <w:color w:val="auto"/>
              </w:rPr>
            </w:pPr>
            <w:r>
              <w:rPr>
                <w:rFonts w:ascii="Arial" w:cs="Arial" w:eastAsia="Arial" w:hAnsi="Arial"/>
                <w:sz w:val="18"/>
                <w:szCs w:val="18"/>
                <w:color w:val="auto"/>
              </w:rPr>
              <w:t>Total title and escrow</w:t>
            </w:r>
          </w:p>
        </w:tc>
        <w:tc>
          <w:tcPr>
            <w:tcW w:w="5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6,111,310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5,758,052</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5,759,479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4,338,514</w:t>
            </w:r>
          </w:p>
        </w:tc>
        <w:tc>
          <w:tcPr>
            <w:tcW w:w="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3,350,811</w:t>
            </w:r>
          </w:p>
        </w:tc>
        <w:tc>
          <w:tcPr>
            <w:tcW w:w="3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Interest and investment income</w:t>
            </w:r>
          </w:p>
        </w:tc>
        <w:tc>
          <w:tcPr>
            <w:tcW w:w="1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118,084</w:t>
            </w:r>
          </w:p>
        </w:tc>
        <w:tc>
          <w:tcPr>
            <w:tcW w:w="15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64,885</w:t>
            </w:r>
          </w:p>
        </w:tc>
        <w:tc>
          <w:tcPr>
            <w:tcW w:w="18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56,708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72,305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88,232</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Realized gains and losses, net</w:t>
            </w:r>
          </w:p>
        </w:tc>
        <w:tc>
          <w:tcPr>
            <w:tcW w:w="1860" w:type="dxa"/>
            <w:vAlign w:val="bottom"/>
            <w:gridSpan w:val="3"/>
          </w:tcPr>
          <w:p>
            <w:pPr>
              <w:jc w:val="right"/>
              <w:ind w:right="280"/>
              <w:spacing w:after="0"/>
              <w:rPr>
                <w:sz w:val="20"/>
                <w:szCs w:val="20"/>
                <w:color w:val="auto"/>
              </w:rPr>
            </w:pPr>
            <w:r>
              <w:rPr>
                <w:rFonts w:ascii="Arial" w:cs="Arial" w:eastAsia="Arial" w:hAnsi="Arial"/>
                <w:sz w:val="18"/>
                <w:szCs w:val="18"/>
                <w:color w:val="auto"/>
              </w:rPr>
              <w:t>44,684</w:t>
            </w:r>
          </w:p>
        </w:tc>
        <w:tc>
          <w:tcPr>
            <w:tcW w:w="1500" w:type="dxa"/>
            <w:vAlign w:val="bottom"/>
            <w:gridSpan w:val="3"/>
          </w:tcPr>
          <w:p>
            <w:pPr>
              <w:jc w:val="right"/>
              <w:ind w:right="108"/>
              <w:spacing w:after="0"/>
              <w:rPr>
                <w:sz w:val="20"/>
                <w:szCs w:val="20"/>
                <w:color w:val="auto"/>
              </w:rPr>
            </w:pPr>
            <w:r>
              <w:rPr>
                <w:rFonts w:ascii="Arial" w:cs="Arial" w:eastAsia="Arial" w:hAnsi="Arial"/>
                <w:sz w:val="18"/>
                <w:szCs w:val="18"/>
                <w:color w:val="auto"/>
              </w:rPr>
              <w:t>22,948</w:t>
            </w:r>
          </w:p>
        </w:tc>
        <w:tc>
          <w:tcPr>
            <w:tcW w:w="1880" w:type="dxa"/>
            <w:vAlign w:val="bottom"/>
            <w:gridSpan w:val="3"/>
          </w:tcPr>
          <w:p>
            <w:pPr>
              <w:jc w:val="right"/>
              <w:ind w:right="368"/>
              <w:spacing w:after="0"/>
              <w:rPr>
                <w:sz w:val="20"/>
                <w:szCs w:val="20"/>
                <w:color w:val="auto"/>
              </w:rPr>
            </w:pPr>
            <w:r>
              <w:rPr>
                <w:rFonts w:ascii="Arial" w:cs="Arial" w:eastAsia="Arial" w:hAnsi="Arial"/>
                <w:sz w:val="18"/>
                <w:szCs w:val="18"/>
                <w:color w:val="auto"/>
              </w:rPr>
              <w:t>101,839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584</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946</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41,783</w:t>
            </w:r>
          </w:p>
        </w:tc>
        <w:tc>
          <w:tcPr>
            <w:tcW w:w="15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43,528</w:t>
            </w:r>
          </w:p>
        </w:tc>
        <w:tc>
          <w:tcPr>
            <w:tcW w:w="18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52,689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55,927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50,476</w:t>
            </w: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6,315,861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5,889,413</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5,970,715</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4,467,330</w:t>
            </w:r>
          </w:p>
        </w:tc>
        <w:tc>
          <w:tcPr>
            <w:tcW w:w="5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3,490,465</w:t>
            </w:r>
          </w:p>
        </w:tc>
        <w:tc>
          <w:tcPr>
            <w:tcW w:w="3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1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1,897,904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1,680,805</w:t>
            </w:r>
          </w:p>
        </w:tc>
        <w:tc>
          <w:tcPr>
            <w:tcW w:w="1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1,692,895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1,260,070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1,036,236</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860" w:type="dxa"/>
            <w:vAlign w:val="bottom"/>
            <w:gridSpan w:val="3"/>
          </w:tcPr>
          <w:p>
            <w:pPr>
              <w:jc w:val="right"/>
              <w:ind w:right="280"/>
              <w:spacing w:after="0"/>
              <w:rPr>
                <w:sz w:val="20"/>
                <w:szCs w:val="20"/>
                <w:color w:val="auto"/>
              </w:rPr>
            </w:pPr>
            <w:r>
              <w:rPr>
                <w:rFonts w:ascii="Arial" w:cs="Arial" w:eastAsia="Arial" w:hAnsi="Arial"/>
                <w:sz w:val="18"/>
                <w:szCs w:val="18"/>
                <w:color w:val="auto"/>
              </w:rPr>
              <w:t>935,263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849,554</w:t>
            </w:r>
          </w:p>
        </w:tc>
        <w:tc>
          <w:tcPr>
            <w:tcW w:w="180" w:type="dxa"/>
            <w:vAlign w:val="bottom"/>
          </w:tcPr>
          <w:p>
            <w:pPr>
              <w:spacing w:after="0"/>
              <w:rPr>
                <w:sz w:val="18"/>
                <w:szCs w:val="18"/>
                <w:color w:val="auto"/>
              </w:rPr>
            </w:pPr>
          </w:p>
        </w:tc>
        <w:tc>
          <w:tcPr>
            <w:tcW w:w="1880" w:type="dxa"/>
            <w:vAlign w:val="bottom"/>
            <w:gridSpan w:val="3"/>
          </w:tcPr>
          <w:p>
            <w:pPr>
              <w:jc w:val="right"/>
              <w:ind w:right="368"/>
              <w:spacing w:after="0"/>
              <w:rPr>
                <w:sz w:val="20"/>
                <w:szCs w:val="20"/>
                <w:color w:val="auto"/>
              </w:rPr>
            </w:pPr>
            <w:r>
              <w:rPr>
                <w:rFonts w:ascii="Arial" w:cs="Arial" w:eastAsia="Arial" w:hAnsi="Arial"/>
                <w:sz w:val="18"/>
                <w:szCs w:val="18"/>
                <w:color w:val="auto"/>
              </w:rPr>
              <w:t>817,597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633,193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558,263</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Agent commissions</w:t>
            </w:r>
          </w:p>
        </w:tc>
        <w:tc>
          <w:tcPr>
            <w:tcW w:w="1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2,140,912</w:t>
            </w:r>
          </w:p>
        </w:tc>
        <w:tc>
          <w:tcPr>
            <w:tcW w:w="15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2,117,122</w:t>
            </w:r>
          </w:p>
        </w:tc>
        <w:tc>
          <w:tcPr>
            <w:tcW w:w="18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2,035,810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1,567,112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1,131,892</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60" w:type="dxa"/>
            <w:vAlign w:val="bottom"/>
            <w:gridSpan w:val="3"/>
          </w:tcPr>
          <w:p>
            <w:pPr>
              <w:jc w:val="right"/>
              <w:ind w:right="280"/>
              <w:spacing w:after="0"/>
              <w:rPr>
                <w:sz w:val="20"/>
                <w:szCs w:val="20"/>
                <w:color w:val="auto"/>
              </w:rPr>
            </w:pPr>
            <w:r>
              <w:rPr>
                <w:rFonts w:ascii="Arial" w:cs="Arial" w:eastAsia="Arial" w:hAnsi="Arial"/>
                <w:sz w:val="18"/>
                <w:szCs w:val="18"/>
                <w:color w:val="auto"/>
              </w:rPr>
              <w:t>102,105</w:t>
            </w:r>
          </w:p>
        </w:tc>
        <w:tc>
          <w:tcPr>
            <w:tcW w:w="1500" w:type="dxa"/>
            <w:vAlign w:val="bottom"/>
            <w:gridSpan w:val="3"/>
          </w:tcPr>
          <w:p>
            <w:pPr>
              <w:jc w:val="right"/>
              <w:ind w:right="108"/>
              <w:spacing w:after="0"/>
              <w:rPr>
                <w:sz w:val="20"/>
                <w:szCs w:val="20"/>
                <w:color w:val="auto"/>
              </w:rPr>
            </w:pPr>
            <w:r>
              <w:rPr>
                <w:rFonts w:ascii="Arial" w:cs="Arial" w:eastAsia="Arial" w:hAnsi="Arial"/>
                <w:sz w:val="18"/>
                <w:szCs w:val="18"/>
                <w:color w:val="auto"/>
              </w:rPr>
              <w:t>95,718</w:t>
            </w:r>
          </w:p>
        </w:tc>
        <w:tc>
          <w:tcPr>
            <w:tcW w:w="1880" w:type="dxa"/>
            <w:vAlign w:val="bottom"/>
            <w:gridSpan w:val="3"/>
          </w:tcPr>
          <w:p>
            <w:pPr>
              <w:jc w:val="right"/>
              <w:ind w:right="368"/>
              <w:spacing w:after="0"/>
              <w:rPr>
                <w:sz w:val="20"/>
                <w:szCs w:val="20"/>
                <w:color w:val="auto"/>
              </w:rPr>
            </w:pPr>
            <w:r>
              <w:rPr>
                <w:rFonts w:ascii="Arial" w:cs="Arial" w:eastAsia="Arial" w:hAnsi="Arial"/>
                <w:sz w:val="18"/>
                <w:szCs w:val="18"/>
                <w:color w:val="auto"/>
              </w:rPr>
              <w:t>79,077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53,042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100,225</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claim losses</w:t>
            </w:r>
          </w:p>
        </w:tc>
        <w:tc>
          <w:tcPr>
            <w:tcW w:w="1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354,710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259,402</w:t>
            </w:r>
          </w:p>
        </w:tc>
        <w:tc>
          <w:tcPr>
            <w:tcW w:w="1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248,834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175,963</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134,527</w:t>
            </w:r>
          </w:p>
        </w:tc>
        <w:tc>
          <w:tcPr>
            <w:tcW w:w="3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3,885</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8,586</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15,695</w:t>
            </w:r>
          </w:p>
        </w:tc>
        <w:tc>
          <w:tcPr>
            <w:tcW w:w="3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5,447,557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5,006,486</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4,878,795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3,697,966</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2,976,838</w:t>
            </w:r>
          </w:p>
        </w:tc>
        <w:tc>
          <w:tcPr>
            <w:tcW w:w="320" w:type="dxa"/>
            <w:vAlign w:val="bottom"/>
            <w:shd w:val="clear" w:color="auto" w:fill="CCEEFF"/>
          </w:tcPr>
          <w:p>
            <w:pPr>
              <w:spacing w:after="0"/>
              <w:rPr>
                <w:sz w:val="18"/>
                <w:szCs w:val="18"/>
                <w:color w:val="auto"/>
              </w:rPr>
            </w:pPr>
          </w:p>
        </w:tc>
      </w:tr>
      <w:tr>
        <w:trPr>
          <w:trHeight w:val="41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right"/>
              <w:ind w:right="273"/>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2005(1)</w:t>
            </w:r>
          </w:p>
        </w:tc>
        <w:tc>
          <w:tcPr>
            <w:tcW w:w="5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2004(1)</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2003(1)</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7"/>
              </w:rPr>
              <w:t>share data)</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2002</w:t>
            </w:r>
          </w:p>
        </w:tc>
        <w:tc>
          <w:tcPr>
            <w:tcW w:w="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2001(2)(3)</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90"/>
              </w:rPr>
              <w:t>(In thousands, except per</w:t>
            </w:r>
          </w:p>
        </w:tc>
        <w:tc>
          <w:tcPr>
            <w:tcW w:w="6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before income taxes and minority</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868,304</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882,927</w:t>
            </w: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1,091,920</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769,364</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513,627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327,351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323,598</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528"/>
              <w:spacing w:after="0"/>
              <w:rPr>
                <w:sz w:val="20"/>
                <w:szCs w:val="20"/>
                <w:color w:val="auto"/>
              </w:rPr>
            </w:pPr>
            <w:r>
              <w:rPr>
                <w:rFonts w:ascii="Arial" w:cs="Arial" w:eastAsia="Arial" w:hAnsi="Arial"/>
                <w:sz w:val="18"/>
                <w:szCs w:val="18"/>
                <w:color w:val="auto"/>
              </w:rPr>
              <w:t>407,736</w:t>
            </w: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276,970</w:t>
            </w: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205,965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minority interest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540,953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559,329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684,184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492,394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307,662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Minority interest</w:t>
            </w:r>
          </w:p>
        </w:tc>
        <w:tc>
          <w:tcPr>
            <w:tcW w:w="18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1,972</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1,165</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528"/>
              <w:spacing w:after="0"/>
              <w:rPr>
                <w:sz w:val="20"/>
                <w:szCs w:val="20"/>
                <w:color w:val="auto"/>
              </w:rPr>
            </w:pPr>
            <w:r>
              <w:rPr>
                <w:rFonts w:ascii="Arial" w:cs="Arial" w:eastAsia="Arial" w:hAnsi="Arial"/>
                <w:sz w:val="18"/>
                <w:szCs w:val="18"/>
                <w:color w:val="auto"/>
              </w:rPr>
              <w:t>859</w:t>
            </w: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624</w:t>
            </w: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accounting change</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5,709</w:t>
            </w: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538,981</w:t>
            </w: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558,164</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683,325</w:t>
            </w:r>
          </w:p>
        </w:tc>
        <w:tc>
          <w:tcPr>
            <w:tcW w:w="6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491,770</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301,953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amounts: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outstanding, basic</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basis(4)</w:t>
            </w: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173,463</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outstanding, diluted</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basis(4)</w:t>
            </w: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173,575</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Pr>
          <w:p>
            <w:pPr>
              <w:spacing w:after="0" w:line="201" w:lineRule="exact"/>
              <w:rPr>
                <w:sz w:val="20"/>
                <w:szCs w:val="20"/>
                <w:color w:val="auto"/>
              </w:rPr>
            </w:pPr>
            <w:r>
              <w:rPr>
                <w:rFonts w:ascii="Arial" w:cs="Arial" w:eastAsia="Arial" w:hAnsi="Arial"/>
                <w:sz w:val="18"/>
                <w:szCs w:val="18"/>
                <w:color w:val="auto"/>
              </w:rPr>
              <w:t>Unaudited proforma net earnings per share —</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basic and diluted</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3.22</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Unaudited proforma weighted average shares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outstanding — basic and diluted(5)</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172,951</w:t>
            </w: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0.25</w:t>
            </w:r>
          </w:p>
        </w:tc>
        <w:tc>
          <w:tcPr>
            <w:tcW w:w="1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4" w:lineRule="exact"/>
        <w:rPr>
          <w:sz w:val="20"/>
          <w:szCs w:val="20"/>
          <w:color w:val="auto"/>
        </w:rPr>
      </w:pPr>
    </w:p>
    <w:p>
      <w:pPr>
        <w:ind w:left="46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 January 1, 2003, we adopted the fair value recognition provisions of SFAS No. 123, “Accounting for Stock-Based Compensation”, using the prospective method of adoption in accordance with SFAS No. 148, “Accounting for Stock-Based Compensation — Transition and Disclosure”, and as a result recorded stock compensation expense of $7.8 million, $3.4 million and $3.0 million for the years ended December 31, 2005, 2004 and 2003, respectively.</w:t>
      </w:r>
    </w:p>
    <w:p>
      <w:pPr>
        <w:spacing w:after="0" w:line="38" w:lineRule="exact"/>
        <w:rPr>
          <w:rFonts w:ascii="Arial" w:cs="Arial" w:eastAsia="Arial" w:hAnsi="Arial"/>
          <w:sz w:val="18"/>
          <w:szCs w:val="18"/>
          <w:color w:val="auto"/>
        </w:rPr>
      </w:pPr>
    </w:p>
    <w:p>
      <w:pPr>
        <w:ind w:left="460" w:right="56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 January 1, 2002, we adopted SFAS No. 142 “Goodwill and Other Intangible Assets” and as a result, have ceased to amortize goodwill. Goodwill amortization in 2001 was $33.2 million.</w:t>
      </w:r>
    </w:p>
    <w:p>
      <w:pPr>
        <w:spacing w:after="0" w:line="21" w:lineRule="exact"/>
        <w:rPr>
          <w:rFonts w:ascii="Arial" w:cs="Arial" w:eastAsia="Arial" w:hAnsi="Arial"/>
          <w:sz w:val="18"/>
          <w:szCs w:val="18"/>
          <w:color w:val="auto"/>
        </w:rPr>
      </w:pPr>
    </w:p>
    <w:p>
      <w:pPr>
        <w:ind w:left="460" w:right="6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2001, we recorded a $5.7 million, after-tax charge, reflected as a cumulative effect of a change in accounting principle, as a result of adopting Emerging Issues Task Force No. 99-20, “Recognition of Interest Income and Impairment on Purchased and Retained Beneficial Interests in Securitized Financial Assets” (“EITF 99-20”).</w:t>
      </w:r>
    </w:p>
    <w:p>
      <w:pPr>
        <w:spacing w:after="0" w:line="32"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Because there were no outstanding shares prior to the Distribution, basic and diluted weighted average shares outstanding for 2005 have been calculated using activity from October 18, 2005 to December 31, 2005 as if shares outstanding and common stock equivalents at October 18, 2005 had been outstanding for the entire year.</w:t>
      </w:r>
    </w:p>
    <w:p>
      <w:pPr>
        <w:spacing w:after="0" w:line="32"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Unaudited proforma net earnings per share is calculated using the number of outstanding shares of FNF on a date prior to the distribution of FNT shares to FNF shareholders.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or for the Year Ended December 31,</w:t>
            </w:r>
          </w:p>
        </w:tc>
        <w:tc>
          <w:tcPr>
            <w:tcW w:w="7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56"/>
        </w:trPr>
        <w:tc>
          <w:tcPr>
            <w:tcW w:w="20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2003</w:t>
            </w:r>
          </w:p>
        </w:tc>
        <w:tc>
          <w:tcPr>
            <w:tcW w:w="5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2002</w:t>
            </w:r>
          </w:p>
        </w:tc>
        <w:tc>
          <w:tcPr>
            <w:tcW w:w="5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3"/>
                <w:szCs w:val="13"/>
                <w:color w:val="auto"/>
              </w:rPr>
            </w:pPr>
          </w:p>
        </w:tc>
      </w:tr>
      <w:tr>
        <w:trPr>
          <w:trHeight w:val="156"/>
        </w:trPr>
        <w:tc>
          <w:tcPr>
            <w:tcW w:w="20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40" w:type="dxa"/>
            <w:vAlign w:val="bottom"/>
            <w:gridSpan w:val="8"/>
          </w:tcPr>
          <w:p>
            <w:pPr>
              <w:jc w:val="right"/>
              <w:ind w:right="1260"/>
              <w:spacing w:after="0" w:line="155" w:lineRule="exact"/>
              <w:rPr>
                <w:sz w:val="20"/>
                <w:szCs w:val="20"/>
                <w:color w:val="auto"/>
              </w:rPr>
            </w:pPr>
            <w:r>
              <w:rPr>
                <w:rFonts w:ascii="Arial" w:cs="Arial" w:eastAsia="Arial" w:hAnsi="Arial"/>
                <w:sz w:val="14"/>
                <w:szCs w:val="14"/>
                <w:b w:val="1"/>
                <w:bCs w:val="1"/>
                <w:color w:val="auto"/>
              </w:rPr>
              <w:t>(Dollars in thousands except fee per closed file)</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 (at end of period)</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3,300,738</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2,819,489</w:t>
            </w:r>
          </w:p>
        </w:tc>
        <w:tc>
          <w:tcPr>
            <w:tcW w:w="5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2,510,182</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2,337,472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1,705,267</w:t>
            </w:r>
          </w:p>
        </w:tc>
        <w:tc>
          <w:tcPr>
            <w:tcW w:w="320" w:type="dxa"/>
            <w:vAlign w:val="bottom"/>
          </w:tcPr>
          <w:p>
            <w:pPr>
              <w:spacing w:after="0"/>
              <w:rPr>
                <w:sz w:val="18"/>
                <w:szCs w:val="18"/>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462,157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268,414</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395,857</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433,379</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491,709</w:t>
            </w:r>
          </w:p>
        </w:tc>
        <w:tc>
          <w:tcPr>
            <w:tcW w:w="320" w:type="dxa"/>
            <w:vAlign w:val="bottom"/>
            <w:shd w:val="clear" w:color="auto" w:fill="CCEEFF"/>
          </w:tcPr>
          <w:p>
            <w:pPr>
              <w:spacing w:after="0"/>
              <w:rPr>
                <w:sz w:val="18"/>
                <w:szCs w:val="18"/>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5,900,533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5,074,091</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4,782,664</w:t>
            </w:r>
          </w:p>
        </w:tc>
        <w:tc>
          <w:tcPr>
            <w:tcW w:w="28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4,494,716</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3,848,300</w:t>
            </w:r>
          </w:p>
        </w:tc>
        <w:tc>
          <w:tcPr>
            <w:tcW w:w="320" w:type="dxa"/>
            <w:vAlign w:val="bottom"/>
          </w:tcPr>
          <w:p>
            <w:pPr>
              <w:spacing w:after="0"/>
              <w:rPr>
                <w:sz w:val="18"/>
                <w:szCs w:val="18"/>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603,262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22,390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54,259</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107,874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176,116</w:t>
            </w: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Reserve for claim losses</w:t>
            </w:r>
          </w:p>
        </w:tc>
        <w:tc>
          <w:tcPr>
            <w:tcW w:w="2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1,063,857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980,746</w:t>
            </w:r>
          </w:p>
        </w:tc>
        <w:tc>
          <w:tcPr>
            <w:tcW w:w="2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932,439</w:t>
            </w:r>
          </w:p>
        </w:tc>
        <w:tc>
          <w:tcPr>
            <w:tcW w:w="28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887,973</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881,053</w:t>
            </w:r>
          </w:p>
        </w:tc>
        <w:tc>
          <w:tcPr>
            <w:tcW w:w="320" w:type="dxa"/>
            <w:vAlign w:val="bottom"/>
          </w:tcPr>
          <w:p>
            <w:pPr>
              <w:spacing w:after="0"/>
              <w:rPr>
                <w:sz w:val="18"/>
                <w:szCs w:val="18"/>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3,951</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2,488</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1,098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239</w:t>
            </w: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2,480,037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2,676,756</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2,469,186</w:t>
            </w:r>
          </w:p>
        </w:tc>
        <w:tc>
          <w:tcPr>
            <w:tcW w:w="28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2,234,484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1,741,387</w:t>
            </w:r>
          </w:p>
        </w:tc>
        <w:tc>
          <w:tcPr>
            <w:tcW w:w="320" w:type="dxa"/>
            <w:vAlign w:val="bottom"/>
          </w:tcPr>
          <w:p>
            <w:pPr>
              <w:spacing w:after="0"/>
              <w:rPr>
                <w:sz w:val="18"/>
                <w:szCs w:val="18"/>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non-financial data:</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3560" w:type="dxa"/>
            <w:vAlign w:val="bottom"/>
            <w:gridSpan w:val="2"/>
          </w:tcPr>
          <w:p>
            <w:pPr>
              <w:ind w:left="26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operations orders opened(1)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3,052,805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3,142,945</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3,771,393</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2,953,797</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2,496,597</w:t>
            </w:r>
          </w:p>
        </w:tc>
        <w:tc>
          <w:tcPr>
            <w:tcW w:w="320" w:type="dxa"/>
            <w:vAlign w:val="bottom"/>
            <w:shd w:val="clear" w:color="auto" w:fill="CCEEFF"/>
          </w:tcPr>
          <w:p>
            <w:pPr>
              <w:spacing w:after="0"/>
              <w:rPr>
                <w:sz w:val="18"/>
                <w:szCs w:val="18"/>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Direct operations orders closed(1)</w:t>
            </w:r>
          </w:p>
        </w:tc>
        <w:tc>
          <w:tcPr>
            <w:tcW w:w="2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2,169,656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2,249,792</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2,916,201</w:t>
            </w:r>
          </w:p>
        </w:tc>
        <w:tc>
          <w:tcPr>
            <w:tcW w:w="28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2,141,680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1,685,147</w:t>
            </w:r>
          </w:p>
        </w:tc>
        <w:tc>
          <w:tcPr>
            <w:tcW w:w="320" w:type="dxa"/>
            <w:vAlign w:val="bottom"/>
          </w:tcPr>
          <w:p>
            <w:pPr>
              <w:spacing w:after="0"/>
              <w:rPr>
                <w:sz w:val="18"/>
                <w:szCs w:val="18"/>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Fee per closed file(1)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1,487</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1,324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1,081</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1,099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320" w:type="dxa"/>
            <w:vAlign w:val="bottom"/>
            <w:shd w:val="clear" w:color="auto" w:fill="CCEEFF"/>
          </w:tcPr>
          <w:p>
            <w:pPr>
              <w:spacing w:after="0"/>
              <w:rPr>
                <w:sz w:val="18"/>
                <w:szCs w:val="18"/>
                <w:color w:val="auto"/>
              </w:rPr>
            </w:pPr>
          </w:p>
        </w:tc>
      </w:tr>
      <w:tr>
        <w:trPr>
          <w:trHeight w:val="108"/>
        </w:trPr>
        <w:tc>
          <w:tcPr>
            <w:tcW w:w="2060" w:type="dxa"/>
            <w:vAlign w:val="bottom"/>
            <w:tcBorders>
              <w:bottom w:val="single" w:sz="8" w:color="auto"/>
            </w:tcBorders>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r>
    </w:tbl>
    <w:p>
      <w:pPr>
        <w:spacing w:after="0" w:line="67" w:lineRule="exact"/>
        <w:rPr>
          <w:sz w:val="20"/>
          <w:szCs w:val="20"/>
          <w:color w:val="auto"/>
        </w:rPr>
      </w:pPr>
    </w:p>
    <w:p>
      <w:pPr>
        <w:jc w:val="both"/>
        <w:ind w:left="460" w:right="44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These measures are used by management to judge productivity and are a measure of transaction volume for our direct title businesses. An order is opened when we receive a customer order and is closed when the related real estate transaction closes, which typically takes 45-60 days from the opening of an order.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Financial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2"/>
              </w:rPr>
              <w:t>Three Months Ended</w:t>
            </w:r>
          </w:p>
        </w:tc>
        <w:tc>
          <w:tcPr>
            <w:tcW w:w="7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96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June 30,</w:t>
            </w:r>
          </w:p>
        </w:tc>
        <w:tc>
          <w:tcPr>
            <w:tcW w:w="5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(In</w:t>
            </w:r>
          </w:p>
        </w:tc>
        <w:tc>
          <w:tcPr>
            <w:tcW w:w="1940" w:type="dxa"/>
            <w:vAlign w:val="bottom"/>
            <w:gridSpan w:val="3"/>
          </w:tcPr>
          <w:p>
            <w:pPr>
              <w:ind w:left="320"/>
              <w:spacing w:after="0" w:line="155" w:lineRule="exact"/>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580" w:type="dxa"/>
            <w:vAlign w:val="bottom"/>
            <w:vMerge w:val="continue"/>
          </w:tcPr>
          <w:p>
            <w:pPr>
              <w:spacing w:after="0"/>
              <w:rPr>
                <w:sz w:val="13"/>
                <w:szCs w:val="13"/>
                <w:color w:val="auto"/>
              </w:rPr>
            </w:pPr>
          </w:p>
        </w:tc>
        <w:tc>
          <w:tcPr>
            <w:tcW w:w="8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thousands)</w:t>
            </w:r>
          </w:p>
        </w:tc>
        <w:tc>
          <w:tcPr>
            <w:tcW w:w="7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660"/>
              <w:spacing w:after="0"/>
              <w:rPr>
                <w:sz w:val="20"/>
                <w:szCs w:val="20"/>
                <w:color w:val="auto"/>
              </w:rPr>
            </w:pPr>
            <w:r>
              <w:rPr>
                <w:rFonts w:ascii="Arial" w:cs="Arial" w:eastAsia="Arial" w:hAnsi="Arial"/>
                <w:sz w:val="18"/>
                <w:szCs w:val="18"/>
                <w:color w:val="auto"/>
              </w:rPr>
              <w:t>1,265,220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1,687,213</w:t>
            </w:r>
          </w:p>
        </w:tc>
        <w:tc>
          <w:tcPr>
            <w:tcW w:w="13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1,776,885</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1,592,512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before income taxes and minority</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131,529</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259,297</w:t>
            </w:r>
          </w:p>
        </w:tc>
        <w:tc>
          <w:tcPr>
            <w:tcW w:w="5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272,571</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204,907</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Net earnings</w:t>
            </w:r>
          </w:p>
        </w:tc>
        <w:tc>
          <w:tcPr>
            <w:tcW w:w="180" w:type="dxa"/>
            <w:vAlign w:val="bottom"/>
          </w:tcPr>
          <w:p>
            <w:pPr>
              <w:spacing w:after="0"/>
              <w:rPr>
                <w:sz w:val="18"/>
                <w:szCs w:val="18"/>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8"/>
                <w:szCs w:val="18"/>
                <w:color w:val="auto"/>
              </w:rPr>
              <w:t>82,319</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160,578</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169,734</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500"/>
              <w:spacing w:after="0"/>
              <w:rPr>
                <w:sz w:val="20"/>
                <w:szCs w:val="20"/>
                <w:color w:val="auto"/>
              </w:rPr>
            </w:pPr>
            <w:r>
              <w:rPr>
                <w:rFonts w:ascii="Arial" w:cs="Arial" w:eastAsia="Arial" w:hAnsi="Arial"/>
                <w:sz w:val="18"/>
                <w:szCs w:val="18"/>
                <w:color w:val="auto"/>
              </w:rPr>
              <w:t>126,350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660"/>
              <w:spacing w:after="0"/>
              <w:rPr>
                <w:sz w:val="20"/>
                <w:szCs w:val="20"/>
                <w:color w:val="auto"/>
              </w:rPr>
            </w:pPr>
            <w:r>
              <w:rPr>
                <w:rFonts w:ascii="Arial" w:cs="Arial" w:eastAsia="Arial" w:hAnsi="Arial"/>
                <w:sz w:val="18"/>
                <w:szCs w:val="18"/>
                <w:color w:val="auto"/>
              </w:rPr>
              <w:t>1,314,932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1,601,316</w:t>
            </w:r>
          </w:p>
        </w:tc>
        <w:tc>
          <w:tcPr>
            <w:tcW w:w="13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1,562,630</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1,410,535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before income taxes and minority</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171,740</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266,272</w:t>
            </w:r>
          </w:p>
        </w:tc>
        <w:tc>
          <w:tcPr>
            <w:tcW w:w="5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214,948</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229,967</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Net earnings</w:t>
            </w:r>
          </w:p>
        </w:tc>
        <w:tc>
          <w:tcPr>
            <w:tcW w:w="180" w:type="dxa"/>
            <w:vAlign w:val="bottom"/>
          </w:tcPr>
          <w:p>
            <w:pPr>
              <w:spacing w:after="0"/>
              <w:rPr>
                <w:sz w:val="20"/>
                <w:szCs w:val="20"/>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8"/>
                <w:szCs w:val="18"/>
                <w:color w:val="auto"/>
              </w:rPr>
              <w:t>108,958</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168,288</w:t>
            </w: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135,923</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right"/>
              <w:ind w:right="500"/>
              <w:spacing w:after="0"/>
              <w:rPr>
                <w:sz w:val="20"/>
                <w:szCs w:val="20"/>
                <w:color w:val="auto"/>
              </w:rPr>
            </w:pPr>
            <w:r>
              <w:rPr>
                <w:rFonts w:ascii="Arial" w:cs="Arial" w:eastAsia="Arial" w:hAnsi="Arial"/>
                <w:sz w:val="18"/>
                <w:szCs w:val="18"/>
                <w:color w:val="auto"/>
              </w:rPr>
              <w:t>144,995</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340" w:firstLine="267"/>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and Combined Financial Statements and the Notes thereto and Selected Financial Data included elsewhere in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267"/>
        <w:spacing w:after="0" w:line="264" w:lineRule="auto"/>
        <w:rPr>
          <w:sz w:val="20"/>
          <w:szCs w:val="20"/>
          <w:color w:val="auto"/>
        </w:rPr>
      </w:pPr>
      <w:r>
        <w:rPr>
          <w:rFonts w:ascii="Arial" w:cs="Arial" w:eastAsia="Arial" w:hAnsi="Arial"/>
          <w:sz w:val="18"/>
          <w:szCs w:val="18"/>
          <w:color w:val="auto"/>
        </w:rPr>
        <w:t>We are the largest title insurance company in the United States. Our title insurance underwriters — Fidelity National Title, Chicago Title, Ticor Title, Security Union Title and Alamo Title — together issue all of the Company’s title insurance policies in 49 states, the District of Columbia, Guam, Puerto Rico, the U.S. Virgin Islands, Canada, and Mexico. Our title business consists of providing title insurance and escrow</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and other title-related products and services arising from the real estate closing process. Our operations are conducted on a direct basis through our own employees who act as title and escrow agents and through independent agents. In addition to our independent agents, our customers are lenders, mortgage brokers, attorneys, real estate agents, home builders and commercial real estate developers. We do not focus our marketing efforts on the homeowner. We operate our business through a single segment, title and escrow, and do not generate significant revenue outside the United States.</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Prior to October 17, 2005, we were a wholly-owned subsidiary of FNF. On that date, FNF distributed shares of our Class A Common Stock representing</w:t>
      </w:r>
    </w:p>
    <w:p>
      <w:pPr>
        <w:spacing w:after="0" w:line="46"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17.5% of our outstanding shares to its stockholders as a dividend (the “Distribution”). FNF continues to hold shares of our Class B Common Stock representing 82.5% of all shares and 97.9% of all voting rights of our outstanding common stock.</w:t>
      </w:r>
    </w:p>
    <w:p>
      <w:pPr>
        <w:spacing w:after="0" w:line="76" w:lineRule="exact"/>
        <w:rPr>
          <w:sz w:val="20"/>
          <w:szCs w:val="20"/>
          <w:color w:val="auto"/>
        </w:rPr>
      </w:pPr>
    </w:p>
    <w:p>
      <w:pPr>
        <w:ind w:right="80" w:firstLine="270"/>
        <w:spacing w:after="0" w:line="270" w:lineRule="auto"/>
        <w:rPr>
          <w:sz w:val="20"/>
          <w:szCs w:val="20"/>
          <w:color w:val="auto"/>
        </w:rPr>
      </w:pPr>
      <w:r>
        <w:rPr>
          <w:rFonts w:ascii="Arial" w:cs="Arial" w:eastAsia="Arial" w:hAnsi="Arial"/>
          <w:sz w:val="17"/>
          <w:szCs w:val="17"/>
          <w:color w:val="auto"/>
        </w:rPr>
        <w:t>Our historical financial statements include assets, liabilities, revenues and expenses directly attributable to our operations as well as transactions between us and FNF and other affiliated entities and allocations of certain of our corporate expenses to FNF and FIS, allocated on a basis that management considers to reflect most fairly or reasonably the utilization of the services provided to or the benefit obtained by those businesses. These expense allocations to FNF and FIS reflect an allocation to us of a portion of the compensation of certain senior officers and other personnel of FNF who are not our employees after the Distribution but who have historically provided services to us. Our historical financial statements do not reflect the debt or interest expense we might have incurred if we had been a stand-alone entity. In addition, we incur other expenses, not reflected in our historical financial statements, as a result of being a separate publicly traded company. As a result, our historical financial statements do not necessarily reflect what our financial position or results of operations would have been if we had been operated as a stand-alone public entity during the periods covered, and may not be indicative of our future results of operations or financial position.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440" w:firstLine="270"/>
        <w:spacing w:after="0" w:line="277" w:lineRule="auto"/>
        <w:rPr>
          <w:sz w:val="20"/>
          <w:szCs w:val="20"/>
          <w:color w:val="auto"/>
        </w:rPr>
      </w:pPr>
      <w:r>
        <w:rPr>
          <w:rFonts w:ascii="Arial" w:cs="Arial" w:eastAsia="Arial" w:hAnsi="Arial"/>
          <w:sz w:val="18"/>
          <w:szCs w:val="18"/>
          <w:color w:val="auto"/>
        </w:rPr>
        <w:t>Our historical financial statements reflect transactions with other businesses and operations of FNF including those being conducted by another FNF subsidiary, FIS.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detail of related party items included in revenues and expenses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89"/>
              </w:rPr>
              <w:t>(In millions)</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Agency title premiums earned</w:t>
            </w:r>
          </w:p>
        </w:tc>
        <w:tc>
          <w:tcPr>
            <w:tcW w:w="2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106.3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Rental income earned</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revenue</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2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r>
              <w:rPr>
                <w:rFonts w:ascii="Arial" w:cs="Arial" w:eastAsia="Arial" w:hAnsi="Arial"/>
                <w:sz w:val="18"/>
                <w:szCs w:val="18"/>
                <w:u w:val="single" w:color="auto"/>
                <w:color w:val="auto"/>
              </w:rPr>
              <w:t>9</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2"/>
              </w:rPr>
              <w:t>A detail of related party items included in operating expenses is as follows:</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Agency title commissions</w:t>
            </w:r>
          </w:p>
        </w:tc>
        <w:tc>
          <w:tcPr>
            <w:tcW w:w="2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80.9</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93.6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costs</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Data processing costs allocated</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Corporate services allocated</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(84.5)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Title insurance information expense</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28.1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real-estate related information</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Software expense</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Rental expense</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License and cost sharing</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Total pretax impact of related party activity</w:t>
            </w:r>
          </w:p>
        </w:tc>
        <w:tc>
          <w:tcPr>
            <w:tcW w:w="2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200" w:type="dxa"/>
            <w:vAlign w:val="bottom"/>
            <w:vMerge w:val="restart"/>
          </w:tcPr>
          <w:p>
            <w:pPr>
              <w:jc w:val="right"/>
              <w:ind w:right="1830"/>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0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60"/>
        <w:spacing w:after="0" w:line="273" w:lineRule="auto"/>
        <w:rPr>
          <w:sz w:val="20"/>
          <w:szCs w:val="20"/>
          <w:color w:val="auto"/>
        </w:rPr>
      </w:pPr>
      <w:r>
        <w:rPr>
          <w:rFonts w:ascii="Arial" w:cs="Arial" w:eastAsia="Arial" w:hAnsi="Arial"/>
          <w:sz w:val="17"/>
          <w:szCs w:val="17"/>
          <w:color w:val="auto"/>
        </w:rPr>
        <w:t>An FIS subsidiary acts as the title agent in the issuance of title insurance policies by a title insurance underwriter owned by us and in connection with certain trustee sales guarantees, a form of title insurance issued as part of the foreclosure process. As a result, our title insurance subsidiaries pay commissions on title insurance policies sold through FIS. For 2005, 2004, and 2003, these FIS operations generated $91.9 million, $106.3 million, and $284.9 million, respectively, of revenues for us, which we record as agency title premium. The amounts generated have declined significantly since 2003, in part due to a decline in the volume of refinancing transactions in the mortgage industry as a whole. We paid FIS commissions at the rate of 88% of premiums generated, equal to $80.9 million, $93.6 million, and $250.7 million for 2005, 2004, and 2003, respectively.</w:t>
      </w:r>
    </w:p>
    <w:p>
      <w:pPr>
        <w:spacing w:after="0" w:line="70" w:lineRule="exact"/>
        <w:rPr>
          <w:sz w:val="20"/>
          <w:szCs w:val="20"/>
          <w:color w:val="auto"/>
        </w:rPr>
      </w:pPr>
    </w:p>
    <w:p>
      <w:pPr>
        <w:ind w:firstLine="267"/>
        <w:spacing w:after="0" w:line="277" w:lineRule="auto"/>
        <w:rPr>
          <w:sz w:val="20"/>
          <w:szCs w:val="20"/>
          <w:color w:val="auto"/>
        </w:rPr>
      </w:pPr>
      <w:r>
        <w:rPr>
          <w:rFonts w:ascii="Arial" w:cs="Arial" w:eastAsia="Arial" w:hAnsi="Arial"/>
          <w:sz w:val="18"/>
          <w:szCs w:val="18"/>
          <w:color w:val="auto"/>
        </w:rPr>
        <w:t>Through June 30, 2005, we have leased equipment to a subsidiary of FIS. Revenue relating to these leases was $5.0 million, $8.4 million, and $7.3 million in 2005, 2004, and 2003, respectively.</w:t>
      </w:r>
    </w:p>
    <w:p>
      <w:pPr>
        <w:spacing w:after="0" w:line="62" w:lineRule="exact"/>
        <w:rPr>
          <w:sz w:val="20"/>
          <w:szCs w:val="20"/>
          <w:color w:val="auto"/>
        </w:rPr>
      </w:pPr>
    </w:p>
    <w:p>
      <w:pPr>
        <w:ind w:right="120" w:firstLine="270"/>
        <w:spacing w:after="0" w:line="291" w:lineRule="auto"/>
        <w:rPr>
          <w:sz w:val="20"/>
          <w:szCs w:val="20"/>
          <w:color w:val="auto"/>
        </w:rPr>
      </w:pPr>
      <w:r>
        <w:rPr>
          <w:rFonts w:ascii="Arial" w:cs="Arial" w:eastAsia="Arial" w:hAnsi="Arial"/>
          <w:sz w:val="16"/>
          <w:szCs w:val="16"/>
          <w:color w:val="auto"/>
        </w:rPr>
        <w:t>Beginning in September 2003, our expenses included amounts paid to a subsidiary of FIS for the provision by FIS to us of IT infrastructure support, data center management and related IT support services. For 2005, 2004, and 2003, expenses incurred related to such FIS services totaled $56.9 million,</w:t>
      </w:r>
    </w:p>
    <w:p>
      <w:pPr>
        <w:ind w:right="200"/>
        <w:spacing w:after="0" w:line="273" w:lineRule="auto"/>
        <w:rPr>
          <w:sz w:val="20"/>
          <w:szCs w:val="20"/>
          <w:color w:val="auto"/>
        </w:rPr>
      </w:pPr>
      <w:r>
        <w:rPr>
          <w:rFonts w:ascii="Arial" w:cs="Arial" w:eastAsia="Arial" w:hAnsi="Arial"/>
          <w:sz w:val="17"/>
          <w:szCs w:val="17"/>
          <w:color w:val="auto"/>
        </w:rPr>
        <w:t>$56.6 million, and $12.4 million, respectively. Prior to September 2003, we performed these services ourselves and provided them to FIS. During 2003, we received payments from FIS of $5.4 million relating to these services that offset our other operating expenses. Subsequent to FNF’s acquisition of Alltel Information Services, Inc. in 2003, we performed these services ourselves. In addition, we incurred software expenses relating to an agreement with a subsidiary of FIS that approximated $7.7 million, $5.8 million, and $2.6 million in 2005, 2004, and 2003, respectively.</w:t>
      </w:r>
    </w:p>
    <w:p>
      <w:pPr>
        <w:spacing w:after="0" w:line="69" w:lineRule="exact"/>
        <w:rPr>
          <w:sz w:val="20"/>
          <w:szCs w:val="20"/>
          <w:color w:val="auto"/>
        </w:rPr>
      </w:pPr>
    </w:p>
    <w:p>
      <w:pPr>
        <w:ind w:right="40" w:firstLine="270"/>
        <w:spacing w:after="0" w:line="273" w:lineRule="auto"/>
        <w:rPr>
          <w:sz w:val="20"/>
          <w:szCs w:val="20"/>
          <w:color w:val="auto"/>
        </w:rPr>
      </w:pPr>
      <w:r>
        <w:rPr>
          <w:rFonts w:ascii="Arial" w:cs="Arial" w:eastAsia="Arial" w:hAnsi="Arial"/>
          <w:sz w:val="17"/>
          <w:szCs w:val="17"/>
          <w:color w:val="auto"/>
        </w:rPr>
        <w:t>Included as a reduction of our expenses for all periods are payments from FNF and FIS relating to the provision by us of corporate services to FNF and to FIS and its subsidiaries. These corporate services include accounting, internal audit, treasury, payroll, human resources, tax, legal, purchasing, risk management, mergers and acquisitions, and general management. For the years ended December 31, 2005, 2004, and 2003, our expenses were reduced by $7.0 million, $9.4 million, and $9.2 million, respectively, related to the provision of these corporate services by us to FNF and its subsidiaries other than FIS and its subsidiaries. For the years ended December 31, 2005, 2004, and 2003, our expenses were reduced by $23.3 million, $75.1 million, and $39.5 million, respectively, related to the provision of corporate services by us to FIS and its subsidiaries.</w:t>
      </w:r>
    </w:p>
    <w:p>
      <w:pPr>
        <w:spacing w:after="0" w:line="70" w:lineRule="exact"/>
        <w:rPr>
          <w:sz w:val="20"/>
          <w:szCs w:val="20"/>
          <w:color w:val="auto"/>
        </w:rPr>
      </w:pPr>
    </w:p>
    <w:p>
      <w:pPr>
        <w:ind w:right="20" w:firstLine="267"/>
        <w:spacing w:after="0" w:line="287" w:lineRule="auto"/>
        <w:rPr>
          <w:sz w:val="20"/>
          <w:szCs w:val="20"/>
          <w:color w:val="auto"/>
        </w:rPr>
      </w:pPr>
      <w:r>
        <w:rPr>
          <w:rFonts w:ascii="Arial" w:cs="Arial" w:eastAsia="Arial" w:hAnsi="Arial"/>
          <w:sz w:val="16"/>
          <w:szCs w:val="16"/>
          <w:color w:val="auto"/>
        </w:rPr>
        <w:t>The title plant assets of several of our title insurance subsidiaries are managed or maintained by a subsidiary of FIS. The underlying title plant information and software continues to be owned by each of our title insurance underwriters, but FIS manages and updates the information in return for either (i) a cash management fee or (ii) the right to sell that information to title insurers, including title insurance underwriters that we own and other third party customers. In most cases, FIS is responsible for keeping the title plant assets current and fully functioning, for which we pay a fee to FIS based on our use of, or access to, the title plant. For 2005, 2004, and 2003, our expenses to FIS under these arrangements were $29.9 million, $28.9 million, and $28.2 million, respectively. In addition, since November 2004, each applicable title insurance underwriter in turn receives a royalty on sales of access to its title plant assets. For the years ended December 31, 2005 and 2004, the revenues from these title plant royalties were $3.0 million and $0.3 million, respectively. We have entered into agreements with FIS that permit FIS and certain of its subsidiaries to access and use (but not to re-sell) the starters databases and back plant databases of our title insurance subsidiaries. Starters databases are our databases of previously issued title policies and back plant databases contain historical records relating to title that are not regularly updated. Each of our applicable title insurance subsidiaries receives a fee for any access to or use of its starters and back plant databases by FIS. We also do business with additional entities within FIS that provide real estate information to our operations, for which we recorded expenses of $10.9 million, $9.9 million, and $11.4 million in 2005, 2004, and 2003, respectively.</w:t>
      </w:r>
    </w:p>
    <w:p>
      <w:pPr>
        <w:spacing w:after="0" w:line="61" w:lineRule="exact"/>
        <w:rPr>
          <w:sz w:val="20"/>
          <w:szCs w:val="20"/>
          <w:color w:val="auto"/>
        </w:rPr>
      </w:pPr>
    </w:p>
    <w:p>
      <w:pPr>
        <w:ind w:right="360" w:firstLine="267"/>
        <w:spacing w:after="0" w:line="277" w:lineRule="auto"/>
        <w:rPr>
          <w:sz w:val="20"/>
          <w:szCs w:val="20"/>
          <w:color w:val="auto"/>
        </w:rPr>
      </w:pPr>
      <w:r>
        <w:rPr>
          <w:rFonts w:ascii="Arial" w:cs="Arial" w:eastAsia="Arial" w:hAnsi="Arial"/>
          <w:sz w:val="18"/>
          <w:szCs w:val="18"/>
          <w:color w:val="auto"/>
        </w:rPr>
        <w:t>We also have certain license and cost sharing agreements with FIS. We recorded expense of $11.9 million, $12.8 million and $17.9 million relating to these agreements in 2005, 2004 and 2003, respectively.</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Also, we capitalized software costs of $11.2 million paid to FIS relating to a development agreement.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270"/>
        <w:spacing w:after="0" w:line="277" w:lineRule="auto"/>
        <w:rPr>
          <w:sz w:val="20"/>
          <w:szCs w:val="20"/>
          <w:color w:val="auto"/>
        </w:rPr>
      </w:pPr>
      <w:r>
        <w:rPr>
          <w:rFonts w:ascii="Arial" w:cs="Arial" w:eastAsia="Arial" w:hAnsi="Arial"/>
          <w:sz w:val="18"/>
          <w:szCs w:val="18"/>
          <w:color w:val="auto"/>
        </w:rPr>
        <w:t>Our financial statements reflect allocations for a lease of office space to us for our corporate headquarters and business operations in the amounts of $3.8 million, $2.8 million, and $0.5 million in 2005, 2004, and 2003, respectively.</w:t>
      </w:r>
    </w:p>
    <w:p>
      <w:pPr>
        <w:spacing w:after="0" w:line="62" w:lineRule="exact"/>
        <w:rPr>
          <w:sz w:val="20"/>
          <w:szCs w:val="20"/>
          <w:color w:val="auto"/>
        </w:rPr>
      </w:pPr>
    </w:p>
    <w:p>
      <w:pPr>
        <w:ind w:right="80" w:firstLine="267"/>
        <w:spacing w:after="0" w:line="271" w:lineRule="auto"/>
        <w:rPr>
          <w:sz w:val="20"/>
          <w:szCs w:val="20"/>
          <w:color w:val="auto"/>
        </w:rPr>
      </w:pPr>
      <w:r>
        <w:rPr>
          <w:rFonts w:ascii="Arial" w:cs="Arial" w:eastAsia="Arial" w:hAnsi="Arial"/>
          <w:sz w:val="17"/>
          <w:szCs w:val="17"/>
          <w:color w:val="auto"/>
        </w:rPr>
        <w:t>We believe the amounts earned by us or charged to us under each of the foregoing arrangements are fair and reasonable. Although the commission rate paid on the title insurance premiums written by the FIS title agencies was set without negotiation, we believe the commissions earned are consistent with the average rate that would be available to a third party title agent given the amount and the geographic distribution of the business produced and the low risk of loss profile of the business placed. In connection with the title plant management and maintenance services provided by FIS, we believe that the fees charged to us by FIS are at approximately the same rates that FIS and other similar vendors charge unaffiliated title insurers. The IT infrastructure support and data center management services provided to us by FIS are priced within the range of prices that FIS offers to its unaffiliated third party customers for the same types of services. However, the amounts we earned or were charged under these arrangements were not negotiated at arm’s length, and may not represent the terms that we might have obtained from an unrelated third party.</w:t>
      </w:r>
    </w:p>
    <w:p>
      <w:pPr>
        <w:spacing w:after="0" w:line="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Notes receivable from FNF, due from FNF and notes payable to FNF as of December 31, 2005 and December 31, 2004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55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299"/>
              <w:spacing w:after="0"/>
              <w:rPr>
                <w:sz w:val="20"/>
                <w:szCs w:val="20"/>
                <w:color w:val="auto"/>
              </w:rPr>
            </w:pPr>
            <w:r>
              <w:rPr>
                <w:rFonts w:ascii="Arial" w:cs="Arial" w:eastAsia="Arial" w:hAnsi="Arial"/>
                <w:sz w:val="14"/>
                <w:szCs w:val="14"/>
                <w:b w:val="1"/>
                <w:bCs w:val="1"/>
                <w:color w:val="auto"/>
                <w:w w:val="92"/>
              </w:rPr>
              <w:t>December 31,</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55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3"/>
                <w:szCs w:val="13"/>
                <w:color w:val="auto"/>
              </w:rPr>
            </w:pPr>
          </w:p>
        </w:tc>
      </w:tr>
      <w:tr>
        <w:trPr>
          <w:trHeight w:val="156"/>
        </w:trPr>
        <w:tc>
          <w:tcPr>
            <w:tcW w:w="55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4"/>
          </w:tcPr>
          <w:p>
            <w:pPr>
              <w:jc w:val="center"/>
              <w:ind w:left="299"/>
              <w:spacing w:after="0" w:line="155" w:lineRule="exact"/>
              <w:rPr>
                <w:sz w:val="20"/>
                <w:szCs w:val="20"/>
                <w:color w:val="auto"/>
              </w:rPr>
            </w:pPr>
            <w:r>
              <w:rPr>
                <w:rFonts w:ascii="Arial" w:cs="Arial" w:eastAsia="Arial" w:hAnsi="Arial"/>
                <w:sz w:val="14"/>
                <w:szCs w:val="14"/>
                <w:b w:val="1"/>
                <w:bCs w:val="1"/>
                <w:color w:val="auto"/>
                <w:w w:val="96"/>
              </w:rPr>
              <w:t>(In millions)</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from FNF</w:t>
            </w:r>
          </w:p>
        </w:tc>
        <w:tc>
          <w:tcPr>
            <w:tcW w:w="3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Due from FNF</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32.7</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63.7</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FNF</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jc w:val="center"/>
        <w:ind w:right="540"/>
        <w:spacing w:after="0"/>
        <w:rPr>
          <w:sz w:val="20"/>
          <w:szCs w:val="20"/>
          <w:color w:val="auto"/>
        </w:rPr>
      </w:pPr>
      <w:r>
        <w:rPr>
          <w:rFonts w:ascii="Arial" w:cs="Arial" w:eastAsia="Arial" w:hAnsi="Arial"/>
          <w:sz w:val="17"/>
          <w:szCs w:val="17"/>
          <w:color w:val="auto"/>
        </w:rPr>
        <w:t>We have notes receivable from FNF relating to agreements between our title underwriters and FNF. These notes amounted to $19.0 million and</w:t>
      </w:r>
    </w:p>
    <w:p>
      <w:pPr>
        <w:spacing w:after="0" w:line="35"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$22.8 million at December 31, 2005 and 2004, respectively. As of December 31, 2005, these notes bear interest at 5.1%. We earned interest revenue of $1.0 million, $1.0 million, and $0.7 million relating to these notes during 2005, 2004, and 2003, respectively.</w:t>
      </w:r>
    </w:p>
    <w:p>
      <w:pPr>
        <w:spacing w:after="0" w:line="76" w:lineRule="exact"/>
        <w:rPr>
          <w:sz w:val="20"/>
          <w:szCs w:val="20"/>
          <w:color w:val="auto"/>
        </w:rPr>
      </w:pPr>
    </w:p>
    <w:p>
      <w:pPr>
        <w:ind w:right="360" w:firstLine="267"/>
        <w:spacing w:after="0" w:line="308" w:lineRule="auto"/>
        <w:rPr>
          <w:sz w:val="20"/>
          <w:szCs w:val="20"/>
          <w:color w:val="auto"/>
        </w:rPr>
      </w:pPr>
      <w:r>
        <w:rPr>
          <w:rFonts w:ascii="Arial" w:cs="Arial" w:eastAsia="Arial" w:hAnsi="Arial"/>
          <w:sz w:val="17"/>
          <w:szCs w:val="17"/>
          <w:color w:val="auto"/>
        </w:rPr>
        <w:t>We are included in FNF’s consolidated tax returns and thus any income tax liability or receivable is due to/from FNF. Due from FNF at December 31, 2005 and 2004, includes a receivable from FNF relating to overpayment of taxes of $11.5 million and $63.6 million, respectively.</w:t>
      </w:r>
    </w:p>
    <w:p>
      <w:pPr>
        <w:spacing w:after="0" w:line="38" w:lineRule="exact"/>
        <w:rPr>
          <w:sz w:val="20"/>
          <w:szCs w:val="20"/>
          <w:color w:val="auto"/>
        </w:rPr>
      </w:pPr>
    </w:p>
    <w:p>
      <w:pPr>
        <w:ind w:right="20" w:firstLine="270"/>
        <w:spacing w:after="0" w:line="269" w:lineRule="auto"/>
        <w:rPr>
          <w:sz w:val="20"/>
          <w:szCs w:val="20"/>
          <w:color w:val="auto"/>
        </w:rPr>
      </w:pPr>
      <w:r>
        <w:rPr>
          <w:rFonts w:ascii="Arial" w:cs="Arial" w:eastAsia="Arial" w:hAnsi="Arial"/>
          <w:sz w:val="17"/>
          <w:szCs w:val="17"/>
          <w:color w:val="auto"/>
        </w:rPr>
        <w:t>On September 30, 2005, we issued two $250 million intercompany notes payable to FNF (the “Mirror Notes”), with terms that mirrored FNF’s existing $250 million 7.30% public debentures due in August 2011 and $250 million 5.25% public debentures due in March 2013. Following the issuance of the Mirror Notes, we filed a Registration Statement on Form S-4, pursuant to which we offered to accept the outstanding FNF notes in exchange for FNT notes we issued having substantially the same terms. On January 18, 2006, we completed these exchange offers and received $241,347,000 in aggregate principal amount of FNF’s 7.30% Notes due August 15, 2011, and the entire $250,000,000 in aggregate principal of FNF’s 5.25% Notes due March 15, 2013. The FNF notes received by us in the exchange were subsequently delivered to FNF in partial redemption of the 7.30% Mirror Note due August 15, 2011, and in full redemption of the 5.25% Mirror Note due March 15, 2013. In order to reflect the partial redemption of the 7.30% Mirror Note due August 15, 2011, the original note has been replaced with an identical Mirror Note with a principal balance of $8,653,000, which reflects the unredeemed portion of the original Mirror Note. Interest on each mirror note has been accrued from the last date on which interest on the corresponding FNF notes was paid and at the same rate. We may seek to acquire some or all of the 7.30% FNF Notes remaining outstanding, through purchases in the open market, privately negotiated purchases or otherwise. In the event that any such notes are acquired by us, we anticipate that we would deliver them to FNF in further redemption of the remaining 7.30% Mirror Note due August 15, 2011.</w:t>
      </w:r>
    </w:p>
    <w:p>
      <w:pPr>
        <w:spacing w:after="0" w:line="72"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On October 24, 2005, we borrowed $150 million under our revolving credit facility and paid it to FNF in satisfaction of a $150 million intercompany note issued by one of our subsidiaries to FNF in August 2005.</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jc w:val="both"/>
        <w:ind w:firstLine="267"/>
        <w:spacing w:after="0" w:line="302" w:lineRule="auto"/>
        <w:rPr>
          <w:sz w:val="20"/>
          <w:szCs w:val="20"/>
          <w:color w:val="auto"/>
        </w:rPr>
      </w:pPr>
      <w:r>
        <w:rPr>
          <w:rFonts w:ascii="Arial" w:cs="Arial" w:eastAsia="Arial" w:hAnsi="Arial"/>
          <w:sz w:val="16"/>
          <w:szCs w:val="16"/>
          <w:color w:val="auto"/>
        </w:rPr>
        <w:t>Title insurance revenue is closely related to the level of real estate activity and the average price of real estate sales. Real estate sales are directly affected by the availability of funds to finance purchases, predominantly mortgage interest rates. Other factors affecting real estate activity include, but are not limited to, demand for housing, employment levels, family income levels and general economic conditions. In addition to real estate sales, mortgage refinancing is an important source of title insurance revenue. We have found that residential real estate activity generally decreases in the following situations:</w:t>
      </w:r>
    </w:p>
    <w:p>
      <w:pPr>
        <w:spacing w:after="0" w:line="46" w:lineRule="exact"/>
        <w:rPr>
          <w:sz w:val="20"/>
          <w:szCs w:val="20"/>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when mortgage interest rates are high or increasing;</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when the mortgage funding supply is limited;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when the United States economy is weak.</w:t>
      </w:r>
    </w:p>
    <w:p>
      <w:pPr>
        <w:spacing w:after="0" w:line="117"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Because commercial real estate transactions tend to be driven more by supply and demand for commercial space and occupancy rates in a particular area rather than by macroeconomic events, our commercial real estate title insurance business can generate revenues which are not dependent on the industry cycles discussed above.</w:t>
      </w:r>
    </w:p>
    <w:p>
      <w:pPr>
        <w:spacing w:after="0" w:line="73" w:lineRule="exact"/>
        <w:rPr>
          <w:sz w:val="20"/>
          <w:szCs w:val="20"/>
          <w:color w:val="auto"/>
        </w:rPr>
      </w:pPr>
    </w:p>
    <w:p>
      <w:pPr>
        <w:ind w:firstLine="270"/>
        <w:spacing w:after="0" w:line="268" w:lineRule="auto"/>
        <w:rPr>
          <w:sz w:val="20"/>
          <w:szCs w:val="20"/>
          <w:color w:val="auto"/>
        </w:rPr>
      </w:pPr>
      <w:r>
        <w:rPr>
          <w:rFonts w:ascii="Arial" w:cs="Arial" w:eastAsia="Arial" w:hAnsi="Arial"/>
          <w:sz w:val="17"/>
          <w:szCs w:val="17"/>
          <w:color w:val="auto"/>
        </w:rPr>
        <w:t>Because these factors can change dramatically, revenue levels in the title insurance industry can also change dramatically. For example, beginning in the second half of 1999 and through 2000, steady interest rate increases caused by actions taken by the Federal Reserve Board resulted in a significant decline in refinancing transactions. As a result, the market shifted from a refinance-driven market in 1998 to a more traditional market driven by new home purchases and resales in 1999 and 2000. However, beginning in January 2001 and continuing through June of 2003, the Federal Reserve Board reduced interest rates by 550 basis points, bringing interest rates down to their lowest level in recent history, which again significantly increased the volume of refinance activity. In 2004 and 2005, mortgage rates increased as the Federal Reserve Board increased interest rates by 325 basis points since June 2004, resulting in decreases in refinance activity. Notwithstanding the increase in interest rates, home prices appreciated strongly in many markets in 2004, benefiting our revenues. In 2005, refinance activity has been lower than in 2004, but purchase loan originations have continued to increase and home prices have continued to appreciate. The decreased refinance activity is evidenced by the Mortgage Bankers Association’s (“MBA”) statistics showing that approximately 46.5% of new loan originations in 2005 were refinance transactions as compared with approximately 52.8% in 2004. The ten-year treasury rate has increased from 3.0% in June 2003 to 4.5% at the end of 2005. According to the MBA, U.S. mortgage originations (including refinancings) were approximately $2.4 trillion, $2.8 trillion, and $3.8 trillion in 2005, 2004, and 2003, respectively. The MBA’s Mortgage Finance Forecast estimates a $2.24 trillion mortgage origination market for 2006, which would be a 19.2% decrease from 2005. The MBA further predicts that the 19.2% decrease will result from purchase transactions declining from $1.49 billion in 2005 to $1.43 billion in 2006, or 3.6%, and refinancing transactions dropping from $1.29 billion to $0.81 billion, or 37.1%. We expect that current interest rate levels and any future increase in interest rates will most likely result in lower levels of mortgage originations in 2006 than in 2005 or 2004.</w:t>
      </w:r>
    </w:p>
    <w:p>
      <w:pPr>
        <w:spacing w:after="0" w:line="73"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Historically, real estate transactions have produced seasonal revenue levels for title insurers. The first calendar quarter is typically the weakest quarter in terms of revenue due to the generally low volume of home sales during January and February. The third calendar quarter is typically the strongest in terms of revenue due to a higher volume of home sales in the summer months and the fourth quarter is also strong due to commercial customers desiring to complete transactions by year end. Significant changes in interest rates may alter these traditional seasonal patterns due to the effect the cost of financing has on the volume of real estate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40" w:firstLine="267"/>
        <w:spacing w:after="0" w:line="286" w:lineRule="auto"/>
        <w:rPr>
          <w:sz w:val="20"/>
          <w:szCs w:val="20"/>
          <w:color w:val="auto"/>
        </w:rPr>
      </w:pPr>
      <w:r>
        <w:rPr>
          <w:rFonts w:ascii="Arial" w:cs="Arial" w:eastAsia="Arial" w:hAnsi="Arial"/>
          <w:sz w:val="17"/>
          <w:szCs w:val="17"/>
          <w:color w:val="auto"/>
        </w:rPr>
        <w:t>The accounting estimates described below are those we consider critical in preparing our Consolidated and Combined Financial Statements. Management is required to make estimates and assumptions that can affect the reported amounts of assets and liabilities and disclosures with respect to contingent assets and liabilities at the date of the Consolidated and Combined Financial Statements and the reported amounts of</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revenues and expenses during the reporting period. Actual amounts could differ from those estimates. See Note A of Notes to the Consolidated and Combined Financial Statements for a more detailed description of the significant accounting policies that have been followed in preparing our financial statements.</w:t>
      </w:r>
    </w:p>
    <w:p>
      <w:pPr>
        <w:spacing w:after="0" w:line="16" w:lineRule="exact"/>
        <w:rPr>
          <w:sz w:val="20"/>
          <w:szCs w:val="20"/>
          <w:color w:val="auto"/>
        </w:rPr>
      </w:pPr>
    </w:p>
    <w:p>
      <w:pPr>
        <w:ind w:firstLine="270"/>
        <w:spacing w:after="0" w:line="272" w:lineRule="auto"/>
        <w:rPr>
          <w:sz w:val="20"/>
          <w:szCs w:val="20"/>
          <w:color w:val="auto"/>
        </w:rPr>
      </w:pPr>
      <w:r>
        <w:rPr>
          <w:rFonts w:ascii="Arial" w:cs="Arial" w:eastAsia="Arial" w:hAnsi="Arial"/>
          <w:sz w:val="17"/>
          <w:szCs w:val="17"/>
          <w:i w:val="1"/>
          <w:iCs w:val="1"/>
          <w:color w:val="auto"/>
        </w:rPr>
        <w:t xml:space="preserve">Reserve for Claim Losses. </w:t>
      </w:r>
      <w:r>
        <w:rPr>
          <w:rFonts w:ascii="Arial" w:cs="Arial" w:eastAsia="Arial" w:hAnsi="Arial"/>
          <w:sz w:val="17"/>
          <w:szCs w:val="17"/>
          <w:color w:val="auto"/>
        </w:rPr>
        <w:t>Title companies issue two types of policies since both the buyer and lender in real estate transactions want to know that their</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in the property is insured against certain title defects outlined in the policy. An owner’s policy insures the buyer against such defects for as long as he or she owns the property (as well as against warranty claims arising out of the sale of the property by such owner). A lender’s policy insures the priority of the lender’s security interest over the claims that other parties may have in the property. The maximum amount of liability under a title insurance policy is generally the face amount of the policy plus the cost of defending the insured’s title against an adverse claim. While most non-title forms of insurance, including property and casualty, provide for the assumption of risk of loss arising out of unforeseen future events, title insurance serves to protect the policyholder from risk of loss from events that predated the issuance of the policy.</w:t>
      </w:r>
    </w:p>
    <w:p>
      <w:pPr>
        <w:spacing w:after="0" w:line="70" w:lineRule="exact"/>
        <w:rPr>
          <w:sz w:val="20"/>
          <w:szCs w:val="20"/>
          <w:color w:val="auto"/>
        </w:rPr>
      </w:pPr>
    </w:p>
    <w:p>
      <w:pPr>
        <w:ind w:right="20" w:firstLine="270"/>
        <w:spacing w:after="0" w:line="286" w:lineRule="auto"/>
        <w:rPr>
          <w:sz w:val="20"/>
          <w:szCs w:val="20"/>
          <w:color w:val="auto"/>
        </w:rPr>
      </w:pPr>
      <w:r>
        <w:rPr>
          <w:rFonts w:ascii="Arial" w:cs="Arial" w:eastAsia="Arial" w:hAnsi="Arial"/>
          <w:sz w:val="17"/>
          <w:szCs w:val="17"/>
          <w:color w:val="auto"/>
        </w:rPr>
        <w:t>Unlike many other forms of insurance, title insurance requires only a one-time premium for continuous coverage until another policy is warranted due to changes in property circumstances arising from refinance, resale, additional liens, or other events. Unless we issue the subsequent policy, we receive no notice that our exposure under our policy has ended and as a result we are unable to track the actual terminations of our exposures.</w:t>
      </w:r>
    </w:p>
    <w:p>
      <w:pPr>
        <w:spacing w:after="0" w:line="57" w:lineRule="exact"/>
        <w:rPr>
          <w:sz w:val="20"/>
          <w:szCs w:val="20"/>
          <w:color w:val="auto"/>
        </w:rPr>
      </w:pPr>
    </w:p>
    <w:p>
      <w:pPr>
        <w:ind w:right="40" w:firstLine="270"/>
        <w:spacing w:after="0" w:line="276" w:lineRule="auto"/>
        <w:rPr>
          <w:sz w:val="20"/>
          <w:szCs w:val="20"/>
          <w:color w:val="auto"/>
        </w:rPr>
      </w:pPr>
      <w:r>
        <w:rPr>
          <w:rFonts w:ascii="Arial" w:cs="Arial" w:eastAsia="Arial" w:hAnsi="Arial"/>
          <w:sz w:val="17"/>
          <w:szCs w:val="17"/>
          <w:color w:val="auto"/>
        </w:rPr>
        <w:t>Our reserve for claim losses includes reserves for known claims (“PLR”)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escrow, closing and disbursement functions due to fraud or operational error.</w:t>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table below summarizes our reserves for known claims and incurred but not reported claims.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w w:val="93"/>
              </w:rPr>
              <w:t>As of December 31,</w:t>
            </w:r>
          </w:p>
        </w:tc>
        <w:tc>
          <w:tcPr>
            <w:tcW w:w="7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8"/>
              </w:rPr>
              <w:t>As of December 31,</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2005</w:t>
            </w:r>
          </w:p>
        </w:tc>
        <w:tc>
          <w:tcPr>
            <w:tcW w:w="780" w:type="dxa"/>
            <w:vAlign w:val="bottom"/>
          </w:tcPr>
          <w:p>
            <w:pPr>
              <w:spacing w:after="0"/>
              <w:rPr>
                <w:sz w:val="13"/>
                <w:szCs w:val="13"/>
                <w:color w:val="auto"/>
              </w:rPr>
            </w:pPr>
          </w:p>
        </w:tc>
        <w:tc>
          <w:tcPr>
            <w:tcW w:w="700" w:type="dxa"/>
            <w:vAlign w:val="bottom"/>
            <w:tcBorders>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jc w:val="right"/>
              <w:ind w:right="37"/>
              <w:spacing w:after="0" w:line="155" w:lineRule="exact"/>
              <w:rPr>
                <w:sz w:val="20"/>
                <w:szCs w:val="20"/>
                <w:color w:val="auto"/>
              </w:rPr>
            </w:pPr>
            <w:r>
              <w:rPr>
                <w:rFonts w:ascii="Arial" w:cs="Arial" w:eastAsia="Arial" w:hAnsi="Arial"/>
                <w:sz w:val="14"/>
                <w:szCs w:val="14"/>
                <w:b w:val="1"/>
                <w:bCs w:val="1"/>
                <w:color w:val="auto"/>
              </w:rPr>
              <w:t>(In</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71"/>
              </w:rPr>
              <w:t>thousands)</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PLR</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231,007</w:t>
            </w:r>
          </w:p>
        </w:tc>
        <w:tc>
          <w:tcPr>
            <w:tcW w:w="7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13"/>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223,202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IBNR</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832,850</w:t>
            </w:r>
          </w:p>
        </w:tc>
        <w:tc>
          <w:tcPr>
            <w:tcW w:w="780" w:type="dxa"/>
            <w:vAlign w:val="bottom"/>
          </w:tcPr>
          <w:p>
            <w:pPr>
              <w:spacing w:after="0"/>
              <w:rPr>
                <w:sz w:val="18"/>
                <w:szCs w:val="18"/>
                <w:color w:val="auto"/>
              </w:rPr>
            </w:pPr>
          </w:p>
        </w:tc>
        <w:tc>
          <w:tcPr>
            <w:tcW w:w="1220" w:type="dxa"/>
            <w:vAlign w:val="bottom"/>
            <w:gridSpan w:val="2"/>
          </w:tcPr>
          <w:p>
            <w:pPr>
              <w:jc w:val="right"/>
              <w:ind w:right="313"/>
              <w:spacing w:after="0"/>
              <w:rPr>
                <w:sz w:val="20"/>
                <w:szCs w:val="20"/>
                <w:color w:val="auto"/>
              </w:rPr>
            </w:pPr>
            <w:r>
              <w:rPr>
                <w:rFonts w:ascii="Arial" w:cs="Arial" w:eastAsia="Arial" w:hAnsi="Arial"/>
                <w:sz w:val="18"/>
                <w:szCs w:val="18"/>
                <w:color w:val="auto"/>
              </w:rPr>
              <w:t>78.3%</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757,544</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Reserve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1,063,857</w:t>
            </w:r>
          </w:p>
        </w:tc>
        <w:tc>
          <w:tcPr>
            <w:tcW w:w="7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13"/>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980,746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40" w:firstLine="260"/>
        <w:spacing w:after="0" w:line="279" w:lineRule="auto"/>
        <w:rPr>
          <w:sz w:val="20"/>
          <w:szCs w:val="20"/>
          <w:color w:val="auto"/>
        </w:rPr>
      </w:pPr>
      <w:r>
        <w:rPr>
          <w:rFonts w:ascii="Arial" w:cs="Arial" w:eastAsia="Arial" w:hAnsi="Arial"/>
          <w:sz w:val="17"/>
          <w:szCs w:val="17"/>
          <w:color w:val="auto"/>
        </w:rPr>
        <w:t>Although most claims against title insurance policies are reported relatively soon after the policy has been issued, claims may be reported many years later. By their nature,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63" w:lineRule="exact"/>
        <w:rPr>
          <w:sz w:val="20"/>
          <w:szCs w:val="20"/>
          <w:color w:val="auto"/>
        </w:rPr>
      </w:pPr>
    </w:p>
    <w:p>
      <w:pPr>
        <w:ind w:firstLine="267"/>
        <w:spacing w:after="0" w:line="291" w:lineRule="auto"/>
        <w:rPr>
          <w:sz w:val="20"/>
          <w:szCs w:val="20"/>
          <w:color w:val="auto"/>
        </w:rPr>
      </w:pPr>
      <w:r>
        <w:rPr>
          <w:rFonts w:ascii="Arial" w:cs="Arial" w:eastAsia="Arial" w:hAnsi="Arial"/>
          <w:sz w:val="16"/>
          <w:szCs w:val="16"/>
          <w:color w:val="auto"/>
        </w:rPr>
        <w:t>We continually update loss reserve estimates by utilizing both internal and external resources. Management performs a detailed study of loss reserves based upon the latest available information at the end of each quarter and year. In addition, an independent actuarial consulting firm assists us in analyzing our historic loss experience and developing statistical models to project ultimate loss expectancy. The actuaries prepare a formal analysis of our reserves at December 31 each year. Management examines both the quantitative and qualitative data provided by both the independent actuaries and internal sources such as our legal, claims, and underwriting departments to ultimately arrive at our best reserve estimate. Regardless of technique, all methods involve significant judgment and assumptions. Management strives to improve its loss reserve estimation process by enhancing its ability to analyze loss development patterns and we continually look for ways to identify new trends to reduce the uncertainty of our loss exposure. However, adjustments may be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required as experience develops unexpectedly, new information becomes known, new loss patterns emerge, or as other contributing factors are considered and incorporated into the analysis.</w:t>
      </w:r>
    </w:p>
    <w:p>
      <w:pPr>
        <w:spacing w:after="0" w:line="62" w:lineRule="exact"/>
        <w:rPr>
          <w:sz w:val="20"/>
          <w:szCs w:val="20"/>
          <w:color w:val="auto"/>
        </w:rPr>
      </w:pPr>
    </w:p>
    <w:p>
      <w:pPr>
        <w:ind w:right="120" w:firstLine="270"/>
        <w:spacing w:after="0" w:line="293" w:lineRule="auto"/>
        <w:rPr>
          <w:sz w:val="20"/>
          <w:szCs w:val="20"/>
          <w:color w:val="auto"/>
        </w:rPr>
      </w:pPr>
      <w:r>
        <w:rPr>
          <w:rFonts w:ascii="Arial" w:cs="Arial" w:eastAsia="Arial" w:hAnsi="Arial"/>
          <w:sz w:val="16"/>
          <w:szCs w:val="16"/>
          <w:color w:val="auto"/>
        </w:rPr>
        <w:t>Predicting ultimate loss exposure is predicated on evaluating past experience and adjusting for changes in current development and trends. Our independent actuaries’ work includes two principal steps. First, they use an actuarial technique known as the loss development method to calculate loss development factors for the Company. The loss development factors forecast ultimate losses for each policy year based on historic emergence patterns of the Company. Older policy year experience is applied to newer policy years to project future development. When new trends surface, the loss development factors are adjusted to incorporate the more recent development phenomena. Changes in homeownership patterns, increased property turnover rates, and a boom in refinance transactions all are examples of current events that reduce the tail exposure of the loss pattern and warrant these adjustments.</w:t>
      </w:r>
    </w:p>
    <w:p>
      <w:pPr>
        <w:spacing w:after="0" w:line="57" w:lineRule="exact"/>
        <w:rPr>
          <w:sz w:val="20"/>
          <w:szCs w:val="20"/>
          <w:color w:val="auto"/>
        </w:rPr>
      </w:pPr>
    </w:p>
    <w:p>
      <w:pPr>
        <w:ind w:right="140" w:firstLine="270"/>
        <w:spacing w:after="0" w:line="257" w:lineRule="auto"/>
        <w:rPr>
          <w:sz w:val="20"/>
          <w:szCs w:val="20"/>
          <w:color w:val="auto"/>
        </w:rPr>
      </w:pPr>
      <w:r>
        <w:rPr>
          <w:rFonts w:ascii="Arial" w:cs="Arial" w:eastAsia="Arial" w:hAnsi="Arial"/>
          <w:sz w:val="18"/>
          <w:szCs w:val="18"/>
          <w:color w:val="auto"/>
        </w:rPr>
        <w:t>In the second step, the loss development factors calculated in the first step are used to determine the portion of ultimate loss already reported. The percentage of ultimate losses not yet reported is then applied to the expected losses, which are estimated as the product of written premium and an expected loss ratio. The expected loss ratios are derived from an econometric model of the title insurance industry incorporating various economic variables including interest rates as well as industry related developments such as title plant automation and defalcations, which are misappropriations of funds from escrow accounts, to arrive at an expected loss ratio for each policy year.</w:t>
      </w:r>
    </w:p>
    <w:p>
      <w:pPr>
        <w:spacing w:after="0" w:line="80"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Using the above approach, our external actuaries develop a single point estimate rather than a range of reserves or a set of point estimates. The point estimate provided by our independent actuaries, combined with our known claim reserves, aggregated $1,147.5 million at December 31, 2005, as compared with our carried reserve of $1,063.9 million, a difference of $83.6 million, or 7.3%. Different professional judgment in three critical assumptions was the primary driver of the difference between the independent actuary’s point estimate and our carried reserve level: different weight given to a separate projection of individually significant losses (losses greater than $500,000); adjustments based on recent experience to realize emerging changes in refinance versus home sale activity; and cost reduction expectations with respect to of unallocated loss adjustment expense (“ULAE”) reserves. In the independent actuary’s estimate approximately one half of the effect of projecting significant losses separately was taken into consideration; whereas, our management applied full weight to such analysis. Additionally, the independent actuary’s estimate placed less weight on the effects of refinancings in the 2001-2002 policy years, some of the largest refinance years in history; whereas our management placed moderately greater weights on the effects of refinancing assumptions in such years. Finally, adjustments to the ULAE reserves were supported by management’s analysis of the true costs expected to be incurred in a claims run-off scenario.</w:t>
      </w:r>
    </w:p>
    <w:p>
      <w:pPr>
        <w:spacing w:after="0" w:line="61"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In our reserve setting process, our independent actuaries fulfill a function, which is to provide information that is utilized as part of the overall mix of information that our management uses to set our reserves, but this is only one component of management’s evaluation process. While there can be no assurance as to the precision of loss reserve estimates, as shown in the table below, our development on prior years’ loss reserves over the past three years has generally been within a narrow range using the reserve setting processes described above.</w:t>
      </w:r>
    </w:p>
    <w:p>
      <w:pPr>
        <w:spacing w:after="0" w:line="79" w:lineRule="exact"/>
        <w:rPr>
          <w:sz w:val="20"/>
          <w:szCs w:val="20"/>
          <w:color w:val="auto"/>
        </w:rPr>
      </w:pPr>
    </w:p>
    <w:p>
      <w:pPr>
        <w:ind w:right="140" w:firstLine="270"/>
        <w:spacing w:after="0" w:line="257" w:lineRule="auto"/>
        <w:rPr>
          <w:sz w:val="20"/>
          <w:szCs w:val="20"/>
          <w:color w:val="auto"/>
        </w:rPr>
      </w:pPr>
      <w:r>
        <w:rPr>
          <w:rFonts w:ascii="Arial" w:cs="Arial" w:eastAsia="Arial" w:hAnsi="Arial"/>
          <w:sz w:val="18"/>
          <w:szCs w:val="18"/>
          <w:color w:val="auto"/>
        </w:rPr>
        <w:t>Our analysis of our reserves as of December 31, 2005 demonstrates management’s continued efforts to improve its loss reserve estimate. In 2004, we incorporated into our methodology a separate analysis of mega claims (defined as claims with incurred amounts greater than $500,000). Prior to the separate analysis of mega claims, such claims influenced the loss development factors used in the actuarial methods by creating a multiplicative effect for newer policy years’ loss projections. The adjudication of mega claims is handled by specific attorneys and may have different emergence patterns than non-mega title claims.</w:t>
      </w:r>
    </w:p>
    <w:p>
      <w:pPr>
        <w:spacing w:after="0" w:line="80" w:lineRule="exact"/>
        <w:rPr>
          <w:sz w:val="20"/>
          <w:szCs w:val="20"/>
          <w:color w:val="auto"/>
        </w:rPr>
      </w:pPr>
    </w:p>
    <w:p>
      <w:pPr>
        <w:jc w:val="both"/>
        <w:ind w:right="80" w:firstLine="270"/>
        <w:spacing w:after="0" w:line="286" w:lineRule="auto"/>
        <w:rPr>
          <w:sz w:val="20"/>
          <w:szCs w:val="20"/>
          <w:color w:val="auto"/>
        </w:rPr>
      </w:pPr>
      <w:r>
        <w:rPr>
          <w:rFonts w:ascii="Arial" w:cs="Arial" w:eastAsia="Arial" w:hAnsi="Arial"/>
          <w:sz w:val="17"/>
          <w:szCs w:val="17"/>
          <w:color w:val="auto"/>
        </w:rPr>
        <w:t>In addition, adjustments were made to reflect the reduced ultimate exposure of recent policy years due to unprecedented refinancing activity and property turnover rates. Our hypothesis, which is supported by recent data, is that a lower percentage of policies from prior years remain in force due to the substantial turnover in property mortgages. Furthermore, it is our belief that refinance transactions develop differently than resale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transactions in that there appears to be an acceleration of claim activity as claims are reported more quickly. As a result, we have incorporated the effect of these assumptions into our loss projections.</w:t>
      </w:r>
    </w:p>
    <w:p>
      <w:pPr>
        <w:spacing w:after="0" w:line="62" w:lineRule="exact"/>
        <w:rPr>
          <w:sz w:val="20"/>
          <w:szCs w:val="20"/>
          <w:color w:val="auto"/>
        </w:rPr>
      </w:pPr>
    </w:p>
    <w:p>
      <w:pPr>
        <w:ind w:right="60" w:firstLine="267"/>
        <w:spacing w:after="0" w:line="259" w:lineRule="auto"/>
        <w:rPr>
          <w:sz w:val="20"/>
          <w:szCs w:val="20"/>
          <w:color w:val="auto"/>
        </w:rPr>
      </w:pPr>
      <w:r>
        <w:rPr>
          <w:rFonts w:ascii="Arial" w:cs="Arial" w:eastAsia="Arial" w:hAnsi="Arial"/>
          <w:sz w:val="18"/>
          <w:szCs w:val="18"/>
          <w:color w:val="auto"/>
        </w:rPr>
        <w:t>The table below presents our loss development experience for the past three years. As can be seen in the table, the variability in loss estimates over the past three years has ranged from favorable development in an amount equal to 0.3% of title premiums to adverse development of 0.7% of title premiums with the average being unfavorable development of 0.4% over the three year period. Assuming that variability of potential reserve estimates is + or - 0.4%, the effect on pretax earnings would be as presented in the last line of the table.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2004</w:t>
            </w:r>
          </w:p>
        </w:tc>
        <w:tc>
          <w:tcPr>
            <w:tcW w:w="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52"/>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980,746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932,439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887,973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60"/>
              <w:spacing w:after="0"/>
              <w:rPr>
                <w:sz w:val="20"/>
                <w:szCs w:val="20"/>
                <w:color w:val="auto"/>
              </w:rPr>
            </w:pPr>
            <w:r>
              <w:rPr>
                <w:rFonts w:ascii="Arial" w:cs="Arial" w:eastAsia="Arial" w:hAnsi="Arial"/>
                <w:sz w:val="18"/>
                <w:szCs w:val="18"/>
                <w:color w:val="auto"/>
              </w:rPr>
              <w:t>Reserve Assumed</w:t>
            </w:r>
          </w:p>
        </w:tc>
        <w:tc>
          <w:tcPr>
            <w:tcW w:w="28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38,597</w:t>
            </w:r>
          </w:p>
        </w:tc>
        <w:tc>
          <w:tcPr>
            <w:tcW w:w="28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4,203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Claims Loss provision related to:</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520"/>
              <w:spacing w:after="0"/>
              <w:rPr>
                <w:sz w:val="20"/>
                <w:szCs w:val="20"/>
                <w:color w:val="auto"/>
              </w:rPr>
            </w:pPr>
            <w:r>
              <w:rPr>
                <w:rFonts w:ascii="Arial" w:cs="Arial" w:eastAsia="Arial" w:hAnsi="Arial"/>
                <w:sz w:val="18"/>
                <w:szCs w:val="18"/>
                <w:color w:val="auto"/>
              </w:rPr>
              <w:t>Current year</w:t>
            </w:r>
          </w:p>
        </w:tc>
        <w:tc>
          <w:tcPr>
            <w:tcW w:w="28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319,730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275,982</w:t>
            </w:r>
          </w:p>
        </w:tc>
        <w:tc>
          <w:tcPr>
            <w:tcW w:w="28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237,919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Prior years</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34,980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(16,580)</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820"/>
              <w:spacing w:after="0"/>
              <w:rPr>
                <w:sz w:val="20"/>
                <w:szCs w:val="20"/>
                <w:color w:val="auto"/>
              </w:rPr>
            </w:pPr>
            <w:r>
              <w:rPr>
                <w:rFonts w:ascii="Arial" w:cs="Arial" w:eastAsia="Arial" w:hAnsi="Arial"/>
                <w:sz w:val="18"/>
                <w:szCs w:val="18"/>
                <w:color w:val="auto"/>
              </w:rPr>
              <w:t>Total claims loss provision</w:t>
            </w: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354,710</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259,402</w:t>
            </w:r>
          </w:p>
        </w:tc>
        <w:tc>
          <w:tcPr>
            <w:tcW w:w="7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248,834</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Claims paid, net of recoupments related to:</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520"/>
              <w:spacing w:after="0"/>
              <w:rPr>
                <w:sz w:val="20"/>
                <w:szCs w:val="20"/>
                <w:color w:val="auto"/>
              </w:rPr>
            </w:pPr>
            <w:r>
              <w:rPr>
                <w:rFonts w:ascii="Arial" w:cs="Arial" w:eastAsia="Arial" w:hAnsi="Arial"/>
                <w:sz w:val="18"/>
                <w:szCs w:val="18"/>
                <w:color w:val="auto"/>
              </w:rPr>
              <w:t>Current year</w:t>
            </w:r>
          </w:p>
        </w:tc>
        <w:tc>
          <w:tcPr>
            <w:tcW w:w="2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(14,479)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right"/>
              <w:ind w:right="720"/>
              <w:spacing w:after="0"/>
              <w:rPr>
                <w:sz w:val="20"/>
                <w:szCs w:val="20"/>
                <w:color w:val="auto"/>
              </w:rPr>
            </w:pPr>
            <w:r>
              <w:rPr>
                <w:rFonts w:ascii="Arial" w:cs="Arial" w:eastAsia="Arial" w:hAnsi="Arial"/>
                <w:sz w:val="18"/>
                <w:szCs w:val="18"/>
                <w:color w:val="auto"/>
              </w:rPr>
              <w:t>(19,095)</w:t>
            </w:r>
          </w:p>
        </w:tc>
        <w:tc>
          <w:tcPr>
            <w:tcW w:w="2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(11,591)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Prior years</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(258,120)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(230,597)</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(196,980)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820"/>
              <w:spacing w:after="0"/>
              <w:rPr>
                <w:sz w:val="20"/>
                <w:szCs w:val="20"/>
                <w:color w:val="auto"/>
              </w:rPr>
            </w:pPr>
            <w:r>
              <w:rPr>
                <w:rFonts w:ascii="Arial" w:cs="Arial" w:eastAsia="Arial" w:hAnsi="Arial"/>
                <w:sz w:val="18"/>
                <w:szCs w:val="18"/>
                <w:color w:val="auto"/>
              </w:rPr>
              <w:t>Total claims paid, net of recoupments</w:t>
            </w: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(272,599)</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(249,692)</w:t>
            </w:r>
          </w:p>
        </w:tc>
        <w:tc>
          <w:tcPr>
            <w:tcW w:w="7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(208,571)</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1,063,857</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980,746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932,439</w:t>
            </w:r>
          </w:p>
        </w:tc>
        <w:tc>
          <w:tcPr>
            <w:tcW w:w="0" w:type="dxa"/>
            <w:vAlign w:val="bottom"/>
          </w:tcPr>
          <w:p>
            <w:pPr>
              <w:spacing w:after="0"/>
              <w:rPr>
                <w:sz w:val="1"/>
                <w:szCs w:val="1"/>
                <w:color w:val="auto"/>
              </w:rPr>
            </w:pPr>
          </w:p>
        </w:tc>
      </w:tr>
      <w:tr>
        <w:trPr>
          <w:trHeight w:val="21"/>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Title Premiums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60" w:type="dxa"/>
            <w:vAlign w:val="bottom"/>
            <w:gridSpan w:val="2"/>
            <w:vMerge w:val="continue"/>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4,948,613</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4,718,217</w:t>
            </w:r>
          </w:p>
        </w:tc>
        <w:tc>
          <w:tcPr>
            <w:tcW w:w="7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4,700,750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claim losses as a percentage of title insurance premiums: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520"/>
              <w:spacing w:after="0"/>
              <w:rPr>
                <w:sz w:val="20"/>
                <w:szCs w:val="20"/>
                <w:color w:val="auto"/>
              </w:rPr>
            </w:pPr>
            <w:r>
              <w:rPr>
                <w:rFonts w:ascii="Arial" w:cs="Arial" w:eastAsia="Arial" w:hAnsi="Arial"/>
                <w:sz w:val="18"/>
                <w:szCs w:val="18"/>
                <w:color w:val="auto"/>
              </w:rPr>
              <w:t>Current year</w:t>
            </w: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right"/>
              <w:ind w:right="62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Prior years</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820"/>
              <w:spacing w:after="0"/>
              <w:rPr>
                <w:sz w:val="20"/>
                <w:szCs w:val="20"/>
                <w:color w:val="auto"/>
              </w:rPr>
            </w:pPr>
            <w:r>
              <w:rPr>
                <w:rFonts w:ascii="Arial" w:cs="Arial" w:eastAsia="Arial" w:hAnsi="Arial"/>
                <w:sz w:val="18"/>
                <w:szCs w:val="18"/>
                <w:color w:val="auto"/>
              </w:rPr>
              <w:t>Total Provision</w:t>
            </w: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tcPr>
          <w:p>
            <w:pPr>
              <w:jc w:val="right"/>
              <w:ind w:right="620"/>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Sensitivity Analysis (effect on pretax earnings of a 0.4% loss ratio change)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Ultimate Reserve Estimate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19,794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18,873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18,803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036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0.4% has been selected as an example; actual variability could be greater or less.</w:t>
      </w:r>
    </w:p>
    <w:p>
      <w:pPr>
        <w:spacing w:after="0" w:line="117"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i w:val="1"/>
          <w:iCs w:val="1"/>
          <w:color w:val="auto"/>
        </w:rPr>
        <w:t xml:space="preserve">Valuation of Investments. </w:t>
      </w:r>
      <w:r>
        <w:rPr>
          <w:rFonts w:ascii="Arial" w:cs="Arial" w:eastAsia="Arial" w:hAnsi="Arial"/>
          <w:sz w:val="16"/>
          <w:szCs w:val="16"/>
          <w:color w:val="auto"/>
        </w:rPr>
        <w:t>We regularly review our investment portfolio for factors that may indicate that a decline in fair value of an investment is other-than-temporary. Some factors considered in evaluating whether or not a decline in fair value is other-than-temporary include: (i) our ability and intent to retain the investment for a period of time sufficient to allow for a recovery in value; (ii) the duration and extent to which the fair value has been less than cost; and</w:t>
      </w:r>
    </w:p>
    <w:p>
      <w:pPr>
        <w:ind w:right="80" w:firstLine="8"/>
        <w:spacing w:after="0" w:line="251" w:lineRule="auto"/>
        <w:tabs>
          <w:tab w:leader="none" w:pos="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financial condition and prospects of the issuer. Such reviews are inherently uncertain and the value of the investment may not fully recover or may decline in future periods resulting in a realized loss. Investments are selected for analysis whenever an unrealized loss is greater than a certain threshold that we determine based on the size of our portfolio. Fixed maturity investments that have unrealized losses caused by interest rate movements are not at risk as we have the ability and intent to hold them to maturity. Unrealized losses on investments in equity securities and fixed maturity instruments that are susceptible to credit related declines are evaluated based on the aforementioned factors. Currently available market data is considered and estimates are made as to the duration and prospects for recovery, and the ability to retain the investment until such recovery takes place. These estimates are revisited quarterly and any material degradation in the prospect for recovery will be considered in the other than temporary impairment analysis. We believe that continuous monitoring and analysis has allowed for the proper recognition of other than temporary impairments over the past three year period. Any change in estimate 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this area will have an impact on the results of operations of the period in which a charge is taken. During 2005 and 2004, we recorded other than temporary impairments totaling $6.9 million and $6.6 million, respectively. During 2003, we recorded no other than temporary impairments.</w:t>
      </w:r>
    </w:p>
    <w:p>
      <w:pPr>
        <w:spacing w:after="0" w:line="38"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We have made acquisitions in the past that have resulted in a significant amount of goodwill. As of December 31, 2005 and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2004, goodwill was $1,051.6 million and $959.6 million, respectively. The majority of our goodwill as of December 31, 2005 and 2004 relates to our Chicago Title acquisition. The process of determining whether or not an asset, such as goodwill, is impaired or recoverable relies on projections of future cash flows, operating results and market conditions. While we believe that our estimates of future cash flows are reasonable, these estimates are not guarantees of future performance and are subject to risks and uncertainties that may cause actual results to differ from what is assumed in our impairment tests. In evaluating the recoverability of goodwill, we perform an annual goodwill impairment test based on an analysis of the discounted future cash flows generated by the underlying assets. We have completed our annual goodwill impairment tests in each of the past three years and have determined that we have a fair value in excess of our carrying value. Such analyses are particularly sensitive to changes in estimates of future cash flows and discount rates. Changes to these estimates might result in material changes in fair value and determination of the recoverability of goodwill, which may result in charges against earnings and a reduction in the carrying value of our goodwill.</w:t>
      </w:r>
    </w:p>
    <w:p>
      <w:pPr>
        <w:spacing w:after="0" w:line="70"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i w:val="1"/>
          <w:iCs w:val="1"/>
          <w:color w:val="auto"/>
        </w:rPr>
        <w:t xml:space="preserve">Long-Lived Assets. </w:t>
      </w:r>
      <w:r>
        <w:rPr>
          <w:rFonts w:ascii="Arial" w:cs="Arial" w:eastAsia="Arial" w:hAnsi="Arial"/>
          <w:sz w:val="18"/>
          <w:szCs w:val="18"/>
          <w:color w:val="auto"/>
        </w:rPr>
        <w:t>We review long-lived assets, primarily computer software, property and equipment and other intangibles, for impairment whenever</w:t>
      </w:r>
      <w:r>
        <w:rPr>
          <w:rFonts w:ascii="Arial" w:cs="Arial" w:eastAsia="Arial" w:hAnsi="Arial"/>
          <w:sz w:val="18"/>
          <w:szCs w:val="18"/>
          <w:i w:val="1"/>
          <w:iCs w:val="1"/>
          <w:color w:val="auto"/>
        </w:rPr>
        <w:t xml:space="preserve"> </w:t>
      </w:r>
      <w:r>
        <w:rPr>
          <w:rFonts w:ascii="Arial" w:cs="Arial" w:eastAsia="Arial" w:hAnsi="Arial"/>
          <w:sz w:val="18"/>
          <w:szCs w:val="18"/>
          <w:color w:val="auto"/>
        </w:rPr>
        <w:t>events or changes in circumstances indicate that the carrying amount of an asset may not be recoverable. If indicators of impairment are present, we estimate the future net cash flows expected to be generated from the use of those assets and their eventual disposal. We would recognize an impairment loss if the aggregate future net cash flows were less than the carrying amount. We have not recorded any material impairment charges in the past three years. As a result, the carrying values of these assets could be significantly affected by the accuracy of our estimates of future net cash flows, which, similar to our goodwill analysis, cannot be estimated with certainty.</w:t>
      </w:r>
    </w:p>
    <w:p>
      <w:pPr>
        <w:spacing w:after="0" w:line="85" w:lineRule="exact"/>
        <w:rPr>
          <w:sz w:val="20"/>
          <w:szCs w:val="20"/>
          <w:color w:val="auto"/>
        </w:rPr>
      </w:pPr>
    </w:p>
    <w:p>
      <w:pPr>
        <w:ind w:right="20" w:firstLine="270"/>
        <w:spacing w:after="0" w:line="270"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Our direct title insurance premiums and escrow and other title-related fees are recognized as revenue at the time of closing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transaction as the earnings process is then considered complete, whereas premium revenues from agency operations and agency commissions include an accrual based on estimates using historical information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During the second quarter of 2005, we re-evaluated our method of estimation for accruing agency title revenues and commissions and refined the method, which resulted in our recording approximately $50.0 million in additional agency revenue in the second quarter of 2005 than we would have under our prior method. The impact on net earnings of this adjustment was approximately $2.0 million. We are likely to continue to have changes to our accrual for agency revenue in the future, but as demonstrated by this second quarter adjustment, the impact on net earnings of changes in these accruals is very small.</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presents certain financial data for the years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2004</w:t>
            </w:r>
          </w:p>
        </w:tc>
        <w:tc>
          <w:tcPr>
            <w:tcW w:w="7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81"/>
              </w:rPr>
              <w:t>(Dollars in thousands)</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Direct title insurance premiums</w:t>
            </w:r>
          </w:p>
        </w:tc>
        <w:tc>
          <w:tcPr>
            <w:tcW w:w="1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2,184,993</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2,003,447</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2,105,317</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Agency title insurance premiums</w:t>
            </w:r>
          </w:p>
        </w:tc>
        <w:tc>
          <w:tcPr>
            <w:tcW w:w="1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2,763,973</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2,714,770</w:t>
            </w:r>
          </w:p>
        </w:tc>
        <w:tc>
          <w:tcPr>
            <w:tcW w:w="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2,595,433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title premiums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4,948,966</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4,718,217</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4,700,750</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Escrow and other title-related fees</w:t>
            </w:r>
          </w:p>
        </w:tc>
        <w:tc>
          <w:tcPr>
            <w:tcW w:w="1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1,162,344</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1,039,835</w:t>
            </w:r>
          </w:p>
        </w:tc>
        <w:tc>
          <w:tcPr>
            <w:tcW w:w="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1,058,729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title and escrow</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6,111,310</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5,758,052</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5,759,479</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Interest and investment income</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118,084</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64,885</w:t>
            </w:r>
          </w:p>
        </w:tc>
        <w:tc>
          <w:tcPr>
            <w:tcW w:w="2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56,708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Realized gains and losses, net</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44,684</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22,948</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101,839</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income</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41,783</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43,528</w:t>
            </w:r>
          </w:p>
        </w:tc>
        <w:tc>
          <w:tcPr>
            <w:tcW w:w="28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52,689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10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6,315,861</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5,889,413</w:t>
            </w:r>
          </w:p>
        </w:tc>
        <w:tc>
          <w:tcPr>
            <w:tcW w:w="74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5,970,715</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Personnel costs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1,897,904</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1,680,805</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1,692,895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935,263</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849,554</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817,597</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Agent commissions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2,140,912</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2,117,122</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2,035,810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102,105</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95,718</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Provision for claim losses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354,710</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259,402</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248,834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16,663</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3,885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1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5,447,557</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5,006,486</w:t>
            </w:r>
          </w:p>
        </w:tc>
        <w:tc>
          <w:tcPr>
            <w:tcW w:w="7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4,878,795</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 and minority interest</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868,304</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882,927</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1,091,920</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Income tax expense</w:t>
            </w:r>
          </w:p>
        </w:tc>
        <w:tc>
          <w:tcPr>
            <w:tcW w:w="1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327,351</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323,598</w:t>
            </w:r>
          </w:p>
        </w:tc>
        <w:tc>
          <w:tcPr>
            <w:tcW w:w="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407,736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minority interest</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540,953</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559,329</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684,184</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Minority interest</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1,972</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1,165</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538,981</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558,164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683,325</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Orders opened by direct title operations</w:t>
            </w:r>
          </w:p>
        </w:tc>
        <w:tc>
          <w:tcPr>
            <w:tcW w:w="1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3,052,805</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3,142,945</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3,771,393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Orders closed by direct title operations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2,169,656</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2,249,792</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2,916,201</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267"/>
        <w:spacing w:after="0" w:line="259" w:lineRule="auto"/>
        <w:rPr>
          <w:sz w:val="20"/>
          <w:szCs w:val="20"/>
          <w:color w:val="auto"/>
        </w:rPr>
      </w:pPr>
      <w:r>
        <w:rPr>
          <w:rFonts w:ascii="Arial" w:cs="Arial" w:eastAsia="Arial" w:hAnsi="Arial"/>
          <w:sz w:val="18"/>
          <w:szCs w:val="18"/>
          <w:color w:val="auto"/>
        </w:rPr>
        <w:t>Total revenue in 2005 increased $432.4 million to $6,321.8 million, an increase of 7.3% compared to 2004 with increases in direct and agency title premiums and escrow and other title-related fees. Total revenue in 2004 decreased $81.3 million, or 1.4%, to $5,889.4 million from $5,970.7 million in 2003. Although the mix of direct and agency title premiums changed from 2003 to 2004, total title premiums and escrow and other title-related fees remained fairly consistent in 2004 as compared with 2003.</w:t>
      </w:r>
    </w:p>
    <w:p>
      <w:pPr>
        <w:spacing w:after="0" w:line="79" w:lineRule="exact"/>
        <w:rPr>
          <w:sz w:val="20"/>
          <w:szCs w:val="20"/>
          <w:color w:val="auto"/>
        </w:rPr>
      </w:pPr>
    </w:p>
    <w:p>
      <w:pPr>
        <w:ind w:right="620" w:firstLine="267"/>
        <w:spacing w:after="0" w:line="277" w:lineRule="auto"/>
        <w:rPr>
          <w:sz w:val="20"/>
          <w:szCs w:val="20"/>
          <w:color w:val="auto"/>
        </w:rPr>
      </w:pPr>
      <w:r>
        <w:rPr>
          <w:rFonts w:ascii="Arial" w:cs="Arial" w:eastAsia="Arial" w:hAnsi="Arial"/>
          <w:sz w:val="18"/>
          <w:szCs w:val="18"/>
          <w:color w:val="auto"/>
        </w:rPr>
        <w:t>Title insurance premiums were $4,949.0 million in 2005, $4,718.2 million in 2004, and $4,700.8 million in 2003. The following table presents the percentages of title insurance premiums generated by our direct and agency operations: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2005</w:t>
            </w:r>
          </w:p>
        </w:tc>
        <w:tc>
          <w:tcPr>
            <w:tcW w:w="5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2004</w:t>
            </w:r>
          </w:p>
        </w:tc>
        <w:tc>
          <w:tcPr>
            <w:tcW w:w="5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2003</w:t>
            </w:r>
          </w:p>
        </w:tc>
        <w:tc>
          <w:tcPr>
            <w:tcW w:w="6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Amount</w:t>
            </w:r>
          </w:p>
        </w:tc>
        <w:tc>
          <w:tcPr>
            <w:tcW w:w="580" w:type="dxa"/>
            <w:vAlign w:val="bottom"/>
          </w:tcPr>
          <w:p>
            <w:pPr>
              <w:spacing w:after="0"/>
              <w:rPr>
                <w:sz w:val="13"/>
                <w:szCs w:val="13"/>
                <w:color w:val="auto"/>
              </w:rPr>
            </w:pPr>
          </w:p>
        </w:tc>
        <w:tc>
          <w:tcPr>
            <w:tcW w:w="58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40"/>
              <w:spacing w:after="0" w:line="155" w:lineRule="exact"/>
              <w:rPr>
                <w:sz w:val="20"/>
                <w:szCs w:val="20"/>
                <w:color w:val="auto"/>
              </w:rPr>
            </w:pPr>
            <w:r>
              <w:rPr>
                <w:rFonts w:ascii="Arial" w:cs="Arial" w:eastAsia="Arial" w:hAnsi="Arial"/>
                <w:sz w:val="14"/>
                <w:szCs w:val="14"/>
                <w:b w:val="1"/>
                <w:bCs w:val="1"/>
                <w:color w:val="auto"/>
              </w:rPr>
              <w:t>Amount</w:t>
            </w:r>
          </w:p>
        </w:tc>
        <w:tc>
          <w:tcPr>
            <w:tcW w:w="580" w:type="dxa"/>
            <w:vAlign w:val="bottom"/>
          </w:tcPr>
          <w:p>
            <w:pPr>
              <w:spacing w:after="0"/>
              <w:rPr>
                <w:sz w:val="13"/>
                <w:szCs w:val="13"/>
                <w:color w:val="auto"/>
              </w:rPr>
            </w:pPr>
          </w:p>
        </w:tc>
        <w:tc>
          <w:tcPr>
            <w:tcW w:w="58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Amount</w:t>
            </w:r>
          </w:p>
        </w:tc>
        <w:tc>
          <w:tcPr>
            <w:tcW w:w="580" w:type="dxa"/>
            <w:vAlign w:val="bottom"/>
          </w:tcPr>
          <w:p>
            <w:pPr>
              <w:spacing w:after="0"/>
              <w:rPr>
                <w:sz w:val="13"/>
                <w:szCs w:val="13"/>
                <w:color w:val="auto"/>
              </w:rPr>
            </w:pPr>
          </w:p>
        </w:tc>
        <w:tc>
          <w:tcPr>
            <w:tcW w:w="66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jc w:val="center"/>
              <w:ind w:left="28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2,184,993</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2,003,447</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2,105,317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Agency</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2,763,973</w:t>
            </w:r>
          </w:p>
        </w:tc>
        <w:tc>
          <w:tcPr>
            <w:tcW w:w="5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2,714,770</w:t>
            </w:r>
          </w:p>
        </w:tc>
        <w:tc>
          <w:tcPr>
            <w:tcW w:w="5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57.5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2,595,433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title insurance premiums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4,948,966</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4,718,217</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4,700,750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70"/>
        <w:spacing w:after="0" w:line="270" w:lineRule="auto"/>
        <w:rPr>
          <w:sz w:val="20"/>
          <w:szCs w:val="20"/>
          <w:color w:val="auto"/>
        </w:rPr>
      </w:pPr>
      <w:r>
        <w:rPr>
          <w:rFonts w:ascii="Arial" w:cs="Arial" w:eastAsia="Arial" w:hAnsi="Arial"/>
          <w:sz w:val="17"/>
          <w:szCs w:val="17"/>
          <w:color w:val="auto"/>
        </w:rPr>
        <w:t>Direct title premiums increased from 2004 to 2005 and decreased from 2003 to 2004. From 2004 to 2005, an increase in average fee per file was partially offset by a decrease in closed order levels. From 2003 to 2004, a decrease in closed order levels was partially offset by an increase in average fee per file. The average fee per file in our direct operations was $1,487, $1,324, and $1,081 in 2005, 2004, and 2003, respectively. The increases in the average fee per file in 2005 and 2004 were consistent with the decline in the overall level of refinance activity experienced during those years. The fee per file tends to increase as mortgage interest rates rise, and the mix of business changes from a predominantly refinance-driven market to more of a resale-driven market because resale transactions generally involve the issuance of both a lender’s policy and an owner’s policy whereas refinance transactions typically only require a lender’s policy. The increases in average fee per file also reflect substantial appreciation in home prices during both periods and the strong levels of commercial activity in 2005 as compared to 2004. The decrease in closed order levels in each period reflects a weaker refinance market, partially offset by a strong, stable purchase market.</w:t>
      </w:r>
    </w:p>
    <w:p>
      <w:pPr>
        <w:spacing w:after="0" w:line="74" w:lineRule="exact"/>
        <w:rPr>
          <w:sz w:val="20"/>
          <w:szCs w:val="20"/>
          <w:color w:val="auto"/>
        </w:rPr>
      </w:pPr>
    </w:p>
    <w:p>
      <w:pPr>
        <w:ind w:firstLine="260"/>
        <w:spacing w:after="0" w:line="289" w:lineRule="auto"/>
        <w:rPr>
          <w:sz w:val="20"/>
          <w:szCs w:val="20"/>
          <w:color w:val="auto"/>
        </w:rPr>
      </w:pPr>
      <w:r>
        <w:rPr>
          <w:rFonts w:ascii="Arial" w:cs="Arial" w:eastAsia="Arial" w:hAnsi="Arial"/>
          <w:sz w:val="16"/>
          <w:szCs w:val="16"/>
          <w:color w:val="auto"/>
        </w:rPr>
        <w:t>Agency premiums increased $49.2 million in 2005 and $119.3 million in 2004. During the second quarter of 2005, we re-evaluated our method of estimation for accruing agency title revenues and commissions and refined the method which resulted in our recording approximately $50.0 million in additional agency revenue in the second quarter of 2005 than we would have under our prior method. The impact on net earnings of this adjustment was approximately $2.0 million. A change in agency premiums has a much smaller effect on profitability than the same change in direct premiums would have because our margins as a percentage of gross premiums for agency business are significantly lower than the margins realized from our direct operations due to commissions paid to our agents and other costs related to the agency business. The increase in agency title premiums in 2004 was primarily attributed to an increase in agency premiums of $193.5 million due to our acquisition of APTIC in March 2004 that was offset by a decrease in the amount of agency revenue provided by FIS’s title agency operations. Margins on agency revenues are generally lower than margins on direct title insurance revenues. Agency revenues from FIS title agency businesses were $91.9 million, $106.3 million, and $284.9 million in 2005, 2004, and 2003, respectively.</w:t>
      </w:r>
    </w:p>
    <w:p>
      <w:pPr>
        <w:spacing w:after="0" w:line="59" w:lineRule="exact"/>
        <w:rPr>
          <w:sz w:val="20"/>
          <w:szCs w:val="20"/>
          <w:color w:val="auto"/>
        </w:rPr>
      </w:pPr>
    </w:p>
    <w:p>
      <w:pPr>
        <w:ind w:right="200" w:firstLine="267"/>
        <w:spacing w:after="0" w:line="259" w:lineRule="auto"/>
        <w:rPr>
          <w:sz w:val="20"/>
          <w:szCs w:val="20"/>
          <w:color w:val="auto"/>
        </w:rPr>
      </w:pPr>
      <w:r>
        <w:rPr>
          <w:rFonts w:ascii="Arial" w:cs="Arial" w:eastAsia="Arial" w:hAnsi="Arial"/>
          <w:sz w:val="18"/>
          <w:szCs w:val="18"/>
          <w:color w:val="auto"/>
        </w:rPr>
        <w:t>Trends in escrow and other title-related fees are primarily related to title insurance activity generated by our direct operations. Escrow and other title-related fees during the three-year period ended December 31, 2005, fluctuated in a pattern generally consistent with the fluctuation in direct title insurance premiums and order counts. Escrow and other title-related fees were $1,162.3 million, $1,039.8 million, and $1,058.7 million during 2005, 2004, and 2003, respectively.</w:t>
      </w:r>
    </w:p>
    <w:p>
      <w:pPr>
        <w:spacing w:after="0" w:line="79" w:lineRule="exact"/>
        <w:rPr>
          <w:sz w:val="20"/>
          <w:szCs w:val="20"/>
          <w:color w:val="auto"/>
        </w:rPr>
      </w:pPr>
    </w:p>
    <w:p>
      <w:pPr>
        <w:ind w:firstLine="270"/>
        <w:spacing w:after="0" w:line="276" w:lineRule="auto"/>
        <w:rPr>
          <w:sz w:val="20"/>
          <w:szCs w:val="20"/>
          <w:color w:val="auto"/>
        </w:rPr>
      </w:pPr>
      <w:r>
        <w:rPr>
          <w:rFonts w:ascii="Arial" w:cs="Arial" w:eastAsia="Arial" w:hAnsi="Arial"/>
          <w:sz w:val="17"/>
          <w:szCs w:val="17"/>
          <w:color w:val="auto"/>
        </w:rPr>
        <w:t>Interest and investment income levels are primarily a function of securities markets, interest rates and the amount of cash available for investment. Interest and investment income in 2005 was $118.1 million, compared with $64.9 million in 2004 and $56.7 million in 2003. The increase in interest and investment income in 2005 is primarily due to an increase in the short-term investment and fixed income asset base and an increase in interest rates. Average invested assets were $3,732.6 million, $3,226.2 million and $2,811.5 million in 2005, 2004, and 2003, respectively. The tax equivalent yield in 2005, excluding realized gains and losses, was 3.8%, as compared with 2.7% in 2004 and 2.5% in 2003.</w:t>
      </w:r>
    </w:p>
    <w:p>
      <w:pPr>
        <w:spacing w:after="0" w:line="64" w:lineRule="exact"/>
        <w:rPr>
          <w:sz w:val="20"/>
          <w:szCs w:val="20"/>
          <w:color w:val="auto"/>
        </w:rPr>
      </w:pPr>
    </w:p>
    <w:p>
      <w:pPr>
        <w:ind w:right="80" w:firstLine="270"/>
        <w:spacing w:after="0" w:line="286" w:lineRule="auto"/>
        <w:rPr>
          <w:sz w:val="20"/>
          <w:szCs w:val="20"/>
          <w:color w:val="auto"/>
        </w:rPr>
      </w:pPr>
      <w:r>
        <w:rPr>
          <w:rFonts w:ascii="Arial" w:cs="Arial" w:eastAsia="Arial" w:hAnsi="Arial"/>
          <w:sz w:val="17"/>
          <w:szCs w:val="17"/>
          <w:color w:val="auto"/>
        </w:rPr>
        <w:t>Net realized gains and losses for 2005, 2004, and 2003 were $44.7 million, $22.9 million, and $101.8 million, respectively. Net realized gains in 2003 included a $51.7 million realized gain resulting from IAC InterActive Corp.’s acquisition of Lending Tree Inc. and the subsequent sale of our IAC Interactive Corp. common stock and a realized gain of $21.8 million on the sale of New Century Financial Corporation common stock.</w:t>
      </w:r>
    </w:p>
    <w:p>
      <w:pPr>
        <w:spacing w:after="0" w:line="57" w:lineRule="exact"/>
        <w:rPr>
          <w:sz w:val="20"/>
          <w:szCs w:val="20"/>
          <w:color w:val="auto"/>
        </w:rPr>
      </w:pPr>
    </w:p>
    <w:p>
      <w:pPr>
        <w:ind w:right="960" w:firstLine="270"/>
        <w:spacing w:after="0" w:line="277" w:lineRule="auto"/>
        <w:rPr>
          <w:sz w:val="20"/>
          <w:szCs w:val="20"/>
          <w:color w:val="auto"/>
        </w:rPr>
      </w:pPr>
      <w:r>
        <w:rPr>
          <w:rFonts w:ascii="Arial" w:cs="Arial" w:eastAsia="Arial" w:hAnsi="Arial"/>
          <w:sz w:val="18"/>
          <w:szCs w:val="18"/>
          <w:color w:val="auto"/>
        </w:rPr>
        <w:t>Other income represents revenue generated by other smaller real-estate related businesses that are not directly title-related. Other income was $41.8 million, $43.5 million, and $52.7 million in 2005, 2004, and 2003, respectively.</w:t>
      </w:r>
    </w:p>
    <w:p>
      <w:pPr>
        <w:spacing w:after="0" w:line="62" w:lineRule="exact"/>
        <w:rPr>
          <w:sz w:val="20"/>
          <w:szCs w:val="20"/>
          <w:color w:val="auto"/>
        </w:rPr>
      </w:pPr>
    </w:p>
    <w:p>
      <w:pPr>
        <w:ind w:right="280" w:firstLine="270"/>
        <w:spacing w:after="0" w:line="259" w:lineRule="auto"/>
        <w:rPr>
          <w:sz w:val="20"/>
          <w:szCs w:val="20"/>
          <w:color w:val="auto"/>
        </w:rPr>
      </w:pPr>
      <w:r>
        <w:rPr>
          <w:rFonts w:ascii="Arial" w:cs="Arial" w:eastAsia="Arial" w:hAnsi="Arial"/>
          <w:sz w:val="18"/>
          <w:szCs w:val="18"/>
          <w:color w:val="auto"/>
        </w:rPr>
        <w:t>Our operating expenses consist primarily of personnel costs and other operating expenses, which are incurred as orders are received and processed and agent commissions which are incurred as revenue is recognized. Title insurance premiums, escrow and other title-related fees are generally recognized as income at the time the underlying transaction closes. As a result, direct operations revenue lags approximately 45-60 days behind expenses and therefore gross margins may fluctuate. The changes in the market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40"/>
        <w:spacing w:after="0" w:line="286" w:lineRule="auto"/>
        <w:rPr>
          <w:sz w:val="20"/>
          <w:szCs w:val="20"/>
          <w:color w:val="auto"/>
        </w:rPr>
      </w:pPr>
      <w:r>
        <w:rPr>
          <w:rFonts w:ascii="Arial" w:cs="Arial" w:eastAsia="Arial" w:hAnsi="Arial"/>
          <w:sz w:val="16"/>
          <w:szCs w:val="16"/>
          <w:color w:val="auto"/>
        </w:rPr>
        <w:t>environment, mix of business between direct and agency operations and the contributions from our various business units have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 We have taken significant measures to maintain appropriate personnel levels and costs relative to the volume and mix of business while maintaining customer service standards and quality controls.</w:t>
      </w:r>
    </w:p>
    <w:p>
      <w:pPr>
        <w:spacing w:after="0" w:line="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Beginning during the second half of 2003, as open orders on refinance transactions declined with the increase in mortgage interest rates, we began reducing personnel costs with the reduction of approximately 22% of the title and escrow workforce from July to December of 2003. Considering the normal lag time between workforce reductions and the related reductions in personnel expense, we maintained personnel at appropriate levels during 2005 and 2004, including a reduction of approximately 8% of the title and escrow workforce in the fourth quarter of 2005, and will continue to monitor prevailing market conditions and adjust personnel costs in accordance with activity.</w:t>
      </w:r>
    </w:p>
    <w:p>
      <w:pPr>
        <w:spacing w:after="0" w:line="83" w:lineRule="exact"/>
        <w:rPr>
          <w:sz w:val="20"/>
          <w:szCs w:val="20"/>
          <w:color w:val="auto"/>
        </w:rPr>
      </w:pPr>
    </w:p>
    <w:p>
      <w:pPr>
        <w:ind w:right="40" w:firstLine="270"/>
        <w:spacing w:after="0" w:line="293" w:lineRule="auto"/>
        <w:rPr>
          <w:sz w:val="20"/>
          <w:szCs w:val="20"/>
          <w:color w:val="auto"/>
        </w:rPr>
      </w:pPr>
      <w:r>
        <w:rPr>
          <w:rFonts w:ascii="Arial" w:cs="Arial" w:eastAsia="Arial" w:hAnsi="Arial"/>
          <w:sz w:val="16"/>
          <w:szCs w:val="16"/>
          <w:color w:val="auto"/>
        </w:rPr>
        <w:t>Personnel costs include base salaries, commissions, benefits and bonuses paid to employees, and are one of our most significant operating expenses. Personnel costs totaled $1,897.9 million, $1,680.8 million, and $1,692.9 million for the years ended December 31, 2005, 2004, and 2003, respectively. Personnel costs, as a percentage of direct title insurance premiums and escrow and other title-related fees, were 56.6% in 2005, compared with 55.2% in 2004 and 53.5% in 2003. The increase in personnel costs as a percentage of related revenue in 2005 is primarily due to a recent trend in salary increases relating to increased competition for top employees and the strong real estate environment. The increase in personnel costs as a percentage of related revenue in 2004 as compared to 2003 is attributable to the lag in reducing personnel to the appropriate level based on activity.</w:t>
      </w:r>
    </w:p>
    <w:p>
      <w:pPr>
        <w:spacing w:after="0" w:line="57" w:lineRule="exact"/>
        <w:rPr>
          <w:sz w:val="20"/>
          <w:szCs w:val="20"/>
          <w:color w:val="auto"/>
        </w:rPr>
      </w:pPr>
    </w:p>
    <w:p>
      <w:pPr>
        <w:ind w:right="120" w:firstLine="270"/>
        <w:spacing w:after="0" w:line="255"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advertising expenses, general insurance, and trade and notes receivable allowances. Other operating expenses totaled $935.3 million, $849.6 million, and $817.6 million for the years ended December 31, 2005, 2004, and 2003, respectively. Other operating expenses as a percentage of direct title insurance premiums and escrow and other title-related fees were 27.9% in both 2005 and 2004, and 25.8% in 2003. The increase in other operating expenses as a percentage of total direct title premiums and escrow and other fees in 2004 is consistent with the increase in personnel costs as a percentage of total direct title premiums and escrow and other fees.</w:t>
      </w:r>
    </w:p>
    <w:p>
      <w:pPr>
        <w:spacing w:after="0" w:line="81" w:lineRule="exact"/>
        <w:rPr>
          <w:sz w:val="20"/>
          <w:szCs w:val="20"/>
          <w:color w:val="auto"/>
        </w:rPr>
      </w:pPr>
    </w:p>
    <w:p>
      <w:pPr>
        <w:ind w:right="200" w:firstLine="260"/>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illustrates the relationship of agent title premiums and agent commissions: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2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2005</w:t>
            </w:r>
          </w:p>
        </w:tc>
        <w:tc>
          <w:tcPr>
            <w:tcW w:w="56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353"/>
              <w:spacing w:after="0" w:line="155" w:lineRule="exact"/>
              <w:rPr>
                <w:sz w:val="20"/>
                <w:szCs w:val="20"/>
                <w:color w:val="auto"/>
              </w:rPr>
            </w:pPr>
            <w:r>
              <w:rPr>
                <w:rFonts w:ascii="Arial" w:cs="Arial" w:eastAsia="Arial" w:hAnsi="Arial"/>
                <w:sz w:val="14"/>
                <w:szCs w:val="14"/>
                <w:b w:val="1"/>
                <w:bCs w:val="1"/>
                <w:color w:val="auto"/>
              </w:rPr>
              <w:t>2004</w:t>
            </w:r>
          </w:p>
        </w:tc>
        <w:tc>
          <w:tcPr>
            <w:tcW w:w="58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2003</w:t>
            </w:r>
          </w:p>
        </w:tc>
        <w:tc>
          <w:tcPr>
            <w:tcW w:w="6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56"/>
        </w:trPr>
        <w:tc>
          <w:tcPr>
            <w:tcW w:w="2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right"/>
              <w:ind w:right="900"/>
              <w:spacing w:after="0" w:line="155" w:lineRule="exact"/>
              <w:rPr>
                <w:sz w:val="20"/>
                <w:szCs w:val="20"/>
                <w:color w:val="auto"/>
              </w:rPr>
            </w:pPr>
            <w:r>
              <w:rPr>
                <w:rFonts w:ascii="Arial" w:cs="Arial" w:eastAsia="Arial" w:hAnsi="Arial"/>
                <w:sz w:val="14"/>
                <w:szCs w:val="14"/>
                <w:b w:val="1"/>
                <w:bCs w:val="1"/>
                <w:color w:val="auto"/>
              </w:rPr>
              <w:t>Amount</w:t>
            </w:r>
          </w:p>
        </w:tc>
        <w:tc>
          <w:tcPr>
            <w:tcW w:w="560" w:type="dxa"/>
            <w:vAlign w:val="bottom"/>
          </w:tcPr>
          <w:p>
            <w:pPr>
              <w:jc w:val="right"/>
              <w:ind w:right="134"/>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right"/>
              <w:ind w:right="833"/>
              <w:spacing w:after="0" w:line="155" w:lineRule="exact"/>
              <w:rPr>
                <w:sz w:val="20"/>
                <w:szCs w:val="20"/>
                <w:color w:val="auto"/>
              </w:rPr>
            </w:pPr>
            <w:r>
              <w:rPr>
                <w:rFonts w:ascii="Arial" w:cs="Arial" w:eastAsia="Arial" w:hAnsi="Arial"/>
                <w:sz w:val="14"/>
                <w:szCs w:val="14"/>
                <w:b w:val="1"/>
                <w:bCs w:val="1"/>
                <w:color w:val="auto"/>
              </w:rPr>
              <w:t>Amount</w:t>
            </w:r>
          </w:p>
        </w:tc>
        <w:tc>
          <w:tcPr>
            <w:tcW w:w="580" w:type="dxa"/>
            <w:vAlign w:val="bottom"/>
          </w:tcPr>
          <w:p>
            <w:pPr>
              <w:jc w:val="right"/>
              <w:ind w:right="134"/>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jc w:val="right"/>
              <w:ind w:right="900"/>
              <w:spacing w:after="0" w:line="155" w:lineRule="exact"/>
              <w:rPr>
                <w:sz w:val="20"/>
                <w:szCs w:val="20"/>
                <w:color w:val="auto"/>
              </w:rPr>
            </w:pPr>
            <w:r>
              <w:rPr>
                <w:rFonts w:ascii="Arial" w:cs="Arial" w:eastAsia="Arial" w:hAnsi="Arial"/>
                <w:sz w:val="14"/>
                <w:szCs w:val="14"/>
                <w:b w:val="1"/>
                <w:bCs w:val="1"/>
                <w:color w:val="auto"/>
              </w:rPr>
              <w:t>Amount</w:t>
            </w:r>
          </w:p>
        </w:tc>
        <w:tc>
          <w:tcPr>
            <w:tcW w:w="660" w:type="dxa"/>
            <w:vAlign w:val="bottom"/>
          </w:tcPr>
          <w:p>
            <w:pPr>
              <w:jc w:val="right"/>
              <w:ind w:right="174"/>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2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120"/>
              <w:spacing w:after="0" w:line="155" w:lineRule="exact"/>
              <w:rPr>
                <w:sz w:val="20"/>
                <w:szCs w:val="20"/>
                <w:color w:val="auto"/>
              </w:rPr>
            </w:pPr>
            <w:r>
              <w:rPr>
                <w:rFonts w:ascii="Arial" w:cs="Arial" w:eastAsia="Arial" w:hAnsi="Arial"/>
                <w:sz w:val="14"/>
                <w:szCs w:val="14"/>
                <w:b w:val="1"/>
                <w:bCs w:val="1"/>
                <w:color w:val="auto"/>
              </w:rPr>
              <w:t>(In</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w w:val="71"/>
              </w:rPr>
              <w:t>thousands)</w:t>
            </w:r>
          </w:p>
        </w:tc>
        <w:tc>
          <w:tcPr>
            <w:tcW w:w="58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Agent title premiums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2,763,973</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513"/>
              <w:spacing w:after="0"/>
              <w:rPr>
                <w:sz w:val="20"/>
                <w:szCs w:val="20"/>
                <w:color w:val="auto"/>
              </w:rPr>
            </w:pPr>
            <w:r>
              <w:rPr>
                <w:rFonts w:ascii="Arial" w:cs="Arial" w:eastAsia="Arial" w:hAnsi="Arial"/>
                <w:sz w:val="18"/>
                <w:szCs w:val="18"/>
                <w:color w:val="auto"/>
              </w:rPr>
              <w:t>2,714,770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2,595,433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Agent commissions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2,140,912</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77.5</w:t>
            </w:r>
          </w:p>
        </w:tc>
        <w:tc>
          <w:tcPr>
            <w:tcW w:w="200" w:type="dxa"/>
            <w:vAlign w:val="bottom"/>
          </w:tcPr>
          <w:p>
            <w:pPr>
              <w:spacing w:after="0"/>
              <w:rPr>
                <w:sz w:val="18"/>
                <w:szCs w:val="18"/>
                <w:color w:val="auto"/>
              </w:rPr>
            </w:pPr>
          </w:p>
        </w:tc>
        <w:tc>
          <w:tcPr>
            <w:tcW w:w="1520" w:type="dxa"/>
            <w:vAlign w:val="bottom"/>
            <w:gridSpan w:val="2"/>
          </w:tcPr>
          <w:p>
            <w:pPr>
              <w:jc w:val="right"/>
              <w:ind w:right="513"/>
              <w:spacing w:after="0"/>
              <w:rPr>
                <w:sz w:val="20"/>
                <w:szCs w:val="20"/>
                <w:color w:val="auto"/>
              </w:rPr>
            </w:pPr>
            <w:r>
              <w:rPr>
                <w:rFonts w:ascii="Arial" w:cs="Arial" w:eastAsia="Arial" w:hAnsi="Arial"/>
                <w:sz w:val="18"/>
                <w:szCs w:val="18"/>
                <w:color w:val="auto"/>
              </w:rPr>
              <w:t>2,117,122</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78.0</w:t>
            </w:r>
          </w:p>
        </w:tc>
        <w:tc>
          <w:tcPr>
            <w:tcW w:w="22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2,035,810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78.4</w:t>
            </w:r>
          </w:p>
        </w:tc>
      </w:tr>
      <w:tr>
        <w:trPr>
          <w:trHeight w:val="27"/>
        </w:trPr>
        <w:tc>
          <w:tcPr>
            <w:tcW w:w="2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margin</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623,061</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513"/>
              <w:spacing w:after="0"/>
              <w:rPr>
                <w:sz w:val="20"/>
                <w:szCs w:val="20"/>
                <w:color w:val="auto"/>
              </w:rPr>
            </w:pPr>
            <w:r>
              <w:rPr>
                <w:rFonts w:ascii="Arial" w:cs="Arial" w:eastAsia="Arial" w:hAnsi="Arial"/>
                <w:sz w:val="18"/>
                <w:szCs w:val="18"/>
                <w:color w:val="auto"/>
              </w:rPr>
              <w:t>597,648</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559,623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r>
      <w:tr>
        <w:trPr>
          <w:trHeight w:val="21"/>
        </w:trPr>
        <w:tc>
          <w:tcPr>
            <w:tcW w:w="2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67"/>
        <w:spacing w:after="0" w:line="264" w:lineRule="auto"/>
        <w:rPr>
          <w:sz w:val="20"/>
          <w:szCs w:val="20"/>
          <w:color w:val="auto"/>
        </w:rPr>
      </w:pPr>
      <w:r>
        <w:rPr>
          <w:rFonts w:ascii="Arial" w:cs="Arial" w:eastAsia="Arial" w:hAnsi="Arial"/>
          <w:sz w:val="18"/>
          <w:szCs w:val="18"/>
          <w:color w:val="auto"/>
        </w:rPr>
        <w:t>The provision for claim losses includes an estimate of anticipated title and title-related claims and escrow losses. The estimate of anticipated title and title-related claims is accrued as a percentage of title premium revenue based on our historical loss experience and other relevant factors. We monitor our claims loss experience on a continual basis and adjust the provision for claim losses accordingly.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the reserve for claim losses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2004</w:t>
            </w:r>
          </w:p>
        </w:tc>
        <w:tc>
          <w:tcPr>
            <w:tcW w:w="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132"/>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980,746</w:t>
            </w:r>
          </w:p>
        </w:tc>
        <w:tc>
          <w:tcPr>
            <w:tcW w:w="58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932,439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887,973</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260"/>
              <w:spacing w:after="0"/>
              <w:rPr>
                <w:sz w:val="20"/>
                <w:szCs w:val="20"/>
                <w:color w:val="auto"/>
              </w:rPr>
            </w:pPr>
            <w:r>
              <w:rPr>
                <w:rFonts w:ascii="Arial" w:cs="Arial" w:eastAsia="Arial" w:hAnsi="Arial"/>
                <w:sz w:val="18"/>
                <w:szCs w:val="18"/>
                <w:color w:val="auto"/>
              </w:rPr>
              <w:t>Reserve assumed</w:t>
            </w:r>
          </w:p>
        </w:tc>
        <w:tc>
          <w:tcPr>
            <w:tcW w:w="26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38,597</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4,203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Claims loss provision related to:</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540"/>
              <w:spacing w:after="0"/>
              <w:rPr>
                <w:sz w:val="20"/>
                <w:szCs w:val="20"/>
                <w:color w:val="auto"/>
              </w:rPr>
            </w:pPr>
            <w:r>
              <w:rPr>
                <w:rFonts w:ascii="Arial" w:cs="Arial" w:eastAsia="Arial" w:hAnsi="Arial"/>
                <w:sz w:val="18"/>
                <w:szCs w:val="18"/>
                <w:color w:val="auto"/>
              </w:rPr>
              <w:t>Current year</w:t>
            </w:r>
          </w:p>
        </w:tc>
        <w:tc>
          <w:tcPr>
            <w:tcW w:w="26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319,730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275,982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237,919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Prior years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34,980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(16,580)</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gridSpan w:val="2"/>
          </w:tcPr>
          <w:p>
            <w:pPr>
              <w:ind w:left="540"/>
              <w:spacing w:after="0"/>
              <w:rPr>
                <w:sz w:val="20"/>
                <w:szCs w:val="20"/>
                <w:color w:val="auto"/>
              </w:rPr>
            </w:pPr>
            <w:r>
              <w:rPr>
                <w:rFonts w:ascii="Arial" w:cs="Arial" w:eastAsia="Arial" w:hAnsi="Arial"/>
                <w:sz w:val="18"/>
                <w:szCs w:val="18"/>
                <w:color w:val="auto"/>
              </w:rPr>
              <w:t>Total claims loss provision</w:t>
            </w: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354,710</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259,402</w:t>
            </w:r>
          </w:p>
        </w:tc>
        <w:tc>
          <w:tcPr>
            <w:tcW w:w="7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248,834</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Claims paid, net of recoupments related to:</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540"/>
              <w:spacing w:after="0"/>
              <w:rPr>
                <w:sz w:val="20"/>
                <w:szCs w:val="20"/>
                <w:color w:val="auto"/>
              </w:rPr>
            </w:pPr>
            <w:r>
              <w:rPr>
                <w:rFonts w:ascii="Arial" w:cs="Arial" w:eastAsia="Arial" w:hAnsi="Arial"/>
                <w:sz w:val="18"/>
                <w:szCs w:val="18"/>
                <w:color w:val="auto"/>
              </w:rPr>
              <w:t>Current year</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(14,479)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(19,095)</w:t>
            </w:r>
          </w:p>
        </w:tc>
        <w:tc>
          <w:tcPr>
            <w:tcW w:w="26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(11,591)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Prior years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(258,120)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(230,597)</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(196,980)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gridSpan w:val="2"/>
          </w:tcPr>
          <w:p>
            <w:pPr>
              <w:ind w:left="540"/>
              <w:spacing w:after="0"/>
              <w:rPr>
                <w:sz w:val="20"/>
                <w:szCs w:val="20"/>
                <w:color w:val="auto"/>
              </w:rPr>
            </w:pPr>
            <w:r>
              <w:rPr>
                <w:rFonts w:ascii="Arial" w:cs="Arial" w:eastAsia="Arial" w:hAnsi="Arial"/>
                <w:sz w:val="18"/>
                <w:szCs w:val="18"/>
                <w:color w:val="auto"/>
              </w:rPr>
              <w:t>Total claims paid, net of recoupments</w:t>
            </w: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(272,599)</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(249,692)</w:t>
            </w:r>
          </w:p>
        </w:tc>
        <w:tc>
          <w:tcPr>
            <w:tcW w:w="7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(208,571)</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1,063,857</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980,746</w:t>
            </w:r>
          </w:p>
        </w:tc>
        <w:tc>
          <w:tcPr>
            <w:tcW w:w="7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932,439</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40" w:type="dxa"/>
            <w:vAlign w:val="bottom"/>
            <w:gridSpan w:val="3"/>
            <w:vMerge w:val="restart"/>
          </w:tcPr>
          <w:p>
            <w:pPr>
              <w:spacing w:after="0"/>
              <w:rPr>
                <w:sz w:val="20"/>
                <w:szCs w:val="20"/>
                <w:color w:val="auto"/>
              </w:rPr>
            </w:pPr>
            <w:r>
              <w:rPr>
                <w:rFonts w:ascii="Arial" w:cs="Arial" w:eastAsia="Arial" w:hAnsi="Arial"/>
                <w:sz w:val="18"/>
                <w:szCs w:val="18"/>
                <w:color w:val="auto"/>
              </w:rPr>
              <w:t>Provision for claim losses as a percentage of title insurance premiums only</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04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3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right="6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assumed the outstanding reserve for claim losses of Service Link, APTIC, and ANFI in connection with their acquisitions in 2005, 2004, and 2003, respectively.</w:t>
      </w:r>
    </w:p>
    <w:p>
      <w:pPr>
        <w:spacing w:after="0" w:line="62" w:lineRule="exact"/>
        <w:rPr>
          <w:sz w:val="20"/>
          <w:szCs w:val="20"/>
          <w:color w:val="auto"/>
        </w:rPr>
      </w:pPr>
    </w:p>
    <w:p>
      <w:pPr>
        <w:ind w:right="20" w:firstLine="270"/>
        <w:spacing w:after="0" w:line="276" w:lineRule="auto"/>
        <w:rPr>
          <w:sz w:val="20"/>
          <w:szCs w:val="20"/>
          <w:color w:val="auto"/>
        </w:rPr>
      </w:pPr>
      <w:r>
        <w:rPr>
          <w:rFonts w:ascii="Arial" w:cs="Arial" w:eastAsia="Arial" w:hAnsi="Arial"/>
          <w:sz w:val="17"/>
          <w:szCs w:val="17"/>
          <w:color w:val="auto"/>
        </w:rPr>
        <w:t>Management continually updates loss reserve estimates as new information becomes known, new loss patterns emerge, or as other contributing factors are considered and incorporated into the analysis of reserve for claim losses. The unfavorable title loss provision amounts in 2005 reflect a higher estimated loss for the 2005 policy year as well as higher than expected incurred losses and payment levels on previously issued policies. The title loss provision in 2004 reflects a higher estimated loss for the 2004 policy year offset in part by a favorable adjustment from previous policy years. The unfavorable development during 2003 reflects higher than expected payment levels on previously issued policies.</w:t>
      </w:r>
    </w:p>
    <w:p>
      <w:pPr>
        <w:spacing w:after="0" w:line="64" w:lineRule="exact"/>
        <w:rPr>
          <w:sz w:val="20"/>
          <w:szCs w:val="20"/>
          <w:color w:val="auto"/>
        </w:rPr>
      </w:pPr>
    </w:p>
    <w:p>
      <w:pPr>
        <w:jc w:val="both"/>
        <w:ind w:right="160" w:firstLine="270"/>
        <w:spacing w:after="0" w:line="264" w:lineRule="auto"/>
        <w:rPr>
          <w:sz w:val="20"/>
          <w:szCs w:val="20"/>
          <w:color w:val="auto"/>
        </w:rPr>
      </w:pPr>
      <w:r>
        <w:rPr>
          <w:rFonts w:ascii="Arial" w:cs="Arial" w:eastAsia="Arial" w:hAnsi="Arial"/>
          <w:sz w:val="18"/>
          <w:szCs w:val="18"/>
          <w:color w:val="auto"/>
        </w:rPr>
        <w:t>Interest expense for the years ended December 31, 2005, 2004, and 2003 was $16.7 million, $3.9 million, and $4.6 million, respectively. The increase in 2005 relates primarily to an increase in average borrowings as compared to the prior year including the $500 million in notes due to FNF and borrowings on the Credit Facility in 2005.</w:t>
      </w:r>
    </w:p>
    <w:p>
      <w:pPr>
        <w:spacing w:after="0" w:line="73" w:lineRule="exact"/>
        <w:rPr>
          <w:sz w:val="20"/>
          <w:szCs w:val="20"/>
          <w:color w:val="auto"/>
        </w:rPr>
      </w:pPr>
    </w:p>
    <w:p>
      <w:pPr>
        <w:ind w:right="120" w:firstLine="270"/>
        <w:spacing w:after="0" w:line="264" w:lineRule="auto"/>
        <w:rPr>
          <w:sz w:val="20"/>
          <w:szCs w:val="20"/>
          <w:color w:val="auto"/>
        </w:rPr>
      </w:pPr>
      <w:r>
        <w:rPr>
          <w:rFonts w:ascii="Arial" w:cs="Arial" w:eastAsia="Arial" w:hAnsi="Arial"/>
          <w:sz w:val="18"/>
          <w:szCs w:val="18"/>
          <w:color w:val="auto"/>
        </w:rPr>
        <w:t>Income tax expense as a percentage of earnings before income taxes for 2005, 2004, and 2003 was 37.7%, 36.6%, and 37.3%, respectively. The fluctuation in income tax expense as a percentage of earnings before income taxes is attributable to our estimate of ultimate income tax liability, and changes in the characteristics of net earnings year to year, such as underwriting income versus investment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117" w:lineRule="exact"/>
        <w:rPr>
          <w:sz w:val="20"/>
          <w:szCs w:val="20"/>
          <w:color w:val="auto"/>
        </w:rPr>
      </w:pPr>
    </w:p>
    <w:p>
      <w:pPr>
        <w:ind w:right="40" w:firstLine="270"/>
        <w:spacing w:after="0" w:line="273" w:lineRule="auto"/>
        <w:rPr>
          <w:sz w:val="20"/>
          <w:szCs w:val="20"/>
          <w:color w:val="auto"/>
        </w:rPr>
      </w:pPr>
      <w:r>
        <w:rPr>
          <w:rFonts w:ascii="Arial" w:cs="Arial" w:eastAsia="Arial" w:hAnsi="Arial"/>
          <w:sz w:val="17"/>
          <w:szCs w:val="17"/>
          <w:color w:val="auto"/>
        </w:rPr>
        <w:t>Our cash requirements include operating expenses, taxes, payments of interest and principal on our debt, capital expenditures, business acquisitions and dividends on our common stock. We intend to pay an annual dividend of $1.16 on each share of our common stock, payable quarterly, or an aggregate of approximately $202.2 million per year, based on the number of shares we had outstanding as of the Distribution. We believe that all anticipated cash requirements for current operations will be met from internally generated funds, through cash dividends from subsidiaries, cash generated by investment securities and borrowings on existing credit facilities. Our short-term and long-term liquidity requirements are monitored regularly to ensure that we can meet our cash requirements. We forecast the needs of all of our subsidiaries and periodically review</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their short-term and long-term projected sources and uses of funds, as well as the asset, liability, investment and cash flow assumptions underlying these projections.</w:t>
      </w:r>
    </w:p>
    <w:p>
      <w:pPr>
        <w:spacing w:after="0" w:line="62" w:lineRule="exact"/>
        <w:rPr>
          <w:sz w:val="20"/>
          <w:szCs w:val="20"/>
          <w:color w:val="auto"/>
        </w:rPr>
      </w:pPr>
    </w:p>
    <w:p>
      <w:pPr>
        <w:ind w:right="100" w:firstLine="270"/>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claim loss reserves, we do not specifically match durations of our investments to the cash outflows required to pay claims, but do manage outflows on a shorter time frame.</w:t>
      </w:r>
    </w:p>
    <w:p>
      <w:pPr>
        <w:spacing w:after="0" w:line="57"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other distributions to us. See “Item 1 — Business — Regulation.” As of December 31, 2005, $1.9 billion of our net assets were restricted from dividend payments without prior approval from the relevant departments of insurance. During 2006, our first-tier title subsidiaries can pay or make distributions to us of approximately $289.9 million without prior regulatory approval. Our underwritten title companies collect revenue and pay operating expenses. However, they are not regulated to the same extent as our insurance subsidiaries.</w:t>
      </w:r>
    </w:p>
    <w:p>
      <w:pPr>
        <w:spacing w:after="0" w:line="71"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In July 2005, we paid a cash dividend to FNF in the amount of $145 million. This dividend required prior regulatory approval, which was obtained. In August 2005, one of our subsidiaries that is not subject to regulatory limitations on dividend payments paid a dividend to FNF in the form of a promissory note having a principal amount of $150 million which was paid off in October 2005, using proceeds from the Company’s new credit agreement. On December 14, 2005, we paid a cash dividend of $0.25 per share for an aggregate amount of $43.6 million, made up of $35.8 million that we paid to FNF on shares of Class B common stock and $7.8 million that we paid to public shareholders on shares of Class A common stock. On February 8, 2006, our Board of Directors declared a quarterly cash dividend of $0.29 per share, payable March 28, 2006, to stockholders of record as of March 15, 2006, a 16% increase over the previous dividend.</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cash flows from operations were $697.5 million, $645.8 million, and $852.6 million in 2005, 2004, and 2003, respectively.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Our capital expenditures related to fixed assets were $85.4 million, $70.6 million, and $80.4 million in 2005, 2004, and 2003, respectively. Capital expenditures related to title plants were $6.8 million, $6.5 million, and $1.1 million in 2005, 2004, and 2003, respectively. Capital expenditures related to capitalized software were $8.1 million, $0.4 million, and $16.1 million in 2005, 2004, and 2003, respectively. We do not expect future capital expenditures to increase significantly.</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Financing</w:t>
      </w:r>
    </w:p>
    <w:p>
      <w:pPr>
        <w:spacing w:after="0" w:line="117" w:lineRule="exact"/>
        <w:rPr>
          <w:sz w:val="20"/>
          <w:szCs w:val="20"/>
          <w:color w:val="auto"/>
        </w:rPr>
      </w:pPr>
    </w:p>
    <w:p>
      <w:pPr>
        <w:ind w:right="20" w:firstLine="270"/>
        <w:spacing w:after="0" w:line="270" w:lineRule="auto"/>
        <w:rPr>
          <w:sz w:val="20"/>
          <w:szCs w:val="20"/>
          <w:color w:val="auto"/>
        </w:rPr>
      </w:pPr>
      <w:r>
        <w:rPr>
          <w:rFonts w:ascii="Arial" w:cs="Arial" w:eastAsia="Arial" w:hAnsi="Arial"/>
          <w:sz w:val="17"/>
          <w:szCs w:val="17"/>
          <w:color w:val="auto"/>
        </w:rPr>
        <w:t>In connection with the Distribution, we issued two $250 million intercompany notes payable to FNF (the “Mirror Notes”), with terms that mirrored FNF’s existing $250 million 7.30% public notes due in August 2011 and $250 million 5.25% public notes due in March 2013. Proceeds from the issuance of the FNF notes due 2011 were used by FNF to repay debt incurred in connection with the acquisition of our subsidiary, Chicago Title, and the proceeds from the FNF notes due 2013 were used for general corporate purposes. Following the issuance of the Mirror Notes, we filed a Registration Statement on Form S-4, pursuant to which we offered to accept the outstanding FNF notes in exchange for FNT notes we issued having substantially the same terms. On January 18, 2006, we completed these exchange offers and received $241.3 million in aggregate principal amount of FNF’s 7.30% Notes due August 15, 2011, and the entire $250.0 million in aggregate principal of FNF’s 5.25% Notes due March 15, 2013. The FNF notes received by us in the exchange were subsequently delivered to FNF in partial redemption of the 7.30% Mirror Note due August 15, 2011, and in full redemption of the 5.25% Mirror Note due March 15, 2013. In order to reflect the partial redemption of</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7.30% Mirror Note due August 15, 2011, the original note has been replaced with an identical Mirror Note with a principal balance of $8.7 million, which reflects the unredeemed portion of the original Mirror Note. Interest on each mirror note has been accrued from the last date on which interest on the corresponding FNF notes was paid and at the same rate. The remaining mirror notes mature on the maturity dates of the corresponding FNF notes. Upon any acceleration of maturity of the FNF notes, whether upon redemption or an event of default of the FNF notes, we must repay the corresponding amount of the mirror note. We may seek to acquire some or all of the 7.30% FNF Notes remaining outstanding, through purchases in the open market, privately negotiated purchases or otherwise. In the event that any such notes are acquired by us, we anticipate that we would deliver them to FNF in further redemption of the remaining 7.30% Mirror Note due August 15, 2011.</w:t>
      </w:r>
    </w:p>
    <w:p>
      <w:pPr>
        <w:spacing w:after="0" w:line="81" w:lineRule="exact"/>
        <w:rPr>
          <w:sz w:val="20"/>
          <w:szCs w:val="20"/>
          <w:color w:val="auto"/>
        </w:rPr>
      </w:pPr>
    </w:p>
    <w:p>
      <w:pPr>
        <w:ind w:firstLine="270"/>
        <w:spacing w:after="0" w:line="253" w:lineRule="auto"/>
        <w:rPr>
          <w:sz w:val="20"/>
          <w:szCs w:val="20"/>
          <w:color w:val="auto"/>
        </w:rPr>
      </w:pPr>
      <w:r>
        <w:rPr>
          <w:rFonts w:ascii="Arial" w:cs="Arial" w:eastAsia="Arial" w:hAnsi="Arial"/>
          <w:sz w:val="18"/>
          <w:szCs w:val="18"/>
          <w:color w:val="auto"/>
        </w:rPr>
        <w:t>On October 17, 2005, the Company entered into a credit agreement (the “Credit Agreement”), dated as of October 17, 2005, with Bank of America, N.A. as Administrative Agent and Swing Line Lender, and the other financial institutions party thereto. The Credit Agreement provides for a $400 million unsecured revolving credit facility (the “Credit Facility”) maturing on the fifth anniversary of the closing date. Amounts under the revolving Credit Facility may be borrowed, repaid and reborrowed by the borrowers thereunder from time to time until the maturity of the Credit Facility. Voluntary prepayment of the Credit Facility under the Credit Agreement is permitted at any time without fee upon proper notice and subject to a minimum dollar requirement. Revolving loans under the Credit Facility bear interest at a variable rate based on either (i) the higher of (a) a rate per annum equal to one-half of one percent in excess of the Federal Reserve’s Federal Funds rate, or (b) Bank of America’s “prime rate;” or (ii) a rate per annum equal to the British Bankers Association London Interbank Offered Rate (LIBOR) rate plus a margin of between 0.35%-1.25%, depending on the Company’s then current public debt credit rating from the rating agencies.</w:t>
      </w:r>
    </w:p>
    <w:p>
      <w:pPr>
        <w:spacing w:after="0" w:line="89" w:lineRule="exact"/>
        <w:rPr>
          <w:sz w:val="20"/>
          <w:szCs w:val="20"/>
          <w:color w:val="auto"/>
        </w:rPr>
      </w:pPr>
    </w:p>
    <w:p>
      <w:pPr>
        <w:ind w:right="120" w:firstLine="267"/>
        <w:spacing w:after="0" w:line="270" w:lineRule="auto"/>
        <w:rPr>
          <w:sz w:val="20"/>
          <w:szCs w:val="20"/>
          <w:color w:val="auto"/>
        </w:rPr>
      </w:pPr>
      <w:r>
        <w:rPr>
          <w:rFonts w:ascii="Arial" w:cs="Arial" w:eastAsia="Arial" w:hAnsi="Arial"/>
          <w:sz w:val="17"/>
          <w:szCs w:val="17"/>
          <w:color w:val="auto"/>
        </w:rPr>
        <w:t>The Credit Agreement contains affirmative, negative and financial covenants customary for financings of this type, including, among other things, limits on the creation of liens and on the sale of assets, limits on the incurrence of indebtedness, restrictions on investments, and limitations on restricted payments and transactions with affiliates and certain amendments. The Credit Agreement requires the Company to maintain investment grade debt ratings, certain financial ratios related to liquidity and statutory surplus and certain levels of capitalization. The Credit Agreement also includes customary events of default for facilities of this type (with customary grace periods, as applicable) and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Credit Agreement shall automatically become immediately due and payable, and the lenders’ commitments will automatically terminate. We believe that we are in compliance with all covenants related to the Credit Agreement at December 31, 2005.</w:t>
      </w:r>
    </w:p>
    <w:p>
      <w:pPr>
        <w:spacing w:after="0" w:line="74" w:lineRule="exact"/>
        <w:rPr>
          <w:sz w:val="20"/>
          <w:szCs w:val="20"/>
          <w:color w:val="auto"/>
        </w:rPr>
      </w:pPr>
    </w:p>
    <w:p>
      <w:pPr>
        <w:jc w:val="both"/>
        <w:ind w:right="120" w:firstLine="270"/>
        <w:spacing w:after="0" w:line="264" w:lineRule="auto"/>
        <w:rPr>
          <w:sz w:val="20"/>
          <w:szCs w:val="20"/>
          <w:color w:val="auto"/>
        </w:rPr>
      </w:pPr>
      <w:r>
        <w:rPr>
          <w:rFonts w:ascii="Arial" w:cs="Arial" w:eastAsia="Arial" w:hAnsi="Arial"/>
          <w:sz w:val="18"/>
          <w:szCs w:val="18"/>
          <w:color w:val="auto"/>
        </w:rPr>
        <w:t>On October 24, 2005, we borrowed $150 million under the Credit Facility and paid it to FNF in satisfaction of a $150 million intercompany note issued by one of our subsidiaries to FNF in August 2005. During the fourth quarter of 2005, we repaid $50 million. At December 31, 2005, the outstanding balance was $100 million.</w:t>
      </w:r>
    </w:p>
    <w:p>
      <w:pPr>
        <w:spacing w:after="0" w:line="73" w:lineRule="exact"/>
        <w:rPr>
          <w:sz w:val="20"/>
          <w:szCs w:val="20"/>
          <w:color w:val="auto"/>
        </w:rPr>
      </w:pPr>
    </w:p>
    <w:p>
      <w:pPr>
        <w:ind w:right="20" w:firstLine="267"/>
        <w:spacing w:after="0" w:line="255" w:lineRule="auto"/>
        <w:rPr>
          <w:sz w:val="20"/>
          <w:szCs w:val="20"/>
          <w:color w:val="auto"/>
        </w:rPr>
      </w:pPr>
      <w:r>
        <w:rPr>
          <w:rFonts w:ascii="Arial" w:cs="Arial" w:eastAsia="Arial" w:hAnsi="Arial"/>
          <w:sz w:val="18"/>
          <w:szCs w:val="18"/>
          <w:color w:val="auto"/>
        </w:rPr>
        <w:t>We have agreed that, without FNF’s consent, we will not issue any shares of our capital stock or any rights, warrants or options to acquire our capital stock, if after giving effect to the issuances and considering all of the shares of our capital stock which may be acquired under the rights, warrants and options outstanding on the date of the issuance, FNF would not be eligible to consolidate our results of operations for tax purposes, would not receive favorable tax treatment of dividends paid by us or would not be able, if it so desired, to distribute the rest of our stock it holds to its stockholders in a tax-free distribution. These limits will generally enable FNF to continue to own at least 80% of our outstanding common stock. See “Item 13 — Certain Relationships and Related Transactions.”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color w:val="auto"/>
        </w:rPr>
        <w:t>Our long-term contractual obligations generally include our loss reserves, our long-term debt and operating lease payments on certain of our property and equipment. As of December 31, 2005, our required payments relating to our long-term contractual obligations are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2006</w:t>
            </w:r>
          </w:p>
        </w:tc>
        <w:tc>
          <w:tcPr>
            <w:tcW w:w="4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2007</w:t>
            </w:r>
          </w:p>
        </w:tc>
        <w:tc>
          <w:tcPr>
            <w:tcW w:w="4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2008</w:t>
            </w:r>
          </w:p>
        </w:tc>
        <w:tc>
          <w:tcPr>
            <w:tcW w:w="4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4"/>
              <w:spacing w:after="0"/>
              <w:rPr>
                <w:sz w:val="20"/>
                <w:szCs w:val="20"/>
                <w:color w:val="auto"/>
              </w:rPr>
            </w:pPr>
            <w:r>
              <w:rPr>
                <w:rFonts w:ascii="Arial" w:cs="Arial" w:eastAsia="Arial" w:hAnsi="Arial"/>
                <w:sz w:val="13"/>
                <w:szCs w:val="13"/>
                <w:b w:val="1"/>
                <w:bCs w:val="1"/>
                <w:color w:val="auto"/>
              </w:rPr>
              <w:t>2009</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2010</w:t>
            </w: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w w:val="94"/>
              </w:rPr>
              <w:t>Thereafter</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3"/>
                <w:szCs w:val="13"/>
                <w:b w:val="1"/>
                <w:bCs w:val="1"/>
                <w:color w:val="auto"/>
              </w:rPr>
              <w:t>Total</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80"/>
              <w:spacing w:after="0" w:line="143" w:lineRule="exact"/>
              <w:rPr>
                <w:sz w:val="20"/>
                <w:szCs w:val="20"/>
                <w:color w:val="auto"/>
              </w:rPr>
            </w:pPr>
            <w:r>
              <w:rPr>
                <w:rFonts w:ascii="Arial" w:cs="Arial" w:eastAsia="Arial" w:hAnsi="Arial"/>
                <w:sz w:val="13"/>
                <w:szCs w:val="13"/>
                <w:b w:val="1"/>
                <w:bCs w:val="1"/>
                <w:color w:val="auto"/>
                <w:w w:val="93"/>
              </w:rPr>
              <w:t>(In thousands)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Notes payable</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5,462</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497,800</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603,262</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6"/>
                <w:szCs w:val="16"/>
                <w:color w:val="auto"/>
              </w:rPr>
              <w:t>Operating lease payments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6"/>
                <w:szCs w:val="16"/>
                <w:color w:val="auto"/>
              </w:rPr>
              <w:t>115,854</w:t>
            </w:r>
          </w:p>
        </w:tc>
        <w:tc>
          <w:tcPr>
            <w:tcW w:w="16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6"/>
                <w:szCs w:val="16"/>
                <w:color w:val="auto"/>
              </w:rPr>
              <w:t>94,742</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67,273</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42,563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color w:val="auto"/>
              </w:rPr>
              <w:t>20,930</w:t>
            </w:r>
          </w:p>
        </w:tc>
        <w:tc>
          <w:tcPr>
            <w:tcW w:w="10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12,576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353,938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Reserve for claim losses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206,734</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171,112</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137,247</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106,564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79,572</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362,628</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1,063,857</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6"/>
                <w:szCs w:val="16"/>
                <w:color w:val="auto"/>
                <w:w w:val="96"/>
              </w:rPr>
              <w:t>Pension and postretirement obligations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12,906</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6"/>
                <w:szCs w:val="16"/>
                <w:color w:val="auto"/>
              </w:rPr>
              <w:t>12,140</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16,544</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14,169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color w:val="auto"/>
              </w:rPr>
              <w:t>14,634</w:t>
            </w:r>
          </w:p>
        </w:tc>
        <w:tc>
          <w:tcPr>
            <w:tcW w:w="10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110,717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181,110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340,956</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277,994</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221,064</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163,296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215,136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983,721</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2,202,167</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00" w:firstLine="260"/>
        <w:spacing w:after="0" w:line="259" w:lineRule="auto"/>
        <w:rPr>
          <w:sz w:val="20"/>
          <w:szCs w:val="20"/>
          <w:color w:val="auto"/>
        </w:rPr>
      </w:pPr>
      <w:r>
        <w:rPr>
          <w:rFonts w:ascii="Arial" w:cs="Arial" w:eastAsia="Arial" w:hAnsi="Arial"/>
          <w:sz w:val="18"/>
          <w:szCs w:val="18"/>
          <w:color w:val="auto"/>
        </w:rPr>
        <w:t>As of December 31, 2005 we had reserves for claim losses of $1,063.9 million. The amounts and timing of these obligations are estimated and are not set contractually. Nonetheless, based on historical title insurance claim experience, we anticipate the above payment patterns. While we believe that historical loss payments are a reasonable source for projecting future claim payments, there is significant inherent uncertainty in this payment pattern estimate because of the potential impact of changes in:</w:t>
      </w:r>
    </w:p>
    <w:p>
      <w:pPr>
        <w:spacing w:after="0" w:line="79" w:lineRule="exact"/>
        <w:rPr>
          <w:sz w:val="20"/>
          <w:szCs w:val="20"/>
          <w:color w:val="auto"/>
        </w:rPr>
      </w:pPr>
    </w:p>
    <w:p>
      <w:pPr>
        <w:ind w:left="460" w:right="240" w:hanging="101"/>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mortgage interest rates, which will affect the number of real estate and refinancing transactions and, therefore, the rate at which title insurance claims will emerge;</w:t>
      </w:r>
    </w:p>
    <w:p>
      <w:pPr>
        <w:spacing w:after="0" w:line="75" w:lineRule="exact"/>
        <w:rPr>
          <w:rFonts w:ascii="Arial" w:cs="Arial" w:eastAsia="Arial" w:hAnsi="Arial"/>
          <w:sz w:val="18"/>
          <w:szCs w:val="18"/>
          <w:color w:val="auto"/>
        </w:rPr>
      </w:pPr>
    </w:p>
    <w:p>
      <w:pPr>
        <w:ind w:left="460" w:right="660" w:hanging="101"/>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legal environment whereby court decisions and reinterpretations of title insurance policy language to broaden coverage could increase total obligations and influence claim payout patterns;</w:t>
      </w:r>
    </w:p>
    <w:p>
      <w:pPr>
        <w:spacing w:after="0" w:line="75" w:lineRule="exact"/>
        <w:rPr>
          <w:rFonts w:ascii="Arial" w:cs="Arial" w:eastAsia="Arial" w:hAnsi="Arial"/>
          <w:sz w:val="18"/>
          <w:szCs w:val="18"/>
          <w:color w:val="auto"/>
        </w:rPr>
      </w:pPr>
    </w:p>
    <w:p>
      <w:pPr>
        <w:ind w:left="460" w:right="300" w:hanging="101"/>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events such as fraud, defalcation, and multiple property title defects, that can substantially and unexpectedly cause increases in both the amount and timing of estimated title insurance loss payments;</w:t>
      </w:r>
    </w:p>
    <w:p>
      <w:pPr>
        <w:spacing w:after="0" w:line="75" w:lineRule="exact"/>
        <w:rPr>
          <w:rFonts w:ascii="Arial" w:cs="Arial" w:eastAsia="Arial" w:hAnsi="Arial"/>
          <w:sz w:val="18"/>
          <w:szCs w:val="18"/>
          <w:color w:val="auto"/>
        </w:rPr>
      </w:pPr>
    </w:p>
    <w:p>
      <w:pPr>
        <w:ind w:left="460" w:right="400" w:hanging="101"/>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cost trends whereby increases or decreases in inflationary factors (including the value of real estate) will influence the ultimate amount of title insurance loss payments; and</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claims staffing levels whereby claims may be settled at a different rate based on the future staffing levels of the claims department.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Pension Liability Adjustment</w:t>
      </w:r>
    </w:p>
    <w:p>
      <w:pPr>
        <w:spacing w:after="0" w:line="121" w:lineRule="exact"/>
        <w:rPr>
          <w:sz w:val="20"/>
          <w:szCs w:val="20"/>
          <w:color w:val="auto"/>
        </w:rPr>
      </w:pPr>
    </w:p>
    <w:p>
      <w:pPr>
        <w:ind w:right="140" w:firstLine="270"/>
        <w:spacing w:after="0" w:line="257" w:lineRule="auto"/>
        <w:rPr>
          <w:sz w:val="20"/>
          <w:szCs w:val="20"/>
          <w:color w:val="auto"/>
        </w:rPr>
      </w:pPr>
      <w:r>
        <w:rPr>
          <w:rFonts w:ascii="Arial" w:cs="Arial" w:eastAsia="Arial" w:hAnsi="Arial"/>
          <w:sz w:val="18"/>
          <w:szCs w:val="18"/>
          <w:color w:val="auto"/>
        </w:rPr>
        <w:t>Discount rates that are used in determining our December 31, 2005 projected benefit obligation and 2005 net periodic pension costs were based on prevailing interest rates as of December 31, 2005. Similar to prior years, we considered investment grade corporate bond yields at that date as an appropriate basis in determining the discount rate. A decrease in the discount rate used at December 31, 2005 resulted in an additional minimum pension liability adjustment. As such, we recorded a net-of-tax charge of $2.0 million to accumulated other comprehensive loss in 2005 in accordance with Statement of Financial Accounting Standards No. 87, “Employers’ Accounting for Pensions”.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40" w:firstLine="270"/>
        <w:spacing w:after="0" w:line="302" w:lineRule="auto"/>
        <w:rPr>
          <w:sz w:val="20"/>
          <w:szCs w:val="20"/>
          <w:color w:val="auto"/>
        </w:rPr>
      </w:pPr>
      <w:r>
        <w:rPr>
          <w:rFonts w:ascii="Arial" w:cs="Arial" w:eastAsia="Arial" w:hAnsi="Arial"/>
          <w:sz w:val="16"/>
          <w:szCs w:val="16"/>
          <w:color w:val="auto"/>
        </w:rPr>
        <w:t>In conducting our operations, we routinely hold customers’ assets in escrow, pending completion of real estate transactions. Certain of these amounts are maintained in segregated bank accounts and have not been included in the Consolidated and Combined Balance Sheets. As a result of holding these customers’ assets in escrow, we have ongoing programs for realizing economic benefits during the year through favorable borrowing and vendor arrangements with various banks. There were no investments or loans outstanding as of December 31, 2005 related to these arrangements.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270"/>
        <w:spacing w:after="0" w:line="286" w:lineRule="auto"/>
        <w:rPr>
          <w:sz w:val="20"/>
          <w:szCs w:val="20"/>
          <w:color w:val="auto"/>
        </w:rPr>
      </w:pPr>
      <w:r>
        <w:rPr>
          <w:rFonts w:ascii="Arial" w:cs="Arial" w:eastAsia="Arial" w:hAnsi="Arial"/>
          <w:sz w:val="16"/>
          <w:szCs w:val="16"/>
          <w:color w:val="auto"/>
        </w:rPr>
        <w:t>In December 2004, the FASB issued FASB Statement No. 123R (“SFAS No. 123R”), “Share-Based Payment,” which requires that compensation cost relating to share-based payments be recognized in FNT’s financial statements. During 2003, we adopted the fair value recognition provision of Statement of Financial Accounting Standards No. 123, “Accounting for Stock-Based Compensation” (“SFAS No. 123”), for stock-based employee compensation, effective as of the beginning of 2003. We had elected to use the prospective method of transition, as permitted by Statement of Financial Accounting Standards</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No. 148, “Accounting for Stock-Based Compensation — Transition and Disclosure” (“SFAS No. 148”). Under this method, stock-based employee compensation cost is recognized from the beginning of 2003 as if the fair value method of accounting had been used to account for all employee awards granted, modified, or settled in years beginning after December 31, 2002. SFAS No. 123R does not allow for the prospective method, but requires the recording of expense relating to the vesting of all unvested options beginning in the first quarter of 2006. Since we adopted SFAS No. 123 in 2003, the impact of recording additional expense in 2006 under SFAS No. 123R relating to options granted prior to January 1, 2003 will not be significant.</w:t>
      </w:r>
    </w:p>
    <w:p>
      <w:pPr>
        <w:spacing w:after="0" w:line="1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 About Market Risk</w:t>
      </w:r>
    </w:p>
    <w:p>
      <w:pPr>
        <w:spacing w:after="0" w:line="121" w:lineRule="exact"/>
        <w:rPr>
          <w:sz w:val="20"/>
          <w:szCs w:val="20"/>
          <w:color w:val="auto"/>
        </w:rPr>
      </w:pPr>
    </w:p>
    <w:p>
      <w:pPr>
        <w:jc w:val="both"/>
        <w:ind w:right="220" w:firstLine="270"/>
        <w:spacing w:after="0" w:line="264" w:lineRule="auto"/>
        <w:rPr>
          <w:sz w:val="20"/>
          <w:szCs w:val="20"/>
          <w:color w:val="auto"/>
        </w:rPr>
      </w:pPr>
      <w:r>
        <w:rPr>
          <w:rFonts w:ascii="Arial" w:cs="Arial" w:eastAsia="Arial" w:hAnsi="Arial"/>
          <w:sz w:val="18"/>
          <w:szCs w:val="18"/>
          <w:color w:val="auto"/>
        </w:rPr>
        <w:t>Our Consolidated and Combined Balance Sheets include a substantial amount of assets and liabilities whose fair values are subject to market risks. See “Business — Investment Policies and Investment Portfolio” and Note C of Notes to Consolidated Financial Statements. The following sections address the significant market risks associated with our financial activities for the year ended December 31, 2005.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Our fixed maturity investments and borrowings are subject to interest rate risk. Increases and decreases in prevailing interest rates generally translate into decreases and increases in fair values of those instruments. Additionally, fair values of interest rate sensitive instruments may be affected by the creditworthiness of the issuer, prepayment options, relative values of alternative investments, the liquidity of the instrument and other general market conditions.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121"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The carrying values of investments subject to equity price risks are based on quoted market prices as of the balance sheet date.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80" w:lineRule="exact"/>
        <w:rPr>
          <w:sz w:val="20"/>
          <w:szCs w:val="20"/>
          <w:color w:val="auto"/>
        </w:rPr>
      </w:pPr>
    </w:p>
    <w:p>
      <w:pPr>
        <w:ind w:right="580" w:firstLine="270"/>
        <w:spacing w:after="0" w:line="264" w:lineRule="auto"/>
        <w:rPr>
          <w:sz w:val="20"/>
          <w:szCs w:val="20"/>
          <w:color w:val="auto"/>
        </w:rPr>
      </w:pPr>
      <w:r>
        <w:rPr>
          <w:rFonts w:ascii="Arial" w:cs="Arial" w:eastAsia="Arial" w:hAnsi="Arial"/>
          <w:sz w:val="18"/>
          <w:szCs w:val="18"/>
          <w:color w:val="auto"/>
        </w:rPr>
        <w:t>Caution should be used in evaluating our overall market risk from the information below, since actual results could differ materially because the information was developed using estimates and assumptions as described below, and because our reserve for claim losses (representing 31.4% of total liabilities) is not included in the hypothetical effects.</w:t>
      </w:r>
    </w:p>
    <w:p>
      <w:pPr>
        <w:spacing w:after="0" w:line="73" w:lineRule="exact"/>
        <w:rPr>
          <w:sz w:val="20"/>
          <w:szCs w:val="20"/>
          <w:color w:val="auto"/>
        </w:rPr>
      </w:pPr>
    </w:p>
    <w:p>
      <w:pPr>
        <w:ind w:right="240" w:firstLine="267"/>
        <w:spacing w:after="0" w:line="277" w:lineRule="auto"/>
        <w:rPr>
          <w:sz w:val="20"/>
          <w:szCs w:val="20"/>
          <w:color w:val="auto"/>
        </w:rPr>
      </w:pPr>
      <w:r>
        <w:rPr>
          <w:rFonts w:ascii="Arial" w:cs="Arial" w:eastAsia="Arial" w:hAnsi="Arial"/>
          <w:sz w:val="18"/>
          <w:szCs w:val="18"/>
          <w:color w:val="auto"/>
        </w:rPr>
        <w:t>The hypothetical effects of changes in market rates or prices on the fair values of financial instruments would have been as follows as of or for the year ended December 31, 2005:</w:t>
      </w:r>
    </w:p>
    <w:p>
      <w:pPr>
        <w:spacing w:after="0" w:line="62" w:lineRule="exact"/>
        <w:rPr>
          <w:sz w:val="20"/>
          <w:szCs w:val="20"/>
          <w:color w:val="auto"/>
        </w:rPr>
      </w:pPr>
    </w:p>
    <w:p>
      <w:pPr>
        <w:ind w:left="460" w:right="120" w:hanging="101"/>
        <w:spacing w:after="0" w:line="26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approximate $80.8 million net increase (decrease) in the fair value of fixed maturity securities would have occurred if interest rates were 100 basis points (lower) higher as of December 31, 2005. The change in fair values was determined by estimating the present value of future cash flows using various models, primarily duration modeling.</w:t>
      </w:r>
    </w:p>
    <w:p>
      <w:pPr>
        <w:spacing w:after="0" w:line="86" w:lineRule="exact"/>
        <w:rPr>
          <w:rFonts w:ascii="Arial" w:cs="Arial" w:eastAsia="Arial" w:hAnsi="Arial"/>
          <w:sz w:val="18"/>
          <w:szCs w:val="18"/>
          <w:color w:val="auto"/>
        </w:rPr>
      </w:pPr>
    </w:p>
    <w:p>
      <w:pPr>
        <w:ind w:left="460" w:right="500" w:hanging="101"/>
        <w:spacing w:after="0" w:line="27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approximate $37.1 million net increase (decrease) in the fair value of equity securities would have occurred if there was a 20% price increase (decrease) in market prices.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00" w:hanging="101"/>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is not anticipated that there would be a significant change in the fair value of other long-term investments or short-term investments if there was a change in market conditions, based on the nature and duration of the financial instruments involved.</w:t>
      </w:r>
    </w:p>
    <w:p>
      <w:pPr>
        <w:spacing w:after="0" w:line="75" w:lineRule="exact"/>
        <w:rPr>
          <w:rFonts w:ascii="Arial" w:cs="Arial" w:eastAsia="Arial" w:hAnsi="Arial"/>
          <w:sz w:val="18"/>
          <w:szCs w:val="18"/>
          <w:color w:val="auto"/>
        </w:rPr>
      </w:pPr>
    </w:p>
    <w:p>
      <w:pPr>
        <w:ind w:left="460" w:hanging="101"/>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expense on average variable rate debt outstanding would have been approximately $0.7 million higher (lower) if weighted average interest rates had been 100 basis points higher (lower) for the year ended December 31, 2005.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780" w:type="dxa"/>
            <w:vAlign w:val="bottom"/>
            <w:gridSpan w:val="8"/>
          </w:tcPr>
          <w:p>
            <w:pPr>
              <w:ind w:left="18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780" w:type="dxa"/>
            <w:vAlign w:val="bottom"/>
            <w:gridSpan w:val="8"/>
          </w:tcPr>
          <w:p>
            <w:pPr>
              <w:jc w:val="center"/>
              <w:ind w:left="90"/>
              <w:spacing w:after="0"/>
              <w:rPr>
                <w:sz w:val="20"/>
                <w:szCs w:val="20"/>
                <w:color w:val="auto"/>
              </w:rPr>
            </w:pPr>
            <w:r>
              <w:rPr>
                <w:rFonts w:ascii="Arial" w:cs="Arial" w:eastAsia="Arial" w:hAnsi="Arial"/>
                <w:sz w:val="18"/>
                <w:szCs w:val="18"/>
                <w:b w:val="1"/>
                <w:bCs w:val="1"/>
                <w:color w:val="auto"/>
              </w:rPr>
              <w:t>FIDELITY NATIONAL TITLE GROUP, INC. AND SUBSIDIARIES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780" w:type="dxa"/>
            <w:vAlign w:val="bottom"/>
            <w:gridSpan w:val="8"/>
          </w:tcPr>
          <w:p>
            <w:pPr>
              <w:jc w:val="center"/>
              <w:ind w:left="90"/>
              <w:spacing w:after="0"/>
              <w:rPr>
                <w:sz w:val="20"/>
                <w:szCs w:val="20"/>
                <w:color w:val="auto"/>
              </w:rPr>
            </w:pPr>
            <w:r>
              <w:rPr>
                <w:rFonts w:ascii="Arial" w:cs="Arial" w:eastAsia="Arial" w:hAnsi="Arial"/>
                <w:sz w:val="18"/>
                <w:szCs w:val="18"/>
                <w:b w:val="1"/>
                <w:bCs w:val="1"/>
                <w:color w:val="auto"/>
              </w:rPr>
              <w:t>INDEX TO FINANCIAL INFORMATION</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jc w:val="right"/>
              <w:ind w:right="94"/>
              <w:spacing w:after="0"/>
              <w:rPr>
                <w:sz w:val="20"/>
                <w:szCs w:val="20"/>
                <w:color w:val="auto"/>
              </w:rPr>
            </w:pPr>
            <w:r>
              <w:rPr>
                <w:rFonts w:ascii="Arial" w:cs="Arial" w:eastAsia="Arial" w:hAnsi="Arial"/>
                <w:sz w:val="14"/>
                <w:szCs w:val="14"/>
                <w:b w:val="1"/>
                <w:bCs w:val="1"/>
                <w:color w:val="auto"/>
              </w:rPr>
              <w:t>Page</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4220" w:type="dxa"/>
            <w:vAlign w:val="bottom"/>
            <w:gridSpan w:val="2"/>
            <w:vMerge w:val="restart"/>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Report of Independent Registered Public Accounting Firm</w:t>
              </w:r>
            </w:hyperlink>
          </w:p>
        </w:tc>
        <w:tc>
          <w:tcPr>
            <w:tcW w:w="6240" w:type="dxa"/>
            <w:vAlign w:val="bottom"/>
            <w:gridSpan w:val="7"/>
            <w:vMerge w:val="restart"/>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5"/>
                <w:szCs w:val="15"/>
                <w:color w:val="auto"/>
              </w:rPr>
            </w:pPr>
          </w:p>
        </w:tc>
        <w:tc>
          <w:tcPr>
            <w:tcW w:w="4220" w:type="dxa"/>
            <w:vAlign w:val="bottom"/>
            <w:tcBorders>
              <w:bottom w:val="single" w:sz="8" w:color="0000EE"/>
            </w:tcBorders>
            <w:gridSpan w:val="2"/>
            <w:vMerge w:val="continue"/>
          </w:tcPr>
          <w:p>
            <w:pPr>
              <w:spacing w:after="0"/>
              <w:rPr>
                <w:sz w:val="15"/>
                <w:szCs w:val="15"/>
                <w:color w:val="auto"/>
              </w:rPr>
            </w:pPr>
          </w:p>
        </w:tc>
        <w:tc>
          <w:tcPr>
            <w:tcW w:w="6240" w:type="dxa"/>
            <w:vAlign w:val="bottom"/>
            <w:gridSpan w:val="7"/>
            <w:vMerge w:val="continue"/>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460" w:type="dxa"/>
            <w:vAlign w:val="bottom"/>
            <w:gridSpan w:val="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and Combined Balance Sheets as of December 31, 2005 and 2004</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4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78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Consolidated and Combined Statements of Earnings for the years ended December 31, 2005, 2004 and 2003</w:t>
              </w:r>
            </w:hyperlink>
          </w:p>
        </w:tc>
        <w:tc>
          <w:tcPr>
            <w:tcW w:w="266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9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Consolidated and Combined Statements of Comprehensive Earnings for the years ended December 31, 2005, 2004 and 2003</w:t>
              </w:r>
            </w:hyperlink>
          </w:p>
        </w:tc>
        <w:tc>
          <w:tcPr>
            <w:tcW w:w="148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460" w:type="dxa"/>
            <w:vAlign w:val="bottom"/>
            <w:gridSpan w:val="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and Combined Statements of Stockholders’ Equity for the years ended December 31, 2005, 2004 and 2003</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680" w:type="dxa"/>
            <w:vAlign w:val="bottom"/>
            <w:tcBorders>
              <w:top w:val="single" w:sz="8" w:color="0000EE"/>
            </w:tcBorders>
            <w:gridSpan w:val="7"/>
          </w:tcPr>
          <w:p>
            <w:pPr>
              <w:spacing w:after="0" w:line="196" w:lineRule="exact"/>
              <w:rPr>
                <w:rFonts w:ascii="Arial" w:cs="Arial" w:eastAsia="Arial" w:hAnsi="Arial"/>
                <w:sz w:val="18"/>
                <w:szCs w:val="18"/>
                <w:color w:val="0000EE"/>
                <w:w w:val="96"/>
              </w:rPr>
            </w:pPr>
            <w:hyperlink w:anchor="page54">
              <w:r>
                <w:rPr>
                  <w:rFonts w:ascii="Arial" w:cs="Arial" w:eastAsia="Arial" w:hAnsi="Arial"/>
                  <w:sz w:val="18"/>
                  <w:szCs w:val="18"/>
                  <w:color w:val="0000EE"/>
                  <w:w w:val="96"/>
                </w:rPr>
                <w:t>Consolidated and Combined Statements of Cash Flows for the years ended December 31, 2005, 2004 and 2003</w:t>
              </w:r>
            </w:hyperlink>
          </w:p>
        </w:tc>
        <w:tc>
          <w:tcPr>
            <w:tcW w:w="178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Notes to Consolidated and Combined Financial Statements</w:t>
              </w:r>
            </w:hyperlink>
          </w:p>
        </w:tc>
        <w:tc>
          <w:tcPr>
            <w:tcW w:w="246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560" w:type="dxa"/>
            <w:vAlign w:val="bottom"/>
            <w:tcBorders>
              <w:top w:val="single" w:sz="8" w:color="0000EE"/>
            </w:tcBorders>
            <w:gridSpan w:val="2"/>
          </w:tcPr>
          <w:p>
            <w:pPr>
              <w:spacing w:after="0"/>
              <w:rPr>
                <w:sz w:val="24"/>
                <w:szCs w:val="24"/>
                <w:color w:val="auto"/>
              </w:rPr>
            </w:pPr>
          </w:p>
        </w:tc>
        <w:tc>
          <w:tcPr>
            <w:tcW w:w="3560" w:type="dxa"/>
            <w:vAlign w:val="bottom"/>
            <w:gridSpan w:val="2"/>
          </w:tcPr>
          <w:p>
            <w:pPr>
              <w:jc w:val="center"/>
              <w:ind w:right="740"/>
              <w:spacing w:after="0"/>
              <w:rPr>
                <w:sz w:val="20"/>
                <w:szCs w:val="20"/>
                <w:color w:val="auto"/>
              </w:rPr>
            </w:pPr>
            <w:r>
              <w:rPr>
                <w:rFonts w:ascii="Arial" w:cs="Arial" w:eastAsia="Arial" w:hAnsi="Arial"/>
                <w:sz w:val="18"/>
                <w:szCs w:val="18"/>
                <w:color w:val="auto"/>
                <w:w w:val="89"/>
              </w:rPr>
              <w:t>44</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Title Group, Inc.:</w:t>
      </w:r>
    </w:p>
    <w:p>
      <w:pPr>
        <w:spacing w:after="0" w:line="10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have audited the accompanying Consolidated and Combined Balance Sheets of Fidelity National Title Group, Inc. and subsidiaries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2005 and 2004 and the related Consolidated and Combined Statements of Earnings, Comprehensive Earnings, Stockholders’ Equity and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Flows for each of the years in the three-year period ended December 31, 2005. These Consolidated and Combined Financial Statements are the responsibility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management. Our responsibility is to express an opinion on these Consolidated and Combined Financial Statements based on our audits.</w:t>
      </w:r>
    </w:p>
    <w:p>
      <w:pPr>
        <w:spacing w:after="0" w:line="126" w:lineRule="exact"/>
        <w:rPr>
          <w:sz w:val="20"/>
          <w:szCs w:val="20"/>
          <w:color w:val="auto"/>
        </w:rPr>
      </w:pPr>
    </w:p>
    <w:p>
      <w:pPr>
        <w:ind w:right="20" w:firstLine="267"/>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right="20" w:firstLine="270"/>
        <w:spacing w:after="0" w:line="286" w:lineRule="auto"/>
        <w:rPr>
          <w:sz w:val="20"/>
          <w:szCs w:val="20"/>
          <w:color w:val="auto"/>
        </w:rPr>
      </w:pPr>
      <w:r>
        <w:rPr>
          <w:rFonts w:ascii="Arial" w:cs="Arial" w:eastAsia="Arial" w:hAnsi="Arial"/>
          <w:sz w:val="17"/>
          <w:szCs w:val="17"/>
          <w:color w:val="auto"/>
        </w:rPr>
        <w:t>In our opinion, the Consolidated and Combined Financial Statements referred to above present fairly, in all material respects, the financial position of Fidelity National Title Group, Inc. and subsidiaries as of December 31, 2005 and 2004, and the results of their operations and their cash flows for each of the years in the three-year period ended December 31, 2005, in conformity with U.S. generally accepted accounting principles.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13, 2006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r>
      <w:tr>
        <w:trPr>
          <w:trHeight w:val="156"/>
        </w:trPr>
        <w:tc>
          <w:tcPr>
            <w:tcW w:w="76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0"/>
              <w:spacing w:after="0" w:line="155" w:lineRule="exact"/>
              <w:rPr>
                <w:sz w:val="20"/>
                <w:szCs w:val="20"/>
                <w:color w:val="auto"/>
              </w:rPr>
            </w:pPr>
            <w:r>
              <w:rPr>
                <w:rFonts w:ascii="Arial" w:cs="Arial" w:eastAsia="Arial" w:hAnsi="Arial"/>
                <w:sz w:val="14"/>
                <w:szCs w:val="14"/>
                <w:b w:val="1"/>
                <w:bCs w:val="1"/>
                <w:color w:val="auto"/>
              </w:rPr>
              <w:t>2005</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3"/>
                <w:szCs w:val="13"/>
                <w:color w:val="auto"/>
              </w:rPr>
            </w:pPr>
          </w:p>
        </w:tc>
      </w:tr>
      <w:tr>
        <w:trPr>
          <w:trHeight w:val="133"/>
        </w:trPr>
        <w:tc>
          <w:tcPr>
            <w:tcW w:w="7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right"/>
              <w:ind w:right="20"/>
              <w:spacing w:after="0" w:line="133" w:lineRule="exact"/>
              <w:rPr>
                <w:sz w:val="20"/>
                <w:szCs w:val="20"/>
                <w:color w:val="auto"/>
              </w:rPr>
            </w:pPr>
            <w:r>
              <w:rPr>
                <w:rFonts w:ascii="Arial" w:cs="Arial" w:eastAsia="Arial" w:hAnsi="Arial"/>
                <w:sz w:val="14"/>
                <w:szCs w:val="14"/>
                <w:b w:val="1"/>
                <w:bCs w:val="1"/>
                <w:color w:val="auto"/>
              </w:rPr>
              <w:t>(In</w:t>
            </w:r>
          </w:p>
        </w:tc>
        <w:tc>
          <w:tcPr>
            <w:tcW w:w="1160" w:type="dxa"/>
            <w:vAlign w:val="bottom"/>
            <w:gridSpan w:val="3"/>
          </w:tcPr>
          <w:p>
            <w:pPr>
              <w:jc w:val="right"/>
              <w:ind w:right="140"/>
              <w:spacing w:after="0" w:line="133" w:lineRule="exact"/>
              <w:rPr>
                <w:sz w:val="20"/>
                <w:szCs w:val="20"/>
                <w:color w:val="auto"/>
              </w:rPr>
            </w:pPr>
            <w:r>
              <w:rPr>
                <w:rFonts w:ascii="Arial" w:cs="Arial" w:eastAsia="Arial" w:hAnsi="Arial"/>
                <w:sz w:val="14"/>
                <w:szCs w:val="14"/>
                <w:b w:val="1"/>
                <w:bCs w:val="1"/>
                <w:color w:val="auto"/>
                <w:w w:val="81"/>
              </w:rPr>
              <w:t>thousands, except</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71"/>
        </w:trPr>
        <w:tc>
          <w:tcPr>
            <w:tcW w:w="7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w w:val="93"/>
              </w:rPr>
              <w:t>share data)</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03"/>
        </w:trPr>
        <w:tc>
          <w:tcPr>
            <w:tcW w:w="7640" w:type="dxa"/>
            <w:vAlign w:val="bottom"/>
            <w:shd w:val="clear" w:color="auto" w:fill="CCEEFF"/>
          </w:tcPr>
          <w:p>
            <w:pPr>
              <w:ind w:left="54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6"/>
                <w:szCs w:val="16"/>
                <w:color w:val="auto"/>
              </w:rPr>
              <w:t>Investments: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3"/>
        </w:trPr>
        <w:tc>
          <w:tcPr>
            <w:tcW w:w="76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7"/>
              </w:rPr>
              <w:t>Fixed maturities available for sale, at fair value, at December 31, 2005 includes $305,717 and $116,781 of</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03"/>
        </w:trPr>
        <w:tc>
          <w:tcPr>
            <w:tcW w:w="76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pledged fixed maturity securities related to secured trust deposits and the securities lending program,</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3"/>
        </w:trPr>
        <w:tc>
          <w:tcPr>
            <w:tcW w:w="7640" w:type="dxa"/>
            <w:vAlign w:val="bottom"/>
            <w:shd w:val="clear" w:color="auto" w:fill="CCEEFF"/>
          </w:tcPr>
          <w:p>
            <w:pPr>
              <w:ind w:left="440"/>
              <w:spacing w:after="0"/>
              <w:rPr>
                <w:sz w:val="20"/>
                <w:szCs w:val="20"/>
                <w:color w:val="auto"/>
              </w:rPr>
            </w:pPr>
            <w:r>
              <w:rPr>
                <w:rFonts w:ascii="Arial" w:cs="Arial" w:eastAsia="Arial" w:hAnsi="Arial"/>
                <w:sz w:val="16"/>
                <w:szCs w:val="16"/>
                <w:color w:val="auto"/>
                <w:w w:val="97"/>
              </w:rPr>
              <w:t>respectively, and at December 31, 2004 includes $265,639 of pledged fixed maturity securities related to</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12"/>
        </w:trPr>
        <w:tc>
          <w:tcPr>
            <w:tcW w:w="76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secured trust deposits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2,457,632</w:t>
            </w: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2,174,817</w:t>
            </w:r>
          </w:p>
        </w:tc>
      </w:tr>
      <w:tr>
        <w:trPr>
          <w:trHeight w:val="193"/>
        </w:trPr>
        <w:tc>
          <w:tcPr>
            <w:tcW w:w="7640" w:type="dxa"/>
            <w:vAlign w:val="bottom"/>
          </w:tcPr>
          <w:p>
            <w:pPr>
              <w:ind w:left="300"/>
              <w:spacing w:after="0"/>
              <w:rPr>
                <w:sz w:val="20"/>
                <w:szCs w:val="20"/>
                <w:color w:val="auto"/>
              </w:rPr>
            </w:pPr>
            <w:r>
              <w:rPr>
                <w:rFonts w:ascii="Arial" w:cs="Arial" w:eastAsia="Arial" w:hAnsi="Arial"/>
                <w:sz w:val="16"/>
                <w:szCs w:val="16"/>
                <w:color w:val="auto"/>
                <w:w w:val="96"/>
              </w:rPr>
              <w:t>Equity securities, at fair value, at December 31, 2005 includes $3,401 of pledged equity securities related to</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9"/>
        </w:trPr>
        <w:tc>
          <w:tcPr>
            <w:tcW w:w="7640" w:type="dxa"/>
            <w:vAlign w:val="bottom"/>
          </w:tcPr>
          <w:p>
            <w:pPr>
              <w:ind w:left="440"/>
              <w:spacing w:after="0"/>
              <w:rPr>
                <w:sz w:val="20"/>
                <w:szCs w:val="20"/>
                <w:color w:val="auto"/>
              </w:rPr>
            </w:pPr>
            <w:r>
              <w:rPr>
                <w:rFonts w:ascii="Arial" w:cs="Arial" w:eastAsia="Arial" w:hAnsi="Arial"/>
                <w:sz w:val="16"/>
                <w:szCs w:val="16"/>
                <w:color w:val="auto"/>
              </w:rPr>
              <w:t>the securities lending program</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176,987</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6"/>
                <w:szCs w:val="16"/>
                <w:color w:val="auto"/>
              </w:rPr>
              <w:t>115,070</w:t>
            </w:r>
          </w:p>
        </w:tc>
      </w:tr>
      <w:tr>
        <w:trPr>
          <w:trHeight w:val="206"/>
        </w:trPr>
        <w:tc>
          <w:tcPr>
            <w:tcW w:w="76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long-term investments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21,037</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21,219</w:t>
            </w:r>
          </w:p>
        </w:tc>
      </w:tr>
      <w:tr>
        <w:trPr>
          <w:trHeight w:val="193"/>
        </w:trPr>
        <w:tc>
          <w:tcPr>
            <w:tcW w:w="7640" w:type="dxa"/>
            <w:vAlign w:val="bottom"/>
          </w:tcPr>
          <w:p>
            <w:pPr>
              <w:ind w:left="300"/>
              <w:spacing w:after="0"/>
              <w:rPr>
                <w:sz w:val="20"/>
                <w:szCs w:val="20"/>
                <w:color w:val="auto"/>
              </w:rPr>
            </w:pPr>
            <w:r>
              <w:rPr>
                <w:rFonts w:ascii="Arial" w:cs="Arial" w:eastAsia="Arial" w:hAnsi="Arial"/>
                <w:sz w:val="16"/>
                <w:szCs w:val="16"/>
                <w:color w:val="auto"/>
                <w:w w:val="96"/>
              </w:rPr>
              <w:t>Short-term investments, at December 31, 2005 and 2004 includes $350,256 and $280,351, respectively, of</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9"/>
        </w:trPr>
        <w:tc>
          <w:tcPr>
            <w:tcW w:w="7640" w:type="dxa"/>
            <w:vAlign w:val="bottom"/>
          </w:tcPr>
          <w:p>
            <w:pPr>
              <w:ind w:left="440"/>
              <w:spacing w:after="0"/>
              <w:rPr>
                <w:sz w:val="20"/>
                <w:szCs w:val="20"/>
                <w:color w:val="auto"/>
              </w:rPr>
            </w:pPr>
            <w:r>
              <w:rPr>
                <w:rFonts w:ascii="Arial" w:cs="Arial" w:eastAsia="Arial" w:hAnsi="Arial"/>
                <w:sz w:val="16"/>
                <w:szCs w:val="16"/>
                <w:color w:val="auto"/>
              </w:rPr>
              <w:t>pledged short-term investments related to secured trust deposits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645,082</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6"/>
                <w:szCs w:val="16"/>
                <w:color w:val="auto"/>
              </w:rPr>
              <w:t>508,383</w:t>
            </w:r>
          </w:p>
        </w:tc>
      </w:tr>
      <w:tr>
        <w:trPr>
          <w:trHeight w:val="30"/>
        </w:trPr>
        <w:tc>
          <w:tcPr>
            <w:tcW w:w="7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r>
      <w:tr>
        <w:trPr>
          <w:trHeight w:val="203"/>
        </w:trPr>
        <w:tc>
          <w:tcPr>
            <w:tcW w:w="76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investments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3,300,738</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2,819,489</w:t>
            </w:r>
          </w:p>
        </w:tc>
      </w:tr>
      <w:tr>
        <w:trPr>
          <w:trHeight w:val="193"/>
        </w:trPr>
        <w:tc>
          <w:tcPr>
            <w:tcW w:w="7640" w:type="dxa"/>
            <w:vAlign w:val="bottom"/>
          </w:tcPr>
          <w:p>
            <w:pPr>
              <w:spacing w:after="0"/>
              <w:rPr>
                <w:sz w:val="20"/>
                <w:szCs w:val="20"/>
                <w:color w:val="auto"/>
              </w:rPr>
            </w:pPr>
            <w:r>
              <w:rPr>
                <w:rFonts w:ascii="Arial" w:cs="Arial" w:eastAsia="Arial" w:hAnsi="Arial"/>
                <w:sz w:val="16"/>
                <w:szCs w:val="16"/>
                <w:color w:val="auto"/>
                <w:w w:val="97"/>
              </w:rPr>
              <w:t>Cash and cash equivalents at December 31, 2005 includes $234,709 and $124,339 of pledged cash related to</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3"/>
        </w:trPr>
        <w:tc>
          <w:tcPr>
            <w:tcW w:w="7640" w:type="dxa"/>
            <w:vAlign w:val="bottom"/>
          </w:tcPr>
          <w:p>
            <w:pPr>
              <w:ind w:left="140"/>
              <w:spacing w:after="0"/>
              <w:rPr>
                <w:sz w:val="20"/>
                <w:szCs w:val="20"/>
                <w:color w:val="auto"/>
              </w:rPr>
            </w:pPr>
            <w:r>
              <w:rPr>
                <w:rFonts w:ascii="Arial" w:cs="Arial" w:eastAsia="Arial" w:hAnsi="Arial"/>
                <w:sz w:val="16"/>
                <w:szCs w:val="16"/>
                <w:color w:val="auto"/>
                <w:w w:val="98"/>
              </w:rPr>
              <w:t>secured trust deposits and the securities lending program, respectively, and at December 31, 2004 includes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6"/>
        </w:trPr>
        <w:tc>
          <w:tcPr>
            <w:tcW w:w="7640" w:type="dxa"/>
            <w:vAlign w:val="bottom"/>
          </w:tcPr>
          <w:p>
            <w:pPr>
              <w:ind w:left="140"/>
              <w:spacing w:after="0"/>
              <w:rPr>
                <w:sz w:val="20"/>
                <w:szCs w:val="20"/>
                <w:color w:val="auto"/>
              </w:rPr>
            </w:pPr>
            <w:r>
              <w:rPr>
                <w:rFonts w:ascii="Arial" w:cs="Arial" w:eastAsia="Arial" w:hAnsi="Arial"/>
                <w:sz w:val="16"/>
                <w:szCs w:val="16"/>
                <w:color w:val="auto"/>
              </w:rPr>
              <w:t>$195,200 of pledged cash related to secured trust deposits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462,157</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6"/>
                <w:szCs w:val="16"/>
                <w:color w:val="auto"/>
              </w:rPr>
              <w:t>268,414</w:t>
            </w:r>
          </w:p>
        </w:tc>
      </w:tr>
      <w:tr>
        <w:trPr>
          <w:trHeight w:val="209"/>
        </w:trPr>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Trade receivables, net of allowance of $13,583 in 2005 and $11,792 in 2004</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178,998</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145,447</w:t>
            </w:r>
          </w:p>
        </w:tc>
      </w:tr>
      <w:tr>
        <w:trPr>
          <w:trHeight w:val="193"/>
        </w:trPr>
        <w:tc>
          <w:tcPr>
            <w:tcW w:w="7640" w:type="dxa"/>
            <w:vAlign w:val="bottom"/>
          </w:tcPr>
          <w:p>
            <w:pPr>
              <w:spacing w:after="0"/>
              <w:rPr>
                <w:sz w:val="20"/>
                <w:szCs w:val="20"/>
                <w:color w:val="auto"/>
              </w:rPr>
            </w:pPr>
            <w:r>
              <w:rPr>
                <w:rFonts w:ascii="Arial" w:cs="Arial" w:eastAsia="Arial" w:hAnsi="Arial"/>
                <w:sz w:val="16"/>
                <w:szCs w:val="16"/>
                <w:color w:val="auto"/>
                <w:w w:val="96"/>
              </w:rPr>
              <w:t>Notes receivable, net of allowance of $1,466 in 2005 and $1,740 in 2004 and includes notes from related parties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6"/>
        </w:trPr>
        <w:tc>
          <w:tcPr>
            <w:tcW w:w="7640" w:type="dxa"/>
            <w:vAlign w:val="bottom"/>
          </w:tcPr>
          <w:p>
            <w:pPr>
              <w:ind w:left="140"/>
              <w:spacing w:after="0"/>
              <w:rPr>
                <w:sz w:val="20"/>
                <w:szCs w:val="20"/>
                <w:color w:val="auto"/>
              </w:rPr>
            </w:pPr>
            <w:r>
              <w:rPr>
                <w:rFonts w:ascii="Arial" w:cs="Arial" w:eastAsia="Arial" w:hAnsi="Arial"/>
                <w:sz w:val="16"/>
                <w:szCs w:val="16"/>
                <w:color w:val="auto"/>
              </w:rPr>
              <w:t>of $19,000 in 2005 and $22,800 in 2004</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31,749</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6"/>
                <w:szCs w:val="16"/>
                <w:color w:val="auto"/>
              </w:rPr>
              <w:t>39,196</w:t>
            </w:r>
          </w:p>
        </w:tc>
      </w:tr>
      <w:tr>
        <w:trPr>
          <w:trHeight w:val="209"/>
        </w:trPr>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1,051,526</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959,600</w:t>
            </w:r>
          </w:p>
        </w:tc>
      </w:tr>
      <w:tr>
        <w:trPr>
          <w:trHeight w:val="203"/>
        </w:trPr>
        <w:tc>
          <w:tcPr>
            <w:tcW w:w="7640" w:type="dxa"/>
            <w:vAlign w:val="bottom"/>
          </w:tcPr>
          <w:p>
            <w:pPr>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377,049</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6"/>
                <w:szCs w:val="16"/>
                <w:color w:val="auto"/>
              </w:rPr>
              <w:t>311,730</w:t>
            </w:r>
          </w:p>
        </w:tc>
      </w:tr>
      <w:tr>
        <w:trPr>
          <w:trHeight w:val="203"/>
        </w:trPr>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Title plants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308,675</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301,610</w:t>
            </w:r>
          </w:p>
        </w:tc>
      </w:tr>
      <w:tr>
        <w:trPr>
          <w:trHeight w:val="203"/>
        </w:trPr>
        <w:tc>
          <w:tcPr>
            <w:tcW w:w="764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156,952</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6"/>
                <w:szCs w:val="16"/>
                <w:color w:val="auto"/>
              </w:rPr>
              <w:t>164,916</w:t>
            </w:r>
          </w:p>
        </w:tc>
      </w:tr>
      <w:tr>
        <w:trPr>
          <w:trHeight w:val="203"/>
        </w:trPr>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Due from FNF</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32,689</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63,689</w:t>
            </w:r>
          </w:p>
        </w:tc>
      </w:tr>
      <w:tr>
        <w:trPr>
          <w:trHeight w:val="20"/>
        </w:trPr>
        <w:tc>
          <w:tcPr>
            <w:tcW w:w="7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7"/>
        </w:trPr>
        <w:tc>
          <w:tcPr>
            <w:tcW w:w="764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5,900,533</w:t>
            </w:r>
          </w:p>
        </w:tc>
        <w:tc>
          <w:tcPr>
            <w:tcW w:w="820" w:type="dxa"/>
            <w:vAlign w:val="bottom"/>
          </w:tcPr>
          <w:p>
            <w:pPr>
              <w:spacing w:after="0"/>
              <w:rPr>
                <w:sz w:val="17"/>
                <w:szCs w:val="17"/>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520"/>
              <w:spacing w:after="0"/>
              <w:rPr>
                <w:sz w:val="20"/>
                <w:szCs w:val="20"/>
                <w:color w:val="auto"/>
              </w:rPr>
            </w:pPr>
            <w:r>
              <w:rPr>
                <w:rFonts w:ascii="Arial" w:cs="Arial" w:eastAsia="Arial" w:hAnsi="Arial"/>
                <w:sz w:val="16"/>
                <w:szCs w:val="16"/>
                <w:color w:val="auto"/>
              </w:rPr>
              <w:t>5,074,091</w:t>
            </w:r>
          </w:p>
        </w:tc>
      </w:tr>
      <w:tr>
        <w:trPr>
          <w:trHeight w:val="24"/>
        </w:trPr>
        <w:tc>
          <w:tcPr>
            <w:tcW w:w="764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r>
      <w:tr>
        <w:trPr>
          <w:trHeight w:val="210"/>
        </w:trPr>
        <w:tc>
          <w:tcPr>
            <w:tcW w:w="7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03"/>
        </w:trPr>
        <w:tc>
          <w:tcPr>
            <w:tcW w:w="7640" w:type="dxa"/>
            <w:vAlign w:val="bottom"/>
            <w:shd w:val="clear" w:color="auto" w:fill="CCEEFF"/>
          </w:tcPr>
          <w:p>
            <w:pPr>
              <w:ind w:left="396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6"/>
                <w:szCs w:val="16"/>
                <w:color w:val="auto"/>
              </w:rPr>
              <w:t>Liabilities: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3"/>
        </w:trPr>
        <w:tc>
          <w:tcPr>
            <w:tcW w:w="76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6"/>
              </w:rPr>
              <w:t>Accounts payable and accrued liabilities, at December 31, 2005 includes $120,182 of security loans related</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12"/>
        </w:trPr>
        <w:tc>
          <w:tcPr>
            <w:tcW w:w="76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 the securities lending program</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790,598</w:t>
            </w: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603,705</w:t>
            </w:r>
          </w:p>
        </w:tc>
      </w:tr>
      <w:tr>
        <w:trPr>
          <w:trHeight w:val="203"/>
        </w:trPr>
        <w:tc>
          <w:tcPr>
            <w:tcW w:w="7640" w:type="dxa"/>
            <w:vAlign w:val="bottom"/>
          </w:tcPr>
          <w:p>
            <w:pPr>
              <w:ind w:left="300"/>
              <w:spacing w:after="0"/>
              <w:rPr>
                <w:sz w:val="20"/>
                <w:szCs w:val="20"/>
                <w:color w:val="auto"/>
              </w:rPr>
            </w:pPr>
            <w:r>
              <w:rPr>
                <w:rFonts w:ascii="Arial" w:cs="Arial" w:eastAsia="Arial" w:hAnsi="Arial"/>
                <w:sz w:val="16"/>
                <w:szCs w:val="16"/>
                <w:color w:val="auto"/>
              </w:rPr>
              <w:t>Notes payable, including $497.8 million of notes payable to FNF at December 31, 2005</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603,262</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6"/>
                <w:szCs w:val="16"/>
                <w:color w:val="auto"/>
              </w:rPr>
              <w:t>22,390</w:t>
            </w:r>
          </w:p>
        </w:tc>
      </w:tr>
      <w:tr>
        <w:trPr>
          <w:trHeight w:val="203"/>
        </w:trPr>
        <w:tc>
          <w:tcPr>
            <w:tcW w:w="76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Reserve for claim losses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1,063,857</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980,746</w:t>
            </w:r>
          </w:p>
        </w:tc>
      </w:tr>
      <w:tr>
        <w:trPr>
          <w:trHeight w:val="203"/>
        </w:trPr>
        <w:tc>
          <w:tcPr>
            <w:tcW w:w="7640" w:type="dxa"/>
            <w:vAlign w:val="bottom"/>
          </w:tcPr>
          <w:p>
            <w:pPr>
              <w:ind w:left="300"/>
              <w:spacing w:after="0"/>
              <w:rPr>
                <w:sz w:val="20"/>
                <w:szCs w:val="20"/>
                <w:color w:val="auto"/>
              </w:rPr>
            </w:pPr>
            <w:r>
              <w:rPr>
                <w:rFonts w:ascii="Arial" w:cs="Arial" w:eastAsia="Arial" w:hAnsi="Arial"/>
                <w:sz w:val="16"/>
                <w:szCs w:val="16"/>
                <w:color w:val="auto"/>
              </w:rPr>
              <w:t>Secured trust deposits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882,602</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6"/>
                <w:szCs w:val="16"/>
                <w:color w:val="auto"/>
              </w:rPr>
              <w:t>735,295</w:t>
            </w:r>
          </w:p>
        </w:tc>
      </w:tr>
      <w:tr>
        <w:trPr>
          <w:trHeight w:val="203"/>
        </w:trPr>
        <w:tc>
          <w:tcPr>
            <w:tcW w:w="76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tax liabilities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75,839</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51,248</w:t>
            </w:r>
          </w:p>
        </w:tc>
      </w:tr>
      <w:tr>
        <w:trPr>
          <w:trHeight w:val="20"/>
        </w:trPr>
        <w:tc>
          <w:tcPr>
            <w:tcW w:w="7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7"/>
        </w:trPr>
        <w:tc>
          <w:tcPr>
            <w:tcW w:w="7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3,416,158</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6"/>
                <w:szCs w:val="16"/>
                <w:color w:val="auto"/>
              </w:rPr>
              <w:t>2,393,384</w:t>
            </w:r>
          </w:p>
        </w:tc>
      </w:tr>
      <w:tr>
        <w:trPr>
          <w:trHeight w:val="206"/>
        </w:trPr>
        <w:tc>
          <w:tcPr>
            <w:tcW w:w="76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Minority interests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4,338</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3,951</w:t>
            </w:r>
          </w:p>
        </w:tc>
      </w:tr>
      <w:tr>
        <w:trPr>
          <w:trHeight w:val="203"/>
        </w:trPr>
        <w:tc>
          <w:tcPr>
            <w:tcW w:w="7640" w:type="dxa"/>
            <w:vAlign w:val="bottom"/>
          </w:tcPr>
          <w:p>
            <w:pPr>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3"/>
        </w:trPr>
        <w:tc>
          <w:tcPr>
            <w:tcW w:w="76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Common stock, Class A, $0.0001 par value; authorized, 300,000,000 shares as of December 31, 2005;</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12"/>
        </w:trPr>
        <w:tc>
          <w:tcPr>
            <w:tcW w:w="76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issued, 31,147,357 shares as of December 31, 2005</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r>
      <w:tr>
        <w:trPr>
          <w:trHeight w:val="193"/>
        </w:trPr>
        <w:tc>
          <w:tcPr>
            <w:tcW w:w="7640" w:type="dxa"/>
            <w:vAlign w:val="bottom"/>
          </w:tcPr>
          <w:p>
            <w:pPr>
              <w:ind w:left="300"/>
              <w:spacing w:after="0"/>
              <w:rPr>
                <w:sz w:val="20"/>
                <w:szCs w:val="20"/>
                <w:color w:val="auto"/>
              </w:rPr>
            </w:pPr>
            <w:r>
              <w:rPr>
                <w:rFonts w:ascii="Arial" w:cs="Arial" w:eastAsia="Arial" w:hAnsi="Arial"/>
                <w:sz w:val="16"/>
                <w:szCs w:val="16"/>
                <w:color w:val="auto"/>
              </w:rPr>
              <w:t>Common stock, Class B, $0.0001 par value; authorized, 300,000,000 shares as of December 31, 2005;</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9"/>
        </w:trPr>
        <w:tc>
          <w:tcPr>
            <w:tcW w:w="7640" w:type="dxa"/>
            <w:vAlign w:val="bottom"/>
          </w:tcPr>
          <w:p>
            <w:pPr>
              <w:ind w:left="440"/>
              <w:spacing w:after="0"/>
              <w:rPr>
                <w:sz w:val="20"/>
                <w:szCs w:val="20"/>
                <w:color w:val="auto"/>
              </w:rPr>
            </w:pPr>
            <w:r>
              <w:rPr>
                <w:rFonts w:ascii="Arial" w:cs="Arial" w:eastAsia="Arial" w:hAnsi="Arial"/>
                <w:sz w:val="16"/>
                <w:szCs w:val="16"/>
                <w:color w:val="auto"/>
              </w:rPr>
              <w:t>issued, 143,172,183 shares as of December 31, 2005</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r>
      <w:tr>
        <w:trPr>
          <w:trHeight w:val="206"/>
        </w:trPr>
        <w:tc>
          <w:tcPr>
            <w:tcW w:w="76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2,492,312</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r>
      <w:tr>
        <w:trPr>
          <w:trHeight w:val="203"/>
        </w:trPr>
        <w:tc>
          <w:tcPr>
            <w:tcW w:w="7640" w:type="dxa"/>
            <w:vAlign w:val="bottom"/>
          </w:tcPr>
          <w:p>
            <w:pPr>
              <w:ind w:left="30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82,771</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r>
      <w:tr>
        <w:trPr>
          <w:trHeight w:val="203"/>
        </w:trPr>
        <w:tc>
          <w:tcPr>
            <w:tcW w:w="76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Investment by FNF</w:t>
            </w:r>
          </w:p>
        </w:tc>
        <w:tc>
          <w:tcPr>
            <w:tcW w:w="28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48"/>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2,719,056</w:t>
            </w:r>
          </w:p>
        </w:tc>
      </w:tr>
      <w:tr>
        <w:trPr>
          <w:trHeight w:val="20"/>
        </w:trPr>
        <w:tc>
          <w:tcPr>
            <w:tcW w:w="7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7"/>
        </w:trPr>
        <w:tc>
          <w:tcPr>
            <w:tcW w:w="7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2,575,100</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6"/>
                <w:szCs w:val="16"/>
                <w:color w:val="auto"/>
              </w:rPr>
              <w:t>2,719,056</w:t>
            </w:r>
          </w:p>
        </w:tc>
      </w:tr>
      <w:tr>
        <w:trPr>
          <w:trHeight w:val="206"/>
        </w:trPr>
        <w:tc>
          <w:tcPr>
            <w:tcW w:w="76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688"/>
              <w:spacing w:after="0"/>
              <w:rPr>
                <w:sz w:val="20"/>
                <w:szCs w:val="20"/>
                <w:color w:val="auto"/>
              </w:rPr>
            </w:pPr>
            <w:r>
              <w:rPr>
                <w:rFonts w:ascii="Arial" w:cs="Arial" w:eastAsia="Arial" w:hAnsi="Arial"/>
                <w:sz w:val="16"/>
                <w:szCs w:val="16"/>
                <w:color w:val="auto"/>
              </w:rPr>
              <w:t>(78,892)</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(42,300)</w:t>
            </w:r>
          </w:p>
        </w:tc>
      </w:tr>
      <w:tr>
        <w:trPr>
          <w:trHeight w:val="203"/>
        </w:trPr>
        <w:tc>
          <w:tcPr>
            <w:tcW w:w="7640" w:type="dxa"/>
            <w:vAlign w:val="bottom"/>
          </w:tcPr>
          <w:p>
            <w:pPr>
              <w:ind w:left="300"/>
              <w:spacing w:after="0"/>
              <w:rPr>
                <w:sz w:val="20"/>
                <w:szCs w:val="20"/>
                <w:color w:val="auto"/>
              </w:rPr>
            </w:pPr>
            <w:r>
              <w:rPr>
                <w:rFonts w:ascii="Arial" w:cs="Arial" w:eastAsia="Arial" w:hAnsi="Arial"/>
                <w:sz w:val="16"/>
                <w:szCs w:val="16"/>
                <w:color w:val="auto"/>
              </w:rPr>
              <w:t>Unearned compensation</w:t>
            </w:r>
          </w:p>
        </w:tc>
        <w:tc>
          <w:tcPr>
            <w:tcW w:w="280" w:type="dxa"/>
            <w:vAlign w:val="bottom"/>
          </w:tcPr>
          <w:p>
            <w:pPr>
              <w:spacing w:after="0"/>
              <w:rPr>
                <w:sz w:val="17"/>
                <w:szCs w:val="17"/>
                <w:color w:val="auto"/>
              </w:rPr>
            </w:pPr>
          </w:p>
        </w:tc>
        <w:tc>
          <w:tcPr>
            <w:tcW w:w="1800" w:type="dxa"/>
            <w:vAlign w:val="bottom"/>
            <w:gridSpan w:val="2"/>
          </w:tcPr>
          <w:p>
            <w:pPr>
              <w:jc w:val="right"/>
              <w:ind w:right="688"/>
              <w:spacing w:after="0"/>
              <w:rPr>
                <w:sz w:val="20"/>
                <w:szCs w:val="20"/>
                <w:color w:val="auto"/>
              </w:rPr>
            </w:pPr>
            <w:r>
              <w:rPr>
                <w:rFonts w:ascii="Arial" w:cs="Arial" w:eastAsia="Arial" w:hAnsi="Arial"/>
                <w:sz w:val="16"/>
                <w:szCs w:val="16"/>
                <w:color w:val="auto"/>
              </w:rPr>
              <w:t>(16,171)</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r>
      <w:tr>
        <w:trPr>
          <w:trHeight w:val="27"/>
        </w:trPr>
        <w:tc>
          <w:tcPr>
            <w:tcW w:w="7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r>
      <w:tr>
        <w:trPr>
          <w:trHeight w:val="203"/>
        </w:trPr>
        <w:tc>
          <w:tcPr>
            <w:tcW w:w="7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2,480,037</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2,676,756</w:t>
            </w:r>
          </w:p>
        </w:tc>
      </w:tr>
      <w:tr>
        <w:trPr>
          <w:trHeight w:val="20"/>
        </w:trPr>
        <w:tc>
          <w:tcPr>
            <w:tcW w:w="7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7"/>
        </w:trPr>
        <w:tc>
          <w:tcPr>
            <w:tcW w:w="764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5,900,533</w:t>
            </w:r>
          </w:p>
        </w:tc>
        <w:tc>
          <w:tcPr>
            <w:tcW w:w="820" w:type="dxa"/>
            <w:vAlign w:val="bottom"/>
          </w:tcPr>
          <w:p>
            <w:pPr>
              <w:spacing w:after="0"/>
              <w:rPr>
                <w:sz w:val="17"/>
                <w:szCs w:val="17"/>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520"/>
              <w:spacing w:after="0"/>
              <w:rPr>
                <w:sz w:val="20"/>
                <w:szCs w:val="20"/>
                <w:color w:val="auto"/>
              </w:rPr>
            </w:pPr>
            <w:r>
              <w:rPr>
                <w:rFonts w:ascii="Arial" w:cs="Arial" w:eastAsia="Arial" w:hAnsi="Arial"/>
                <w:sz w:val="16"/>
                <w:szCs w:val="16"/>
                <w:color w:val="auto"/>
              </w:rPr>
              <w:t>5,074,091</w:t>
            </w:r>
          </w:p>
        </w:tc>
      </w:tr>
      <w:tr>
        <w:trPr>
          <w:trHeight w:val="24"/>
        </w:trPr>
        <w:tc>
          <w:tcPr>
            <w:tcW w:w="764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and Combined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AND COMBINED STATEMENTS OF EARNINGS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59"/>
              <w:spacing w:after="0" w:line="155" w:lineRule="exact"/>
              <w:rPr>
                <w:sz w:val="20"/>
                <w:szCs w:val="20"/>
                <w:color w:val="auto"/>
              </w:rPr>
            </w:pPr>
            <w:r>
              <w:rPr>
                <w:rFonts w:ascii="Arial" w:cs="Arial" w:eastAsia="Arial" w:hAnsi="Arial"/>
                <w:sz w:val="14"/>
                <w:szCs w:val="14"/>
                <w:b w:val="1"/>
                <w:bCs w:val="1"/>
                <w:color w:val="auto"/>
                <w:w w:val="89"/>
              </w:rPr>
              <w:t>2004</w:t>
            </w:r>
          </w:p>
        </w:tc>
        <w:tc>
          <w:tcPr>
            <w:tcW w:w="6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20" w:type="dxa"/>
            <w:vAlign w:val="bottom"/>
            <w:gridSpan w:val="4"/>
          </w:tcPr>
          <w:p>
            <w:pPr>
              <w:jc w:val="center"/>
              <w:ind w:right="60"/>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260"/>
              <w:spacing w:after="0"/>
              <w:rPr>
                <w:sz w:val="20"/>
                <w:szCs w:val="20"/>
                <w:color w:val="auto"/>
              </w:rPr>
            </w:pPr>
            <w:r>
              <w:rPr>
                <w:rFonts w:ascii="Arial" w:cs="Arial" w:eastAsia="Arial" w:hAnsi="Arial"/>
                <w:sz w:val="16"/>
                <w:szCs w:val="16"/>
                <w:color w:val="auto"/>
              </w:rPr>
              <w:t>Direct title insurance premiums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2,184,993</w:t>
            </w:r>
          </w:p>
        </w:tc>
        <w:tc>
          <w:tcPr>
            <w:tcW w:w="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680"/>
              <w:spacing w:after="0"/>
              <w:rPr>
                <w:sz w:val="20"/>
                <w:szCs w:val="20"/>
                <w:color w:val="auto"/>
              </w:rPr>
            </w:pPr>
            <w:r>
              <w:rPr>
                <w:rFonts w:ascii="Arial" w:cs="Arial" w:eastAsia="Arial" w:hAnsi="Arial"/>
                <w:sz w:val="16"/>
                <w:szCs w:val="16"/>
                <w:color w:val="auto"/>
              </w:rPr>
              <w:t>2,003,447</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6"/>
                <w:szCs w:val="16"/>
                <w:color w:val="auto"/>
              </w:rPr>
              <w:t>2,105,317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Agency title insurance premiums, includes $91.9 million, $106.3 million, and</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$284.9 million of premiums from related parties in 2005, 2004, and 2003,</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respectively (See Note A)</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2,763,973</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2,714,770</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2,595,433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260"/>
              <w:spacing w:after="0"/>
              <w:rPr>
                <w:sz w:val="20"/>
                <w:szCs w:val="20"/>
                <w:color w:val="auto"/>
              </w:rPr>
            </w:pPr>
            <w:r>
              <w:rPr>
                <w:rFonts w:ascii="Arial" w:cs="Arial" w:eastAsia="Arial" w:hAnsi="Arial"/>
                <w:sz w:val="16"/>
                <w:szCs w:val="16"/>
                <w:color w:val="auto"/>
              </w:rPr>
              <w:t>Total title premiums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62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4,948,966</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6"/>
                <w:szCs w:val="16"/>
                <w:color w:val="auto"/>
              </w:rPr>
              <w:t>4,718,217</w:t>
            </w:r>
          </w:p>
        </w:tc>
        <w:tc>
          <w:tcPr>
            <w:tcW w:w="260" w:type="dxa"/>
            <w:vAlign w:val="bottom"/>
          </w:tcPr>
          <w:p>
            <w:pPr>
              <w:spacing w:after="0"/>
              <w:rPr>
                <w:sz w:val="17"/>
                <w:szCs w:val="17"/>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6"/>
                <w:szCs w:val="16"/>
                <w:color w:val="auto"/>
              </w:rPr>
              <w:t>4,700,750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8"/>
              </w:rPr>
              <w:t>Escrow and other title related fees, includes $5.0 million, $8.4 million, and $7.3 million</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4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9"/>
              </w:rPr>
              <w:t>of revenue from related parties in 2005, 2004, and 2003, respectively (See Note A)</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1,162,344</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1,039,835</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1,058,729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260"/>
              <w:spacing w:after="0"/>
              <w:rPr>
                <w:sz w:val="20"/>
                <w:szCs w:val="20"/>
                <w:color w:val="auto"/>
              </w:rPr>
            </w:pPr>
            <w:r>
              <w:rPr>
                <w:rFonts w:ascii="Arial" w:cs="Arial" w:eastAsia="Arial" w:hAnsi="Arial"/>
                <w:sz w:val="16"/>
                <w:szCs w:val="16"/>
                <w:color w:val="auto"/>
              </w:rPr>
              <w:t>Total title and escrow</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62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6,111,310</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6"/>
                <w:szCs w:val="16"/>
                <w:color w:val="auto"/>
              </w:rPr>
              <w:t>5,758,052</w:t>
            </w:r>
          </w:p>
        </w:tc>
        <w:tc>
          <w:tcPr>
            <w:tcW w:w="260" w:type="dxa"/>
            <w:vAlign w:val="bottom"/>
          </w:tcPr>
          <w:p>
            <w:pPr>
              <w:spacing w:after="0"/>
              <w:rPr>
                <w:sz w:val="17"/>
                <w:szCs w:val="17"/>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6"/>
                <w:szCs w:val="16"/>
                <w:color w:val="auto"/>
              </w:rPr>
              <w:t>5,759,479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8"/>
              </w:rPr>
              <w:t>Interest and investment income, includes $1.0 million, $1.0 million, and $0.7 million of</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interest revenue from related parties in 2005, 2004, and 2003, respectively (See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Note A)</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118,084</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64,885</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56,708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260"/>
              <w:spacing w:after="0"/>
              <w:rPr>
                <w:sz w:val="20"/>
                <w:szCs w:val="20"/>
                <w:color w:val="auto"/>
              </w:rPr>
            </w:pPr>
            <w:r>
              <w:rPr>
                <w:rFonts w:ascii="Arial" w:cs="Arial" w:eastAsia="Arial" w:hAnsi="Arial"/>
                <w:sz w:val="16"/>
                <w:szCs w:val="16"/>
                <w:color w:val="auto"/>
              </w:rPr>
              <w:t>Realized gains and losses, net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44,684</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6"/>
                <w:szCs w:val="16"/>
                <w:color w:val="auto"/>
              </w:rPr>
              <w:t>22,948</w:t>
            </w:r>
          </w:p>
        </w:tc>
        <w:tc>
          <w:tcPr>
            <w:tcW w:w="260" w:type="dxa"/>
            <w:vAlign w:val="bottom"/>
          </w:tcPr>
          <w:p>
            <w:pPr>
              <w:spacing w:after="0"/>
              <w:rPr>
                <w:sz w:val="17"/>
                <w:szCs w:val="17"/>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6"/>
                <w:szCs w:val="16"/>
                <w:color w:val="auto"/>
              </w:rPr>
              <w:t>101,839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income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41,783</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43,528</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52,689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6,315,861</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6"/>
                <w:szCs w:val="16"/>
                <w:color w:val="auto"/>
              </w:rPr>
              <w:t>5,889,413</w:t>
            </w:r>
          </w:p>
        </w:tc>
        <w:tc>
          <w:tcPr>
            <w:tcW w:w="26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6"/>
                <w:szCs w:val="16"/>
                <w:color w:val="auto"/>
              </w:rPr>
              <w:t>5,970,715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40" w:type="dxa"/>
            <w:vAlign w:val="bottom"/>
          </w:tcPr>
          <w:p>
            <w:pPr>
              <w:ind w:left="260"/>
              <w:spacing w:after="0"/>
              <w:rPr>
                <w:sz w:val="20"/>
                <w:szCs w:val="20"/>
                <w:color w:val="auto"/>
              </w:rPr>
            </w:pPr>
            <w:r>
              <w:rPr>
                <w:rFonts w:ascii="Arial" w:cs="Arial" w:eastAsia="Arial" w:hAnsi="Arial"/>
                <w:sz w:val="16"/>
                <w:szCs w:val="16"/>
                <w:color w:val="auto"/>
                <w:w w:val="99"/>
              </w:rPr>
              <w:t>Personnel costs, excludes $27.2 million, $34.5 million, and $14.8 million of personnel</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6"/>
                <w:szCs w:val="16"/>
                <w:color w:val="auto"/>
                <w:w w:val="97"/>
              </w:rPr>
              <w:t>costs allocated to related parties in 2005, 2004, and 2003, respectively (See Note A)</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1,897,904</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6"/>
                <w:szCs w:val="16"/>
                <w:color w:val="auto"/>
              </w:rPr>
              <w:t>1,680,805</w:t>
            </w:r>
          </w:p>
        </w:tc>
        <w:tc>
          <w:tcPr>
            <w:tcW w:w="26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6"/>
                <w:szCs w:val="16"/>
                <w:color w:val="auto"/>
              </w:rPr>
              <w:t>1,692,895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operating expenses, includes $14.3 million, $53.8 million, and $15.8 million of</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other operating expenses from related parties net of amounts allocated to related</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parties in 2005, 2004, and 2003, respectively (See Note A)</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935,263</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849,554</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817,597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40" w:type="dxa"/>
            <w:vAlign w:val="bottom"/>
          </w:tcPr>
          <w:p>
            <w:pPr>
              <w:ind w:left="260"/>
              <w:spacing w:after="0"/>
              <w:rPr>
                <w:sz w:val="20"/>
                <w:szCs w:val="20"/>
                <w:color w:val="auto"/>
              </w:rPr>
            </w:pPr>
            <w:r>
              <w:rPr>
                <w:rFonts w:ascii="Arial" w:cs="Arial" w:eastAsia="Arial" w:hAnsi="Arial"/>
                <w:sz w:val="16"/>
                <w:szCs w:val="16"/>
                <w:color w:val="auto"/>
              </w:rPr>
              <w:t>Agent commissions, includes agent commissions of $80.9 million, $93.6 million, and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400"/>
              <w:spacing w:after="0"/>
              <w:rPr>
                <w:sz w:val="20"/>
                <w:szCs w:val="20"/>
                <w:color w:val="auto"/>
              </w:rPr>
            </w:pPr>
            <w:r>
              <w:rPr>
                <w:rFonts w:ascii="Arial" w:cs="Arial" w:eastAsia="Arial" w:hAnsi="Arial"/>
                <w:sz w:val="16"/>
                <w:szCs w:val="16"/>
                <w:color w:val="auto"/>
              </w:rPr>
              <w:t>$250.7 million paid to related parties in 2005, 2004, and 2003, respectively (See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6"/>
                <w:szCs w:val="16"/>
                <w:color w:val="auto"/>
              </w:rPr>
              <w:t>Note A)</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2,140,912</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6"/>
                <w:szCs w:val="16"/>
                <w:color w:val="auto"/>
              </w:rPr>
              <w:t>2,117,122</w:t>
            </w:r>
          </w:p>
        </w:tc>
        <w:tc>
          <w:tcPr>
            <w:tcW w:w="26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6"/>
                <w:szCs w:val="16"/>
                <w:color w:val="auto"/>
              </w:rPr>
              <w:t>2,035,810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102,105</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95,718</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79,077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260"/>
              <w:spacing w:after="0"/>
              <w:rPr>
                <w:sz w:val="20"/>
                <w:szCs w:val="20"/>
                <w:color w:val="auto"/>
              </w:rPr>
            </w:pPr>
            <w:r>
              <w:rPr>
                <w:rFonts w:ascii="Arial" w:cs="Arial" w:eastAsia="Arial" w:hAnsi="Arial"/>
                <w:sz w:val="16"/>
                <w:szCs w:val="16"/>
                <w:color w:val="auto"/>
              </w:rPr>
              <w:t>Provision for claim losses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354,710</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6"/>
                <w:szCs w:val="16"/>
                <w:color w:val="auto"/>
              </w:rPr>
              <w:t>259,402</w:t>
            </w:r>
          </w:p>
        </w:tc>
        <w:tc>
          <w:tcPr>
            <w:tcW w:w="260" w:type="dxa"/>
            <w:vAlign w:val="bottom"/>
          </w:tcPr>
          <w:p>
            <w:pPr>
              <w:spacing w:after="0"/>
              <w:rPr>
                <w:sz w:val="17"/>
                <w:szCs w:val="17"/>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6"/>
                <w:szCs w:val="16"/>
                <w:color w:val="auto"/>
              </w:rPr>
              <w:t>248,834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16,663</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3,885</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4,582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5,447,557</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6"/>
                <w:szCs w:val="16"/>
                <w:color w:val="auto"/>
              </w:rPr>
              <w:t>5,006,486</w:t>
            </w:r>
          </w:p>
        </w:tc>
        <w:tc>
          <w:tcPr>
            <w:tcW w:w="260" w:type="dxa"/>
            <w:vAlign w:val="bottom"/>
          </w:tcPr>
          <w:p>
            <w:pPr>
              <w:spacing w:after="0"/>
              <w:rPr>
                <w:sz w:val="17"/>
                <w:szCs w:val="17"/>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6"/>
                <w:szCs w:val="16"/>
                <w:color w:val="auto"/>
              </w:rPr>
              <w:t>4,878,795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Earnings before income taxes and minority interest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868,304</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882,927</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1,091,920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260"/>
              <w:spacing w:after="0"/>
              <w:rPr>
                <w:sz w:val="20"/>
                <w:szCs w:val="20"/>
                <w:color w:val="auto"/>
              </w:rPr>
            </w:pPr>
            <w:r>
              <w:rPr>
                <w:rFonts w:ascii="Arial" w:cs="Arial" w:eastAsia="Arial" w:hAnsi="Arial"/>
                <w:sz w:val="16"/>
                <w:szCs w:val="16"/>
                <w:color w:val="auto"/>
              </w:rPr>
              <w:t>Income tax expense</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327,351</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6"/>
                <w:szCs w:val="16"/>
                <w:color w:val="auto"/>
              </w:rPr>
              <w:t>323,598</w:t>
            </w:r>
          </w:p>
        </w:tc>
        <w:tc>
          <w:tcPr>
            <w:tcW w:w="260" w:type="dxa"/>
            <w:vAlign w:val="bottom"/>
          </w:tcPr>
          <w:p>
            <w:pPr>
              <w:spacing w:after="0"/>
              <w:rPr>
                <w:sz w:val="17"/>
                <w:szCs w:val="17"/>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6"/>
                <w:szCs w:val="16"/>
                <w:color w:val="auto"/>
              </w:rPr>
              <w:t>407,736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Earnings before minority interest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540,953</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559,329</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684,184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260"/>
              <w:spacing w:after="0"/>
              <w:rPr>
                <w:sz w:val="20"/>
                <w:szCs w:val="20"/>
                <w:color w:val="auto"/>
              </w:rPr>
            </w:pPr>
            <w:r>
              <w:rPr>
                <w:rFonts w:ascii="Arial" w:cs="Arial" w:eastAsia="Arial" w:hAnsi="Arial"/>
                <w:sz w:val="16"/>
                <w:szCs w:val="16"/>
                <w:color w:val="auto"/>
              </w:rPr>
              <w:t>Minority interest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1,972</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6"/>
                <w:szCs w:val="16"/>
                <w:color w:val="auto"/>
              </w:rPr>
              <w:t>1,165</w:t>
            </w:r>
          </w:p>
        </w:tc>
        <w:tc>
          <w:tcPr>
            <w:tcW w:w="260" w:type="dxa"/>
            <w:vAlign w:val="bottom"/>
          </w:tcPr>
          <w:p>
            <w:pPr>
              <w:spacing w:after="0"/>
              <w:rPr>
                <w:sz w:val="17"/>
                <w:szCs w:val="17"/>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earnings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538,981</w:t>
            </w:r>
          </w:p>
        </w:tc>
        <w:tc>
          <w:tcPr>
            <w:tcW w:w="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558,164</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683,325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vMerge w:val="restart"/>
          </w:tcPr>
          <w:p>
            <w:pPr>
              <w:ind w:left="260"/>
              <w:spacing w:after="0"/>
              <w:rPr>
                <w:sz w:val="20"/>
                <w:szCs w:val="20"/>
                <w:color w:val="auto"/>
              </w:rPr>
            </w:pPr>
            <w:r>
              <w:rPr>
                <w:rFonts w:ascii="Arial" w:cs="Arial" w:eastAsia="Arial" w:hAnsi="Arial"/>
                <w:sz w:val="16"/>
                <w:szCs w:val="16"/>
                <w:color w:val="auto"/>
              </w:rPr>
              <w:t>Basic net earnings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240" w:type="dxa"/>
            <w:vAlign w:val="bottom"/>
            <w:vMerge w:val="continue"/>
          </w:tcPr>
          <w:p>
            <w:pPr>
              <w:spacing w:after="0"/>
              <w:rPr>
                <w:sz w:val="17"/>
                <w:szCs w:val="17"/>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3.11</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Weighted average shares outstanding, basic basis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173,463</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vMerge w:val="restart"/>
          </w:tcPr>
          <w:p>
            <w:pPr>
              <w:ind w:left="260"/>
              <w:spacing w:after="0"/>
              <w:rPr>
                <w:sz w:val="20"/>
                <w:szCs w:val="20"/>
                <w:color w:val="auto"/>
              </w:rPr>
            </w:pPr>
            <w:r>
              <w:rPr>
                <w:rFonts w:ascii="Arial" w:cs="Arial" w:eastAsia="Arial" w:hAnsi="Arial"/>
                <w:sz w:val="16"/>
                <w:szCs w:val="16"/>
                <w:color w:val="auto"/>
              </w:rPr>
              <w:t>Diluted net earnings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240" w:type="dxa"/>
            <w:vAlign w:val="bottom"/>
            <w:vMerge w:val="continue"/>
          </w:tcPr>
          <w:p>
            <w:pPr>
              <w:spacing w:after="0"/>
              <w:rPr>
                <w:sz w:val="17"/>
                <w:szCs w:val="17"/>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3.11</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Weighted average shares outstanding, diluted basis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173,575</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vMerge w:val="restart"/>
          </w:tcPr>
          <w:p>
            <w:pPr>
              <w:ind w:left="260"/>
              <w:spacing w:after="0"/>
              <w:rPr>
                <w:sz w:val="20"/>
                <w:szCs w:val="20"/>
                <w:color w:val="auto"/>
              </w:rPr>
            </w:pPr>
            <w:r>
              <w:rPr>
                <w:rFonts w:ascii="Arial" w:cs="Arial" w:eastAsia="Arial" w:hAnsi="Arial"/>
                <w:sz w:val="16"/>
                <w:szCs w:val="16"/>
                <w:color w:val="auto"/>
              </w:rPr>
              <w:t>Unaudited proforma net earnings per share — basic and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2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680"/>
              <w:spacing w:after="0"/>
              <w:rPr>
                <w:sz w:val="20"/>
                <w:szCs w:val="20"/>
                <w:color w:val="auto"/>
              </w:rPr>
            </w:pPr>
            <w:r>
              <w:rPr>
                <w:rFonts w:ascii="Arial" w:cs="Arial" w:eastAsia="Arial" w:hAnsi="Arial"/>
                <w:sz w:val="16"/>
                <w:szCs w:val="16"/>
                <w:color w:val="auto"/>
              </w:rPr>
              <w:t>3.22</w:t>
            </w:r>
          </w:p>
        </w:tc>
        <w:tc>
          <w:tcPr>
            <w:tcW w:w="260" w:type="dxa"/>
            <w:vAlign w:val="bottom"/>
          </w:tcPr>
          <w:p>
            <w:pPr>
              <w:spacing w:after="0"/>
              <w:rPr>
                <w:sz w:val="17"/>
                <w:szCs w:val="17"/>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Unaudited proforma weighted average shares outstanding — basic and diluted</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172,951</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and Combined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COMPREHENSIVE EARNINGS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33"/>
              <w:spacing w:after="0" w:line="155" w:lineRule="exact"/>
              <w:rPr>
                <w:sz w:val="20"/>
                <w:szCs w:val="20"/>
                <w:color w:val="auto"/>
              </w:rPr>
            </w:pPr>
            <w:r>
              <w:rPr>
                <w:rFonts w:ascii="Arial" w:cs="Arial" w:eastAsia="Arial" w:hAnsi="Arial"/>
                <w:sz w:val="14"/>
                <w:szCs w:val="14"/>
                <w:b w:val="1"/>
                <w:bCs w:val="1"/>
                <w:color w:val="auto"/>
                <w:w w:val="96"/>
              </w:rPr>
              <w:t>2004</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538,981</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558,164</w:t>
            </w:r>
          </w:p>
        </w:tc>
        <w:tc>
          <w:tcPr>
            <w:tcW w:w="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683,325</w:t>
            </w:r>
          </w:p>
        </w:tc>
        <w:tc>
          <w:tcPr>
            <w:tcW w:w="0" w:type="dxa"/>
            <w:vAlign w:val="bottom"/>
          </w:tcPr>
          <w:p>
            <w:pPr>
              <w:spacing w:after="0"/>
              <w:rPr>
                <w:sz w:val="1"/>
                <w:szCs w:val="1"/>
                <w:color w:val="auto"/>
              </w:rPr>
            </w:pPr>
          </w:p>
        </w:tc>
      </w:tr>
      <w:tr>
        <w:trPr>
          <w:trHeight w:val="223"/>
        </w:trPr>
        <w:tc>
          <w:tcPr>
            <w:tcW w:w="6940" w:type="dxa"/>
            <w:vAlign w:val="bottom"/>
            <w:gridSpan w:val="3"/>
          </w:tcPr>
          <w:p>
            <w:pPr>
              <w:spacing w:after="0"/>
              <w:rPr>
                <w:sz w:val="20"/>
                <w:szCs w:val="20"/>
                <w:color w:val="auto"/>
              </w:rPr>
            </w:pPr>
            <w:r>
              <w:rPr>
                <w:rFonts w:ascii="Arial" w:cs="Arial" w:eastAsia="Arial" w:hAnsi="Arial"/>
                <w:sz w:val="18"/>
                <w:szCs w:val="18"/>
                <w:color w:val="auto"/>
              </w:rPr>
              <w:t>Other comprehensive earnings (loss):</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Unrealized losses on investments, net(1)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(34,612)</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(18,684)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Minimum pension liability adjustment(2)</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(1,980)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(11,764)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(9,988)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earnings (loss)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(36,592)</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(30,448)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(23,333)</w:t>
            </w:r>
          </w:p>
        </w:tc>
        <w:tc>
          <w:tcPr>
            <w:tcW w:w="0" w:type="dxa"/>
            <w:vAlign w:val="bottom"/>
          </w:tcPr>
          <w:p>
            <w:pPr>
              <w:spacing w:after="0"/>
              <w:rPr>
                <w:sz w:val="1"/>
                <w:szCs w:val="1"/>
                <w:color w:val="auto"/>
              </w:rPr>
            </w:pPr>
          </w:p>
        </w:tc>
      </w:tr>
      <w:tr>
        <w:trPr>
          <w:trHeight w:val="223"/>
        </w:trPr>
        <w:tc>
          <w:tcPr>
            <w:tcW w:w="6940" w:type="dxa"/>
            <w:vAlign w:val="bottom"/>
            <w:gridSpan w:val="3"/>
          </w:tcPr>
          <w:p>
            <w:pPr>
              <w:spacing w:after="0"/>
              <w:rPr>
                <w:sz w:val="20"/>
                <w:szCs w:val="20"/>
                <w:color w:val="auto"/>
              </w:rPr>
            </w:pPr>
            <w:r>
              <w:rPr>
                <w:rFonts w:ascii="Arial" w:cs="Arial" w:eastAsia="Arial" w:hAnsi="Arial"/>
                <w:sz w:val="18"/>
                <w:szCs w:val="18"/>
                <w:color w:val="auto"/>
              </w:rPr>
              <w:t>Comprehensive earnings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502,389</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527,716</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659,992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4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of income tax benefit of $20.8 million, $10.7 million and $7.9 million for 2005, 2004 and 2003, respectively.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of income tax benefit of $1.2 million, $6.9 million and $6.4 million in 2005, 2004 and 2003,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and Combined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STOCKHOLDERS’ EQUITY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3"/>
                <w:szCs w:val="13"/>
                <w:b w:val="1"/>
                <w:bCs w:val="1"/>
                <w:color w:val="auto"/>
                <w:w w:val="90"/>
              </w:rPr>
              <w:t>Common Stock</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center"/>
              <w:ind w:right="4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60" w:type="dxa"/>
            <w:vAlign w:val="bottom"/>
            <w:tcBorders>
              <w:bottom w:val="single" w:sz="8" w:color="auto"/>
            </w:tcBorders>
            <w:gridSpan w:val="3"/>
          </w:tcPr>
          <w:p>
            <w:pPr>
              <w:ind w:left="380"/>
              <w:spacing w:after="0" w:line="135" w:lineRule="exact"/>
              <w:rPr>
                <w:sz w:val="20"/>
                <w:szCs w:val="20"/>
                <w:color w:val="auto"/>
              </w:rPr>
            </w:pPr>
            <w:r>
              <w:rPr>
                <w:rFonts w:ascii="Arial" w:cs="Arial" w:eastAsia="Arial" w:hAnsi="Arial"/>
                <w:sz w:val="13"/>
                <w:szCs w:val="13"/>
                <w:b w:val="1"/>
                <w:bCs w:val="1"/>
                <w:color w:val="auto"/>
                <w:w w:val="96"/>
              </w:rPr>
              <w:t>Class A</w:t>
            </w:r>
          </w:p>
        </w:tc>
        <w:tc>
          <w:tcPr>
            <w:tcW w:w="3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Borders>
              <w:bottom w:val="single" w:sz="8" w:color="auto"/>
            </w:tcBorders>
            <w:gridSpan w:val="4"/>
          </w:tcPr>
          <w:p>
            <w:pPr>
              <w:jc w:val="right"/>
              <w:ind w:right="97"/>
              <w:spacing w:after="0" w:line="135" w:lineRule="exact"/>
              <w:rPr>
                <w:sz w:val="20"/>
                <w:szCs w:val="20"/>
                <w:color w:val="auto"/>
              </w:rPr>
            </w:pPr>
            <w:r>
              <w:rPr>
                <w:rFonts w:ascii="Arial" w:cs="Arial" w:eastAsia="Arial" w:hAnsi="Arial"/>
                <w:sz w:val="13"/>
                <w:szCs w:val="13"/>
                <w:b w:val="1"/>
                <w:bCs w:val="1"/>
                <w:color w:val="auto"/>
              </w:rPr>
              <w:t>Class B</w:t>
            </w:r>
          </w:p>
        </w:tc>
        <w:tc>
          <w:tcPr>
            <w:tcW w:w="2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41"/>
              <w:spacing w:after="0" w:line="135" w:lineRule="exact"/>
              <w:rPr>
                <w:sz w:val="20"/>
                <w:szCs w:val="20"/>
                <w:color w:val="auto"/>
              </w:rPr>
            </w:pPr>
            <w:r>
              <w:rPr>
                <w:rFonts w:ascii="Arial" w:cs="Arial" w:eastAsia="Arial" w:hAnsi="Arial"/>
                <w:sz w:val="13"/>
                <w:szCs w:val="13"/>
                <w:b w:val="1"/>
                <w:bCs w:val="1"/>
                <w:color w:val="auto"/>
                <w:w w:val="91"/>
              </w:rPr>
              <w:t>Additional</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121"/>
              <w:spacing w:after="0" w:line="117" w:lineRule="exact"/>
              <w:rPr>
                <w:sz w:val="20"/>
                <w:szCs w:val="20"/>
                <w:color w:val="auto"/>
              </w:rPr>
            </w:pPr>
            <w:r>
              <w:rPr>
                <w:rFonts w:ascii="Arial" w:cs="Arial" w:eastAsia="Arial" w:hAnsi="Arial"/>
                <w:sz w:val="13"/>
                <w:szCs w:val="13"/>
                <w:b w:val="1"/>
                <w:bCs w:val="1"/>
                <w:color w:val="auto"/>
              </w:rPr>
              <w:t>Paid-In</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177"/>
              <w:spacing w:after="0" w:line="117" w:lineRule="exact"/>
              <w:rPr>
                <w:sz w:val="20"/>
                <w:szCs w:val="20"/>
                <w:color w:val="auto"/>
              </w:rPr>
            </w:pPr>
            <w:r>
              <w:rPr>
                <w:rFonts w:ascii="Arial" w:cs="Arial" w:eastAsia="Arial" w:hAnsi="Arial"/>
                <w:sz w:val="13"/>
                <w:szCs w:val="13"/>
                <w:b w:val="1"/>
                <w:bCs w:val="1"/>
                <w:color w:val="auto"/>
                <w:w w:val="87"/>
              </w:rPr>
              <w:t>Retained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right"/>
              <w:ind w:right="320"/>
              <w:spacing w:after="0" w:line="117" w:lineRule="exact"/>
              <w:rPr>
                <w:sz w:val="20"/>
                <w:szCs w:val="20"/>
                <w:color w:val="auto"/>
              </w:rPr>
            </w:pPr>
            <w:r>
              <w:rPr>
                <w:rFonts w:ascii="Arial" w:cs="Arial" w:eastAsia="Arial" w:hAnsi="Arial"/>
                <w:sz w:val="13"/>
                <w:szCs w:val="13"/>
                <w:b w:val="1"/>
                <w:bCs w:val="1"/>
                <w:color w:val="auto"/>
                <w:w w:val="90"/>
              </w:rPr>
              <w:t>Investment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420"/>
              <w:spacing w:after="0" w:line="117"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0"/>
                <w:szCs w:val="10"/>
                <w:color w:val="auto"/>
              </w:rPr>
            </w:pPr>
          </w:p>
        </w:tc>
        <w:tc>
          <w:tcPr>
            <w:tcW w:w="1280" w:type="dxa"/>
            <w:vAlign w:val="bottom"/>
            <w:gridSpan w:val="2"/>
          </w:tcPr>
          <w:p>
            <w:pPr>
              <w:jc w:val="right"/>
              <w:ind w:right="600"/>
              <w:spacing w:after="0" w:line="117" w:lineRule="exact"/>
              <w:rPr>
                <w:sz w:val="20"/>
                <w:szCs w:val="20"/>
                <w:color w:val="auto"/>
              </w:rPr>
            </w:pPr>
            <w:r>
              <w:rPr>
                <w:rFonts w:ascii="Arial" w:cs="Arial" w:eastAsia="Arial" w:hAnsi="Arial"/>
                <w:sz w:val="13"/>
                <w:szCs w:val="13"/>
                <w:b w:val="1"/>
                <w:bCs w:val="1"/>
                <w:color w:val="auto"/>
              </w:rPr>
              <w:t>Unearned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96"/>
              </w:rPr>
              <w:t>Shares</w:t>
            </w:r>
          </w:p>
        </w:tc>
        <w:tc>
          <w:tcPr>
            <w:tcW w:w="22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3"/>
                <w:szCs w:val="13"/>
                <w:color w:val="auto"/>
              </w:rPr>
            </w:pPr>
          </w:p>
        </w:tc>
        <w:tc>
          <w:tcPr>
            <w:tcW w:w="600" w:type="dxa"/>
            <w:vAlign w:val="bottom"/>
          </w:tcPr>
          <w:p>
            <w:pPr>
              <w:jc w:val="right"/>
              <w:ind w:right="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85"/>
              </w:rPr>
              <w:t>Amount</w:t>
            </w:r>
          </w:p>
        </w:tc>
        <w:tc>
          <w:tcPr>
            <w:tcW w:w="100" w:type="dxa"/>
            <w:vAlign w:val="bottom"/>
          </w:tcPr>
          <w:p>
            <w:pPr>
              <w:spacing w:after="0"/>
              <w:rPr>
                <w:sz w:val="13"/>
                <w:szCs w:val="13"/>
                <w:color w:val="auto"/>
              </w:rPr>
            </w:pPr>
          </w:p>
        </w:tc>
        <w:tc>
          <w:tcPr>
            <w:tcW w:w="720" w:type="dxa"/>
            <w:vAlign w:val="bottom"/>
          </w:tcPr>
          <w:p>
            <w:pPr>
              <w:jc w:val="right"/>
              <w:ind w:right="121"/>
              <w:spacing w:after="0"/>
              <w:rPr>
                <w:sz w:val="20"/>
                <w:szCs w:val="20"/>
                <w:color w:val="auto"/>
              </w:rPr>
            </w:pPr>
            <w:r>
              <w:rPr>
                <w:rFonts w:ascii="Arial" w:cs="Arial" w:eastAsia="Arial" w:hAnsi="Arial"/>
                <w:sz w:val="13"/>
                <w:szCs w:val="13"/>
                <w:b w:val="1"/>
                <w:bCs w:val="1"/>
                <w:color w:val="auto"/>
              </w:rPr>
              <w:t>Capital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77"/>
              <w:spacing w:after="0"/>
              <w:rPr>
                <w:sz w:val="20"/>
                <w:szCs w:val="20"/>
                <w:color w:val="auto"/>
              </w:rPr>
            </w:pPr>
            <w:r>
              <w:rPr>
                <w:rFonts w:ascii="Arial" w:cs="Arial" w:eastAsia="Arial" w:hAnsi="Arial"/>
                <w:sz w:val="13"/>
                <w:szCs w:val="13"/>
                <w:b w:val="1"/>
                <w:bCs w:val="1"/>
                <w:color w:val="auto"/>
                <w:w w:val="86"/>
              </w:rPr>
              <w:t>Earnings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by FNF</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6"/>
              </w:rPr>
              <w:t>Earnings(Loss)</w:t>
            </w:r>
          </w:p>
        </w:tc>
        <w:tc>
          <w:tcPr>
            <w:tcW w:w="120" w:type="dxa"/>
            <w:vAlign w:val="bottom"/>
          </w:tcPr>
          <w:p>
            <w:pPr>
              <w:spacing w:after="0"/>
              <w:rPr>
                <w:sz w:val="13"/>
                <w:szCs w:val="1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86"/>
              </w:rPr>
              <w:t>Compensation</w:t>
            </w:r>
          </w:p>
        </w:tc>
        <w:tc>
          <w:tcPr>
            <w:tcW w:w="140" w:type="dxa"/>
            <w:vAlign w:val="bottom"/>
          </w:tcPr>
          <w:p>
            <w:pPr>
              <w:spacing w:after="0"/>
              <w:rPr>
                <w:sz w:val="13"/>
                <w:szCs w:val="13"/>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gridSpan w:val="3"/>
          </w:tcPr>
          <w:p>
            <w:pPr>
              <w:jc w:val="right"/>
              <w:spacing w:after="0" w:line="143" w:lineRule="exact"/>
              <w:rPr>
                <w:sz w:val="20"/>
                <w:szCs w:val="20"/>
                <w:color w:val="auto"/>
              </w:rPr>
            </w:pPr>
            <w:r>
              <w:rPr>
                <w:rFonts w:ascii="Arial" w:cs="Arial" w:eastAsia="Arial" w:hAnsi="Arial"/>
                <w:sz w:val="13"/>
                <w:szCs w:val="13"/>
                <w:b w:val="1"/>
                <w:bCs w:val="1"/>
                <w:color w:val="auto"/>
              </w:rPr>
              <w:t>(In thousands,</w:t>
            </w:r>
          </w:p>
        </w:tc>
        <w:tc>
          <w:tcPr>
            <w:tcW w:w="1340" w:type="dxa"/>
            <w:vAlign w:val="bottom"/>
            <w:gridSpan w:val="5"/>
          </w:tcPr>
          <w:p>
            <w:pPr>
              <w:jc w:val="right"/>
              <w:ind w:right="100"/>
              <w:spacing w:after="0" w:line="143" w:lineRule="exact"/>
              <w:rPr>
                <w:sz w:val="20"/>
                <w:szCs w:val="20"/>
                <w:color w:val="auto"/>
              </w:rPr>
            </w:pPr>
            <w:r>
              <w:rPr>
                <w:rFonts w:ascii="Arial" w:cs="Arial" w:eastAsia="Arial" w:hAnsi="Arial"/>
                <w:sz w:val="13"/>
                <w:szCs w:val="13"/>
                <w:b w:val="1"/>
                <w:bCs w:val="1"/>
                <w:color w:val="auto"/>
                <w:w w:val="88"/>
              </w:rPr>
              <w:t>except per share data)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6"/>
                <w:szCs w:val="16"/>
                <w:color w:val="auto"/>
                <w:w w:val="96"/>
              </w:rPr>
              <w:t>Balance, December 31,</w:t>
            </w: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2002</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37"/>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97"/>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2,223,003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11,481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2,234,484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40" w:type="dxa"/>
            <w:vAlign w:val="bottom"/>
          </w:tcPr>
          <w:p>
            <w:pPr>
              <w:ind w:left="100"/>
              <w:spacing w:after="0"/>
              <w:rPr>
                <w:sz w:val="20"/>
                <w:szCs w:val="20"/>
                <w:color w:val="auto"/>
              </w:rPr>
            </w:pPr>
            <w:r>
              <w:rPr>
                <w:rFonts w:ascii="Arial" w:cs="Arial" w:eastAsia="Arial" w:hAnsi="Arial"/>
                <w:sz w:val="16"/>
                <w:szCs w:val="16"/>
                <w:color w:val="auto"/>
                <w:w w:val="99"/>
              </w:rPr>
              <w:t>Other comprehensive</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Pr>
          <w:p>
            <w:pPr>
              <w:ind w:left="240"/>
              <w:spacing w:after="0"/>
              <w:rPr>
                <w:sz w:val="20"/>
                <w:szCs w:val="20"/>
                <w:color w:val="auto"/>
              </w:rPr>
            </w:pPr>
            <w:r>
              <w:rPr>
                <w:rFonts w:ascii="Arial" w:cs="Arial" w:eastAsia="Arial" w:hAnsi="Arial"/>
                <w:sz w:val="16"/>
                <w:szCs w:val="16"/>
                <w:color w:val="auto"/>
              </w:rPr>
              <w:t>loss — minimum</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Pr>
          <w:p>
            <w:pPr>
              <w:ind w:left="240"/>
              <w:spacing w:after="0"/>
              <w:rPr>
                <w:sz w:val="20"/>
                <w:szCs w:val="20"/>
                <w:color w:val="auto"/>
              </w:rPr>
            </w:pPr>
            <w:r>
              <w:rPr>
                <w:rFonts w:ascii="Arial" w:cs="Arial" w:eastAsia="Arial" w:hAnsi="Arial"/>
                <w:sz w:val="16"/>
                <w:szCs w:val="16"/>
                <w:color w:val="auto"/>
              </w:rPr>
              <w:t>pension liability</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Pr>
          <w:p>
            <w:pPr>
              <w:ind w:left="240"/>
              <w:spacing w:after="0"/>
              <w:rPr>
                <w:sz w:val="20"/>
                <w:szCs w:val="20"/>
                <w:color w:val="auto"/>
              </w:rPr>
            </w:pPr>
            <w:r>
              <w:rPr>
                <w:rFonts w:ascii="Arial" w:cs="Arial" w:eastAsia="Arial" w:hAnsi="Arial"/>
                <w:sz w:val="16"/>
                <w:szCs w:val="16"/>
                <w:color w:val="auto"/>
              </w:rPr>
              <w:t>adjustment — net</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tcPr>
          <w:p>
            <w:pPr>
              <w:ind w:left="240"/>
              <w:spacing w:after="0"/>
              <w:rPr>
                <w:sz w:val="20"/>
                <w:szCs w:val="20"/>
                <w:color w:val="auto"/>
              </w:rPr>
            </w:pPr>
            <w:r>
              <w:rPr>
                <w:rFonts w:ascii="Arial" w:cs="Arial" w:eastAsia="Arial" w:hAnsi="Arial"/>
                <w:sz w:val="16"/>
                <w:szCs w:val="16"/>
                <w:color w:val="auto"/>
              </w:rPr>
              <w:t>of tax</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97"/>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(9,988)</w:t>
            </w: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(9,988)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9"/>
              </w:rPr>
              <w:t>Other comprehensive</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 unrealized</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on</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investments — net</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of tax</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7"/>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(13,345)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(13,345)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40" w:type="dxa"/>
            <w:vAlign w:val="bottom"/>
          </w:tcPr>
          <w:p>
            <w:pPr>
              <w:ind w:left="100"/>
              <w:spacing w:after="0"/>
              <w:rPr>
                <w:sz w:val="20"/>
                <w:szCs w:val="20"/>
                <w:color w:val="auto"/>
              </w:rPr>
            </w:pPr>
            <w:r>
              <w:rPr>
                <w:rFonts w:ascii="Arial" w:cs="Arial" w:eastAsia="Arial" w:hAnsi="Arial"/>
                <w:sz w:val="16"/>
                <w:szCs w:val="16"/>
                <w:color w:val="auto"/>
              </w:rPr>
              <w:t>Net distribution of</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40" w:type="dxa"/>
            <w:vAlign w:val="bottom"/>
          </w:tcPr>
          <w:p>
            <w:pPr>
              <w:ind w:left="240"/>
              <w:spacing w:after="0"/>
              <w:rPr>
                <w:sz w:val="20"/>
                <w:szCs w:val="20"/>
                <w:color w:val="auto"/>
              </w:rPr>
            </w:pPr>
            <w:r>
              <w:rPr>
                <w:rFonts w:ascii="Arial" w:cs="Arial" w:eastAsia="Arial" w:hAnsi="Arial"/>
                <w:sz w:val="16"/>
                <w:szCs w:val="16"/>
                <w:color w:val="auto"/>
              </w:rPr>
              <w:t>capital</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97"/>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(16,390)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(16,390)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Dividend to FNF</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7"/>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(408,900)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(408,900)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6"/>
                <w:szCs w:val="16"/>
                <w:color w:val="auto"/>
              </w:rPr>
              <w:t>Net earnings</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97"/>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683,325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683,325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6"/>
                <w:szCs w:val="16"/>
                <w:color w:val="auto"/>
                <w:w w:val="96"/>
              </w:rPr>
              <w:t>Balance, December 31,</w:t>
            </w: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2003</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7"/>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2,481,038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(11,852)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2,469,186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640" w:type="dxa"/>
            <w:vAlign w:val="bottom"/>
          </w:tcPr>
          <w:p>
            <w:pPr>
              <w:ind w:left="100"/>
              <w:spacing w:after="0"/>
              <w:rPr>
                <w:sz w:val="20"/>
                <w:szCs w:val="20"/>
                <w:color w:val="auto"/>
              </w:rPr>
            </w:pPr>
            <w:r>
              <w:rPr>
                <w:rFonts w:ascii="Arial" w:cs="Arial" w:eastAsia="Arial" w:hAnsi="Arial"/>
                <w:sz w:val="16"/>
                <w:szCs w:val="16"/>
                <w:color w:val="auto"/>
                <w:w w:val="99"/>
              </w:rPr>
              <w:t>Other comprehensive</w:t>
            </w:r>
          </w:p>
        </w:tc>
        <w:tc>
          <w:tcPr>
            <w:tcW w:w="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Pr>
          <w:p>
            <w:pPr>
              <w:ind w:left="240"/>
              <w:spacing w:after="0"/>
              <w:rPr>
                <w:sz w:val="20"/>
                <w:szCs w:val="20"/>
                <w:color w:val="auto"/>
              </w:rPr>
            </w:pPr>
            <w:r>
              <w:rPr>
                <w:rFonts w:ascii="Arial" w:cs="Arial" w:eastAsia="Arial" w:hAnsi="Arial"/>
                <w:sz w:val="16"/>
                <w:szCs w:val="16"/>
                <w:color w:val="auto"/>
              </w:rPr>
              <w:t>loss — minimum</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Pr>
          <w:p>
            <w:pPr>
              <w:ind w:left="240"/>
              <w:spacing w:after="0"/>
              <w:rPr>
                <w:sz w:val="20"/>
                <w:szCs w:val="20"/>
                <w:color w:val="auto"/>
              </w:rPr>
            </w:pPr>
            <w:r>
              <w:rPr>
                <w:rFonts w:ascii="Arial" w:cs="Arial" w:eastAsia="Arial" w:hAnsi="Arial"/>
                <w:sz w:val="16"/>
                <w:szCs w:val="16"/>
                <w:color w:val="auto"/>
              </w:rPr>
              <w:t>pension liability</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Pr>
          <w:p>
            <w:pPr>
              <w:ind w:left="240"/>
              <w:spacing w:after="0"/>
              <w:rPr>
                <w:sz w:val="20"/>
                <w:szCs w:val="20"/>
                <w:color w:val="auto"/>
              </w:rPr>
            </w:pPr>
            <w:r>
              <w:rPr>
                <w:rFonts w:ascii="Arial" w:cs="Arial" w:eastAsia="Arial" w:hAnsi="Arial"/>
                <w:sz w:val="16"/>
                <w:szCs w:val="16"/>
                <w:color w:val="auto"/>
              </w:rPr>
              <w:t>adjustment — net</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tcPr>
          <w:p>
            <w:pPr>
              <w:ind w:left="240"/>
              <w:spacing w:after="0"/>
              <w:rPr>
                <w:sz w:val="20"/>
                <w:szCs w:val="20"/>
                <w:color w:val="auto"/>
              </w:rPr>
            </w:pPr>
            <w:r>
              <w:rPr>
                <w:rFonts w:ascii="Arial" w:cs="Arial" w:eastAsia="Arial" w:hAnsi="Arial"/>
                <w:sz w:val="16"/>
                <w:szCs w:val="16"/>
                <w:color w:val="auto"/>
              </w:rPr>
              <w:t>of tax</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97"/>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(11,764)</w:t>
            </w: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(11,764)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9"/>
              </w:rPr>
              <w:t>Other comprehensive</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 unrealized</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on</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investments — net</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of tax</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7"/>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(18,684)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(18,684)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40" w:type="dxa"/>
            <w:vAlign w:val="bottom"/>
          </w:tcPr>
          <w:p>
            <w:pPr>
              <w:ind w:left="100"/>
              <w:spacing w:after="0"/>
              <w:rPr>
                <w:sz w:val="20"/>
                <w:szCs w:val="20"/>
                <w:color w:val="auto"/>
              </w:rPr>
            </w:pPr>
            <w:r>
              <w:rPr>
                <w:rFonts w:ascii="Arial" w:cs="Arial" w:eastAsia="Arial" w:hAnsi="Arial"/>
                <w:sz w:val="16"/>
                <w:szCs w:val="16"/>
                <w:color w:val="auto"/>
              </w:rPr>
              <w:t>Net contribution of</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40" w:type="dxa"/>
            <w:vAlign w:val="bottom"/>
          </w:tcPr>
          <w:p>
            <w:pPr>
              <w:ind w:left="240"/>
              <w:spacing w:after="0"/>
              <w:rPr>
                <w:sz w:val="20"/>
                <w:szCs w:val="20"/>
                <w:color w:val="auto"/>
              </w:rPr>
            </w:pPr>
            <w:r>
              <w:rPr>
                <w:rFonts w:ascii="Arial" w:cs="Arial" w:eastAsia="Arial" w:hAnsi="Arial"/>
                <w:sz w:val="16"/>
                <w:szCs w:val="16"/>
                <w:color w:val="auto"/>
              </w:rPr>
              <w:t>capital by FNF</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97"/>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117,854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117,854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Dividend to FNF</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7"/>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(438,000)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6"/>
                <w:szCs w:val="16"/>
                <w:color w:val="auto"/>
              </w:rPr>
              <w:t>Net earnings</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97"/>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558,164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558,164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6"/>
                <w:szCs w:val="16"/>
                <w:color w:val="auto"/>
                <w:w w:val="96"/>
              </w:rPr>
              <w:t>Balance, December 31,</w:t>
            </w: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2004</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7"/>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2,719,056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(42,300)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2,676,756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640" w:type="dxa"/>
            <w:vAlign w:val="bottom"/>
          </w:tcPr>
          <w:p>
            <w:pPr>
              <w:ind w:left="100"/>
              <w:spacing w:after="0"/>
              <w:rPr>
                <w:sz w:val="20"/>
                <w:szCs w:val="20"/>
                <w:color w:val="auto"/>
              </w:rPr>
            </w:pPr>
            <w:r>
              <w:rPr>
                <w:rFonts w:ascii="Arial" w:cs="Arial" w:eastAsia="Arial" w:hAnsi="Arial"/>
                <w:sz w:val="16"/>
                <w:szCs w:val="16"/>
                <w:color w:val="auto"/>
              </w:rPr>
              <w:t>Transactions prior to</w:t>
            </w:r>
          </w:p>
        </w:tc>
        <w:tc>
          <w:tcPr>
            <w:tcW w:w="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Pr>
          <w:p>
            <w:pPr>
              <w:ind w:left="240"/>
              <w:spacing w:after="0"/>
              <w:rPr>
                <w:sz w:val="20"/>
                <w:szCs w:val="20"/>
                <w:color w:val="auto"/>
              </w:rPr>
            </w:pPr>
            <w:r>
              <w:rPr>
                <w:rFonts w:ascii="Arial" w:cs="Arial" w:eastAsia="Arial" w:hAnsi="Arial"/>
                <w:sz w:val="16"/>
                <w:szCs w:val="16"/>
                <w:color w:val="auto"/>
              </w:rPr>
              <w:t>the stock</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tcPr>
          <w:p>
            <w:pPr>
              <w:ind w:left="240"/>
              <w:spacing w:after="0"/>
              <w:rPr>
                <w:sz w:val="20"/>
                <w:szCs w:val="20"/>
                <w:color w:val="auto"/>
              </w:rPr>
            </w:pPr>
            <w:r>
              <w:rPr>
                <w:rFonts w:ascii="Arial" w:cs="Arial" w:eastAsia="Arial" w:hAnsi="Arial"/>
                <w:sz w:val="16"/>
                <w:szCs w:val="16"/>
                <w:color w:val="auto"/>
              </w:rPr>
              <w:t>distribution:</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contributions of</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capital by FNF</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7"/>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134,664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141,190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40" w:type="dxa"/>
            <w:vAlign w:val="bottom"/>
          </w:tcPr>
          <w:p>
            <w:pPr>
              <w:ind w:left="100"/>
              <w:spacing w:after="0"/>
              <w:rPr>
                <w:sz w:val="20"/>
                <w:szCs w:val="20"/>
                <w:color w:val="auto"/>
              </w:rPr>
            </w:pPr>
            <w:r>
              <w:rPr>
                <w:rFonts w:ascii="Arial" w:cs="Arial" w:eastAsia="Arial" w:hAnsi="Arial"/>
                <w:sz w:val="16"/>
                <w:szCs w:val="16"/>
                <w:color w:val="auto"/>
              </w:rPr>
              <w:t>Dividends paid to</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tcPr>
          <w:p>
            <w:pPr>
              <w:ind w:left="240"/>
              <w:spacing w:after="0"/>
              <w:rPr>
                <w:sz w:val="20"/>
                <w:szCs w:val="20"/>
                <w:color w:val="auto"/>
              </w:rPr>
            </w:pPr>
            <w:r>
              <w:rPr>
                <w:rFonts w:ascii="Arial" w:cs="Arial" w:eastAsia="Arial" w:hAnsi="Arial"/>
                <w:sz w:val="16"/>
                <w:szCs w:val="16"/>
                <w:color w:val="auto"/>
              </w:rPr>
              <w:t>FNF</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97"/>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(797,575)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(797,575)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earnings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97"/>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412,631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412,631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40" w:type="dxa"/>
            <w:vAlign w:val="bottom"/>
          </w:tcPr>
          <w:p>
            <w:pPr>
              <w:ind w:left="100"/>
              <w:spacing w:after="0"/>
              <w:rPr>
                <w:sz w:val="20"/>
                <w:szCs w:val="20"/>
                <w:color w:val="auto"/>
              </w:rPr>
            </w:pPr>
            <w:r>
              <w:rPr>
                <w:rFonts w:ascii="Arial" w:cs="Arial" w:eastAsia="Arial" w:hAnsi="Arial"/>
                <w:sz w:val="16"/>
                <w:szCs w:val="16"/>
                <w:color w:val="auto"/>
              </w:rPr>
              <w:t>Distribution of</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tcPr>
          <w:p>
            <w:pPr>
              <w:ind w:left="240"/>
              <w:spacing w:after="0"/>
              <w:rPr>
                <w:sz w:val="20"/>
                <w:szCs w:val="20"/>
                <w:color w:val="auto"/>
              </w:rPr>
            </w:pPr>
            <w:r>
              <w:rPr>
                <w:rFonts w:ascii="Arial" w:cs="Arial" w:eastAsia="Arial" w:hAnsi="Arial"/>
                <w:sz w:val="16"/>
                <w:szCs w:val="16"/>
                <w:color w:val="auto"/>
              </w:rPr>
              <w:t>common stock</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30,370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900" w:type="dxa"/>
            <w:vAlign w:val="bottom"/>
            <w:gridSpan w:val="3"/>
          </w:tcPr>
          <w:p>
            <w:pPr>
              <w:jc w:val="right"/>
              <w:ind w:right="100"/>
              <w:spacing w:after="0"/>
              <w:rPr>
                <w:sz w:val="20"/>
                <w:szCs w:val="20"/>
                <w:color w:val="auto"/>
              </w:rPr>
            </w:pPr>
            <w:r>
              <w:rPr>
                <w:rFonts w:ascii="Arial" w:cs="Arial" w:eastAsia="Arial" w:hAnsi="Arial"/>
                <w:sz w:val="16"/>
                <w:szCs w:val="16"/>
                <w:color w:val="auto"/>
              </w:rPr>
              <w:t>143,176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2,468,759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97"/>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(2,468,776)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Transactions</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subsequent to the</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 distribution:</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40" w:type="dxa"/>
            <w:vAlign w:val="bottom"/>
          </w:tcPr>
          <w:p>
            <w:pPr>
              <w:ind w:left="100"/>
              <w:spacing w:after="0"/>
              <w:rPr>
                <w:sz w:val="20"/>
                <w:szCs w:val="20"/>
                <w:color w:val="auto"/>
              </w:rPr>
            </w:pPr>
            <w:r>
              <w:rPr>
                <w:rFonts w:ascii="Arial" w:cs="Arial" w:eastAsia="Arial" w:hAnsi="Arial"/>
                <w:sz w:val="16"/>
                <w:szCs w:val="16"/>
                <w:color w:val="auto"/>
                <w:w w:val="99"/>
              </w:rPr>
              <w:t>Issuance of restricted</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tcPr>
          <w:p>
            <w:pPr>
              <w:ind w:left="240"/>
              <w:spacing w:after="0"/>
              <w:rPr>
                <w:sz w:val="20"/>
                <w:szCs w:val="20"/>
                <w:color w:val="auto"/>
              </w:rPr>
            </w:pPr>
            <w:r>
              <w:rPr>
                <w:rFonts w:ascii="Arial" w:cs="Arial" w:eastAsia="Arial" w:hAnsi="Arial"/>
                <w:sz w:val="16"/>
                <w:szCs w:val="16"/>
                <w:color w:val="auto"/>
              </w:rPr>
              <w:t>stock</w:t>
            </w:r>
          </w:p>
        </w:tc>
        <w:tc>
          <w:tcPr>
            <w:tcW w:w="500" w:type="dxa"/>
            <w:vAlign w:val="bottom"/>
          </w:tcPr>
          <w:p>
            <w:pPr>
              <w:jc w:val="right"/>
              <w:spacing w:after="0"/>
              <w:rPr>
                <w:sz w:val="20"/>
                <w:szCs w:val="20"/>
                <w:color w:val="auto"/>
              </w:rPr>
            </w:pPr>
            <w:r>
              <w:rPr>
                <w:rFonts w:ascii="Arial" w:cs="Arial" w:eastAsia="Arial" w:hAnsi="Arial"/>
                <w:sz w:val="16"/>
                <w:szCs w:val="16"/>
                <w:color w:val="auto"/>
              </w:rPr>
              <w:t>777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17,027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97"/>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(17,027)</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9"/>
              </w:rPr>
              <w:t>Other comprehensive</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 minimum</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pension liability</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adjustment — net</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of tax</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7"/>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(1,980)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(1,980)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40" w:type="dxa"/>
            <w:vAlign w:val="bottom"/>
          </w:tcPr>
          <w:p>
            <w:pPr>
              <w:ind w:left="100"/>
              <w:spacing w:after="0"/>
              <w:rPr>
                <w:sz w:val="20"/>
                <w:szCs w:val="20"/>
                <w:color w:val="auto"/>
              </w:rPr>
            </w:pPr>
            <w:r>
              <w:rPr>
                <w:rFonts w:ascii="Arial" w:cs="Arial" w:eastAsia="Arial" w:hAnsi="Arial"/>
                <w:sz w:val="16"/>
                <w:szCs w:val="16"/>
                <w:color w:val="auto"/>
                <w:w w:val="99"/>
              </w:rPr>
              <w:t>Other comprehensive</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Pr>
          <w:p>
            <w:pPr>
              <w:ind w:left="240"/>
              <w:spacing w:after="0"/>
              <w:rPr>
                <w:sz w:val="20"/>
                <w:szCs w:val="20"/>
                <w:color w:val="auto"/>
              </w:rPr>
            </w:pPr>
            <w:r>
              <w:rPr>
                <w:rFonts w:ascii="Arial" w:cs="Arial" w:eastAsia="Arial" w:hAnsi="Arial"/>
                <w:sz w:val="16"/>
                <w:szCs w:val="16"/>
                <w:color w:val="auto"/>
              </w:rPr>
              <w:t>loss — unrealized</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Pr>
          <w:p>
            <w:pPr>
              <w:ind w:left="240"/>
              <w:spacing w:after="0"/>
              <w:rPr>
                <w:sz w:val="20"/>
                <w:szCs w:val="20"/>
                <w:color w:val="auto"/>
              </w:rPr>
            </w:pPr>
            <w:r>
              <w:rPr>
                <w:rFonts w:ascii="Arial" w:cs="Arial" w:eastAsia="Arial" w:hAnsi="Arial"/>
                <w:sz w:val="16"/>
                <w:szCs w:val="16"/>
                <w:color w:val="auto"/>
              </w:rPr>
              <w:t>loss on</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Pr>
          <w:p>
            <w:pPr>
              <w:ind w:left="240"/>
              <w:spacing w:after="0"/>
              <w:rPr>
                <w:sz w:val="20"/>
                <w:szCs w:val="20"/>
                <w:color w:val="auto"/>
              </w:rPr>
            </w:pPr>
            <w:r>
              <w:rPr>
                <w:rFonts w:ascii="Arial" w:cs="Arial" w:eastAsia="Arial" w:hAnsi="Arial"/>
                <w:sz w:val="16"/>
                <w:szCs w:val="16"/>
                <w:color w:val="auto"/>
              </w:rPr>
              <w:t>investments — net</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tcPr>
          <w:p>
            <w:pPr>
              <w:ind w:left="240"/>
              <w:spacing w:after="0"/>
              <w:rPr>
                <w:sz w:val="20"/>
                <w:szCs w:val="20"/>
                <w:color w:val="auto"/>
              </w:rPr>
            </w:pPr>
            <w:r>
              <w:rPr>
                <w:rFonts w:ascii="Arial" w:cs="Arial" w:eastAsia="Arial" w:hAnsi="Arial"/>
                <w:sz w:val="16"/>
                <w:szCs w:val="16"/>
                <w:color w:val="auto"/>
              </w:rPr>
              <w:t>of tax</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97"/>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(34,612)</w:t>
            </w: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(34,612)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Amortization of</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unearned</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compensation</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7"/>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856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40" w:type="dxa"/>
            <w:vAlign w:val="bottom"/>
          </w:tcPr>
          <w:p>
            <w:pPr>
              <w:ind w:left="100"/>
              <w:spacing w:after="0"/>
              <w:rPr>
                <w:sz w:val="20"/>
                <w:szCs w:val="20"/>
                <w:color w:val="auto"/>
              </w:rPr>
            </w:pPr>
            <w:r>
              <w:rPr>
                <w:rFonts w:ascii="Arial" w:cs="Arial" w:eastAsia="Arial" w:hAnsi="Arial"/>
                <w:sz w:val="16"/>
                <w:szCs w:val="16"/>
                <w:color w:val="auto"/>
              </w:rPr>
              <w:t>Dividends paid to</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Pr>
          <w:p>
            <w:pPr>
              <w:ind w:left="240"/>
              <w:spacing w:after="0"/>
              <w:rPr>
                <w:sz w:val="20"/>
                <w:szCs w:val="20"/>
                <w:color w:val="auto"/>
              </w:rPr>
            </w:pPr>
            <w:r>
              <w:rPr>
                <w:rFonts w:ascii="Arial" w:cs="Arial" w:eastAsia="Arial" w:hAnsi="Arial"/>
                <w:sz w:val="16"/>
                <w:szCs w:val="16"/>
                <w:color w:val="auto"/>
              </w:rPr>
              <w:t>Class A</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tcPr>
          <w:p>
            <w:pPr>
              <w:ind w:left="240"/>
              <w:spacing w:after="0"/>
              <w:rPr>
                <w:sz w:val="20"/>
                <w:szCs w:val="20"/>
                <w:color w:val="auto"/>
              </w:rPr>
            </w:pPr>
            <w:r>
              <w:rPr>
                <w:rFonts w:ascii="Arial" w:cs="Arial" w:eastAsia="Arial" w:hAnsi="Arial"/>
                <w:sz w:val="16"/>
                <w:szCs w:val="16"/>
                <w:color w:val="auto"/>
              </w:rPr>
              <w:t>shareholders</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7"/>
              <w:spacing w:after="0"/>
              <w:rPr>
                <w:sz w:val="20"/>
                <w:szCs w:val="20"/>
                <w:color w:val="auto"/>
              </w:rPr>
            </w:pPr>
            <w:r>
              <w:rPr>
                <w:rFonts w:ascii="Arial" w:cs="Arial" w:eastAsia="Arial" w:hAnsi="Arial"/>
                <w:sz w:val="16"/>
                <w:szCs w:val="16"/>
                <w:color w:val="auto"/>
              </w:rPr>
              <w:t>(7,787)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(7,787)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Dividends paid to</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FNF</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7"/>
              <w:spacing w:after="0"/>
              <w:rPr>
                <w:sz w:val="20"/>
                <w:szCs w:val="20"/>
                <w:color w:val="auto"/>
              </w:rPr>
            </w:pPr>
            <w:r>
              <w:rPr>
                <w:rFonts w:ascii="Arial" w:cs="Arial" w:eastAsia="Arial" w:hAnsi="Arial"/>
                <w:sz w:val="16"/>
                <w:szCs w:val="16"/>
                <w:color w:val="auto"/>
              </w:rPr>
              <w:t>(35,792)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(35,792)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Pr>
          <w:p>
            <w:pPr>
              <w:ind w:left="100"/>
              <w:spacing w:after="0"/>
              <w:rPr>
                <w:sz w:val="20"/>
                <w:szCs w:val="20"/>
                <w:color w:val="auto"/>
              </w:rPr>
            </w:pPr>
            <w:r>
              <w:rPr>
                <w:rFonts w:ascii="Arial" w:cs="Arial" w:eastAsia="Arial" w:hAnsi="Arial"/>
                <w:sz w:val="16"/>
                <w:szCs w:val="16"/>
                <w:color w:val="auto"/>
              </w:rPr>
              <w:t>Net earnings</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97"/>
              <w:spacing w:after="0"/>
              <w:rPr>
                <w:sz w:val="20"/>
                <w:szCs w:val="20"/>
                <w:color w:val="auto"/>
              </w:rPr>
            </w:pPr>
            <w:r>
              <w:rPr>
                <w:rFonts w:ascii="Arial" w:cs="Arial" w:eastAsia="Arial" w:hAnsi="Arial"/>
                <w:sz w:val="16"/>
                <w:szCs w:val="16"/>
                <w:color w:val="auto"/>
                <w:w w:val="96"/>
              </w:rPr>
              <w:t>126,350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126,350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6"/>
                <w:szCs w:val="16"/>
                <w:color w:val="auto"/>
                <w:w w:val="96"/>
              </w:rPr>
              <w:t>Balance, December 31,</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31,147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143,176</w:t>
            </w:r>
          </w:p>
        </w:tc>
        <w:tc>
          <w:tcPr>
            <w:tcW w:w="300" w:type="dxa"/>
            <w:vAlign w:val="bottom"/>
            <w:gridSpan w:val="2"/>
            <w:shd w:val="clear" w:color="auto" w:fill="CCEEFF"/>
          </w:tcPr>
          <w:p>
            <w:pPr>
              <w:jc w:val="right"/>
              <w:ind w:right="37"/>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2,492,312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97"/>
              <w:spacing w:after="0"/>
              <w:rPr>
                <w:sz w:val="20"/>
                <w:szCs w:val="20"/>
                <w:color w:val="auto"/>
              </w:rPr>
            </w:pPr>
            <w:r>
              <w:rPr>
                <w:rFonts w:ascii="Arial" w:cs="Arial" w:eastAsia="Arial" w:hAnsi="Arial"/>
                <w:sz w:val="16"/>
                <w:szCs w:val="16"/>
                <w:color w:val="auto"/>
              </w:rPr>
              <w:t>82,771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(78,892)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(16,171)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2,480,037</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19" w:right="239" w:bottom="0" w:gutter="0" w:footer="0" w:header="0"/>
        </w:sectPr>
      </w:pPr>
    </w:p>
    <w:bookmarkStart w:id="52" w:name="page53"/>
    <w:bookmarkEnd w:id="52"/>
    <w:p>
      <w:pPr>
        <w:spacing w:after="0"/>
        <w:rPr>
          <w:sz w:val="20"/>
          <w:szCs w:val="20"/>
          <w:color w:val="auto"/>
        </w:rPr>
      </w:pPr>
      <w:r>
        <w:rPr>
          <w:rFonts w:ascii="Arial" w:cs="Arial" w:eastAsia="Arial" w:hAnsi="Arial"/>
          <w:sz w:val="14"/>
          <w:szCs w:val="14"/>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-95250</wp:posOffset>
            </wp:positionV>
            <wp:extent cx="724662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0079"/>
          </w:cols>
          <w:pgMar w:left="380" w:top="130" w:right="1440" w:bottom="1440" w:gutter="0" w:footer="0" w:header="0"/>
        </w:sectPr>
      </w:pPr>
    </w:p>
    <w:p>
      <w:pPr>
        <w:spacing w:after="0" w:line="267"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See Notes to Consolidated and Combined Financial Statements.</w:t>
      </w:r>
    </w:p>
    <w:p>
      <w:pPr>
        <w:spacing w:after="0" w:line="22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79"/>
          </w:cols>
          <w:pgMar w:left="380" w:top="130" w:right="1440"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CASH FLOWS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39"/>
              <w:spacing w:after="0" w:line="155" w:lineRule="exact"/>
              <w:rPr>
                <w:sz w:val="20"/>
                <w:szCs w:val="20"/>
                <w:color w:val="auto"/>
              </w:rPr>
            </w:pPr>
            <w:r>
              <w:rPr>
                <w:rFonts w:ascii="Arial" w:cs="Arial" w:eastAsia="Arial" w:hAnsi="Arial"/>
                <w:sz w:val="14"/>
                <w:szCs w:val="14"/>
                <w:b w:val="1"/>
                <w:bCs w:val="1"/>
                <w:color w:val="auto"/>
                <w:w w:val="89"/>
              </w:rPr>
              <w:t>2004</w:t>
            </w:r>
          </w:p>
        </w:tc>
        <w:tc>
          <w:tcPr>
            <w:tcW w:w="6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right="19"/>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80"/>
              <w:spacing w:after="0"/>
              <w:rPr>
                <w:sz w:val="20"/>
                <w:szCs w:val="20"/>
                <w:color w:val="auto"/>
              </w:rPr>
            </w:pPr>
            <w:r>
              <w:rPr>
                <w:rFonts w:ascii="Arial" w:cs="Arial" w:eastAsia="Arial" w:hAnsi="Arial"/>
                <w:sz w:val="16"/>
                <w:szCs w:val="16"/>
                <w:color w:val="auto"/>
              </w:rPr>
              <w:t>Net earnings</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538,981</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ind w:right="660"/>
              <w:spacing w:after="0"/>
              <w:rPr>
                <w:sz w:val="20"/>
                <w:szCs w:val="20"/>
                <w:color w:val="auto"/>
              </w:rPr>
            </w:pPr>
            <w:r>
              <w:rPr>
                <w:rFonts w:ascii="Arial" w:cs="Arial" w:eastAsia="Arial" w:hAnsi="Arial"/>
                <w:sz w:val="16"/>
                <w:szCs w:val="16"/>
                <w:color w:val="auto"/>
              </w:rPr>
              <w:t>558,164</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683,325</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Adjustment to reconcile net earnings to net cash provided by operating activities:</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56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102,105</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6"/>
                <w:szCs w:val="16"/>
                <w:color w:val="auto"/>
              </w:rPr>
              <w:t>95,718</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79,077</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increase in reserve for claim losses</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82,064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6,088</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38,158</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560"/>
              <w:spacing w:after="0"/>
              <w:rPr>
                <w:sz w:val="20"/>
                <w:szCs w:val="20"/>
                <w:color w:val="auto"/>
              </w:rPr>
            </w:pPr>
            <w:r>
              <w:rPr>
                <w:rFonts w:ascii="Arial" w:cs="Arial" w:eastAsia="Arial" w:hAnsi="Arial"/>
                <w:sz w:val="16"/>
                <w:szCs w:val="16"/>
                <w:color w:val="auto"/>
              </w:rPr>
              <w:t>Gain on sales of investments and other assets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(44,684)</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6"/>
                <w:szCs w:val="16"/>
                <w:color w:val="auto"/>
              </w:rPr>
              <w:t>(22,948)</w:t>
            </w:r>
          </w:p>
        </w:tc>
        <w:tc>
          <w:tcPr>
            <w:tcW w:w="26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(101,839)</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Stock-based compensation cost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12,440</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5,418</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4,864</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560"/>
              <w:spacing w:after="0"/>
              <w:rPr>
                <w:sz w:val="20"/>
                <w:szCs w:val="20"/>
                <w:color w:val="auto"/>
              </w:rPr>
            </w:pPr>
            <w:r>
              <w:rPr>
                <w:rFonts w:ascii="Arial" w:cs="Arial" w:eastAsia="Arial" w:hAnsi="Arial"/>
                <w:sz w:val="16"/>
                <w:szCs w:val="16"/>
                <w:color w:val="auto"/>
              </w:rPr>
              <w:t>Minority interest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1,972</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6"/>
                <w:szCs w:val="16"/>
                <w:color w:val="auto"/>
              </w:rPr>
              <w:t>1,165</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859</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560"/>
              <w:spacing w:after="0"/>
              <w:rPr>
                <w:sz w:val="20"/>
                <w:szCs w:val="20"/>
                <w:color w:val="auto"/>
              </w:rPr>
            </w:pPr>
            <w:r>
              <w:rPr>
                <w:rFonts w:ascii="Arial" w:cs="Arial" w:eastAsia="Arial" w:hAnsi="Arial"/>
                <w:sz w:val="16"/>
                <w:szCs w:val="16"/>
                <w:color w:val="auto"/>
              </w:rPr>
              <w:t>Net (increase) decrease in secured trust deposits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(2,705)</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6"/>
                <w:szCs w:val="16"/>
                <w:color w:val="auto"/>
              </w:rPr>
              <w:t>1,514</w:t>
            </w:r>
          </w:p>
        </w:tc>
        <w:tc>
          <w:tcPr>
            <w:tcW w:w="260" w:type="dxa"/>
            <w:vAlign w:val="bottom"/>
          </w:tcPr>
          <w:p>
            <w:pPr>
              <w:spacing w:after="0"/>
              <w:rPr>
                <w:sz w:val="17"/>
                <w:szCs w:val="17"/>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6"/>
                <w:szCs w:val="16"/>
                <w:color w:val="auto"/>
              </w:rPr>
              <w:t>11,647</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increase in trade receivables</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(31,147)</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(11,241)</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(7,630)</w:t>
            </w:r>
          </w:p>
        </w:tc>
        <w:tc>
          <w:tcPr>
            <w:tcW w:w="0" w:type="dxa"/>
            <w:vAlign w:val="bottom"/>
          </w:tcPr>
          <w:p>
            <w:pPr>
              <w:spacing w:after="0"/>
              <w:rPr>
                <w:sz w:val="1"/>
                <w:szCs w:val="1"/>
                <w:color w:val="auto"/>
              </w:rPr>
            </w:pPr>
          </w:p>
        </w:tc>
      </w:tr>
      <w:tr>
        <w:trPr>
          <w:trHeight w:val="203"/>
        </w:trPr>
        <w:tc>
          <w:tcPr>
            <w:tcW w:w="6020" w:type="dxa"/>
            <w:vAlign w:val="bottom"/>
          </w:tcPr>
          <w:p>
            <w:pPr>
              <w:ind w:left="560"/>
              <w:spacing w:after="0"/>
              <w:rPr>
                <w:sz w:val="20"/>
                <w:szCs w:val="20"/>
                <w:color w:val="auto"/>
              </w:rPr>
            </w:pPr>
            <w:r>
              <w:rPr>
                <w:rFonts w:ascii="Arial" w:cs="Arial" w:eastAsia="Arial" w:hAnsi="Arial"/>
                <w:sz w:val="16"/>
                <w:szCs w:val="16"/>
                <w:color w:val="auto"/>
              </w:rPr>
              <w:t>Net decrease in prepaid expenses and other assets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277</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6"/>
                <w:szCs w:val="16"/>
                <w:color w:val="auto"/>
              </w:rPr>
              <w:t>18,295</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58,829</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(decrease) increase in accounts payable and accrued liabilities</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(61,737)</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(13,474)</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61,876</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560"/>
              <w:spacing w:after="0"/>
              <w:rPr>
                <w:sz w:val="20"/>
                <w:szCs w:val="20"/>
                <w:color w:val="auto"/>
              </w:rPr>
            </w:pPr>
            <w:r>
              <w:rPr>
                <w:rFonts w:ascii="Arial" w:cs="Arial" w:eastAsia="Arial" w:hAnsi="Arial"/>
                <w:sz w:val="16"/>
                <w:szCs w:val="16"/>
                <w:color w:val="auto"/>
              </w:rPr>
              <w:t>Net increase in income taxes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99,905</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6"/>
                <w:szCs w:val="16"/>
                <w:color w:val="auto"/>
              </w:rPr>
              <w:t>7,099</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23,462</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697,471</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645,798</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852,628</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sales of investment securities available for sale</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2,289,798</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2,579,401</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1,849,862</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80"/>
              <w:spacing w:after="0"/>
              <w:rPr>
                <w:sz w:val="20"/>
                <w:szCs w:val="20"/>
                <w:color w:val="auto"/>
              </w:rPr>
            </w:pPr>
            <w:r>
              <w:rPr>
                <w:rFonts w:ascii="Arial" w:cs="Arial" w:eastAsia="Arial" w:hAnsi="Arial"/>
                <w:sz w:val="16"/>
                <w:szCs w:val="16"/>
                <w:color w:val="auto"/>
              </w:rPr>
              <w:t>Proceeds from maturities of investment securities available for sale</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380,836</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6"/>
                <w:szCs w:val="16"/>
                <w:color w:val="auto"/>
              </w:rPr>
              <w:t>204,783</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318,302</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sales of real estate, property and equipment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40,690</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5,620</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5,141</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80"/>
              <w:spacing w:after="0"/>
              <w:rPr>
                <w:sz w:val="20"/>
                <w:szCs w:val="20"/>
                <w:color w:val="auto"/>
              </w:rPr>
            </w:pPr>
            <w:r>
              <w:rPr>
                <w:rFonts w:ascii="Arial" w:cs="Arial" w:eastAsia="Arial" w:hAnsi="Arial"/>
                <w:sz w:val="16"/>
                <w:szCs w:val="16"/>
                <w:color w:val="auto"/>
              </w:rPr>
              <w:t>Collections of notes receivable</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15,769</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6"/>
                <w:szCs w:val="16"/>
                <w:color w:val="auto"/>
              </w:rPr>
              <w:t>7,788</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15,480</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Additions to title plants</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(6,754)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(6,533)</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(1,105)</w:t>
            </w:r>
          </w:p>
        </w:tc>
        <w:tc>
          <w:tcPr>
            <w:tcW w:w="0" w:type="dxa"/>
            <w:vAlign w:val="bottom"/>
          </w:tcPr>
          <w:p>
            <w:pPr>
              <w:spacing w:after="0"/>
              <w:rPr>
                <w:sz w:val="1"/>
                <w:szCs w:val="1"/>
                <w:color w:val="auto"/>
              </w:rPr>
            </w:pPr>
          </w:p>
        </w:tc>
      </w:tr>
      <w:tr>
        <w:trPr>
          <w:trHeight w:val="203"/>
        </w:trPr>
        <w:tc>
          <w:tcPr>
            <w:tcW w:w="6020" w:type="dxa"/>
            <w:vAlign w:val="bottom"/>
          </w:tcPr>
          <w:p>
            <w:pPr>
              <w:ind w:left="280"/>
              <w:spacing w:after="0"/>
              <w:rPr>
                <w:sz w:val="20"/>
                <w:szCs w:val="20"/>
                <w:color w:val="auto"/>
              </w:rPr>
            </w:pPr>
            <w:r>
              <w:rPr>
                <w:rFonts w:ascii="Arial" w:cs="Arial" w:eastAsia="Arial" w:hAnsi="Arial"/>
                <w:sz w:val="16"/>
                <w:szCs w:val="16"/>
                <w:color w:val="auto"/>
              </w:rPr>
              <w:t>Additions to property and equipment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(85,384)</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6"/>
                <w:szCs w:val="16"/>
                <w:color w:val="auto"/>
              </w:rPr>
              <w:t>(70,636)</w:t>
            </w:r>
          </w:p>
        </w:tc>
        <w:tc>
          <w:tcPr>
            <w:tcW w:w="26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(80,418)</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Additions to capitalized software</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(8,058)</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(415)</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(16,133)</w:t>
            </w:r>
          </w:p>
        </w:tc>
        <w:tc>
          <w:tcPr>
            <w:tcW w:w="0" w:type="dxa"/>
            <w:vAlign w:val="bottom"/>
          </w:tcPr>
          <w:p>
            <w:pPr>
              <w:spacing w:after="0"/>
              <w:rPr>
                <w:sz w:val="1"/>
                <w:szCs w:val="1"/>
                <w:color w:val="auto"/>
              </w:rPr>
            </w:pPr>
          </w:p>
        </w:tc>
      </w:tr>
      <w:tr>
        <w:trPr>
          <w:trHeight w:val="203"/>
        </w:trPr>
        <w:tc>
          <w:tcPr>
            <w:tcW w:w="6020" w:type="dxa"/>
            <w:vAlign w:val="bottom"/>
          </w:tcPr>
          <w:p>
            <w:pPr>
              <w:ind w:left="280"/>
              <w:spacing w:after="0"/>
              <w:rPr>
                <w:sz w:val="20"/>
                <w:szCs w:val="20"/>
                <w:color w:val="auto"/>
              </w:rPr>
            </w:pPr>
            <w:r>
              <w:rPr>
                <w:rFonts w:ascii="Arial" w:cs="Arial" w:eastAsia="Arial" w:hAnsi="Arial"/>
                <w:sz w:val="16"/>
                <w:szCs w:val="16"/>
                <w:color w:val="auto"/>
              </w:rPr>
              <w:t>Additions to notes receivable</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(8,471)</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6"/>
                <w:szCs w:val="16"/>
                <w:color w:val="auto"/>
              </w:rPr>
              <w:t>(5,414)</w:t>
            </w:r>
          </w:p>
        </w:tc>
        <w:tc>
          <w:tcPr>
            <w:tcW w:w="26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(3,665)</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Purchases of investment securities available for sale</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(2,761,803)</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(3,244,321)</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(2,184,319)</w:t>
            </w:r>
          </w:p>
        </w:tc>
        <w:tc>
          <w:tcPr>
            <w:tcW w:w="0" w:type="dxa"/>
            <w:vAlign w:val="bottom"/>
          </w:tcPr>
          <w:p>
            <w:pPr>
              <w:spacing w:after="0"/>
              <w:rPr>
                <w:sz w:val="1"/>
                <w:szCs w:val="1"/>
                <w:color w:val="auto"/>
              </w:rPr>
            </w:pPr>
          </w:p>
        </w:tc>
      </w:tr>
      <w:tr>
        <w:trPr>
          <w:trHeight w:val="203"/>
        </w:trPr>
        <w:tc>
          <w:tcPr>
            <w:tcW w:w="6020" w:type="dxa"/>
            <w:vAlign w:val="bottom"/>
          </w:tcPr>
          <w:p>
            <w:pPr>
              <w:ind w:left="280"/>
              <w:spacing w:after="0"/>
              <w:rPr>
                <w:sz w:val="20"/>
                <w:szCs w:val="20"/>
                <w:color w:val="auto"/>
              </w:rPr>
            </w:pPr>
            <w:r>
              <w:rPr>
                <w:rFonts w:ascii="Arial" w:cs="Arial" w:eastAsia="Arial" w:hAnsi="Arial"/>
                <w:sz w:val="16"/>
                <w:szCs w:val="16"/>
                <w:color w:val="auto"/>
              </w:rPr>
              <w:t>Net (purchases) proceeds of short-term investment activities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(137,853)</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6"/>
                <w:szCs w:val="16"/>
                <w:color w:val="auto"/>
              </w:rPr>
              <w:t>277,736</w:t>
            </w:r>
          </w:p>
        </w:tc>
        <w:tc>
          <w:tcPr>
            <w:tcW w:w="26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(76,192)</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Acquisition of businesses, net of cash acquired</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(137,242)</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(115, 712)</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(8,352)</w:t>
            </w:r>
          </w:p>
        </w:tc>
        <w:tc>
          <w:tcPr>
            <w:tcW w:w="0" w:type="dxa"/>
            <w:vAlign w:val="bottom"/>
          </w:tcPr>
          <w:p>
            <w:pPr>
              <w:spacing w:after="0"/>
              <w:rPr>
                <w:sz w:val="1"/>
                <w:szCs w:val="1"/>
                <w:color w:val="auto"/>
              </w:rPr>
            </w:pPr>
          </w:p>
        </w:tc>
      </w:tr>
      <w:tr>
        <w:trPr>
          <w:trHeight w:val="203"/>
        </w:trPr>
        <w:tc>
          <w:tcPr>
            <w:tcW w:w="6020" w:type="dxa"/>
            <w:vAlign w:val="bottom"/>
          </w:tcPr>
          <w:p>
            <w:pPr>
              <w:ind w:left="280"/>
              <w:spacing w:after="0"/>
              <w:rPr>
                <w:sz w:val="20"/>
                <w:szCs w:val="20"/>
                <w:color w:val="auto"/>
              </w:rPr>
            </w:pPr>
            <w:r>
              <w:rPr>
                <w:rFonts w:ascii="Arial" w:cs="Arial" w:eastAsia="Arial" w:hAnsi="Arial"/>
                <w:sz w:val="16"/>
                <w:szCs w:val="16"/>
                <w:color w:val="auto"/>
              </w:rPr>
              <w:t>Cash received as collateral on loaned securities, net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3,544</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(414,928)</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(367,703)</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(181,399)</w:t>
            </w:r>
          </w:p>
        </w:tc>
        <w:tc>
          <w:tcPr>
            <w:tcW w:w="0" w:type="dxa"/>
            <w:vAlign w:val="bottom"/>
          </w:tcPr>
          <w:p>
            <w:pPr>
              <w:spacing w:after="0"/>
              <w:rPr>
                <w:sz w:val="1"/>
                <w:szCs w:val="1"/>
                <w:color w:val="auto"/>
              </w:rPr>
            </w:pPr>
          </w:p>
        </w:tc>
      </w:tr>
      <w:tr>
        <w:trPr>
          <w:trHeight w:val="207"/>
        </w:trPr>
        <w:tc>
          <w:tcPr>
            <w:tcW w:w="60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Borrowings</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800,449</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132</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80"/>
              <w:spacing w:after="0"/>
              <w:rPr>
                <w:sz w:val="20"/>
                <w:szCs w:val="20"/>
                <w:color w:val="auto"/>
              </w:rPr>
            </w:pPr>
            <w:r>
              <w:rPr>
                <w:rFonts w:ascii="Arial" w:cs="Arial" w:eastAsia="Arial" w:hAnsi="Arial"/>
                <w:sz w:val="16"/>
                <w:szCs w:val="16"/>
                <w:color w:val="auto"/>
              </w:rPr>
              <w:t>Debt service payments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(222,268)</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6"/>
                <w:szCs w:val="16"/>
                <w:color w:val="auto"/>
              </w:rPr>
              <w:t>(33,367)</w:t>
            </w:r>
          </w:p>
        </w:tc>
        <w:tc>
          <w:tcPr>
            <w:tcW w:w="26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(56,062)</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contribution from (distribution to) FNF</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134,664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101,639</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(180,118)</w:t>
            </w:r>
          </w:p>
        </w:tc>
        <w:tc>
          <w:tcPr>
            <w:tcW w:w="0" w:type="dxa"/>
            <w:vAlign w:val="bottom"/>
          </w:tcPr>
          <w:p>
            <w:pPr>
              <w:spacing w:after="0"/>
              <w:rPr>
                <w:sz w:val="1"/>
                <w:szCs w:val="1"/>
                <w:color w:val="auto"/>
              </w:rPr>
            </w:pPr>
          </w:p>
        </w:tc>
      </w:tr>
      <w:tr>
        <w:trPr>
          <w:trHeight w:val="203"/>
        </w:trPr>
        <w:tc>
          <w:tcPr>
            <w:tcW w:w="6020" w:type="dxa"/>
            <w:vAlign w:val="bottom"/>
          </w:tcPr>
          <w:p>
            <w:pPr>
              <w:ind w:left="280"/>
              <w:spacing w:after="0"/>
              <w:rPr>
                <w:sz w:val="20"/>
                <w:szCs w:val="20"/>
                <w:color w:val="auto"/>
              </w:rPr>
            </w:pPr>
            <w:r>
              <w:rPr>
                <w:rFonts w:ascii="Arial" w:cs="Arial" w:eastAsia="Arial" w:hAnsi="Arial"/>
                <w:sz w:val="16"/>
                <w:szCs w:val="16"/>
                <w:color w:val="auto"/>
              </w:rPr>
              <w:t>Dividends paid to FNF</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(833,367)</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6"/>
                <w:szCs w:val="16"/>
                <w:color w:val="auto"/>
              </w:rPr>
              <w:t>(438,000)</w:t>
            </w:r>
          </w:p>
        </w:tc>
        <w:tc>
          <w:tcPr>
            <w:tcW w:w="26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(408,900)</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Dividends paid to Class A shareholders</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(7,787)</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020" w:type="dxa"/>
            <w:vAlign w:val="bottom"/>
            <w:vMerge w:val="restart"/>
          </w:tcPr>
          <w:p>
            <w:pPr>
              <w:ind w:left="280"/>
              <w:spacing w:after="0"/>
              <w:rPr>
                <w:sz w:val="20"/>
                <w:szCs w:val="20"/>
                <w:color w:val="auto"/>
              </w:rPr>
            </w:pPr>
            <w:r>
              <w:rPr>
                <w:rFonts w:ascii="Arial" w:cs="Arial" w:eastAsia="Arial" w:hAnsi="Arial"/>
                <w:sz w:val="16"/>
                <w:szCs w:val="16"/>
                <w:color w:val="auto"/>
              </w:rPr>
              <w:t>Net cash used in financing activities</w:t>
            </w: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(128,309)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6"/>
                <w:szCs w:val="16"/>
                <w:color w:val="auto"/>
              </w:rPr>
              <w:t>(369,596)</w:t>
            </w: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(644,842)</w:t>
            </w:r>
          </w:p>
        </w:tc>
        <w:tc>
          <w:tcPr>
            <w:tcW w:w="0" w:type="dxa"/>
            <w:vAlign w:val="bottom"/>
          </w:tcPr>
          <w:p>
            <w:pPr>
              <w:spacing w:after="0"/>
              <w:rPr>
                <w:sz w:val="1"/>
                <w:szCs w:val="1"/>
                <w:color w:val="auto"/>
              </w:rPr>
            </w:pPr>
          </w:p>
        </w:tc>
      </w:tr>
      <w:tr>
        <w:trPr>
          <w:trHeight w:val="193"/>
        </w:trPr>
        <w:tc>
          <w:tcPr>
            <w:tcW w:w="60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Net increase (decrease) in cash and cash equivalents, excluding pledged cash related</w:t>
            </w:r>
          </w:p>
        </w:tc>
        <w:tc>
          <w:tcPr>
            <w:tcW w:w="14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 secured trust deposits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154,234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(91,501)</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26,387</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20" w:type="dxa"/>
            <w:vAlign w:val="bottom"/>
          </w:tcPr>
          <w:p>
            <w:pPr>
              <w:ind w:left="280"/>
              <w:spacing w:after="0"/>
              <w:rPr>
                <w:sz w:val="20"/>
                <w:szCs w:val="20"/>
                <w:color w:val="auto"/>
              </w:rPr>
            </w:pPr>
            <w:r>
              <w:rPr>
                <w:rFonts w:ascii="Arial" w:cs="Arial" w:eastAsia="Arial" w:hAnsi="Arial"/>
                <w:sz w:val="16"/>
                <w:szCs w:val="16"/>
                <w:color w:val="auto"/>
                <w:w w:val="91"/>
              </w:rPr>
              <w:t>Cash and cash equivalents, excluding pledged cash related to secured trust deposits, at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20" w:type="dxa"/>
            <w:vAlign w:val="bottom"/>
          </w:tcPr>
          <w:p>
            <w:pPr>
              <w:ind w:left="420"/>
              <w:spacing w:after="0"/>
              <w:rPr>
                <w:sz w:val="20"/>
                <w:szCs w:val="20"/>
                <w:color w:val="auto"/>
              </w:rPr>
            </w:pPr>
            <w:r>
              <w:rPr>
                <w:rFonts w:ascii="Arial" w:cs="Arial" w:eastAsia="Arial" w:hAnsi="Arial"/>
                <w:sz w:val="16"/>
                <w:szCs w:val="16"/>
                <w:color w:val="auto"/>
              </w:rPr>
              <w:t>beginning of year</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73,214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6"/>
                <w:szCs w:val="16"/>
                <w:color w:val="auto"/>
              </w:rPr>
              <w:t>164,715</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138,328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60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1"/>
              </w:rPr>
              <w:t>Cash and cash equivalents, excluding pledged cash related to secured trust deposits, at</w:t>
            </w:r>
          </w:p>
        </w:tc>
        <w:tc>
          <w:tcPr>
            <w:tcW w:w="14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end of year</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227,448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73,214</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164,715</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and Combined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AND COMBINED FINANCIAL STATEMENTS</w:t>
      </w:r>
    </w:p>
    <w:p>
      <w:pPr>
        <w:spacing w:after="0" w:line="225"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820" w:firstLine="267"/>
        <w:spacing w:after="0" w:line="308" w:lineRule="auto"/>
        <w:rPr>
          <w:sz w:val="20"/>
          <w:szCs w:val="20"/>
          <w:color w:val="auto"/>
        </w:rPr>
      </w:pPr>
      <w:r>
        <w:rPr>
          <w:rFonts w:ascii="Arial" w:cs="Arial" w:eastAsia="Arial" w:hAnsi="Arial"/>
          <w:sz w:val="17"/>
          <w:szCs w:val="17"/>
          <w:color w:val="auto"/>
        </w:rPr>
        <w:t>The following describes the significant accounting policies of Fidelity National Title Group, Inc. (“FNT”) and its subsidiaries (collectively, the “Company”) which have been followed in preparing the accompanying Consolidated and Combined Financial Statements.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Fidelity National Title Group, Inc., through its principal subsidiaries, is the largest title insurance company in the United States. The Company’s title insurance underwriters — Fidelity National Title, Chicago Title, Ticor Title, Security Union Title and Alamo Title — together issue all of the Company’s title insurance policies in 49 states, the District of Columbia, Guam, Puerto Rico, the U.S. Virgin Islands, and in Canada and Mexico. The Company operates its business through a single segment, title and escrow, and does not generate significant revenue from outside the United States. Although the Company earns title premiums on residential and commercial sale and refinance real estate transactions, the Company does not separately track its revenues from these various types of transactions.</w:t>
      </w:r>
    </w:p>
    <w:p>
      <w:pPr>
        <w:spacing w:after="0" w:line="85" w:lineRule="exact"/>
        <w:rPr>
          <w:sz w:val="20"/>
          <w:szCs w:val="20"/>
          <w:color w:val="auto"/>
        </w:rPr>
      </w:pPr>
    </w:p>
    <w:p>
      <w:pPr>
        <w:ind w:right="20" w:firstLine="270"/>
        <w:spacing w:after="0" w:line="290" w:lineRule="auto"/>
        <w:rPr>
          <w:sz w:val="20"/>
          <w:szCs w:val="20"/>
          <w:color w:val="auto"/>
        </w:rPr>
      </w:pPr>
      <w:r>
        <w:rPr>
          <w:rFonts w:ascii="Arial" w:cs="Arial" w:eastAsia="Arial" w:hAnsi="Arial"/>
          <w:sz w:val="16"/>
          <w:szCs w:val="16"/>
          <w:color w:val="auto"/>
        </w:rPr>
        <w:t>On September 26, 2005, Fidelity National Financial, Inc. (“FNF”) received all regulatory approvals required to contribute to FNT all of the legal entities that are consolidated and combined for presentation in these financial statements. On that date, FNF declared a dividend to its stockholders of record as of October 6, 2005 which resulted in a distribution of 17.5% of its interest in FNT, which represents the title insurance segment of FNF. Prior to October 17, 2005, FNT was a wholly-owned subsidiary of FNF. On October 17, 2005, FNF distributed to its stockholders 0.175 shares of FNT Class A common stock for each share of FNF common stock held on the record date (the “Distribution”). FNF beneficially owns 100% of the FNT Class B common stock representing 82.5% of the Company’s outstanding common stock. FNT Class B common stock has ten votes per share while FNT Class A common stock has one vote per share. Immediately following the Distribution and as of December 31, 2005, FNF controlled 97.9% of the voting rights of FNT. At December 31, 2005, the numbers of shares of Class A and Class B common stock were 31,147,357 and 143,172,183, respectively.</w:t>
      </w:r>
    </w:p>
    <w:p>
      <w:pPr>
        <w:spacing w:after="0" w:line="58"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 connection with the Distribution, the Company issued two $250 million intercompany notes payable to FNF (the “Mirror Notes”), with terms that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mirrored FNF’s existing $250 million 7.30% public notes due in August 2011 and $250 million 5.25% public notes due in March 2013. Original proceeds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from the issuance of the 7.30% FNF notes due 2011 were used by FNF to repay debt incurred in connection with the acquisition of our subsidiary, Chicago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Title, and the proceeds from the 5.25% FNF notes due 2013 were used for general corporate purposes. Following the issuance of the Mirror Notes,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filed a Registration Statement on Form S-4, pursuant to which the Company offered to exchange for the outstanding FNF notes for notes FNT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would issue having substantially the same terms and deliver the FNF notes received to FNF to reduce debt under the intercompany notes. On January 17,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2006, the offers expired. As of that time, $241,347,000 in aggregate principal amount of FNF’s 7.30% Notes due August 15, 2011, and the entire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$250,000,000 in aggregate principal of FNF’s 5.25% Notes due March 15, 2013 had been validly tendered and not withdrawn in the exchange offers.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FNF notes received by FNT in the exchange were subsequently delivered to FNF in partial redemption of the 7.30% Mirror Note due August 15, 2011, and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full redemption of the 5.25% Mirror Note due March 15, 2013. In order to reflect the partial redemption of the 7.30% Mirror Note due August 15, 2011,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original note has been replaced with an identical Mirror Note with a principal balance of $8,653,000, which reflects the unredeemed portion of the original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Mirror Note. See “Liquidity and Capital Resources.”</w:t>
      </w:r>
    </w:p>
    <w:p>
      <w:pPr>
        <w:spacing w:after="0" w:line="10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On October 17, 2005, the Company also entered into a credit agreement in the amount of $400 million. On October 24, 2005, the Company borrowed</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$150 million under this facility and paid it to FNF in satisfaction of a $150 million intercompany note issued by one of the Company’s subsidiaries to FNF in August 2005.</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17"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Prior to the Distribution on October 17, 2005, the accompanying Consolidated and Combined Financial Statements include those assets, liabilities, revenues and expenses directly attributable to the Company’s operations and allocations of certain FNF corporate assets, liabilities and expenses to the Company. These amounts have been allocated to the Company on the basis that is considered by management to reflect most fairly or reasonably the utilization of the services provided to, or the benefit obtained by, the Company. Management believes the methods used to allocate these amounts are reasonable. Beginning on October 17, 2005, the entities that currently make up the Company were consolidated under a holding company structure and the accompanying Consolidated and Combined Financial Statements reflect activity subsequent to that date. All significant intercompany profits, transactions and balances have been eliminated in consolidation and combination. The financial information included herein does not necessarily reflect what the financial position and results of operations of the Company would have been had it operated as a stand-alone entity during the periods covered. The Company’s investments in non-majority-owned partnerships and affiliates are accounted for using the equity method. The Company records minority interest liabilities related to minority shareholders’ interest in consolidated affiliates. All dollars presented herein are in thousands of dollars unless otherwise noted.</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Earnings per Share and Unaudited Proforma Net Earnings per Share</w:t>
      </w:r>
    </w:p>
    <w:p>
      <w:pPr>
        <w:spacing w:after="0" w:line="117"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Basic earnings per share is computed by dividing net earnings available to common stockholders by the weighted average number of common shares outstanding during the period. Diluted earnings per share is calculated by dividing net earnings available to common stockholders plus the impact of assumed conversions of dilutive securities. The Company has granted certain shares of restricted stock, which have been treated as common share equivalents for purposes of calculating diluted earnings per share. Because there were no outstanding shares prior to the Distribution, basic and diluted weighted average shares outstanding for 2005 have been calculated as if shares outstanding and common stock equivalents at October 18, 2005 had been outstanding for the entire year.</w:t>
      </w:r>
    </w:p>
    <w:p>
      <w:pPr>
        <w:spacing w:after="0" w:line="85" w:lineRule="exact"/>
        <w:rPr>
          <w:sz w:val="20"/>
          <w:szCs w:val="20"/>
          <w:color w:val="auto"/>
        </w:rPr>
      </w:pPr>
    </w:p>
    <w:p>
      <w:pPr>
        <w:ind w:right="40" w:firstLine="267"/>
        <w:spacing w:after="0" w:line="264" w:lineRule="auto"/>
        <w:rPr>
          <w:sz w:val="20"/>
          <w:szCs w:val="20"/>
          <w:color w:val="auto"/>
        </w:rPr>
      </w:pPr>
      <w:r>
        <w:rPr>
          <w:rFonts w:ascii="Arial" w:cs="Arial" w:eastAsia="Arial" w:hAnsi="Arial"/>
          <w:sz w:val="18"/>
          <w:szCs w:val="18"/>
          <w:color w:val="auto"/>
        </w:rPr>
        <w:t>The following table presents the computation of basic and diluted earnings per share for the year ended December 31, 2005 (in thousands except per share data). Prior to October 18, 2005, the historical financials of the Company were combined and thus presentation of earnings per share for 2004 was computed on a pro forma basis as presented in our Form S-1.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earnings</w:t>
            </w: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538,981</w:t>
            </w:r>
          </w:p>
        </w:tc>
        <w:tc>
          <w:tcPr>
            <w:tcW w:w="0" w:type="dxa"/>
            <w:vAlign w:val="bottom"/>
          </w:tcPr>
          <w:p>
            <w:pPr>
              <w:spacing w:after="0"/>
              <w:rPr>
                <w:sz w:val="1"/>
                <w:szCs w:val="1"/>
                <w:color w:val="auto"/>
              </w:rPr>
            </w:pPr>
          </w:p>
        </w:tc>
      </w:tr>
      <w:tr>
        <w:trPr>
          <w:trHeight w:val="21"/>
        </w:trPr>
        <w:tc>
          <w:tcPr>
            <w:tcW w:w="97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during the year, basic basis</w:t>
            </w: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97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173,463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Plus: Common stock equivalent shares</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20" w:type="dxa"/>
            <w:vAlign w:val="bottom"/>
          </w:tcPr>
          <w:p>
            <w:pPr>
              <w:spacing w:after="0"/>
              <w:rPr>
                <w:sz w:val="20"/>
                <w:szCs w:val="20"/>
                <w:color w:val="auto"/>
              </w:rPr>
            </w:pPr>
            <w:r>
              <w:rPr>
                <w:rFonts w:ascii="Arial" w:cs="Arial" w:eastAsia="Arial" w:hAnsi="Arial"/>
                <w:sz w:val="18"/>
                <w:szCs w:val="18"/>
                <w:color w:val="auto"/>
              </w:rPr>
              <w:t>Weighted average shares outstanding during the year, diluted basis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173,574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72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972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500" w:firstLine="267"/>
        <w:spacing w:after="0" w:line="277" w:lineRule="auto"/>
        <w:rPr>
          <w:sz w:val="20"/>
          <w:szCs w:val="20"/>
          <w:color w:val="auto"/>
        </w:rPr>
      </w:pPr>
      <w:r>
        <w:rPr>
          <w:rFonts w:ascii="Arial" w:cs="Arial" w:eastAsia="Arial" w:hAnsi="Arial"/>
          <w:sz w:val="18"/>
          <w:szCs w:val="18"/>
          <w:color w:val="auto"/>
        </w:rPr>
        <w:t>The Company granted options to purchase 2,206,500 shares of the Company’s common stock in October 2005, all of which were excluded from the computation of diluted earnings per share because they were anti-dilutive.</w:t>
      </w:r>
    </w:p>
    <w:p>
      <w:pPr>
        <w:spacing w:after="0" w:line="62" w:lineRule="exact"/>
        <w:rPr>
          <w:sz w:val="20"/>
          <w:szCs w:val="20"/>
          <w:color w:val="auto"/>
        </w:rPr>
      </w:pPr>
    </w:p>
    <w:p>
      <w:pPr>
        <w:ind w:right="320" w:firstLine="270"/>
        <w:spacing w:after="0" w:line="277" w:lineRule="auto"/>
        <w:rPr>
          <w:sz w:val="20"/>
          <w:szCs w:val="20"/>
          <w:color w:val="auto"/>
        </w:rPr>
      </w:pPr>
      <w:r>
        <w:rPr>
          <w:rFonts w:ascii="Arial" w:cs="Arial" w:eastAsia="Arial" w:hAnsi="Arial"/>
          <w:sz w:val="18"/>
          <w:szCs w:val="18"/>
          <w:color w:val="auto"/>
        </w:rPr>
        <w:t>Unaudited proforma net earnings per share for the year ended December 31, 2004, has been calculated using the number of outstanding shares of FNF common stock as of a date prior to the Distribution.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117" w:lineRule="exact"/>
        <w:rPr>
          <w:sz w:val="20"/>
          <w:szCs w:val="20"/>
          <w:color w:val="auto"/>
        </w:rPr>
      </w:pPr>
    </w:p>
    <w:p>
      <w:pPr>
        <w:ind w:right="260" w:firstLine="267"/>
        <w:spacing w:after="0" w:line="277" w:lineRule="auto"/>
        <w:rPr>
          <w:sz w:val="20"/>
          <w:szCs w:val="20"/>
          <w:color w:val="auto"/>
        </w:rPr>
      </w:pPr>
      <w:r>
        <w:rPr>
          <w:rFonts w:ascii="Arial" w:cs="Arial" w:eastAsia="Arial" w:hAnsi="Arial"/>
          <w:sz w:val="18"/>
          <w:szCs w:val="18"/>
          <w:color w:val="auto"/>
        </w:rPr>
        <w:t>The Company’s financial statements reflect transactions with other businesses and operations of FNF, including those being conducted by another FNF subsidiary, Fidelity National Information Services, Inc. (“FIS”).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detail of related party items included in revenues and expenses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7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89"/>
              </w:rPr>
              <w:t>(In millions)</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Agency title premiums earned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91.9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106.3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284.9</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Rental income earned</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Interest revenue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center"/>
              <w:ind w:left="171"/>
              <w:spacing w:after="0"/>
              <w:rPr>
                <w:sz w:val="20"/>
                <w:szCs w:val="20"/>
                <w:color w:val="auto"/>
              </w:rPr>
            </w:pPr>
            <w:r>
              <w:rPr>
                <w:rFonts w:ascii="Arial" w:cs="Arial" w:eastAsia="Arial" w:hAnsi="Arial"/>
                <w:sz w:val="18"/>
                <w:szCs w:val="18"/>
                <w:color w:val="auto"/>
                <w:w w:val="85"/>
              </w:rPr>
              <w:t>97.</w:t>
            </w:r>
            <w:r>
              <w:rPr>
                <w:rFonts w:ascii="Arial" w:cs="Arial" w:eastAsia="Arial" w:hAnsi="Arial"/>
                <w:sz w:val="18"/>
                <w:szCs w:val="18"/>
                <w:u w:val="single" w:color="auto"/>
                <w:color w:val="auto"/>
                <w:w w:val="85"/>
              </w:rPr>
              <w:t>9</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Agency title commissions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80.9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250.7</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Data processing costs</w:t>
            </w:r>
          </w:p>
        </w:tc>
        <w:tc>
          <w:tcPr>
            <w:tcW w:w="16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56.9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costs allocated</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Corporate services allocated</w:t>
            </w:r>
          </w:p>
        </w:tc>
        <w:tc>
          <w:tcPr>
            <w:tcW w:w="16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(30.3)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(84.5)</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(48.7)</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Title insurance information expense</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28.1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Other real-estate related information</w:t>
            </w:r>
          </w:p>
        </w:tc>
        <w:tc>
          <w:tcPr>
            <w:tcW w:w="16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10.9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Software expense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Rental expense</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License and cost sharing</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71"/>
              <w:spacing w:after="0"/>
              <w:rPr>
                <w:sz w:val="20"/>
                <w:szCs w:val="20"/>
                <w:color w:val="auto"/>
              </w:rPr>
            </w:pPr>
            <w:r>
              <w:rPr>
                <w:rFonts w:ascii="Arial" w:cs="Arial" w:eastAsia="Arial" w:hAnsi="Arial"/>
                <w:sz w:val="18"/>
                <w:szCs w:val="18"/>
                <w:color w:val="auto"/>
                <w:w w:val="85"/>
              </w:rPr>
              <w:t>11.9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269.6</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pretax impact of related party activity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(72.0)</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r>
      <w:tr>
        <w:trPr>
          <w:trHeight w:val="21"/>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60"/>
        <w:spacing w:after="0" w:line="288" w:lineRule="auto"/>
        <w:rPr>
          <w:sz w:val="20"/>
          <w:szCs w:val="20"/>
          <w:color w:val="auto"/>
        </w:rPr>
      </w:pPr>
      <w:r>
        <w:rPr>
          <w:rFonts w:ascii="Arial" w:cs="Arial" w:eastAsia="Arial" w:hAnsi="Arial"/>
          <w:sz w:val="16"/>
          <w:szCs w:val="16"/>
          <w:color w:val="auto"/>
        </w:rPr>
        <w:t>An FIS subsidiary acts as the title agent in the issuance of title insurance policies by a title insurance underwriter owned by the Company and in connection with certain trustee sales guarantees, a form of title insurance issued as part of the foreclosure process. As a result, the Company’s title insurance subsidiaries pay commissions on title insurance policies sold through FIS. For 2005, 2004, and 2003, these FIS operations generated $91.9 million,</w:t>
      </w:r>
    </w:p>
    <w:p>
      <w:pPr>
        <w:ind w:right="40"/>
        <w:spacing w:after="0" w:line="323" w:lineRule="auto"/>
        <w:rPr>
          <w:sz w:val="20"/>
          <w:szCs w:val="20"/>
          <w:color w:val="auto"/>
        </w:rPr>
      </w:pPr>
      <w:r>
        <w:rPr>
          <w:rFonts w:ascii="Arial" w:cs="Arial" w:eastAsia="Arial" w:hAnsi="Arial"/>
          <w:sz w:val="16"/>
          <w:szCs w:val="16"/>
          <w:color w:val="auto"/>
        </w:rPr>
        <w:t>$106.3 million, and $284.9 million, respectively, of revenues for the Company, which the Company records as agency title premiums. The Company paid FIS commissions at the rate of 88% of premiums generated, equal to $80.9 million, $93.6 million, and $250.7 million for 2005, 2004, and 2003, respectively.</w:t>
      </w:r>
    </w:p>
    <w:p>
      <w:pPr>
        <w:spacing w:after="0" w:line="31" w:lineRule="exact"/>
        <w:rPr>
          <w:sz w:val="20"/>
          <w:szCs w:val="20"/>
          <w:color w:val="auto"/>
        </w:rPr>
      </w:pPr>
    </w:p>
    <w:p>
      <w:pPr>
        <w:ind w:right="560" w:firstLine="267"/>
        <w:spacing w:after="0" w:line="277" w:lineRule="auto"/>
        <w:rPr>
          <w:sz w:val="20"/>
          <w:szCs w:val="20"/>
          <w:color w:val="auto"/>
        </w:rPr>
      </w:pPr>
      <w:r>
        <w:rPr>
          <w:rFonts w:ascii="Arial" w:cs="Arial" w:eastAsia="Arial" w:hAnsi="Arial"/>
          <w:sz w:val="18"/>
          <w:szCs w:val="18"/>
          <w:color w:val="auto"/>
        </w:rPr>
        <w:t>Through June 30, 2005, the Company leased equipment to a subsidiary of FIS. Revenue relating to these leases was $5.0 million, $8.4 million, and $7.3 million in 2005, 2004, and 2003, respectively.</w:t>
      </w:r>
    </w:p>
    <w:p>
      <w:pPr>
        <w:spacing w:after="0" w:line="62" w:lineRule="exact"/>
        <w:rPr>
          <w:sz w:val="20"/>
          <w:szCs w:val="20"/>
          <w:color w:val="auto"/>
        </w:rPr>
      </w:pPr>
    </w:p>
    <w:p>
      <w:pPr>
        <w:ind w:right="20" w:firstLine="270"/>
        <w:spacing w:after="0" w:line="273" w:lineRule="auto"/>
        <w:rPr>
          <w:sz w:val="20"/>
          <w:szCs w:val="20"/>
          <w:color w:val="auto"/>
        </w:rPr>
      </w:pPr>
      <w:r>
        <w:rPr>
          <w:rFonts w:ascii="Arial" w:cs="Arial" w:eastAsia="Arial" w:hAnsi="Arial"/>
          <w:sz w:val="17"/>
          <w:szCs w:val="17"/>
          <w:color w:val="auto"/>
        </w:rPr>
        <w:t>Beginning in September 2003, the Company’s expenses included amounts paid to a subsidiary of FIS for the provision by FIS to FNT of information technology infrastructure support, data center management and related IT support services. For 2005, 2004, and 2003, the amounts included in the Company’s expenses to FIS for these services were $56.9 million, $56.6 million, and $12.4 million, respectively. Prior to September 2003, the Company performed these services itself and provided them to FIS. During 2003, FNT received payments from FIS of $5.4 million relating to these services that offset the Company’s other operating expenses. In addition, the Company incurred software expenses relating to an agreement with a subsidiary of FIS that amounted to expense of $7.7 million, $5.8 million, and $2.6 million in 2005, 2004, and 2003, respectively.</w:t>
      </w:r>
    </w:p>
    <w:p>
      <w:pPr>
        <w:spacing w:after="0" w:line="70"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color w:val="auto"/>
        </w:rPr>
        <w:t>Included as a reduction of expenses for all periods are payments from FNF and FIS relating to the provision by FNT of corporate services to FNF and to FIS and its subsidiaries. These corporate services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29" w:lineRule="exact"/>
        <w:rPr>
          <w:sz w:val="20"/>
          <w:szCs w:val="20"/>
          <w:color w:val="auto"/>
        </w:rPr>
      </w:pPr>
    </w:p>
    <w:p>
      <w:pPr>
        <w:ind w:right="400"/>
        <w:spacing w:after="0" w:line="276" w:lineRule="auto"/>
        <w:rPr>
          <w:sz w:val="20"/>
          <w:szCs w:val="20"/>
          <w:color w:val="auto"/>
        </w:rPr>
      </w:pPr>
      <w:r>
        <w:rPr>
          <w:rFonts w:ascii="Arial" w:cs="Arial" w:eastAsia="Arial" w:hAnsi="Arial"/>
          <w:sz w:val="17"/>
          <w:szCs w:val="17"/>
          <w:color w:val="auto"/>
        </w:rPr>
        <w:t>include accounting, internal audit and treasury, payroll, human resources, tax, legal, purchasing, risk management, mergers and acquisitions and general management. For the years ended December 31, 2005, 2004, and 2003, our expenses were reduced by $7.0 million, $9.4 million, and $9.2 million, respectively, related to the provision of corporate services by the Company to FNF and its subsidiaries (other than FIS and its subsidiaries). For the years ended December 31, 2005, 2004, and 2003, our expenses were reduced by $23.3 million, $75.1 million, and $39.5 million, respectively, related to the provision of corporate services by us to FIS and its subsidiaries.</w:t>
      </w:r>
    </w:p>
    <w:p>
      <w:pPr>
        <w:spacing w:after="0" w:line="64" w:lineRule="exact"/>
        <w:rPr>
          <w:sz w:val="20"/>
          <w:szCs w:val="20"/>
          <w:color w:val="auto"/>
        </w:rPr>
      </w:pPr>
    </w:p>
    <w:p>
      <w:pPr>
        <w:ind w:right="20" w:firstLine="267"/>
        <w:spacing w:after="0" w:line="286" w:lineRule="auto"/>
        <w:rPr>
          <w:sz w:val="20"/>
          <w:szCs w:val="20"/>
          <w:color w:val="auto"/>
        </w:rPr>
      </w:pPr>
      <w:r>
        <w:rPr>
          <w:rFonts w:ascii="Arial" w:cs="Arial" w:eastAsia="Arial" w:hAnsi="Arial"/>
          <w:sz w:val="16"/>
          <w:szCs w:val="16"/>
          <w:color w:val="auto"/>
        </w:rPr>
        <w:t>The title plant assets of several of the Company’s title insurance subsidiaries are managed or maintained by a subsidiary of FIS. The underlying title plant information and software continues to be owned by each of the Company’s title insurance underwriters, but FIS manages and updates the information in return for either (i) a cash management fee or (ii) the right to sell that information to title insurers, including title insurance underwriters that the Company owns and other third party customers. In most cases, FIS is responsible for keeping the title plant assets current and fully functioning, for which the Company pays a fee to FIS based on the Company’s use of, or access to, the title plant. For 2005, 2004, and 2003, the Company’s payments to FIS under these arrangements were $29.9 million, $28.9 million, and $28.2 million, respectively. In addition, since November 2004, each applicable title insurance underwriter in turn has received a royalty on sales of access to its title plant assets. For the years ended December 31, 2005 and 2004, the revenues from these title plant royalties were $3.0 million and $0.3 million, respectively. The Company has also entered into agreements with FIS that permit FIS and certain of its subsidiaries to access and use (but not to re-sell) the starters databases and back plant databases of the Company’s title insurance subsidiaries. Starters databases are the Company’s databases of previously issued title policies and back plant databases contain historical records relating to title that are not regularly updated. Each of the Company’s applicable title insurance subsidiaries receives a fee for any access to or use of its starters and back plant databases by FIS. The Company also does business with additional entities within the information services segment of FIS that provide real estate information to the Company’s operations, for which the Company recorded expenses of $10.9 million, $9.9 million, and $11.4 million in 2005, 2004, and 2003, respectively.</w:t>
      </w:r>
    </w:p>
    <w:p>
      <w:pPr>
        <w:spacing w:after="0" w:line="67" w:lineRule="exact"/>
        <w:rPr>
          <w:sz w:val="20"/>
          <w:szCs w:val="20"/>
          <w:color w:val="auto"/>
        </w:rPr>
      </w:pPr>
    </w:p>
    <w:p>
      <w:pPr>
        <w:ind w:right="640" w:firstLine="267"/>
        <w:spacing w:after="0" w:line="277" w:lineRule="auto"/>
        <w:rPr>
          <w:sz w:val="20"/>
          <w:szCs w:val="20"/>
          <w:color w:val="auto"/>
        </w:rPr>
      </w:pPr>
      <w:r>
        <w:rPr>
          <w:rFonts w:ascii="Arial" w:cs="Arial" w:eastAsia="Arial" w:hAnsi="Arial"/>
          <w:sz w:val="18"/>
          <w:szCs w:val="18"/>
          <w:color w:val="auto"/>
        </w:rPr>
        <w:t>The Company also has certain license and cost sharing agreements with FIS. The Company recorded expense of $11.9 million, $12.8 million, and $17.9 million relating to these agreements in 2005, 2004, and 2003, respectively</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Also, the Company capitalized software costs of $11.2 million paid to FIS relating to a development agreement.</w:t>
      </w:r>
    </w:p>
    <w:p>
      <w:pPr>
        <w:spacing w:after="0" w:line="117" w:lineRule="exact"/>
        <w:rPr>
          <w:sz w:val="20"/>
          <w:szCs w:val="20"/>
          <w:color w:val="auto"/>
        </w:rPr>
      </w:pPr>
    </w:p>
    <w:p>
      <w:pPr>
        <w:ind w:right="480" w:firstLine="267"/>
        <w:spacing w:after="0" w:line="277" w:lineRule="auto"/>
        <w:rPr>
          <w:sz w:val="20"/>
          <w:szCs w:val="20"/>
          <w:color w:val="auto"/>
        </w:rPr>
      </w:pPr>
      <w:r>
        <w:rPr>
          <w:rFonts w:ascii="Arial" w:cs="Arial" w:eastAsia="Arial" w:hAnsi="Arial"/>
          <w:sz w:val="18"/>
          <w:szCs w:val="18"/>
          <w:color w:val="auto"/>
        </w:rPr>
        <w:t>The Company’s financial statements reflect allocations for a lease of office space to us for our corporate headquarters and business operations in the amounts of $3.8 million, $2.8 million, and $0.5 million in 2005, 2004, and 2003.</w:t>
      </w:r>
    </w:p>
    <w:p>
      <w:pPr>
        <w:spacing w:after="0" w:line="62" w:lineRule="exact"/>
        <w:rPr>
          <w:sz w:val="20"/>
          <w:szCs w:val="20"/>
          <w:color w:val="auto"/>
        </w:rPr>
      </w:pPr>
    </w:p>
    <w:p>
      <w:pPr>
        <w:ind w:firstLine="267"/>
        <w:spacing w:after="0" w:line="270" w:lineRule="auto"/>
        <w:rPr>
          <w:sz w:val="20"/>
          <w:szCs w:val="20"/>
          <w:color w:val="auto"/>
        </w:rPr>
      </w:pPr>
      <w:r>
        <w:rPr>
          <w:rFonts w:ascii="Arial" w:cs="Arial" w:eastAsia="Arial" w:hAnsi="Arial"/>
          <w:sz w:val="17"/>
          <w:szCs w:val="17"/>
          <w:color w:val="auto"/>
        </w:rPr>
        <w:t>The Company believes the amounts earned by the Company or charged to the Company under each of the foregoing arrangements are fair and reasonable. Although the commission rate paid on the title insurance premiums written by the FIS title agencies was set without negotiation, the Company believes the commissions earned are consistent with the average rate that would be available to a third party title agent given the amount and the geographic distribution of the business produced and the low risk of loss profile of the business placed. In connection with the title plant management and maintenance services provided by FIS, the Company believes that the fees charged to the Company by FIS are at approximately the same rates that FIS and other similar vendors charge unaffiliated title insurers. The IT infrastructure support and data center management services provided to the Company by FIS is priced within the range of prices that FIS offers to its unaffiliated third party customers for the same types of services. However, the amounts the Company earned or were charged under these arrangements were not negotiated at arm’s-length, and may not represent the terms that the Company might have obtained from an unrelated third party.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Due from/to FNF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58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299"/>
              <w:spacing w:after="0"/>
              <w:rPr>
                <w:sz w:val="20"/>
                <w:szCs w:val="20"/>
                <w:color w:val="auto"/>
              </w:rPr>
            </w:pPr>
            <w:r>
              <w:rPr>
                <w:rFonts w:ascii="Arial" w:cs="Arial" w:eastAsia="Arial" w:hAnsi="Arial"/>
                <w:sz w:val="14"/>
                <w:szCs w:val="14"/>
                <w:b w:val="1"/>
                <w:bCs w:val="1"/>
                <w:color w:val="auto"/>
                <w:w w:val="92"/>
              </w:rPr>
              <w:t>December 31,</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58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3"/>
                <w:szCs w:val="13"/>
                <w:color w:val="auto"/>
              </w:rPr>
            </w:pPr>
          </w:p>
        </w:tc>
      </w:tr>
      <w:tr>
        <w:trPr>
          <w:trHeight w:val="156"/>
        </w:trPr>
        <w:tc>
          <w:tcPr>
            <w:tcW w:w="58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4"/>
          </w:tcPr>
          <w:p>
            <w:pPr>
              <w:jc w:val="center"/>
              <w:ind w:left="299"/>
              <w:spacing w:after="0" w:line="155" w:lineRule="exact"/>
              <w:rPr>
                <w:sz w:val="20"/>
                <w:szCs w:val="20"/>
                <w:color w:val="auto"/>
              </w:rPr>
            </w:pPr>
            <w:r>
              <w:rPr>
                <w:rFonts w:ascii="Arial" w:cs="Arial" w:eastAsia="Arial" w:hAnsi="Arial"/>
                <w:sz w:val="14"/>
                <w:szCs w:val="14"/>
                <w:b w:val="1"/>
                <w:bCs w:val="1"/>
                <w:color w:val="auto"/>
                <w:w w:val="96"/>
              </w:rPr>
              <w:t>(In millions)</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from FNF</w:t>
            </w:r>
          </w:p>
        </w:tc>
        <w:tc>
          <w:tcPr>
            <w:tcW w:w="3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Due from FNF</w:t>
            </w: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32.7</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63.7</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FNF (See Note G)</w:t>
            </w:r>
          </w:p>
        </w:tc>
        <w:tc>
          <w:tcPr>
            <w:tcW w:w="3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ind w:right="200" w:firstLine="267"/>
        <w:spacing w:after="0" w:line="286" w:lineRule="auto"/>
        <w:rPr>
          <w:sz w:val="20"/>
          <w:szCs w:val="20"/>
          <w:color w:val="auto"/>
        </w:rPr>
      </w:pPr>
      <w:r>
        <w:rPr>
          <w:rFonts w:ascii="Arial" w:cs="Arial" w:eastAsia="Arial" w:hAnsi="Arial"/>
          <w:sz w:val="17"/>
          <w:szCs w:val="17"/>
          <w:color w:val="auto"/>
        </w:rPr>
        <w:t>The Company has notes receivable from FNF relating to agreements between its title underwriters and FNF. These notes amounted to $19.0 million and $22.8 million at December 31, 2005 and 2004, respectively. As of December 31, 2005, these notes bear interest at 5.1%. The Company earned interest revenue of $1.0 million, $1.0 million, and $0.7 million relating to these notes during 2005, 2004, and 2003, respectively.</w:t>
      </w:r>
    </w:p>
    <w:p>
      <w:pPr>
        <w:spacing w:after="0" w:line="57" w:lineRule="exact"/>
        <w:rPr>
          <w:sz w:val="20"/>
          <w:szCs w:val="20"/>
          <w:color w:val="auto"/>
        </w:rPr>
      </w:pPr>
    </w:p>
    <w:p>
      <w:pPr>
        <w:jc w:val="both"/>
        <w:ind w:right="700" w:firstLine="267"/>
        <w:spacing w:after="0" w:line="312" w:lineRule="auto"/>
        <w:rPr>
          <w:sz w:val="20"/>
          <w:szCs w:val="20"/>
          <w:color w:val="auto"/>
        </w:rPr>
      </w:pPr>
      <w:r>
        <w:rPr>
          <w:rFonts w:ascii="Arial" w:cs="Arial" w:eastAsia="Arial" w:hAnsi="Arial"/>
          <w:sz w:val="16"/>
          <w:szCs w:val="16"/>
          <w:color w:val="auto"/>
        </w:rPr>
        <w:t>The Company is included in FNF’s consolidated tax returns and thus any income tax liability or receivable is due to/from FNF. Due from FNF at December 31, 2005 and 2004, includes a receivable from FNF relating to overpayment of taxes of $11.5 million and $63.6 million, respectively. The Company paid $255.9 million, $371.5 million, and $395.1 million to FNF for taxes owed in 2005, 2004 and 2003, respectively.</w:t>
      </w:r>
    </w:p>
    <w:p>
      <w:pPr>
        <w:spacing w:after="0" w:line="39" w:lineRule="exact"/>
        <w:rPr>
          <w:sz w:val="20"/>
          <w:szCs w:val="20"/>
          <w:color w:val="auto"/>
        </w:rPr>
      </w:pPr>
    </w:p>
    <w:p>
      <w:pPr>
        <w:ind w:right="80" w:firstLine="270"/>
        <w:spacing w:after="0" w:line="342" w:lineRule="auto"/>
        <w:rPr>
          <w:sz w:val="20"/>
          <w:szCs w:val="20"/>
          <w:color w:val="auto"/>
        </w:rPr>
      </w:pPr>
      <w:r>
        <w:rPr>
          <w:rFonts w:ascii="Arial" w:cs="Arial" w:eastAsia="Arial" w:hAnsi="Arial"/>
          <w:sz w:val="16"/>
          <w:szCs w:val="16"/>
          <w:color w:val="auto"/>
        </w:rPr>
        <w:t>Our financial statements reflect allocations for a lease of office space to us for our corporate headquarters and business operations. In connection with the Distribution, we entered into a lease with FIS, pursuant to which FIS leases office space to us for our corporate headquarters and business operations.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60" w:firstLine="270"/>
        <w:spacing w:after="0" w:line="290" w:lineRule="auto"/>
        <w:rPr>
          <w:sz w:val="20"/>
          <w:szCs w:val="20"/>
          <w:color w:val="auto"/>
        </w:rPr>
      </w:pPr>
      <w:r>
        <w:rPr>
          <w:rFonts w:ascii="Arial" w:cs="Arial" w:eastAsia="Arial" w:hAnsi="Arial"/>
          <w:sz w:val="16"/>
          <w:szCs w:val="16"/>
          <w:color w:val="auto"/>
        </w:rPr>
        <w:t>Fixed maturity securities are purchased to support the investment strategies of the Company, which are developed based on factors including rate of return, maturity, credit risk, tax considerations and regulatory requirements. Fixed maturity securities which may be sold prior to maturity to support the Company’s investment strategies are carried at fair value and are classified as available for sale as of the balance sheet dates. Fair values for fixed maturity securities are principally a function of current interest rates and are based on quoted market prices. Included in fixed maturities are mortgage-backed securities, which are recorded at purchased cost. Discount or premium is recorded for the difference between the purchase price and the principal amount. Any discount or premium is amortized using the interest method and is recorded as an adjustment to interest and investment income. The interest method results in the recognition of a constant rate of return on the investment equal to the prevailing rate at the time of purchase or at the time of subsequent adjustments of book value. Changes in prepayment assumptions are accounted for retrospectively.</w:t>
      </w:r>
    </w:p>
    <w:p>
      <w:pPr>
        <w:spacing w:after="0" w:line="58"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color w:val="auto"/>
        </w:rPr>
        <w:t>Equity securities are considered to be available for sale and are carried at fair value as of the balance sheet dates. Fair values are based on quoted market prices.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long-term investments consist primarily of equity investments accounted for under the equity method of accounting.</w:t>
      </w:r>
    </w:p>
    <w:p>
      <w:pPr>
        <w:spacing w:after="0" w:line="117" w:lineRule="exact"/>
        <w:rPr>
          <w:sz w:val="20"/>
          <w:szCs w:val="20"/>
          <w:color w:val="auto"/>
        </w:rPr>
      </w:pPr>
    </w:p>
    <w:p>
      <w:pPr>
        <w:ind w:right="340" w:firstLine="270"/>
        <w:spacing w:after="0" w:line="277" w:lineRule="auto"/>
        <w:rPr>
          <w:sz w:val="20"/>
          <w:szCs w:val="20"/>
          <w:color w:val="auto"/>
        </w:rPr>
      </w:pPr>
      <w:r>
        <w:rPr>
          <w:rFonts w:ascii="Arial" w:cs="Arial" w:eastAsia="Arial" w:hAnsi="Arial"/>
          <w:sz w:val="18"/>
          <w:szCs w:val="18"/>
          <w:color w:val="auto"/>
        </w:rPr>
        <w:t>Short-term investments, which consist primarily of securities purchased under agreements to resell, commercial paper and money market instruments, which have an original maturity of one year or less, are carried at amortized cost, which approximates fair value.</w:t>
      </w:r>
    </w:p>
    <w:p>
      <w:pPr>
        <w:spacing w:after="0" w:line="62" w:lineRule="exact"/>
        <w:rPr>
          <w:sz w:val="20"/>
          <w:szCs w:val="20"/>
          <w:color w:val="auto"/>
        </w:rPr>
      </w:pPr>
    </w:p>
    <w:p>
      <w:pPr>
        <w:ind w:right="80" w:firstLine="270"/>
        <w:spacing w:after="0" w:line="302" w:lineRule="auto"/>
        <w:rPr>
          <w:sz w:val="20"/>
          <w:szCs w:val="20"/>
          <w:color w:val="auto"/>
        </w:rPr>
      </w:pPr>
      <w:r>
        <w:rPr>
          <w:rFonts w:ascii="Arial" w:cs="Arial" w:eastAsia="Arial" w:hAnsi="Arial"/>
          <w:sz w:val="16"/>
          <w:szCs w:val="16"/>
          <w:color w:val="auto"/>
        </w:rPr>
        <w:t>Realized gains and losses on the sale of investments are determined on the basis of the cost of the specific investments sold and are credited or charged to income on a trade date basis. Unrealized gains or losses on fixed maturity and equity securities which are classified as available for sale, net of applicable deferred income taxes (benefits), are excluded from earnings and credited or charged directly to a separate component of stockholders’ equity. If any unrealized losses on fixed maturity or equity securities are deemed other-than-temporary, such unrealized losses are recognized as realized losses.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 purposes of reporting cash flows, highly liquid instruments purchased with original maturities of three months or less are considered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reported in the Consolidated and Combined Balance Sheets for these instruments approximate their fair value.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The fair values of financial instruments presented in the applicable notes to the Company’s Consolidated and Combined Financial Statements are estimates of the fair values at a specific point in time using available market information and appropriate valuation methodologies. These estimates are subjective in nature and involve uncertainties and significant judgment in the interpretation of current market data. Therefore, the fair values presented are not necessarily indicative of amounts the Company could realize or settle currently. The Company does not necessarily intend to dispose of or liquidate such instruments prior to maturity.</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Trade and Notes Receivables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carrying values reported in the Consolidated and Combined Balance Sheets for trade and notes receivables approximate their fair value.</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 xml:space="preserve">Goodwill represents the excess of cost over fair value of identifiable net assets acquired and assumed in a business combination. SFAS No. 142,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Intangible Assets </w:t>
      </w:r>
      <w:r>
        <w:rPr>
          <w:rFonts w:ascii="Arial" w:cs="Arial" w:eastAsia="Arial" w:hAnsi="Arial"/>
          <w:sz w:val="18"/>
          <w:szCs w:val="18"/>
          <w:color w:val="auto"/>
        </w:rPr>
        <w:t>(“SFAS No. 142”) provides that goodwill and other intangible assets with indefinite useful lives should not be amortized, but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tested for impairment annually, or more frequently if circumstances indicate potential impairment, through a comparison of fair value to its carrying amount. The Company measures for impairment on an annual basis.</w:t>
      </w:r>
    </w:p>
    <w:p>
      <w:pPr>
        <w:spacing w:after="0" w:line="79" w:lineRule="exact"/>
        <w:rPr>
          <w:sz w:val="20"/>
          <w:szCs w:val="20"/>
          <w:color w:val="auto"/>
        </w:rPr>
      </w:pPr>
    </w:p>
    <w:p>
      <w:pPr>
        <w:ind w:right="680" w:firstLine="260"/>
        <w:spacing w:after="0" w:line="264" w:lineRule="auto"/>
        <w:rPr>
          <w:sz w:val="20"/>
          <w:szCs w:val="20"/>
          <w:color w:val="auto"/>
        </w:rPr>
      </w:pPr>
      <w:r>
        <w:rPr>
          <w:rFonts w:ascii="Arial" w:cs="Arial" w:eastAsia="Arial" w:hAnsi="Arial"/>
          <w:sz w:val="18"/>
          <w:szCs w:val="18"/>
          <w:color w:val="auto"/>
        </w:rPr>
        <w:t>As required by SFAS No. 142, the Company completed annual goodwill impairment tests in the fourth quarter of each respective year using a September 30 measurement date, and has determined fair values were in excess of carrying values. Accordingly, no goodwill impairments have been recorded.</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17" w:lineRule="exact"/>
        <w:rPr>
          <w:sz w:val="20"/>
          <w:szCs w:val="20"/>
          <w:color w:val="auto"/>
        </w:rPr>
      </w:pPr>
    </w:p>
    <w:p>
      <w:pPr>
        <w:ind w:right="20" w:firstLine="267"/>
        <w:spacing w:after="0" w:line="276" w:lineRule="auto"/>
        <w:rPr>
          <w:sz w:val="20"/>
          <w:szCs w:val="20"/>
          <w:color w:val="auto"/>
        </w:rPr>
      </w:pPr>
      <w:r>
        <w:rPr>
          <w:rFonts w:ascii="Arial" w:cs="Arial" w:eastAsia="Arial" w:hAnsi="Arial"/>
          <w:sz w:val="17"/>
          <w:szCs w:val="17"/>
          <w:color w:val="auto"/>
        </w:rPr>
        <w:t xml:space="preserve">The Company has other intangible assets which consist primarily of customer relationships which are generally recorded in connection with acquisitions at their fair value. SFAS No. 142 requires that intangible assets with estimable lives be amortized over their respective estimated useful lives to their estimated residual values and reviewed for impairment in accordance with SFAS No. 144, </w:t>
      </w:r>
      <w:r>
        <w:rPr>
          <w:rFonts w:ascii="Arial" w:cs="Arial" w:eastAsia="Arial" w:hAnsi="Arial"/>
          <w:sz w:val="17"/>
          <w:szCs w:val="17"/>
          <w:i w:val="1"/>
          <w:iCs w:val="1"/>
          <w:color w:val="auto"/>
        </w:rPr>
        <w:t>Accounting for the Impairment or Disposal of Long-Lived Assets.</w:t>
      </w:r>
      <w:r>
        <w:rPr>
          <w:rFonts w:ascii="Arial" w:cs="Arial" w:eastAsia="Arial" w:hAnsi="Arial"/>
          <w:sz w:val="17"/>
          <w:szCs w:val="17"/>
          <w:color w:val="auto"/>
        </w:rPr>
        <w:t xml:space="preserve"> Customer relationships are amortized over their estimated useful lives using an accelerated method which takes into consideration expected customer attrition rates over a ten-year period. Contractual relationships are generally amortized over their contractual life.</w:t>
      </w:r>
    </w:p>
    <w:p>
      <w:pPr>
        <w:spacing w:after="0" w:line="64" w:lineRule="exact"/>
        <w:rPr>
          <w:sz w:val="20"/>
          <w:szCs w:val="20"/>
          <w:color w:val="auto"/>
        </w:rPr>
      </w:pPr>
    </w:p>
    <w:p>
      <w:pPr>
        <w:ind w:right="20" w:firstLine="260"/>
        <w:spacing w:after="0" w:line="257" w:lineRule="auto"/>
        <w:rPr>
          <w:sz w:val="20"/>
          <w:szCs w:val="20"/>
          <w:color w:val="auto"/>
        </w:rPr>
      </w:pPr>
      <w:r>
        <w:rPr>
          <w:rFonts w:ascii="Arial" w:cs="Arial" w:eastAsia="Arial" w:hAnsi="Arial"/>
          <w:sz w:val="18"/>
          <w:szCs w:val="18"/>
          <w:color w:val="auto"/>
        </w:rPr>
        <w:t>At December 31, 2005 and 2004, prepaid expenses and other assets on the consolidated and combined balance sheets included other intangible assets of $108.6 million, less accumulated amortization of $37.8 million, and $61.5 million, less accumulated amortization of $22.7 million, respectively. Amortization expense relating to other intangible assets was $15.1 million, $13.0 million, and $1.9 million for the years ended 2005, 2004, and 2003, respectively. Future amortization expense relating to these assets is $17.6 million in 2006, $14.5 million in 2007, $10.6 million in 2008, $6.8 million in 2009, $5.4 million in 2010, and $15.9 million thereafter.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117" w:lineRule="exact"/>
        <w:rPr>
          <w:sz w:val="20"/>
          <w:szCs w:val="20"/>
          <w:color w:val="auto"/>
        </w:rPr>
      </w:pPr>
    </w:p>
    <w:p>
      <w:pPr>
        <w:ind w:right="20" w:firstLine="270"/>
        <w:spacing w:after="0" w:line="289" w:lineRule="auto"/>
        <w:rPr>
          <w:sz w:val="20"/>
          <w:szCs w:val="20"/>
          <w:color w:val="auto"/>
        </w:rPr>
      </w:pPr>
      <w:r>
        <w:rPr>
          <w:rFonts w:ascii="Arial" w:cs="Arial" w:eastAsia="Arial" w:hAnsi="Arial"/>
          <w:sz w:val="16"/>
          <w:szCs w:val="16"/>
          <w:color w:val="auto"/>
        </w:rPr>
        <w:t xml:space="preserve">Capitalized software includes software acquired in business acquisitions, purchased software and internally developed capitalized software. Purchased software is recorded at cost and amortized using the straight-line method over a three-year period and software acquired in a business acquisition is recorded at its fair value upon acquisition and amortized using straight-line and accelerated methods over its estimated useful life, generally three to seven years. Capitalized computer software development costs are accounted for in accordance with SOP No. 98-1, </w:t>
      </w:r>
      <w:r>
        <w:rPr>
          <w:rFonts w:ascii="Arial" w:cs="Arial" w:eastAsia="Arial" w:hAnsi="Arial"/>
          <w:sz w:val="16"/>
          <w:szCs w:val="16"/>
          <w:i w:val="1"/>
          <w:iCs w:val="1"/>
          <w:color w:val="auto"/>
        </w:rPr>
        <w:t>Accounting for the Costs of Computer Software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Developed or Obtained for Internal Use. </w:t>
      </w:r>
      <w:r>
        <w:rPr>
          <w:rFonts w:ascii="Arial" w:cs="Arial" w:eastAsia="Arial" w:hAnsi="Arial"/>
          <w:sz w:val="16"/>
          <w:szCs w:val="16"/>
          <w:color w:val="auto"/>
        </w:rPr>
        <w:t>At the beginning of application development, software development costs, which include salaries and related payroll</w:t>
      </w:r>
      <w:r>
        <w:rPr>
          <w:rFonts w:ascii="Arial" w:cs="Arial" w:eastAsia="Arial" w:hAnsi="Arial"/>
          <w:sz w:val="16"/>
          <w:szCs w:val="16"/>
          <w:i w:val="1"/>
          <w:iCs w:val="1"/>
          <w:color w:val="auto"/>
        </w:rPr>
        <w:t xml:space="preserve"> </w:t>
      </w:r>
      <w:r>
        <w:rPr>
          <w:rFonts w:ascii="Arial" w:cs="Arial" w:eastAsia="Arial" w:hAnsi="Arial"/>
          <w:sz w:val="16"/>
          <w:szCs w:val="16"/>
          <w:color w:val="auto"/>
        </w:rPr>
        <w:t>costs and costs of independent contractors incurred during development, are capitalized. Research and development costs incurred prior to application development of a product are expensed as incurred and are not significant. The cost of computer software is amortized on a product-by-product basis when ready for use for internally developed software and the date of purchase for purchased software. The capitalized cost of internally developed capitalized software is amortized on a straight-line basis over its estimated useful life, generally seven years.</w:t>
      </w:r>
    </w:p>
    <w:p>
      <w:pPr>
        <w:spacing w:after="0" w:line="59" w:lineRule="exact"/>
        <w:rPr>
          <w:sz w:val="20"/>
          <w:szCs w:val="20"/>
          <w:color w:val="auto"/>
        </w:rPr>
      </w:pPr>
    </w:p>
    <w:p>
      <w:pPr>
        <w:ind w:right="60" w:firstLine="260"/>
        <w:spacing w:after="0" w:line="312" w:lineRule="auto"/>
        <w:rPr>
          <w:sz w:val="20"/>
          <w:szCs w:val="20"/>
          <w:color w:val="auto"/>
        </w:rPr>
      </w:pPr>
      <w:r>
        <w:rPr>
          <w:rFonts w:ascii="Arial" w:cs="Arial" w:eastAsia="Arial" w:hAnsi="Arial"/>
          <w:sz w:val="16"/>
          <w:szCs w:val="16"/>
          <w:color w:val="auto"/>
        </w:rPr>
        <w:t>At December 31, 2005 and 2004, included in prepaid expenses and other assets on the consolidated and combined balance sheets were capitalized software costs of $109.5 million, less accumulated amortization of $40.0 million, and $101.0 million, less accumulated amortization of $23.7 million, respectively. Amortization expense relating to computer software was $19.2 million, $17.2 million, and $14.4 million for 2005, 2004, and 2003, respectively.</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Title Plants</w:t>
      </w:r>
    </w:p>
    <w:p>
      <w:pPr>
        <w:spacing w:after="0" w:line="117" w:lineRule="exact"/>
        <w:rPr>
          <w:sz w:val="20"/>
          <w:szCs w:val="20"/>
          <w:color w:val="auto"/>
        </w:rPr>
      </w:pPr>
    </w:p>
    <w:p>
      <w:pPr>
        <w:ind w:right="100" w:firstLine="267"/>
        <w:spacing w:after="0" w:line="257" w:lineRule="auto"/>
        <w:rPr>
          <w:sz w:val="20"/>
          <w:szCs w:val="20"/>
          <w:color w:val="auto"/>
        </w:rPr>
      </w:pPr>
      <w:r>
        <w:rPr>
          <w:rFonts w:ascii="Arial" w:cs="Arial" w:eastAsia="Arial" w:hAnsi="Arial"/>
          <w:sz w:val="18"/>
          <w:szCs w:val="18"/>
          <w:color w:val="auto"/>
        </w:rPr>
        <w:t>Title plants are recorded at the cost incurred to construct or obtain and organize historical title information to the point it can be used to perform title searches. Costs incurred to maintain, update and operate title plants are expensed as incurred. Title plants are not amortized as they are considered to have an indefinite life if maintained. Sales of title plants are reported at the amount received net of the adjusted costs of the title plant sold. Sales of title plant copies are reported at the amount received. No cost is allocated to the sale of copies of title plants unless the carrying value of the title plant is diminished or impaired.</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60" w:firstLine="270"/>
        <w:spacing w:after="0" w:line="312" w:lineRule="auto"/>
        <w:rPr>
          <w:sz w:val="20"/>
          <w:szCs w:val="20"/>
          <w:color w:val="auto"/>
        </w:rPr>
      </w:pPr>
      <w:r>
        <w:rPr>
          <w:rFonts w:ascii="Arial" w:cs="Arial" w:eastAsia="Arial" w:hAnsi="Arial"/>
          <w:sz w:val="16"/>
          <w:szCs w:val="16"/>
          <w:color w:val="auto"/>
        </w:rPr>
        <w:t>Property and equipment are recorded at cost, less accumulated depreciation. Depreciation is computed primarily using the straight-line method based on the estimated useful lives of the related assets: thirty years for buildings and three to seven years for furniture, fixtures and equipment. Leasehold improvements are amortized on a straight-line basis over the lesser of the term of the applicable lease or the estimated useful lives of such assets.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Reserve for Claim Losses</w:t>
      </w:r>
    </w:p>
    <w:p>
      <w:pPr>
        <w:spacing w:after="0" w:line="117" w:lineRule="exact"/>
        <w:rPr>
          <w:sz w:val="20"/>
          <w:szCs w:val="20"/>
          <w:color w:val="auto"/>
        </w:rPr>
      </w:pPr>
    </w:p>
    <w:p>
      <w:pPr>
        <w:ind w:right="20" w:firstLine="267"/>
        <w:spacing w:after="0" w:line="302" w:lineRule="auto"/>
        <w:rPr>
          <w:sz w:val="20"/>
          <w:szCs w:val="20"/>
          <w:color w:val="auto"/>
        </w:rPr>
      </w:pPr>
      <w:r>
        <w:rPr>
          <w:rFonts w:ascii="Arial" w:cs="Arial" w:eastAsia="Arial" w:hAnsi="Arial"/>
          <w:sz w:val="16"/>
          <w:szCs w:val="16"/>
          <w:color w:val="auto"/>
        </w:rPr>
        <w:t>The Company’s reserve for claim losses includes known claims for title insurance as well as losses the Company expects to incur, net of recoupments. Each known claim is reserved based on a review by the Company as to the estimated amount of the claim and the costs required to settle the claim. Reserves for claims which are incurred but not reported are established at the time premium revenue is recognized based on historical loss experience and other factors, including industry trends, claim loss history, current legal environment, geographic considerations and type of policy written.</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reserve for claim losses also includes reserves for losses arising from the escrow, closing and disbursement functions due to fraud or operational error.</w:t>
      </w:r>
    </w:p>
    <w:p>
      <w:pPr>
        <w:spacing w:after="0" w:line="140" w:lineRule="exact"/>
        <w:rPr>
          <w:sz w:val="20"/>
          <w:szCs w:val="20"/>
          <w:color w:val="auto"/>
        </w:rPr>
      </w:pPr>
    </w:p>
    <w:p>
      <w:pPr>
        <w:ind w:right="520" w:firstLine="270"/>
        <w:spacing w:after="0" w:line="277" w:lineRule="auto"/>
        <w:rPr>
          <w:sz w:val="20"/>
          <w:szCs w:val="20"/>
          <w:color w:val="auto"/>
        </w:rPr>
      </w:pPr>
      <w:r>
        <w:rPr>
          <w:rFonts w:ascii="Arial" w:cs="Arial" w:eastAsia="Arial" w:hAnsi="Arial"/>
          <w:sz w:val="18"/>
          <w:szCs w:val="18"/>
          <w:color w:val="auto"/>
        </w:rPr>
        <w:t>If a loss is related to a policy issued by an independent agent, the Company may proceed against the independent agent pursuant to the terms of the agency agreement. In any event, the Company may proceed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against third parties who are responsible for any loss under the title insurance policy under rights of subrogation.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Secured Trust Deposits</w:t>
      </w:r>
    </w:p>
    <w:p>
      <w:pPr>
        <w:spacing w:after="0" w:line="117" w:lineRule="exact"/>
        <w:rPr>
          <w:sz w:val="20"/>
          <w:szCs w:val="20"/>
          <w:color w:val="auto"/>
        </w:rPr>
      </w:pPr>
    </w:p>
    <w:p>
      <w:pPr>
        <w:ind w:right="260" w:firstLine="270"/>
        <w:spacing w:after="0" w:line="259" w:lineRule="auto"/>
        <w:rPr>
          <w:sz w:val="20"/>
          <w:szCs w:val="20"/>
          <w:color w:val="auto"/>
        </w:rPr>
      </w:pPr>
      <w:r>
        <w:rPr>
          <w:rFonts w:ascii="Arial" w:cs="Arial" w:eastAsia="Arial" w:hAnsi="Arial"/>
          <w:sz w:val="18"/>
          <w:szCs w:val="18"/>
          <w:color w:val="auto"/>
        </w:rPr>
        <w:t>In the state of Illinois, a trust company is permitted to commingle and invest customers’ assets with those of the Company, pending completion of real estate transactions. Accordingly, the Company’s consolidated and combined balance sheets reflect a secured trust deposit liability of $882.6 million and $735.3 million at December 31, 2005 and 2004, respectively, representing customers’ assets held by us and corresponding assets including cash and investments pledged as security for those trust balances.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267"/>
        <w:spacing w:after="0" w:line="290" w:lineRule="auto"/>
        <w:rPr>
          <w:sz w:val="20"/>
          <w:szCs w:val="20"/>
          <w:color w:val="auto"/>
        </w:rPr>
      </w:pPr>
      <w:r>
        <w:rPr>
          <w:rFonts w:ascii="Arial" w:cs="Arial" w:eastAsia="Arial" w:hAnsi="Arial"/>
          <w:sz w:val="16"/>
          <w:szCs w:val="16"/>
          <w:color w:val="auto"/>
        </w:rPr>
        <w:t>The Company’s operating results have been historically included in FNF’s consolidated U.S. Federal and State income tax returns and the Company is a party to an agreement with FNF which governs the respective rights, responsibilities and obligations of FNF and us with respect to tax liabilities and refunds and other tax-related matters. The provision for income taxes in the Consolidated and Combined Statements of Earnings is made at rates consistent with what the Company would have paid as a stand-alone taxable entity. The Company recognizes deferred tax assets and liabilities for temporary differences between the financial reporting basis and the tax basis of the Company’s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on deferred taxes of changes in tax rates and laws, if any, are applied to the years during which temporary differences are expected to be settled and reflected in the financial statements in the period enacted.</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Reinsurance</w:t>
      </w:r>
    </w:p>
    <w:p>
      <w:pPr>
        <w:spacing w:after="0" w:line="117" w:lineRule="exact"/>
        <w:rPr>
          <w:sz w:val="20"/>
          <w:szCs w:val="20"/>
          <w:color w:val="auto"/>
        </w:rPr>
      </w:pPr>
    </w:p>
    <w:p>
      <w:pPr>
        <w:ind w:right="20" w:firstLine="270"/>
        <w:spacing w:after="0" w:line="297" w:lineRule="auto"/>
        <w:rPr>
          <w:sz w:val="20"/>
          <w:szCs w:val="20"/>
          <w:color w:val="auto"/>
        </w:rPr>
      </w:pPr>
      <w:r>
        <w:rPr>
          <w:rFonts w:ascii="Arial" w:cs="Arial" w:eastAsia="Arial" w:hAnsi="Arial"/>
          <w:sz w:val="16"/>
          <w:szCs w:val="16"/>
          <w:color w:val="auto"/>
        </w:rPr>
        <w:t>In a limited number of situations, the Company limits its maximum loss exposure by reinsuring certain risks with other insurers. The Company also earns a small amount of additional income, which is reflected in the Company’s direct premiums, by assuming reinsurance for certain risks of other insurers. The Company also cedes a portion of certain policy and other liabilities under agent fidelity, excess of loss and case-by-case reinsurance agreements. Reinsurance agreements provide that in the event of a loss (including costs, attorneys’ fees and expenses) exceeding the retained amounts, the reinsurer is liable for the excess amount assumed. However, the ceding company remains primarily liable in the event the reinsurer does not meet its contractual obligations.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0" w:firstLine="270"/>
        <w:spacing w:after="0" w:line="302" w:lineRule="auto"/>
        <w:rPr>
          <w:sz w:val="20"/>
          <w:szCs w:val="20"/>
          <w:color w:val="auto"/>
        </w:rPr>
      </w:pPr>
      <w:r>
        <w:rPr>
          <w:rFonts w:ascii="Arial" w:cs="Arial" w:eastAsia="Arial" w:hAnsi="Arial"/>
          <w:sz w:val="16"/>
          <w:szCs w:val="16"/>
          <w:color w:val="auto"/>
        </w:rPr>
        <w:t>Direct title insurance premiums and escrow and other title-related fees are recognized as revenue at the time of closing of the related transaction as the earnings process is then considered complete, whereas premium revenues from agency operations and agency commissions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117"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color w:val="auto"/>
        </w:rPr>
        <w:t>Certain FNT employees are participants in FNT’s and FNF’s stock-based compensation plans, which provide for the granting of incentive and nonqualified stock options, restricted stock and other stock-based incentive awards for officers and key employees. The amounts below relating to the FNF plans are based on</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allocations of FNF’s stock compensation expense relating to awards given to FNT employees during the historical period.</w:t>
      </w:r>
    </w:p>
    <w:p>
      <w:pPr>
        <w:spacing w:after="0" w:line="117" w:lineRule="exact"/>
        <w:rPr>
          <w:sz w:val="20"/>
          <w:szCs w:val="20"/>
          <w:color w:val="auto"/>
        </w:rPr>
      </w:pPr>
    </w:p>
    <w:p>
      <w:pPr>
        <w:ind w:firstLine="267"/>
        <w:spacing w:after="0" w:line="254" w:lineRule="auto"/>
        <w:rPr>
          <w:sz w:val="20"/>
          <w:szCs w:val="20"/>
          <w:color w:val="auto"/>
        </w:rPr>
      </w:pPr>
      <w:r>
        <w:rPr>
          <w:rFonts w:ascii="Arial" w:cs="Arial" w:eastAsia="Arial" w:hAnsi="Arial"/>
          <w:sz w:val="18"/>
          <w:szCs w:val="18"/>
          <w:color w:val="auto"/>
        </w:rPr>
        <w:t>The Company accounts for stock-based compensation using the fair value recognition provisions of SFAS No. 123, “Accounting for Stock-Based Compensation” (“SFAS No. 123”) as of the beginning of 2003. Under the fair value method of accounting, compensation cost is measured based on the fair value of the award at the grant date and recognized over the service period. The Company has elected to use the prospective method of transition, as permitted by Statement of Financial Accounting Standards No. 148, “Accounting for Stock-Based Compensation — Transition and Disclosure” (“SFAS No. 148”). Under this method, stock-based employee compensation cost is recognized as if the fair value method of accounting had been used to account for all employee awards granted, modified, or settled. The Company has provided for stock compensation expense of $12.5 million, $5.4 million, and $4.9 million for the years ended December 31, 2005, 2004 and 2003, respectively, which is included in personnel costs in the Consolidated and Combined Statements of Earnings.</w:t>
      </w:r>
    </w:p>
    <w:p>
      <w:pPr>
        <w:spacing w:after="0" w:line="84" w:lineRule="exact"/>
        <w:rPr>
          <w:sz w:val="20"/>
          <w:szCs w:val="20"/>
          <w:color w:val="auto"/>
        </w:rPr>
      </w:pPr>
    </w:p>
    <w:p>
      <w:pPr>
        <w:ind w:right="240" w:firstLine="267"/>
        <w:spacing w:after="0" w:line="277" w:lineRule="auto"/>
        <w:rPr>
          <w:sz w:val="20"/>
          <w:szCs w:val="20"/>
          <w:color w:val="auto"/>
        </w:rPr>
      </w:pPr>
      <w:r>
        <w:rPr>
          <w:rFonts w:ascii="Arial" w:cs="Arial" w:eastAsia="Arial" w:hAnsi="Arial"/>
          <w:sz w:val="18"/>
          <w:szCs w:val="18"/>
          <w:color w:val="auto"/>
        </w:rPr>
        <w:t>The following table illustrates the effect on net earnings for the years ended December 31, 2005, 2004, and 2003 as if the Company had applied the fair value recognition provisions of SFAS No. 123 to all awards held by FNT employees who are plan participants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33"/>
              <w:spacing w:after="0" w:line="155" w:lineRule="exact"/>
              <w:rPr>
                <w:sz w:val="20"/>
                <w:szCs w:val="20"/>
                <w:color w:val="auto"/>
              </w:rPr>
            </w:pPr>
            <w:r>
              <w:rPr>
                <w:rFonts w:ascii="Arial" w:cs="Arial" w:eastAsia="Arial" w:hAnsi="Arial"/>
                <w:sz w:val="14"/>
                <w:szCs w:val="14"/>
                <w:b w:val="1"/>
                <w:bCs w:val="1"/>
                <w:color w:val="auto"/>
                <w:w w:val="89"/>
              </w:rPr>
              <w:t>2004</w:t>
            </w:r>
          </w:p>
        </w:tc>
        <w:tc>
          <w:tcPr>
            <w:tcW w:w="6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earnings, as reported</w:t>
            </w:r>
          </w:p>
        </w:tc>
        <w:tc>
          <w:tcPr>
            <w:tcW w:w="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538,981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558,164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683,325</w:t>
            </w:r>
          </w:p>
        </w:tc>
        <w:tc>
          <w:tcPr>
            <w:tcW w:w="0" w:type="dxa"/>
            <w:vAlign w:val="bottom"/>
          </w:tcPr>
          <w:p>
            <w:pPr>
              <w:spacing w:after="0"/>
              <w:rPr>
                <w:sz w:val="1"/>
                <w:szCs w:val="1"/>
                <w:color w:val="auto"/>
              </w:rPr>
            </w:pPr>
          </w:p>
        </w:tc>
      </w:tr>
      <w:tr>
        <w:trPr>
          <w:trHeight w:val="202"/>
        </w:trPr>
        <w:tc>
          <w:tcPr>
            <w:tcW w:w="6580" w:type="dxa"/>
            <w:vAlign w:val="bottom"/>
          </w:tcPr>
          <w:p>
            <w:pPr>
              <w:spacing w:after="0" w:line="201" w:lineRule="exact"/>
              <w:rPr>
                <w:sz w:val="20"/>
                <w:szCs w:val="20"/>
                <w:color w:val="auto"/>
              </w:rPr>
            </w:pPr>
            <w:r>
              <w:rPr>
                <w:rFonts w:ascii="Arial" w:cs="Arial" w:eastAsia="Arial" w:hAnsi="Arial"/>
                <w:sz w:val="18"/>
                <w:szCs w:val="18"/>
                <w:color w:val="auto"/>
                <w:w w:val="91"/>
              </w:rPr>
              <w:t>Add: Stock-based compensation expense included in reported net earnings, net of related</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140"/>
              <w:spacing w:after="0"/>
              <w:rPr>
                <w:sz w:val="20"/>
                <w:szCs w:val="20"/>
                <w:color w:val="auto"/>
              </w:rPr>
            </w:pPr>
            <w:r>
              <w:rPr>
                <w:rFonts w:ascii="Arial" w:cs="Arial" w:eastAsia="Arial" w:hAnsi="Arial"/>
                <w:sz w:val="18"/>
                <w:szCs w:val="18"/>
                <w:color w:val="auto"/>
              </w:rPr>
              <w:t>tax effects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7,839</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3,360</w:t>
            </w:r>
          </w:p>
        </w:tc>
        <w:tc>
          <w:tcPr>
            <w:tcW w:w="24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02"/>
        </w:trPr>
        <w:tc>
          <w:tcPr>
            <w:tcW w:w="6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Deduct: Total stock-based employee compensation expense determined under fair value</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based methods for all awards, net of related tax effects</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(8,277)</w:t>
            </w: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(4,268)</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(8,124)</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Pro forma net earnings</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538,543</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557,256</w:t>
            </w:r>
          </w:p>
        </w:tc>
        <w:tc>
          <w:tcPr>
            <w:tcW w:w="6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678,217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Earnings per share: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00"/>
              <w:spacing w:after="0"/>
              <w:rPr>
                <w:sz w:val="20"/>
                <w:szCs w:val="20"/>
                <w:color w:val="auto"/>
              </w:rPr>
            </w:pPr>
            <w:r>
              <w:rPr>
                <w:rFonts w:ascii="Arial" w:cs="Arial" w:eastAsia="Arial" w:hAnsi="Arial"/>
                <w:sz w:val="18"/>
                <w:szCs w:val="18"/>
                <w:color w:val="auto"/>
              </w:rPr>
              <w:t>Basic — as reported</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Basic — pro forma</w:t>
            </w:r>
          </w:p>
        </w:tc>
        <w:tc>
          <w:tcPr>
            <w:tcW w:w="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ind w:left="300"/>
              <w:spacing w:after="0"/>
              <w:rPr>
                <w:sz w:val="20"/>
                <w:szCs w:val="20"/>
                <w:color w:val="auto"/>
              </w:rPr>
            </w:pPr>
            <w:r>
              <w:rPr>
                <w:rFonts w:ascii="Arial" w:cs="Arial" w:eastAsia="Arial" w:hAnsi="Arial"/>
                <w:sz w:val="18"/>
                <w:szCs w:val="18"/>
                <w:color w:val="auto"/>
              </w:rPr>
              <w:t>Diluted — as reported</w:t>
            </w: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Diluted — pro forma</w:t>
            </w:r>
          </w:p>
        </w:tc>
        <w:tc>
          <w:tcPr>
            <w:tcW w:w="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ind w:left="300"/>
              <w:spacing w:after="0"/>
              <w:rPr>
                <w:sz w:val="20"/>
                <w:szCs w:val="20"/>
                <w:color w:val="auto"/>
              </w:rPr>
            </w:pPr>
            <w:r>
              <w:rPr>
                <w:rFonts w:ascii="Arial" w:cs="Arial" w:eastAsia="Arial" w:hAnsi="Arial"/>
                <w:sz w:val="18"/>
                <w:szCs w:val="18"/>
                <w:color w:val="auto"/>
              </w:rPr>
              <w:t>Pro forma net earnings per share — basic and diluted, as reported</w:t>
            </w: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vMerge w:val="restart"/>
          </w:tcPr>
          <w:p>
            <w:pPr>
              <w:jc w:val="right"/>
              <w:ind w:right="39"/>
              <w:spacing w:after="0"/>
              <w:rPr>
                <w:sz w:val="20"/>
                <w:szCs w:val="20"/>
                <w:color w:val="auto"/>
              </w:rPr>
            </w:pPr>
            <w:r>
              <w:rPr>
                <w:rFonts w:ascii="Arial" w:cs="Arial" w:eastAsia="Arial" w:hAnsi="Arial"/>
                <w:sz w:val="18"/>
                <w:szCs w:val="18"/>
                <w:color w:val="auto"/>
              </w:rPr>
              <w:t>$</w:t>
            </w:r>
          </w:p>
        </w:tc>
        <w:tc>
          <w:tcPr>
            <w:tcW w:w="1460" w:type="dxa"/>
            <w:vAlign w:val="bottom"/>
            <w:gridSpan w:val="2"/>
            <w:vMerge w:val="restart"/>
          </w:tcPr>
          <w:p>
            <w:pPr>
              <w:jc w:val="right"/>
              <w:ind w:right="68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2"/>
              </w:rPr>
              <w:t>Pro forma net earnings per share — basic and diluted, adjusted for SFAS 123 effects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Management Estimates</w:t>
      </w:r>
    </w:p>
    <w:p>
      <w:pPr>
        <w:spacing w:after="0" w:line="117" w:lineRule="exact"/>
        <w:rPr>
          <w:sz w:val="20"/>
          <w:szCs w:val="20"/>
          <w:color w:val="auto"/>
        </w:rPr>
      </w:pPr>
    </w:p>
    <w:p>
      <w:pPr>
        <w:ind w:right="160" w:firstLine="267"/>
        <w:spacing w:after="0" w:line="259" w:lineRule="auto"/>
        <w:rPr>
          <w:sz w:val="20"/>
          <w:szCs w:val="20"/>
          <w:color w:val="auto"/>
        </w:rPr>
      </w:pPr>
      <w:r>
        <w:rPr>
          <w:rFonts w:ascii="Arial" w:cs="Arial" w:eastAsia="Arial" w:hAnsi="Arial"/>
          <w:sz w:val="18"/>
          <w:szCs w:val="18"/>
          <w:color w:val="auto"/>
        </w:rPr>
        <w:t>The preparation of these Consolidated and Combined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and Combined Financial Statements and the reported amounts of revenues and expenses during the reporting period. Actual results could differ from those estimates.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00" w:lineRule="exact"/>
        <w:rPr>
          <w:sz w:val="20"/>
          <w:szCs w:val="20"/>
          <w:color w:val="auto"/>
        </w:rPr>
      </w:pPr>
    </w:p>
    <w:p>
      <w:pPr>
        <w:spacing w:after="0" w:line="24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right="280" w:firstLine="267"/>
        <w:spacing w:after="0" w:line="297" w:lineRule="auto"/>
        <w:rPr>
          <w:sz w:val="20"/>
          <w:szCs w:val="20"/>
          <w:color w:val="auto"/>
        </w:rPr>
      </w:pPr>
      <w:r>
        <w:rPr>
          <w:rFonts w:ascii="Arial" w:cs="Arial" w:eastAsia="Arial" w:hAnsi="Arial"/>
          <w:sz w:val="16"/>
          <w:szCs w:val="16"/>
          <w:color w:val="auto"/>
        </w:rPr>
        <w:t>The results of operations and financial position of the entities acquired during any year are included in the Consolidated and Combined Financial Statements from and after the date of acquisition. These acquisitions were made by the Company or FNF and then contributed to FNT by FNF. The acquisitions made by FNF and contributed to FNT are included in the related Consolidated and Combined Financial Statements as capital contributions. Based on the Company’s valuation, any difference between the fair value of the identifiable assets and liabilities and the purchase price paid is recorded as goodwill. Pro forma disclosures for acquisitions are considered immaterial to the results of operations for 2005, 2004, and 2003.</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Service Link</w:t>
      </w:r>
    </w:p>
    <w:p>
      <w:pPr>
        <w:spacing w:after="0" w:line="117" w:lineRule="exact"/>
        <w:rPr>
          <w:sz w:val="20"/>
          <w:szCs w:val="20"/>
          <w:color w:val="auto"/>
        </w:rPr>
      </w:pPr>
    </w:p>
    <w:p>
      <w:pPr>
        <w:ind w:right="60" w:firstLine="270"/>
        <w:spacing w:after="0" w:line="312" w:lineRule="auto"/>
        <w:rPr>
          <w:sz w:val="20"/>
          <w:szCs w:val="20"/>
          <w:color w:val="auto"/>
        </w:rPr>
      </w:pPr>
      <w:r>
        <w:rPr>
          <w:rFonts w:ascii="Arial" w:cs="Arial" w:eastAsia="Arial" w:hAnsi="Arial"/>
          <w:sz w:val="16"/>
          <w:szCs w:val="16"/>
          <w:color w:val="auto"/>
        </w:rPr>
        <w:t>On August 1, 2005, the Company acquired Service Link, L.P. (“Service Link”), a national provider of centralized mortgage and residential real estate title and closing services to major financial institutions and institutional lenders. The acquisition price was approximately $110 million in cash. The Company recorded approximately $76.2 million in goodwill and approximately $33.6 in other amortizable intangible assets relating to this transaction.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American Pioneer Title Insurance Company</w:t>
      </w:r>
    </w:p>
    <w:p>
      <w:pPr>
        <w:spacing w:after="0" w:line="117"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On March 22, 2004, the Company acquired American Pioneer Title Insurance Company (“APTIC”) for $115.2 million in cash, subject to certain equity adjustments. APTIC is a 45-state licensed title insurance underwriter with significant agency operations and computerized title plant assets in the state of Florida. APTIC operates under the Company’s Ticor Title brand. The Company recorded approximately $34.5 million in goodwill and approximately $10.6 in other amortizable intangible assets relating to this transaction.</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LandCanada</w:t>
      </w:r>
    </w:p>
    <w:p>
      <w:pPr>
        <w:spacing w:after="0" w:line="117" w:lineRule="exact"/>
        <w:rPr>
          <w:sz w:val="20"/>
          <w:szCs w:val="20"/>
          <w:color w:val="auto"/>
        </w:rPr>
      </w:pPr>
    </w:p>
    <w:p>
      <w:pPr>
        <w:ind w:right="740" w:firstLine="270"/>
        <w:spacing w:after="0" w:line="277" w:lineRule="auto"/>
        <w:rPr>
          <w:sz w:val="20"/>
          <w:szCs w:val="20"/>
          <w:color w:val="auto"/>
        </w:rPr>
      </w:pPr>
      <w:r>
        <w:rPr>
          <w:rFonts w:ascii="Arial" w:cs="Arial" w:eastAsia="Arial" w:hAnsi="Arial"/>
          <w:sz w:val="18"/>
          <w:szCs w:val="18"/>
          <w:color w:val="auto"/>
        </w:rPr>
        <w:t>On October 9, 2003, the Company acquired LandCanada, a provider of title insurance and related mortgage document production in Canada, for $17.6 million in cash. The Company recorded approximately $8.7 million in goodwill relating to this transaction.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Key Title Company</w:t>
      </w:r>
    </w:p>
    <w:p>
      <w:pPr>
        <w:spacing w:after="0" w:line="117" w:lineRule="exact"/>
        <w:rPr>
          <w:sz w:val="20"/>
          <w:szCs w:val="20"/>
          <w:color w:val="auto"/>
        </w:rPr>
      </w:pPr>
    </w:p>
    <w:p>
      <w:pPr>
        <w:ind w:right="240" w:firstLine="270"/>
        <w:spacing w:after="0" w:line="277" w:lineRule="auto"/>
        <w:rPr>
          <w:sz w:val="20"/>
          <w:szCs w:val="20"/>
          <w:color w:val="auto"/>
        </w:rPr>
      </w:pPr>
      <w:r>
        <w:rPr>
          <w:rFonts w:ascii="Arial" w:cs="Arial" w:eastAsia="Arial" w:hAnsi="Arial"/>
          <w:sz w:val="18"/>
          <w:szCs w:val="18"/>
          <w:color w:val="auto"/>
        </w:rPr>
        <w:t>On March 31, 2003, the Company acquired Key Title Company (“Key Title”) for $22.5 million in cash. Key Title operates in 12 counties in the state of Oregon. The Company recorded approximately $2.0 million in goodwill relating to this transaction.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ANFI, Inc.</w:t>
      </w:r>
    </w:p>
    <w:p>
      <w:pPr>
        <w:spacing w:after="0" w:line="117" w:lineRule="exact"/>
        <w:rPr>
          <w:sz w:val="20"/>
          <w:szCs w:val="20"/>
          <w:color w:val="auto"/>
        </w:rPr>
      </w:pPr>
    </w:p>
    <w:p>
      <w:pPr>
        <w:ind w:right="80" w:firstLine="270"/>
        <w:spacing w:after="0" w:line="257" w:lineRule="auto"/>
        <w:rPr>
          <w:sz w:val="20"/>
          <w:szCs w:val="20"/>
          <w:color w:val="auto"/>
        </w:rPr>
      </w:pPr>
      <w:r>
        <w:rPr>
          <w:rFonts w:ascii="Arial" w:cs="Arial" w:eastAsia="Arial" w:hAnsi="Arial"/>
          <w:sz w:val="18"/>
          <w:szCs w:val="18"/>
          <w:color w:val="auto"/>
        </w:rPr>
        <w:t>On March 26, 2003, the Company merged with ANFI, Inc. (“ANFI”), which is predominately a California underwritten title company, and ANFI became a wholly-owned subsidiary of FNF. In the merger, each share of ANFI common stock (other than ANFI common stock FNF already owned) was exchanged for 0.454 shares of FNF’s common stock. FNF issued 5,183,103 shares of its common stock worth approximately $136.7 million to the ANFI stockholders in the merger, net of cash acquired. The Company recorded approximately $83.6 million in goodwill and $33.1 million in other amortizable intangible assets relating to this transaction.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00" w:lineRule="exact"/>
        <w:rPr>
          <w:sz w:val="20"/>
          <w:szCs w:val="20"/>
          <w:color w:val="auto"/>
        </w:rPr>
      </w:pPr>
    </w:p>
    <w:p>
      <w:pPr>
        <w:spacing w:after="0" w:line="241" w:lineRule="exact"/>
        <w:rPr>
          <w:sz w:val="20"/>
          <w:szCs w:val="20"/>
          <w:color w:val="auto"/>
        </w:rPr>
      </w:pPr>
    </w:p>
    <w:p>
      <w:pPr>
        <w:ind w:left="580" w:hanging="572"/>
        <w:spacing w:after="0"/>
        <w:tabs>
          <w:tab w:leader="none" w:pos="5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carrying amounts and fair values of the Company’s fixed maturity securities at December 31, 2005 and 2004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December 31, 2005</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Amortized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jc w:val="center"/>
              <w:ind w:right="700"/>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280" w:type="dxa"/>
            <w:vAlign w:val="bottom"/>
            <w:gridSpan w:val="2"/>
          </w:tcPr>
          <w:p>
            <w:pPr>
              <w:ind w:left="220"/>
              <w:spacing w:after="0" w:line="133"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2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8"/>
              </w:rPr>
              <w:t>Unrealized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6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Fixed maturity investments (available for</w:t>
            </w: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tcBorders>
              <w:lef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tcBorders>
              <w:left w:val="single" w:sz="8" w:color="CCEEFF"/>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tcBorders>
              <w:lef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w:t>
            </w:r>
          </w:p>
        </w:tc>
        <w:tc>
          <w:tcPr>
            <w:tcW w:w="1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tcBorders>
              <w:left w:val="single" w:sz="8" w:color="CCEEFF"/>
            </w:tcBorders>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tcBorders>
              <w:left w:val="single" w:sz="8" w:color="CCEEFF"/>
            </w:tcBorders>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tcBorders>
              <w:left w:val="single" w:sz="8" w:color="CCEEFF"/>
            </w:tcBorders>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40"/>
              <w:spacing w:after="0"/>
              <w:rPr>
                <w:sz w:val="20"/>
                <w:szCs w:val="20"/>
                <w:color w:val="auto"/>
              </w:rPr>
            </w:pPr>
            <w:r>
              <w:rPr>
                <w:rFonts w:ascii="Arial" w:cs="Arial" w:eastAsia="Arial" w:hAnsi="Arial"/>
                <w:sz w:val="18"/>
                <w:szCs w:val="18"/>
                <w:color w:val="auto"/>
              </w:rPr>
              <w:t>U.S. government and agencies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852,223</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868,290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188</w:t>
            </w:r>
          </w:p>
        </w:tc>
        <w:tc>
          <w:tcPr>
            <w:tcW w:w="600" w:type="dxa"/>
            <w:vAlign w:val="bottom"/>
          </w:tcPr>
          <w:p>
            <w:pPr>
              <w:spacing w:after="0"/>
              <w:rPr>
                <w:sz w:val="18"/>
                <w:szCs w:val="18"/>
                <w:color w:val="auto"/>
              </w:rPr>
            </w:pPr>
          </w:p>
        </w:tc>
        <w:tc>
          <w:tcPr>
            <w:tcW w:w="140" w:type="dxa"/>
            <w:vAlign w:val="bottom"/>
          </w:tcPr>
          <w:p>
            <w:pPr>
              <w:jc w:val="right"/>
              <w:ind w:right="17"/>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(16,255)</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852,223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States and political subdivisions</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993,815</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1,003,179</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(10,943)</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993,815</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4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590,410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601,780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(11,841)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590,410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government bonds</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21,141</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21,398</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(264)</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21,141</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2,457,632</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2,494,687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(39,303)</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2,457,632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December 31, 2004</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9"/>
              </w:rPr>
              <w:t>Amortized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jc w:val="center"/>
              <w:ind w:right="740"/>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280" w:type="dxa"/>
            <w:vAlign w:val="bottom"/>
            <w:gridSpan w:val="2"/>
          </w:tcPr>
          <w:p>
            <w:pPr>
              <w:jc w:val="right"/>
              <w:ind w:right="680"/>
              <w:spacing w:after="0" w:line="133"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2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6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Fixed maturity investments (available</w:t>
            </w: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tcBorders>
              <w:lef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tcBorders>
              <w:left w:val="single" w:sz="8" w:color="CCEEFF"/>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tcBorders>
              <w:lef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 sale):</w:t>
            </w:r>
          </w:p>
        </w:tc>
        <w:tc>
          <w:tcPr>
            <w:tcW w:w="1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tcBorders>
              <w:left w:val="single" w:sz="8" w:color="CCEEFF"/>
            </w:tcBorders>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tcBorders>
              <w:left w:val="single" w:sz="8" w:color="CCEEFF"/>
            </w:tcBorders>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tcBorders>
              <w:left w:val="single" w:sz="8" w:color="CCEEFF"/>
            </w:tcBorders>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40"/>
              <w:spacing w:after="0"/>
              <w:rPr>
                <w:sz w:val="20"/>
                <w:szCs w:val="20"/>
                <w:color w:val="auto"/>
              </w:rPr>
            </w:pPr>
            <w:r>
              <w:rPr>
                <w:rFonts w:ascii="Arial" w:cs="Arial" w:eastAsia="Arial" w:hAnsi="Arial"/>
                <w:sz w:val="18"/>
                <w:szCs w:val="18"/>
                <w:color w:val="auto"/>
              </w:rPr>
              <w:t>U.S. government and agencies</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707,007</w:t>
            </w:r>
          </w:p>
        </w:tc>
        <w:tc>
          <w:tcPr>
            <w:tcW w:w="3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708,885</w:t>
            </w:r>
          </w:p>
        </w:tc>
        <w:tc>
          <w:tcPr>
            <w:tcW w:w="28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1,058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(2,936)</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707,007</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States and political subdivisions</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991,696</w:t>
            </w:r>
          </w:p>
        </w:tc>
        <w:tc>
          <w:tcPr>
            <w:tcW w:w="320" w:type="dxa"/>
            <w:vAlign w:val="bottom"/>
            <w:tcBorders>
              <w:lef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982,794</w:t>
            </w:r>
          </w:p>
        </w:tc>
        <w:tc>
          <w:tcPr>
            <w:tcW w:w="28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11,973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(3,071)</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991,696</w:t>
            </w:r>
          </w:p>
        </w:tc>
        <w:tc>
          <w:tcPr>
            <w:tcW w:w="0" w:type="dxa"/>
            <w:vAlign w:val="bottom"/>
          </w:tcPr>
          <w:p>
            <w:pPr>
              <w:spacing w:after="0"/>
              <w:rPr>
                <w:sz w:val="1"/>
                <w:szCs w:val="1"/>
                <w:color w:val="auto"/>
              </w:rPr>
            </w:pPr>
          </w:p>
        </w:tc>
      </w:tr>
      <w:tr>
        <w:trPr>
          <w:trHeight w:val="216"/>
        </w:trPr>
        <w:tc>
          <w:tcPr>
            <w:tcW w:w="3100" w:type="dxa"/>
            <w:vAlign w:val="bottom"/>
          </w:tcPr>
          <w:p>
            <w:pPr>
              <w:ind w:left="24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388,429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392,518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(4,409)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388,429</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government bonds</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320" w:type="dxa"/>
            <w:vAlign w:val="bottom"/>
            <w:tcBorders>
              <w:lef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28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16"/>
        </w:trPr>
        <w:tc>
          <w:tcPr>
            <w:tcW w:w="310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83,496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83,311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83,496</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2,174,817</w:t>
            </w:r>
          </w:p>
        </w:tc>
        <w:tc>
          <w:tcPr>
            <w:tcW w:w="32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2,171,686</w:t>
            </w:r>
          </w:p>
        </w:tc>
        <w:tc>
          <w:tcPr>
            <w:tcW w:w="28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13,717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(10,586)</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2,174,817</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40" w:firstLine="267"/>
        <w:spacing w:after="0" w:line="277" w:lineRule="auto"/>
        <w:rPr>
          <w:sz w:val="20"/>
          <w:szCs w:val="20"/>
          <w:color w:val="auto"/>
        </w:rPr>
      </w:pPr>
      <w:r>
        <w:rPr>
          <w:rFonts w:ascii="Arial" w:cs="Arial" w:eastAsia="Arial" w:hAnsi="Arial"/>
          <w:sz w:val="18"/>
          <w:szCs w:val="18"/>
          <w:color w:val="auto"/>
        </w:rPr>
        <w:t>The change in unrealized gains (losses) on fixed maturities for the years ended December 31, 2005, 2004, and 2003 was $(40.2) million, $(26.1) million, and $(20.6) million,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presents certain information regarding contractual maturities of the Company’s fixed maturity securities at December 31,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2005</w:t>
            </w:r>
          </w:p>
        </w:tc>
        <w:tc>
          <w:tcPr>
            <w:tcW w:w="9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1"/>
                <w:szCs w:val="11"/>
                <w:color w:val="auto"/>
              </w:rPr>
            </w:pPr>
          </w:p>
        </w:tc>
        <w:tc>
          <w:tcPr>
            <w:tcW w:w="1000" w:type="dxa"/>
            <w:vAlign w:val="bottom"/>
          </w:tcPr>
          <w:p>
            <w:pPr>
              <w:jc w:val="right"/>
              <w:ind w:right="174"/>
              <w:spacing w:after="0" w:line="133" w:lineRule="exact"/>
              <w:rPr>
                <w:sz w:val="20"/>
                <w:szCs w:val="20"/>
                <w:color w:val="auto"/>
              </w:rPr>
            </w:pPr>
            <w:r>
              <w:rPr>
                <w:rFonts w:ascii="Arial" w:cs="Arial" w:eastAsia="Arial" w:hAnsi="Arial"/>
                <w:sz w:val="14"/>
                <w:szCs w:val="14"/>
                <w:b w:val="1"/>
                <w:bCs w:val="1"/>
                <w:color w:val="auto"/>
              </w:rPr>
              <w:t>Amortized</w:t>
            </w:r>
          </w:p>
        </w:tc>
        <w:tc>
          <w:tcPr>
            <w:tcW w:w="660" w:type="dxa"/>
            <w:vAlign w:val="bottom"/>
          </w:tcPr>
          <w:p>
            <w:pPr>
              <w:spacing w:after="0"/>
              <w:rPr>
                <w:sz w:val="11"/>
                <w:szCs w:val="11"/>
                <w:color w:val="auto"/>
              </w:rPr>
            </w:pPr>
          </w:p>
        </w:tc>
        <w:tc>
          <w:tcPr>
            <w:tcW w:w="1420" w:type="dxa"/>
            <w:vAlign w:val="bottom"/>
            <w:gridSpan w:val="2"/>
            <w:vMerge w:val="restart"/>
          </w:tcPr>
          <w:p>
            <w:pPr>
              <w:jc w:val="right"/>
              <w:ind w:right="548"/>
              <w:spacing w:after="0"/>
              <w:rPr>
                <w:sz w:val="20"/>
                <w:szCs w:val="20"/>
                <w:color w:val="auto"/>
              </w:rPr>
            </w:pPr>
            <w:r>
              <w:rPr>
                <w:rFonts w:ascii="Arial" w:cs="Arial" w:eastAsia="Arial" w:hAnsi="Arial"/>
                <w:sz w:val="14"/>
                <w:szCs w:val="14"/>
                <w:b w:val="1"/>
                <w:bCs w:val="1"/>
                <w:color w:val="auto"/>
              </w:rPr>
              <w:t>% of Total</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5"/>
              </w:rPr>
              <w:t>Fair Value</w:t>
            </w:r>
          </w:p>
        </w:tc>
        <w:tc>
          <w:tcPr>
            <w:tcW w:w="740" w:type="dxa"/>
            <w:vAlign w:val="bottom"/>
          </w:tcPr>
          <w:p>
            <w:pPr>
              <w:spacing w:after="0"/>
              <w:rPr>
                <w:sz w:val="11"/>
                <w:szCs w:val="11"/>
                <w:color w:val="auto"/>
              </w:rPr>
            </w:pPr>
          </w:p>
        </w:tc>
        <w:tc>
          <w:tcPr>
            <w:tcW w:w="14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1"/>
        </w:trPr>
        <w:tc>
          <w:tcPr>
            <w:tcW w:w="44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354"/>
              <w:spacing w:after="0"/>
              <w:rPr>
                <w:sz w:val="20"/>
                <w:szCs w:val="20"/>
                <w:color w:val="auto"/>
              </w:rPr>
            </w:pPr>
            <w:r>
              <w:rPr>
                <w:rFonts w:ascii="Arial" w:cs="Arial" w:eastAsia="Arial" w:hAnsi="Arial"/>
                <w:sz w:val="14"/>
                <w:szCs w:val="14"/>
                <w:b w:val="1"/>
                <w:bCs w:val="1"/>
                <w:color w:val="auto"/>
              </w:rPr>
              <w:t>Cost</w:t>
            </w:r>
          </w:p>
        </w:tc>
        <w:tc>
          <w:tcPr>
            <w:tcW w:w="6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78"/>
              </w:rPr>
              <w:t>(In thousands)</w:t>
            </w: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347,745</w:t>
            </w:r>
          </w:p>
        </w:tc>
        <w:tc>
          <w:tcPr>
            <w:tcW w:w="208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13.9%</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345,246</w:t>
            </w:r>
          </w:p>
        </w:tc>
        <w:tc>
          <w:tcPr>
            <w:tcW w:w="2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After one year through five years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1,190,201</w:t>
            </w:r>
          </w:p>
        </w:tc>
        <w:tc>
          <w:tcPr>
            <w:tcW w:w="2080" w:type="dxa"/>
            <w:vAlign w:val="bottom"/>
            <w:gridSpan w:val="3"/>
          </w:tcPr>
          <w:p>
            <w:pPr>
              <w:jc w:val="right"/>
              <w:ind w:right="388"/>
              <w:spacing w:after="0"/>
              <w:rPr>
                <w:sz w:val="20"/>
                <w:szCs w:val="20"/>
                <w:color w:val="auto"/>
              </w:rPr>
            </w:pPr>
            <w:r>
              <w:rPr>
                <w:rFonts w:ascii="Arial" w:cs="Arial" w:eastAsia="Arial" w:hAnsi="Arial"/>
                <w:sz w:val="18"/>
                <w:szCs w:val="18"/>
                <w:color w:val="auto"/>
              </w:rPr>
              <w:t>47.7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1,168,915</w:t>
            </w:r>
          </w:p>
        </w:tc>
        <w:tc>
          <w:tcPr>
            <w:tcW w:w="2200" w:type="dxa"/>
            <w:vAlign w:val="bottom"/>
            <w:gridSpan w:val="3"/>
          </w:tcPr>
          <w:p>
            <w:pPr>
              <w:jc w:val="right"/>
              <w:ind w:right="48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five years through ten years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736,030</w:t>
            </w:r>
          </w:p>
        </w:tc>
        <w:tc>
          <w:tcPr>
            <w:tcW w:w="208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29.6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723,827</w:t>
            </w:r>
          </w:p>
        </w:tc>
        <w:tc>
          <w:tcPr>
            <w:tcW w:w="2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After ten years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220,671</w:t>
            </w:r>
          </w:p>
        </w:tc>
        <w:tc>
          <w:tcPr>
            <w:tcW w:w="2080" w:type="dxa"/>
            <w:vAlign w:val="bottom"/>
            <w:gridSpan w:val="3"/>
          </w:tcPr>
          <w:p>
            <w:pPr>
              <w:jc w:val="right"/>
              <w:ind w:right="388"/>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219,601</w:t>
            </w:r>
          </w:p>
        </w:tc>
        <w:tc>
          <w:tcPr>
            <w:tcW w:w="2200" w:type="dxa"/>
            <w:vAlign w:val="bottom"/>
            <w:gridSpan w:val="3"/>
          </w:tcPr>
          <w:p>
            <w:pPr>
              <w:jc w:val="right"/>
              <w:ind w:right="4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2,494,687</w:t>
            </w:r>
          </w:p>
        </w:tc>
        <w:tc>
          <w:tcPr>
            <w:tcW w:w="660" w:type="dxa"/>
            <w:vAlign w:val="bottom"/>
            <w:vMerge w:val="continue"/>
          </w:tcPr>
          <w:p>
            <w:pPr>
              <w:spacing w:after="0"/>
              <w:rPr>
                <w:sz w:val="19"/>
                <w:szCs w:val="19"/>
                <w:color w:val="auto"/>
              </w:rPr>
            </w:pPr>
          </w:p>
        </w:tc>
        <w:tc>
          <w:tcPr>
            <w:tcW w:w="1420" w:type="dxa"/>
            <w:vAlign w:val="bottom"/>
            <w:gridSpan w:val="2"/>
          </w:tcPr>
          <w:p>
            <w:pPr>
              <w:jc w:val="right"/>
              <w:ind w:right="228"/>
              <w:spacing w:after="0"/>
              <w:rPr>
                <w:sz w:val="20"/>
                <w:szCs w:val="20"/>
                <w:color w:val="auto"/>
              </w:rPr>
            </w:pPr>
            <w:r>
              <w:rPr>
                <w:rFonts w:ascii="Arial" w:cs="Arial" w:eastAsia="Arial" w:hAnsi="Arial"/>
                <w:sz w:val="18"/>
                <w:szCs w:val="18"/>
                <w:color w:val="auto"/>
              </w:rPr>
              <w:t>100.0%</w:t>
            </w:r>
          </w:p>
        </w:tc>
        <w:tc>
          <w:tcPr>
            <w:tcW w:w="32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2,457,632</w:t>
            </w:r>
          </w:p>
        </w:tc>
        <w:tc>
          <w:tcPr>
            <w:tcW w:w="740" w:type="dxa"/>
            <w:vAlign w:val="bottom"/>
            <w:vMerge w:val="continue"/>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Subject to call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322,319</w:t>
            </w:r>
          </w:p>
        </w:tc>
        <w:tc>
          <w:tcPr>
            <w:tcW w:w="208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12.9%</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318,929</w:t>
            </w:r>
          </w:p>
        </w:tc>
        <w:tc>
          <w:tcPr>
            <w:tcW w:w="2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Fixed maturity securities valued at approximately $95.3 million and $71.9 million were on deposit with various governmental authorities at December 31, 2005 and 2004, respectively, as required by law.</w:t>
      </w:r>
    </w:p>
    <w:p>
      <w:pPr>
        <w:spacing w:after="0" w:line="62"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w:t>
      </w:r>
    </w:p>
    <w:p>
      <w:pPr>
        <w:spacing w:after="0" w:line="62" w:lineRule="exact"/>
        <w:rPr>
          <w:sz w:val="20"/>
          <w:szCs w:val="20"/>
          <w:color w:val="auto"/>
        </w:rPr>
      </w:pPr>
    </w:p>
    <w:p>
      <w:pPr>
        <w:jc w:val="both"/>
        <w:ind w:right="180" w:firstLine="270"/>
        <w:spacing w:after="0" w:line="264" w:lineRule="auto"/>
        <w:rPr>
          <w:sz w:val="20"/>
          <w:szCs w:val="20"/>
          <w:color w:val="auto"/>
        </w:rPr>
      </w:pPr>
      <w:r>
        <w:rPr>
          <w:rFonts w:ascii="Arial" w:cs="Arial" w:eastAsia="Arial" w:hAnsi="Arial"/>
          <w:sz w:val="18"/>
          <w:szCs w:val="18"/>
          <w:color w:val="auto"/>
        </w:rPr>
        <w:t>Equity securities at December 31, 2005 and 2004 consist of investments in various industrial and miscellaneous other industry groups. At December 31, 2005, the Company held equity securities with a total cost of $185,651 and an aggregate fair value of $176,987. At December 31, 2004, the Company held equity securities with a total cost of $108,574 and an aggregate fair value of $115,070.</w:t>
      </w:r>
    </w:p>
    <w:p>
      <w:pPr>
        <w:spacing w:after="0" w:line="73" w:lineRule="exact"/>
        <w:rPr>
          <w:sz w:val="20"/>
          <w:szCs w:val="20"/>
          <w:color w:val="auto"/>
        </w:rPr>
      </w:pPr>
    </w:p>
    <w:p>
      <w:pPr>
        <w:ind w:right="160" w:firstLine="267"/>
        <w:spacing w:after="0" w:line="264" w:lineRule="auto"/>
        <w:rPr>
          <w:sz w:val="20"/>
          <w:szCs w:val="20"/>
          <w:color w:val="auto"/>
        </w:rPr>
      </w:pPr>
      <w:r>
        <w:rPr>
          <w:rFonts w:ascii="Arial" w:cs="Arial" w:eastAsia="Arial" w:hAnsi="Arial"/>
          <w:sz w:val="18"/>
          <w:szCs w:val="18"/>
          <w:color w:val="auto"/>
        </w:rPr>
        <w:t>The carrying value of the Company’s investment in equity securities is fair value. As of December 31, 2005, gross unrealized gains and gross unrealized losses on equity securities were $7.2 million and $15.9 million, respectively. Gross unrealized gains and gross unrealized losses on equity securities were $9.8 million and $3.3 million, respectively, as of December 31, 2004.</w:t>
      </w:r>
    </w:p>
    <w:p>
      <w:pPr>
        <w:spacing w:after="0" w:line="73" w:lineRule="exact"/>
        <w:rPr>
          <w:sz w:val="20"/>
          <w:szCs w:val="20"/>
          <w:color w:val="auto"/>
        </w:rPr>
      </w:pPr>
    </w:p>
    <w:p>
      <w:pPr>
        <w:ind w:right="180" w:firstLine="267"/>
        <w:spacing w:after="0" w:line="277" w:lineRule="auto"/>
        <w:rPr>
          <w:sz w:val="20"/>
          <w:szCs w:val="20"/>
          <w:color w:val="auto"/>
        </w:rPr>
      </w:pPr>
      <w:r>
        <w:rPr>
          <w:rFonts w:ascii="Arial" w:cs="Arial" w:eastAsia="Arial" w:hAnsi="Arial"/>
          <w:sz w:val="18"/>
          <w:szCs w:val="18"/>
          <w:color w:val="auto"/>
        </w:rPr>
        <w:t>The change in unrealized gains (losses) on equity securities for the years ended December 31, 2005, 2004, and 2003 was $(15.2) million, $(4.5) million, and $(0.8) million, respectively.</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Interest and investment income consists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7"/>
              </w:rPr>
              <w:t>Year Ended December 31,</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56"/>
        </w:trPr>
        <w:tc>
          <w:tcPr>
            <w:tcW w:w="7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3"/>
                <w:szCs w:val="13"/>
                <w:color w:val="auto"/>
              </w:rPr>
            </w:pPr>
          </w:p>
        </w:tc>
      </w:tr>
      <w:tr>
        <w:trPr>
          <w:trHeight w:val="156"/>
        </w:trPr>
        <w:tc>
          <w:tcPr>
            <w:tcW w:w="7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3"/>
          </w:tcPr>
          <w:p>
            <w:pPr>
              <w:jc w:val="right"/>
              <w:ind w:right="53"/>
              <w:spacing w:after="0" w:line="155" w:lineRule="exact"/>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13,987</w:t>
            </w:r>
          </w:p>
        </w:tc>
        <w:tc>
          <w:tcPr>
            <w:tcW w:w="8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1,909</w:t>
            </w:r>
          </w:p>
        </w:tc>
        <w:tc>
          <w:tcPr>
            <w:tcW w:w="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1,513</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Fixed maturity securities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70,924</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55,817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45,973</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1,749</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28,639</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5,435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5,594</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1,879</w:t>
            </w:r>
          </w:p>
        </w:tc>
      </w:tr>
      <w:tr>
        <w:trPr>
          <w:trHeight w:val="223"/>
        </w:trPr>
        <w:tc>
          <w:tcPr>
            <w:tcW w:w="70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118,084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64,885</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56,708</w:t>
            </w:r>
          </w:p>
        </w:tc>
        <w:tc>
          <w:tcPr>
            <w:tcW w:w="320" w:type="dxa"/>
            <w:vAlign w:val="bottom"/>
          </w:tcPr>
          <w:p>
            <w:pPr>
              <w:spacing w:after="0"/>
              <w:rPr>
                <w:sz w:val="19"/>
                <w:szCs w:val="19"/>
                <w:color w:val="auto"/>
              </w:rPr>
            </w:pPr>
          </w:p>
        </w:tc>
      </w:tr>
      <w:tr>
        <w:trPr>
          <w:trHeight w:val="21"/>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During the second quarter of 2005, the Company began lending fixed maturity and equity securities to financial institutions in short-term security lending transactions. The Company’s security lending policy requires that the cash received as collateral be 102% or more of the fair value of the loaned securities. These short-term security lending arrangements increase investment income with minimal risk. At December 31, 2005, the Company had security loans outstanding with a fair value of $120.2 million included in accounts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payable and accrued liabilities and the Company held cash in the amount of $124.3 million as collateral for the loaned securities.</w:t>
      </w:r>
    </w:p>
    <w:p>
      <w:pPr>
        <w:spacing w:after="0" w:line="117" w:lineRule="exact"/>
        <w:rPr>
          <w:sz w:val="20"/>
          <w:szCs w:val="20"/>
          <w:color w:val="auto"/>
        </w:rPr>
      </w:pPr>
    </w:p>
    <w:p>
      <w:pPr>
        <w:ind w:right="160" w:firstLine="270"/>
        <w:spacing w:after="0" w:line="312" w:lineRule="auto"/>
        <w:rPr>
          <w:sz w:val="20"/>
          <w:szCs w:val="20"/>
          <w:color w:val="auto"/>
        </w:rPr>
      </w:pPr>
      <w:r>
        <w:rPr>
          <w:rFonts w:ascii="Arial" w:cs="Arial" w:eastAsia="Arial" w:hAnsi="Arial"/>
          <w:sz w:val="16"/>
          <w:szCs w:val="16"/>
          <w:color w:val="auto"/>
        </w:rPr>
        <w:t>Net realized gains amounted to $44.7 million, $22.9 million, and $101.8 million for the years ended December 31, 2005, 2004, and 2003, respectively. Included in 2003 net realized gains is a $51.7 million realized gain as a result of InterActive Corp’s acquisition of Lending Tree Inc. and the subsequent sale of the Company’s InterActive Corp common stock and a realized gain of $21.8 million on the sale of New Century Financial Corporation common stock.</w:t>
      </w:r>
    </w:p>
    <w:p>
      <w:pPr>
        <w:spacing w:after="0" w:line="39" w:lineRule="exact"/>
        <w:rPr>
          <w:sz w:val="20"/>
          <w:szCs w:val="20"/>
          <w:color w:val="auto"/>
        </w:rPr>
      </w:pPr>
    </w:p>
    <w:p>
      <w:pPr>
        <w:ind w:right="200" w:firstLine="270"/>
        <w:spacing w:after="0" w:line="259" w:lineRule="auto"/>
        <w:rPr>
          <w:sz w:val="20"/>
          <w:szCs w:val="20"/>
          <w:color w:val="auto"/>
        </w:rPr>
      </w:pPr>
      <w:r>
        <w:rPr>
          <w:rFonts w:ascii="Arial" w:cs="Arial" w:eastAsia="Arial" w:hAnsi="Arial"/>
          <w:sz w:val="18"/>
          <w:szCs w:val="18"/>
          <w:color w:val="auto"/>
        </w:rPr>
        <w:t>During the years ended December 31, 2005, 2004, and 2003, gross realized gains on sales of fixed maturity securities considered available for sale were $4.7 million, $8.6 million, and $17.6 million, respectively; and gross realized losses were $1.3 million, $0.3 million, and $2.2 million, respectively. Gross proceeds from the sale of fixed maturity securities considered available for sale amounted to $1,889.9 million, $2,063.5 million, and $724.4 million during the years ended December 31, 2005, 2004, and 2003, respectively.</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During the years ended December 31, 2005, 2004, and 2003, gross realized gains on sales of equity securities considered available for sale were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$48.7 million, $30.6 million, and $98.9 million, respectively; and gross realized losses were $26.1 million, $23.4 million, and $7.8 million, respectively.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Gross proceeds from the sale of equity securities amounted to $520.7 million, $622.9 million, and $760.9 million during the years ended December 31, 2005,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2004, and 2003, respectively.</w:t>
      </w:r>
    </w:p>
    <w:p>
      <w:pPr>
        <w:spacing w:after="0" w:line="103" w:lineRule="exact"/>
        <w:rPr>
          <w:sz w:val="20"/>
          <w:szCs w:val="20"/>
          <w:color w:val="auto"/>
        </w:rPr>
      </w:pPr>
    </w:p>
    <w:p>
      <w:pPr>
        <w:ind w:right="380" w:firstLine="270"/>
        <w:spacing w:after="0" w:line="308" w:lineRule="auto"/>
        <w:rPr>
          <w:sz w:val="20"/>
          <w:szCs w:val="20"/>
          <w:color w:val="auto"/>
        </w:rPr>
      </w:pPr>
      <w:r>
        <w:rPr>
          <w:rFonts w:ascii="Arial" w:cs="Arial" w:eastAsia="Arial" w:hAnsi="Arial"/>
          <w:sz w:val="17"/>
          <w:szCs w:val="17"/>
          <w:color w:val="auto"/>
        </w:rPr>
        <w:t>Gross unrealized losses on investment securities and the fair value of the related securities, aggregated by investment category and length of time that individual securities have been in a continuous unrealized loss position at December 31, 2005 and 2004 were as follows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Less than 12 Months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12 Months or Longer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4"/>
                <w:szCs w:val="14"/>
                <w:b w:val="1"/>
                <w:bCs w:val="1"/>
                <w:color w:val="auto"/>
                <w:w w:val="98"/>
              </w:rPr>
              <w:t>Fair Value</w:t>
            </w: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61"/>
              <w:spacing w:after="0" w:line="133"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8"/>
              </w:rPr>
              <w:t>Fair Value</w:t>
            </w: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1"/>
              <w:spacing w:after="0" w:line="133" w:lineRule="exact"/>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5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61"/>
              <w:spacing w:after="0" w:line="133"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3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4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U.S. government and agencies</w:t>
            </w:r>
          </w:p>
        </w:tc>
        <w:tc>
          <w:tcPr>
            <w:tcW w:w="3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322,998</w:t>
            </w:r>
          </w:p>
        </w:tc>
        <w:tc>
          <w:tcPr>
            <w:tcW w:w="64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(6,429)</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512,611</w:t>
            </w:r>
          </w:p>
        </w:tc>
        <w:tc>
          <w:tcPr>
            <w:tcW w:w="260" w:type="dxa"/>
            <w:vAlign w:val="bottom"/>
            <w:tcBorders>
              <w:left w:val="single" w:sz="8" w:color="CCEEFF"/>
            </w:tcBorders>
            <w:shd w:val="clear" w:color="auto" w:fill="CCEEFF"/>
          </w:tcPr>
          <w:p>
            <w:pPr>
              <w:spacing w:after="0"/>
              <w:rPr>
                <w:sz w:val="17"/>
                <w:szCs w:val="17"/>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(9,826)</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835,609</w:t>
            </w:r>
          </w:p>
        </w:tc>
        <w:tc>
          <w:tcPr>
            <w:tcW w:w="6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(16,255)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tcPr>
          <w:p>
            <w:pPr>
              <w:spacing w:after="0"/>
              <w:rPr>
                <w:sz w:val="20"/>
                <w:szCs w:val="20"/>
                <w:color w:val="auto"/>
              </w:rPr>
            </w:pPr>
            <w:r>
              <w:rPr>
                <w:rFonts w:ascii="Arial" w:cs="Arial" w:eastAsia="Arial" w:hAnsi="Arial"/>
                <w:sz w:val="16"/>
                <w:szCs w:val="16"/>
                <w:color w:val="auto"/>
              </w:rPr>
              <w:t>States and political subdivisions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560,521</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(6,187)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196,729</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(4,756)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757,250</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(10,943)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Corporate debt securities</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250,163</w:t>
            </w:r>
          </w:p>
        </w:tc>
        <w:tc>
          <w:tcPr>
            <w:tcW w:w="52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(5,218)</w:t>
            </w: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274,974</w:t>
            </w:r>
          </w:p>
        </w:tc>
        <w:tc>
          <w:tcPr>
            <w:tcW w:w="260" w:type="dxa"/>
            <w:vAlign w:val="bottom"/>
            <w:tcBorders>
              <w:lef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(6,623)</w:t>
            </w: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525,137</w:t>
            </w:r>
          </w:p>
        </w:tc>
        <w:tc>
          <w:tcPr>
            <w:tcW w:w="5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(11,841)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tcPr>
          <w:p>
            <w:pPr>
              <w:spacing w:after="0"/>
              <w:rPr>
                <w:sz w:val="20"/>
                <w:szCs w:val="20"/>
                <w:color w:val="auto"/>
              </w:rPr>
            </w:pPr>
            <w:r>
              <w:rPr>
                <w:rFonts w:ascii="Arial" w:cs="Arial" w:eastAsia="Arial" w:hAnsi="Arial"/>
                <w:sz w:val="16"/>
                <w:szCs w:val="16"/>
                <w:color w:val="auto"/>
              </w:rPr>
              <w:t>Equity securities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79,560</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(15,500)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6,330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(448)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85,890</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(15,948)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Foreign government bonds</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19,766</w:t>
            </w:r>
          </w:p>
        </w:tc>
        <w:tc>
          <w:tcPr>
            <w:tcW w:w="52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(264)</w:t>
            </w: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19,766</w:t>
            </w:r>
          </w:p>
        </w:tc>
        <w:tc>
          <w:tcPr>
            <w:tcW w:w="5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0"/>
        </w:trPr>
        <w:tc>
          <w:tcPr>
            <w:tcW w:w="2360" w:type="dxa"/>
            <w:vAlign w:val="bottom"/>
            <w:gridSpan w:val="2"/>
            <w:vMerge w:val="restart"/>
          </w:tcPr>
          <w:p>
            <w:pPr>
              <w:spacing w:after="0"/>
              <w:rPr>
                <w:sz w:val="20"/>
                <w:szCs w:val="20"/>
                <w:color w:val="auto"/>
              </w:rPr>
            </w:pPr>
            <w:r>
              <w:rPr>
                <w:rFonts w:ascii="Arial" w:cs="Arial" w:eastAsia="Arial" w:hAnsi="Arial"/>
                <w:sz w:val="16"/>
                <w:szCs w:val="16"/>
                <w:color w:val="auto"/>
                <w:w w:val="92"/>
              </w:rPr>
              <w:t>Total temporary impaired securities</w:t>
            </w: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360" w:type="dxa"/>
            <w:vAlign w:val="bottom"/>
            <w:gridSpan w:val="2"/>
            <w:vMerge w:val="continue"/>
          </w:tcPr>
          <w:p>
            <w:pPr>
              <w:spacing w:after="0"/>
              <w:rPr>
                <w:sz w:val="17"/>
                <w:szCs w:val="17"/>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1,233,008</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(33,598)</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990,644</w:t>
            </w:r>
          </w:p>
        </w:tc>
        <w:tc>
          <w:tcPr>
            <w:tcW w:w="260" w:type="dxa"/>
            <w:vAlign w:val="bottom"/>
          </w:tcPr>
          <w:p>
            <w:pPr>
              <w:spacing w:after="0"/>
              <w:rPr>
                <w:sz w:val="17"/>
                <w:szCs w:val="17"/>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(21,653)</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2,223,652</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(55,251)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Borders>
              <w:top w:val="single" w:sz="8" w:color="auto"/>
              <w:bottom w:val="single" w:sz="8" w:color="auto"/>
            </w:tcBorders>
            <w:gridSpan w:val="2"/>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520" w:type="dxa"/>
            <w:vAlign w:val="bottom"/>
            <w:gridSpan w:val="2"/>
          </w:tcPr>
          <w:p>
            <w:pPr>
              <w:spacing w:after="0"/>
              <w:rPr>
                <w:sz w:val="2"/>
                <w:szCs w:val="2"/>
                <w:color w:val="auto"/>
              </w:rPr>
            </w:pPr>
          </w:p>
        </w:tc>
        <w:tc>
          <w:tcPr>
            <w:tcW w:w="960" w:type="dxa"/>
            <w:vAlign w:val="bottom"/>
            <w:tcBorders>
              <w:top w:val="single" w:sz="8" w:color="auto"/>
              <w:bottom w:val="single" w:sz="8" w:color="auto"/>
            </w:tcBorders>
            <w:gridSpan w:val="2"/>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Less than 12 Months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12 Months or Longer</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4"/>
                <w:szCs w:val="14"/>
                <w:b w:val="1"/>
                <w:bCs w:val="1"/>
                <w:color w:val="auto"/>
                <w:w w:val="98"/>
              </w:rPr>
              <w:t>Fair Value</w:t>
            </w: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41"/>
              <w:spacing w:after="0" w:line="133"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21"/>
              <w:spacing w:after="0" w:line="133"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5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61"/>
              <w:spacing w:after="0" w:line="133"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3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4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U.S. government and agencies</w:t>
            </w:r>
          </w:p>
        </w:tc>
        <w:tc>
          <w:tcPr>
            <w:tcW w:w="3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576,655</w:t>
            </w:r>
          </w:p>
        </w:tc>
        <w:tc>
          <w:tcPr>
            <w:tcW w:w="6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(2,725)</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40,517</w:t>
            </w:r>
          </w:p>
        </w:tc>
        <w:tc>
          <w:tcPr>
            <w:tcW w:w="260" w:type="dxa"/>
            <w:vAlign w:val="bottom"/>
            <w:tcBorders>
              <w:left w:val="single" w:sz="8" w:color="CCEEFF"/>
            </w:tcBorders>
            <w:shd w:val="clear" w:color="auto" w:fill="CCEEFF"/>
          </w:tcPr>
          <w:p>
            <w:pPr>
              <w:spacing w:after="0"/>
              <w:rPr>
                <w:sz w:val="17"/>
                <w:szCs w:val="17"/>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(211)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617,172</w:t>
            </w:r>
          </w:p>
        </w:tc>
        <w:tc>
          <w:tcPr>
            <w:tcW w:w="6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tcPr>
          <w:p>
            <w:pPr>
              <w:spacing w:after="0"/>
              <w:rPr>
                <w:sz w:val="20"/>
                <w:szCs w:val="20"/>
                <w:color w:val="auto"/>
              </w:rPr>
            </w:pPr>
            <w:r>
              <w:rPr>
                <w:rFonts w:ascii="Arial" w:cs="Arial" w:eastAsia="Arial" w:hAnsi="Arial"/>
                <w:sz w:val="16"/>
                <w:szCs w:val="16"/>
                <w:color w:val="auto"/>
              </w:rPr>
              <w:t>States and political subdivisions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286,222</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(2,609)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39,019</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(462)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325,241</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(3,071)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Mortgage-backed securities</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22,309</w:t>
            </w:r>
          </w:p>
        </w:tc>
        <w:tc>
          <w:tcPr>
            <w:tcW w:w="52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(170)</w:t>
            </w: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22,309</w:t>
            </w:r>
          </w:p>
        </w:tc>
        <w:tc>
          <w:tcPr>
            <w:tcW w:w="5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tcPr>
          <w:p>
            <w:pPr>
              <w:spacing w:after="0"/>
              <w:rPr>
                <w:sz w:val="20"/>
                <w:szCs w:val="20"/>
                <w:color w:val="auto"/>
              </w:rPr>
            </w:pPr>
            <w:r>
              <w:rPr>
                <w:rFonts w:ascii="Arial" w:cs="Arial" w:eastAsia="Arial" w:hAnsi="Arial"/>
                <w:sz w:val="16"/>
                <w:szCs w:val="16"/>
                <w:color w:val="auto"/>
              </w:rPr>
              <w:t>Corporate debt securities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242,147</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(2,615)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114,808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(1,794)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356,955</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(4,409)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64,739</w:t>
            </w:r>
          </w:p>
        </w:tc>
        <w:tc>
          <w:tcPr>
            <w:tcW w:w="52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(1,998)</w:t>
            </w: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33,554</w:t>
            </w:r>
          </w:p>
        </w:tc>
        <w:tc>
          <w:tcPr>
            <w:tcW w:w="260" w:type="dxa"/>
            <w:vAlign w:val="bottom"/>
            <w:tcBorders>
              <w:lef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(1,332)</w:t>
            </w: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98,293</w:t>
            </w:r>
          </w:p>
        </w:tc>
        <w:tc>
          <w:tcPr>
            <w:tcW w:w="5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(3,330)</w:t>
            </w:r>
          </w:p>
        </w:tc>
        <w:tc>
          <w:tcPr>
            <w:tcW w:w="0" w:type="dxa"/>
            <w:vAlign w:val="bottom"/>
          </w:tcPr>
          <w:p>
            <w:pPr>
              <w:spacing w:after="0"/>
              <w:rPr>
                <w:sz w:val="1"/>
                <w:szCs w:val="1"/>
                <w:color w:val="auto"/>
              </w:rPr>
            </w:pPr>
          </w:p>
        </w:tc>
      </w:tr>
      <w:tr>
        <w:trPr>
          <w:trHeight w:val="20"/>
        </w:trPr>
        <w:tc>
          <w:tcPr>
            <w:tcW w:w="2360" w:type="dxa"/>
            <w:vAlign w:val="bottom"/>
            <w:gridSpan w:val="2"/>
            <w:vMerge w:val="restart"/>
          </w:tcPr>
          <w:p>
            <w:pPr>
              <w:spacing w:after="0"/>
              <w:rPr>
                <w:sz w:val="20"/>
                <w:szCs w:val="20"/>
                <w:color w:val="auto"/>
              </w:rPr>
            </w:pPr>
            <w:r>
              <w:rPr>
                <w:rFonts w:ascii="Arial" w:cs="Arial" w:eastAsia="Arial" w:hAnsi="Arial"/>
                <w:sz w:val="16"/>
                <w:szCs w:val="16"/>
                <w:color w:val="auto"/>
                <w:w w:val="92"/>
              </w:rPr>
              <w:t>Total temporary impaired securities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360" w:type="dxa"/>
            <w:vAlign w:val="bottom"/>
            <w:gridSpan w:val="2"/>
            <w:vMerge w:val="continue"/>
          </w:tcPr>
          <w:p>
            <w:pPr>
              <w:spacing w:after="0"/>
              <w:rPr>
                <w:sz w:val="17"/>
                <w:szCs w:val="17"/>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1,192,072</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(10,117)</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227,898</w:t>
            </w:r>
          </w:p>
        </w:tc>
        <w:tc>
          <w:tcPr>
            <w:tcW w:w="260" w:type="dxa"/>
            <w:vAlign w:val="bottom"/>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(3,799)</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1,419,970</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(13,916)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337" w:lineRule="exact"/>
        <w:rPr>
          <w:sz w:val="20"/>
          <w:szCs w:val="20"/>
          <w:color w:val="auto"/>
        </w:rPr>
      </w:pPr>
    </w:p>
    <w:p>
      <w:pPr>
        <w:ind w:right="20" w:firstLine="260"/>
        <w:spacing w:after="0" w:line="272" w:lineRule="auto"/>
        <w:rPr>
          <w:sz w:val="20"/>
          <w:szCs w:val="20"/>
          <w:color w:val="auto"/>
        </w:rPr>
      </w:pPr>
      <w:r>
        <w:rPr>
          <w:rFonts w:ascii="Arial" w:cs="Arial" w:eastAsia="Arial" w:hAnsi="Arial"/>
          <w:sz w:val="17"/>
          <w:szCs w:val="17"/>
          <w:color w:val="auto"/>
        </w:rPr>
        <w:t>A substantial portion of the Company’s unrealized losses relate to its holdings of debt securities. Unrealized losses relating to U.S. government, state and political subdivision and fixed maturity corporate holdings were primarily caused by interest rate increases. Since the decline in fair value of these investments is attributable to changes in interest rates and not credit quality, and the Company has the intent and ability to hold these securities, the Company does not consider these investments other-than-temporarily impaired. The unrealized losses relating to equity securities were caused by market changes that the Company considers to be temporary. During 2005, the Company recorded an impairment charge on two investments that it considered to be other-than-temporarily impaired, which resulted in a charge of $6.9 million. During 2004, the Company incurred an impairment charge relating to two investments that it determined to be other than temporarily impaired, which resulted in a charge of $6.6 million.</w:t>
      </w:r>
    </w:p>
    <w:p>
      <w:pPr>
        <w:spacing w:after="0" w:line="174"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Property and equipment consists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ind w:left="654"/>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2004</w:t>
            </w:r>
          </w:p>
        </w:tc>
        <w:tc>
          <w:tcPr>
            <w:tcW w:w="2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Land</w:t>
            </w:r>
          </w:p>
        </w:tc>
        <w:tc>
          <w:tcPr>
            <w:tcW w:w="7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tcPr>
          <w:p>
            <w:pPr>
              <w:ind w:left="280"/>
              <w:spacing w:after="0"/>
              <w:rPr>
                <w:sz w:val="20"/>
                <w:szCs w:val="20"/>
                <w:color w:val="auto"/>
              </w:rPr>
            </w:pPr>
            <w:r>
              <w:rPr>
                <w:rFonts w:ascii="Arial" w:cs="Arial" w:eastAsia="Arial" w:hAnsi="Arial"/>
                <w:sz w:val="18"/>
                <w:szCs w:val="18"/>
                <w:color w:val="auto"/>
              </w:rPr>
              <w:t>Buildings</w:t>
            </w:r>
          </w:p>
        </w:tc>
        <w:tc>
          <w:tcPr>
            <w:tcW w:w="1300" w:type="dxa"/>
            <w:vAlign w:val="bottom"/>
            <w:gridSpan w:val="2"/>
          </w:tcPr>
          <w:p>
            <w:pPr>
              <w:jc w:val="right"/>
              <w:ind w:right="308"/>
              <w:spacing w:after="0"/>
              <w:rPr>
                <w:sz w:val="20"/>
                <w:szCs w:val="20"/>
                <w:color w:val="auto"/>
              </w:rPr>
            </w:pPr>
            <w:r>
              <w:rPr>
                <w:rFonts w:ascii="Arial" w:cs="Arial" w:eastAsia="Arial" w:hAnsi="Arial"/>
                <w:sz w:val="18"/>
                <w:szCs w:val="18"/>
                <w:color w:val="auto"/>
              </w:rPr>
              <w:t>12,077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22,726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Leasehold improvements</w:t>
            </w:r>
          </w:p>
        </w:tc>
        <w:tc>
          <w:tcPr>
            <w:tcW w:w="13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72,575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71,475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3"/>
          </w:tcPr>
          <w:p>
            <w:pPr>
              <w:ind w:left="280"/>
              <w:spacing w:after="0"/>
              <w:rPr>
                <w:sz w:val="20"/>
                <w:szCs w:val="20"/>
                <w:color w:val="auto"/>
              </w:rPr>
            </w:pPr>
            <w:r>
              <w:rPr>
                <w:rFonts w:ascii="Arial" w:cs="Arial" w:eastAsia="Arial" w:hAnsi="Arial"/>
                <w:sz w:val="18"/>
                <w:szCs w:val="18"/>
                <w:color w:val="auto"/>
              </w:rPr>
              <w:t>Furniture, fixtures and equipment</w:t>
            </w:r>
          </w:p>
        </w:tc>
        <w:tc>
          <w:tcPr>
            <w:tcW w:w="920" w:type="dxa"/>
            <w:vAlign w:val="bottom"/>
          </w:tcPr>
          <w:p>
            <w:pPr>
              <w:jc w:val="right"/>
              <w:spacing w:after="0"/>
              <w:rPr>
                <w:sz w:val="20"/>
                <w:szCs w:val="20"/>
                <w:color w:val="auto"/>
              </w:rPr>
            </w:pPr>
            <w:r>
              <w:rPr>
                <w:rFonts w:ascii="Arial" w:cs="Arial" w:eastAsia="Arial" w:hAnsi="Arial"/>
                <w:sz w:val="18"/>
                <w:szCs w:val="18"/>
                <w:color w:val="auto"/>
              </w:rPr>
              <w:t>364,619</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348,229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450,380</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446,398</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280"/>
              <w:spacing w:after="0"/>
              <w:rPr>
                <w:sz w:val="20"/>
                <w:szCs w:val="20"/>
                <w:color w:val="auto"/>
              </w:rPr>
            </w:pPr>
            <w:r>
              <w:rPr>
                <w:rFonts w:ascii="Arial" w:cs="Arial" w:eastAsia="Arial" w:hAnsi="Arial"/>
                <w:sz w:val="18"/>
                <w:szCs w:val="18"/>
                <w:color w:val="auto"/>
              </w:rPr>
              <w:t>Accumulated depreciation and amortization</w:t>
            </w:r>
          </w:p>
        </w:tc>
        <w:tc>
          <w:tcPr>
            <w:tcW w:w="260" w:type="dxa"/>
            <w:vAlign w:val="bottom"/>
          </w:tcPr>
          <w:p>
            <w:pPr>
              <w:spacing w:after="0"/>
              <w:rPr>
                <w:sz w:val="18"/>
                <w:szCs w:val="18"/>
                <w:color w:val="auto"/>
              </w:rPr>
            </w:pPr>
          </w:p>
        </w:tc>
        <w:tc>
          <w:tcPr>
            <w:tcW w:w="1300" w:type="dxa"/>
            <w:vAlign w:val="bottom"/>
            <w:gridSpan w:val="2"/>
          </w:tcPr>
          <w:p>
            <w:pPr>
              <w:jc w:val="right"/>
              <w:ind w:right="248"/>
              <w:spacing w:after="0"/>
              <w:rPr>
                <w:sz w:val="20"/>
                <w:szCs w:val="20"/>
                <w:color w:val="auto"/>
              </w:rPr>
            </w:pPr>
            <w:r>
              <w:rPr>
                <w:rFonts w:ascii="Arial" w:cs="Arial" w:eastAsia="Arial" w:hAnsi="Arial"/>
                <w:sz w:val="18"/>
                <w:szCs w:val="18"/>
                <w:color w:val="auto"/>
              </w:rPr>
              <w:t>(293,428)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(281,482)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156,952</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164,916</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0" w:type="dxa"/>
            <w:vAlign w:val="bottom"/>
            <w:gridSpan w:val="2"/>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20" w:type="dxa"/>
            <w:vAlign w:val="bottom"/>
            <w:gridSpan w:val="2"/>
          </w:tcPr>
          <w:p>
            <w:pPr>
              <w:spacing w:after="0"/>
              <w:rPr>
                <w:sz w:val="20"/>
                <w:szCs w:val="20"/>
                <w:color w:val="auto"/>
              </w:rPr>
            </w:pPr>
            <w:r>
              <w:rPr>
                <w:rFonts w:ascii="Arial" w:cs="Arial" w:eastAsia="Arial" w:hAnsi="Arial"/>
                <w:sz w:val="18"/>
                <w:szCs w:val="18"/>
                <w:b w:val="1"/>
                <w:bCs w:val="1"/>
                <w:color w:val="auto"/>
              </w:rPr>
              <w:t>E.</w:t>
            </w:r>
          </w:p>
        </w:tc>
        <w:tc>
          <w:tcPr>
            <w:tcW w:w="7680" w:type="dxa"/>
            <w:vAlign w:val="bottom"/>
            <w:gridSpan w:val="2"/>
          </w:tcPr>
          <w:p>
            <w:pPr>
              <w:jc w:val="right"/>
              <w:ind w:right="6850"/>
              <w:spacing w:after="0"/>
              <w:rPr>
                <w:sz w:val="20"/>
                <w:szCs w:val="20"/>
                <w:color w:val="auto"/>
              </w:rPr>
            </w:pPr>
            <w:r>
              <w:rPr>
                <w:rFonts w:ascii="Arial" w:cs="Arial" w:eastAsia="Arial" w:hAnsi="Arial"/>
                <w:sz w:val="18"/>
                <w:szCs w:val="18"/>
                <w:b w:val="1"/>
                <w:bCs w:val="1"/>
                <w:color w:val="auto"/>
                <w:w w:val="94"/>
              </w:rPr>
              <w:t>Goodwill</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080" w:type="dxa"/>
            <w:vAlign w:val="bottom"/>
            <w:gridSpan w:val="3"/>
          </w:tcPr>
          <w:p>
            <w:pPr>
              <w:ind w:left="260"/>
              <w:spacing w:after="0"/>
              <w:rPr>
                <w:sz w:val="20"/>
                <w:szCs w:val="20"/>
                <w:color w:val="auto"/>
              </w:rPr>
            </w:pPr>
            <w:r>
              <w:rPr>
                <w:rFonts w:ascii="Arial" w:cs="Arial" w:eastAsia="Arial" w:hAnsi="Arial"/>
                <w:sz w:val="18"/>
                <w:szCs w:val="18"/>
                <w:color w:val="auto"/>
              </w:rPr>
              <w:t>Goodwill consists of the following (in thousands):</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8080" w:type="dxa"/>
            <w:vAlign w:val="bottom"/>
            <w:gridSpan w:val="3"/>
          </w:tcPr>
          <w:p>
            <w:pPr>
              <w:spacing w:after="0"/>
              <w:rPr>
                <w:sz w:val="10"/>
                <w:szCs w:val="10"/>
                <w:color w:val="auto"/>
              </w:rPr>
            </w:pPr>
          </w:p>
        </w:tc>
        <w:tc>
          <w:tcPr>
            <w:tcW w:w="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920,278</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Goodwill acquired during the year</w:t>
            </w: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959,600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Goodwill acquired during the year</w:t>
            </w: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91,926</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1,051,526</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20" w:type="dxa"/>
            <w:vAlign w:val="bottom"/>
            <w:vMerge w:val="restart"/>
          </w:tcPr>
          <w:p>
            <w:pPr>
              <w:jc w:val="right"/>
              <w:ind w:right="195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4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00" w:lineRule="exact"/>
        <w:rPr>
          <w:sz w:val="20"/>
          <w:szCs w:val="20"/>
          <w:color w:val="auto"/>
        </w:rPr>
      </w:pPr>
    </w:p>
    <w:p>
      <w:pPr>
        <w:spacing w:after="0" w:line="241"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Liabilities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Accounts payable and accrued liabilities consist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385"/>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388"/>
              <w:spacing w:after="0" w:line="155" w:lineRule="exact"/>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w w:val="89"/>
              </w:rPr>
              <w:t>2004</w:t>
            </w:r>
          </w:p>
        </w:tc>
        <w:tc>
          <w:tcPr>
            <w:tcW w:w="20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20" w:type="dxa"/>
            <w:vAlign w:val="bottom"/>
            <w:gridSpan w:val="4"/>
          </w:tcPr>
          <w:p>
            <w:pPr>
              <w:jc w:val="right"/>
              <w:ind w:right="125"/>
              <w:spacing w:after="0" w:line="155"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benefits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238,058</w:t>
            </w:r>
          </w:p>
        </w:tc>
        <w:tc>
          <w:tcPr>
            <w:tcW w:w="78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218,121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Salaries and incentives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197,565</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186,057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recording fees and transfer taxes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45,857</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48,827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Accrued premium taxes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31,937</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24,343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31,414</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33,958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Security loans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120,184</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125,583</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92,399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790,598</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603,705</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w:t>
            </w:r>
          </w:p>
        </w:tc>
        <w:tc>
          <w:tcPr>
            <w:tcW w:w="644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Notes Payable</w:t>
            </w: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40" w:type="dxa"/>
            <w:vAlign w:val="bottom"/>
            <w:gridSpan w:val="2"/>
            <w:vMerge w:val="continue"/>
          </w:tcPr>
          <w:p>
            <w:pPr>
              <w:spacing w:after="0"/>
              <w:rPr>
                <w:sz w:val="24"/>
                <w:szCs w:val="24"/>
                <w:color w:val="auto"/>
              </w:rPr>
            </w:pPr>
          </w:p>
        </w:tc>
        <w:tc>
          <w:tcPr>
            <w:tcW w:w="6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40" w:type="dxa"/>
            <w:vAlign w:val="bottom"/>
          </w:tcPr>
          <w:p>
            <w:pPr>
              <w:ind w:left="40"/>
              <w:spacing w:after="0"/>
              <w:rPr>
                <w:sz w:val="20"/>
                <w:szCs w:val="20"/>
                <w:color w:val="auto"/>
              </w:rPr>
            </w:pPr>
            <w:r>
              <w:rPr>
                <w:rFonts w:ascii="Arial" w:cs="Arial" w:eastAsia="Arial" w:hAnsi="Arial"/>
                <w:sz w:val="18"/>
                <w:szCs w:val="18"/>
                <w:color w:val="auto"/>
              </w:rPr>
              <w:t>Notes payable consist of the following (in thousands):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60" w:type="dxa"/>
            <w:vAlign w:val="bottom"/>
            <w:gridSpan w:val="5"/>
          </w:tcPr>
          <w:p>
            <w:pPr>
              <w:jc w:val="right"/>
              <w:ind w:right="1320"/>
              <w:spacing w:after="0"/>
              <w:rPr>
                <w:sz w:val="20"/>
                <w:szCs w:val="20"/>
                <w:color w:val="auto"/>
              </w:rPr>
            </w:pPr>
            <w:r>
              <w:rPr>
                <w:rFonts w:ascii="Arial" w:cs="Arial" w:eastAsia="Arial" w:hAnsi="Arial"/>
                <w:sz w:val="14"/>
                <w:szCs w:val="14"/>
                <w:b w:val="1"/>
                <w:bCs w:val="1"/>
                <w:color w:val="auto"/>
              </w:rPr>
              <w:t>December 31,</w:t>
            </w:r>
          </w:p>
        </w:tc>
        <w:tc>
          <w:tcPr>
            <w:tcW w:w="202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48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Unsecured note due to FNF, net of discount, interest payable semiannually at 7.3%, due</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August, 2011</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gridSpan w:val="4"/>
            <w:shd w:val="clear" w:color="auto" w:fill="CCEEFF"/>
          </w:tcPr>
          <w:p>
            <w:pPr>
              <w:jc w:val="right"/>
              <w:ind w:right="488"/>
              <w:spacing w:after="0"/>
              <w:rPr>
                <w:sz w:val="20"/>
                <w:szCs w:val="20"/>
                <w:color w:val="auto"/>
              </w:rPr>
            </w:pPr>
            <w:r>
              <w:rPr>
                <w:rFonts w:ascii="Arial" w:cs="Arial" w:eastAsia="Arial" w:hAnsi="Arial"/>
                <w:sz w:val="18"/>
                <w:szCs w:val="18"/>
                <w:color w:val="auto"/>
              </w:rPr>
              <w:t>249,337</w:t>
            </w:r>
          </w:p>
        </w:tc>
        <w:tc>
          <w:tcPr>
            <w:tcW w:w="4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gridSpan w:val="2"/>
          </w:tcPr>
          <w:p>
            <w:pPr>
              <w:spacing w:after="0" w:line="201" w:lineRule="exact"/>
              <w:rPr>
                <w:sz w:val="20"/>
                <w:szCs w:val="20"/>
                <w:color w:val="auto"/>
              </w:rPr>
            </w:pPr>
            <w:r>
              <w:rPr>
                <w:rFonts w:ascii="Arial" w:cs="Arial" w:eastAsia="Arial" w:hAnsi="Arial"/>
                <w:sz w:val="18"/>
                <w:szCs w:val="18"/>
                <w:color w:val="auto"/>
                <w:w w:val="93"/>
              </w:rPr>
              <w:t>Unsecured note due to FNF, net of discount, interest payable semiannually at 5.25%, due</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gridSpan w:val="2"/>
          </w:tcPr>
          <w:p>
            <w:pPr>
              <w:ind w:left="120"/>
              <w:spacing w:after="0"/>
              <w:rPr>
                <w:sz w:val="20"/>
                <w:szCs w:val="20"/>
                <w:color w:val="auto"/>
              </w:rPr>
            </w:pPr>
            <w:r>
              <w:rPr>
                <w:rFonts w:ascii="Arial" w:cs="Arial" w:eastAsia="Arial" w:hAnsi="Arial"/>
                <w:sz w:val="18"/>
                <w:szCs w:val="18"/>
                <w:color w:val="auto"/>
              </w:rPr>
              <w:t>March, 2013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4"/>
          </w:tcPr>
          <w:p>
            <w:pPr>
              <w:jc w:val="right"/>
              <w:ind w:right="488"/>
              <w:spacing w:after="0"/>
              <w:rPr>
                <w:sz w:val="20"/>
                <w:szCs w:val="20"/>
                <w:color w:val="auto"/>
              </w:rPr>
            </w:pPr>
            <w:r>
              <w:rPr>
                <w:rFonts w:ascii="Arial" w:cs="Arial" w:eastAsia="Arial" w:hAnsi="Arial"/>
                <w:sz w:val="18"/>
                <w:szCs w:val="18"/>
                <w:color w:val="auto"/>
              </w:rPr>
              <w:t>248,463</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Syndicated credit agreement, unsecured, interest due monthly at LIBOR plus 0.50%,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(4.87% at December 31, 2005), unused portion of $300,000 at December 31, 2005</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gridSpan w:val="4"/>
            <w:shd w:val="clear" w:color="auto" w:fill="CCEEFF"/>
          </w:tcPr>
          <w:p>
            <w:pPr>
              <w:jc w:val="right"/>
              <w:ind w:right="488"/>
              <w:spacing w:after="0"/>
              <w:rPr>
                <w:sz w:val="20"/>
                <w:szCs w:val="20"/>
                <w:color w:val="auto"/>
              </w:rPr>
            </w:pPr>
            <w:r>
              <w:rPr>
                <w:rFonts w:ascii="Arial" w:cs="Arial" w:eastAsia="Arial" w:hAnsi="Arial"/>
                <w:sz w:val="18"/>
                <w:szCs w:val="18"/>
                <w:color w:val="auto"/>
              </w:rPr>
              <w:t>100,000</w:t>
            </w:r>
          </w:p>
        </w:tc>
        <w:tc>
          <w:tcPr>
            <w:tcW w:w="4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Other promissory notes with various interest rates and maturities</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5,462</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22,390</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gridSpan w:val="4"/>
            <w:shd w:val="clear" w:color="auto" w:fill="CCEEFF"/>
          </w:tcPr>
          <w:p>
            <w:pPr>
              <w:jc w:val="right"/>
              <w:ind w:right="488"/>
              <w:spacing w:after="0"/>
              <w:rPr>
                <w:sz w:val="20"/>
                <w:szCs w:val="20"/>
                <w:color w:val="auto"/>
              </w:rPr>
            </w:pPr>
            <w:r>
              <w:rPr>
                <w:rFonts w:ascii="Arial" w:cs="Arial" w:eastAsia="Arial" w:hAnsi="Arial"/>
                <w:sz w:val="18"/>
                <w:szCs w:val="18"/>
                <w:color w:val="auto"/>
              </w:rPr>
              <w:t>603,262</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0"/>
              </w:rPr>
              <w:t>22,390</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80" w:firstLine="267"/>
        <w:spacing w:after="0" w:line="264" w:lineRule="auto"/>
        <w:rPr>
          <w:sz w:val="20"/>
          <w:szCs w:val="20"/>
          <w:color w:val="auto"/>
        </w:rPr>
      </w:pPr>
      <w:r>
        <w:rPr>
          <w:rFonts w:ascii="Arial" w:cs="Arial" w:eastAsia="Arial" w:hAnsi="Arial"/>
          <w:sz w:val="18"/>
          <w:szCs w:val="18"/>
          <w:color w:val="auto"/>
        </w:rPr>
        <w:t>The carrying value of the Company’s notes payable was approximately $22.5 million lower than its estimated fair value at December 31, 2005. At December 31, 2004, the carrying value of the Company’s outstanding notes approximated estimated fair value. The fair value of the Company’s unsecured notes payable is based on established market prices for the securities on December 31, 2005.</w:t>
      </w:r>
    </w:p>
    <w:p>
      <w:pPr>
        <w:spacing w:after="0" w:line="73" w:lineRule="exact"/>
        <w:rPr>
          <w:sz w:val="20"/>
          <w:szCs w:val="20"/>
          <w:color w:val="auto"/>
        </w:rPr>
      </w:pPr>
    </w:p>
    <w:p>
      <w:pPr>
        <w:ind w:right="40" w:firstLine="270"/>
        <w:spacing w:after="0" w:line="289" w:lineRule="auto"/>
        <w:rPr>
          <w:sz w:val="20"/>
          <w:szCs w:val="20"/>
          <w:color w:val="auto"/>
        </w:rPr>
      </w:pPr>
      <w:r>
        <w:rPr>
          <w:rFonts w:ascii="Arial" w:cs="Arial" w:eastAsia="Arial" w:hAnsi="Arial"/>
          <w:sz w:val="16"/>
          <w:szCs w:val="16"/>
          <w:color w:val="auto"/>
        </w:rPr>
        <w:t>In connection with the Distribution, the Company issued two $250 million intercompany notes payable to FNF (the “Mirror Notes”), with terms that mirror FNF’s existing $250 million 7.30% public debentures due in August 2011 and $250 million 5.25% public debentures due in March 2013. Original proceeds from the issuance of the 2011 public debentures were used by FNF to repay debt incurred in connection with the acquisition of the Company’s subsidiary, Chicago Title, and the original proceeds from the 2013 public debentures were used for general corporate purposes. Interest on each Mirror Note accrues from the last date on which interest on the corresponding FNF notes was paid and at the same rate. The Mirror Notes mature on the maturity dates of the corresponding FNF notes. Upon any acceleration of maturity of the FNF notes, whether upon redemption or an event of default of the FNF notes, FNT must repay the corresponding Mirror Note. Following issuance of the Mirror Notes, the Company filed a Registration Statement on Form S-4, pursuant to which the Company offered to exchange the outstanding FNF notes for notes FNT would issue having substantially the same terms and deliver the FNF notes received to FNF to reduce the debt under the intercompany notes. On January 17, the offers expired. As of that time, $241,347,000 aggregate principal</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amount of the 7.30% notes due 2011 and the entire $250,000,000 aggregate principal amount of the 5.25% notes due 2013 had been validly tendered and not withdrawn in the exchange offers. Following the completion of the exchange offers, the Company issued a new 7.30% Mirror Note due in 2011 in the amount of $8,653,000, which is outstanding at December 31, 2005 and represents the principal amount of the portion of the original Mirror Notes that was not exchanged.</w:t>
      </w:r>
    </w:p>
    <w:p>
      <w:pPr>
        <w:spacing w:after="0" w:line="79" w:lineRule="exact"/>
        <w:rPr>
          <w:sz w:val="20"/>
          <w:szCs w:val="20"/>
          <w:color w:val="auto"/>
        </w:rPr>
      </w:pPr>
    </w:p>
    <w:p>
      <w:pPr>
        <w:ind w:right="60" w:firstLine="270"/>
        <w:spacing w:after="0" w:line="270" w:lineRule="auto"/>
        <w:rPr>
          <w:sz w:val="20"/>
          <w:szCs w:val="20"/>
          <w:color w:val="auto"/>
        </w:rPr>
      </w:pPr>
      <w:r>
        <w:rPr>
          <w:rFonts w:ascii="Arial" w:cs="Arial" w:eastAsia="Arial" w:hAnsi="Arial"/>
          <w:sz w:val="17"/>
          <w:szCs w:val="17"/>
          <w:color w:val="auto"/>
        </w:rPr>
        <w:t>On October 17, 2005, the Company entered into a Credit Agreement, dated as of October 17, 2005, with Bank of America, N.A. as Administrative Agent and Swing Line Lender (the “Credit Agreement”), and the other financial institutions party thereto. The Credit Agreement provides for a $400 million unsecured revolving credit facility maturing on the fifth anniversary of the closing date. Amounts under the revolving credit facility may be borrowed, repaid and reborrowed by the borrowers thereunder from time to time until the maturity of the revolving credit facility. Voluntary prepayment of the revolving credit facility under the Credit Agreement is permitted at any time without fee upon proper notice and subject to a minimum dollar requirement. Revolving loans under the credit facility bear interest at a variable rate based on either (i) the higher of (a) a rate per annum equal to one-half of one percent in excess of the Federal Reserve’s Federal Funds rate, or (b) Bank of America’s “prime rate;” or (ii) a rate per annum equal to the British Bankers Association London Interbank Offered Rate (“LIBOR”) rate plus a margin of between .35%-1.25%, depending on the Company’s then current public debt credit rating from the rating agencies. In addition, the Company will pay a 0.15% commitment fee on the entire facility.</w:t>
      </w:r>
    </w:p>
    <w:p>
      <w:pPr>
        <w:spacing w:after="0" w:line="74" w:lineRule="exact"/>
        <w:rPr>
          <w:sz w:val="20"/>
          <w:szCs w:val="20"/>
          <w:color w:val="auto"/>
        </w:rPr>
      </w:pPr>
    </w:p>
    <w:p>
      <w:pPr>
        <w:ind w:firstLine="267"/>
        <w:spacing w:after="0" w:line="270" w:lineRule="auto"/>
        <w:rPr>
          <w:sz w:val="20"/>
          <w:szCs w:val="20"/>
          <w:color w:val="auto"/>
        </w:rPr>
      </w:pPr>
      <w:r>
        <w:rPr>
          <w:rFonts w:ascii="Arial" w:cs="Arial" w:eastAsia="Arial" w:hAnsi="Arial"/>
          <w:sz w:val="17"/>
          <w:szCs w:val="17"/>
          <w:color w:val="auto"/>
        </w:rPr>
        <w:t>The Credit Agreement contains affirmative, negative and financial covenants customary for financings of this type, including, among other things, limits on the creation of liens, limits on the incurrence of indebtedness, restrictions on investments, and limitations on restricted payments and transactions with affiliates. The Credit Agreement requires the Company to maintain investment grade debt ratings, certain financial ratios related to liquidity and statutory surplus and certain levels of capitalization. The Credit Agreement also includes customary events of default for facilities of this type (with customary grace periods, as applicable) and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Credit Agreement shall automatically become immediately due and payable, and the lenders’ commitments will automatically terminate. The Company’s management believes that the Company is in compliance with all covenants related to the Credit Agreement at December 31, 2005.</w:t>
      </w:r>
    </w:p>
    <w:p>
      <w:pPr>
        <w:spacing w:after="0" w:line="74"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color w:val="auto"/>
        </w:rPr>
        <w:t>During the fourth quarter of 2005, the Company borrowed $150 million under this facility and paid it to FNF in satisfaction of a $150 million intercompany note issued by one of the Company’s subsidiaries to FNF in August 2005. During the fourth quarter of 2005, the Company repaid $50 million of this amount.</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Principal maturities of notes payable at December 31, 2005, are as follows (dollars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2007</w:t>
            </w:r>
          </w:p>
        </w:tc>
        <w:tc>
          <w:tcPr>
            <w:tcW w:w="6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6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2009</w:t>
            </w:r>
          </w:p>
        </w:tc>
        <w:tc>
          <w:tcPr>
            <w:tcW w:w="6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Thereafter</w:t>
            </w:r>
          </w:p>
        </w:tc>
        <w:tc>
          <w:tcPr>
            <w:tcW w:w="6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497,800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603,262</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6520" w:type="dxa"/>
            <w:vAlign w:val="bottom"/>
            <w:vMerge w:val="restart"/>
          </w:tcPr>
          <w:p>
            <w:pPr>
              <w:jc w:val="right"/>
              <w:ind w:right="3830"/>
              <w:spacing w:after="0"/>
              <w:rPr>
                <w:sz w:val="20"/>
                <w:szCs w:val="20"/>
                <w:color w:val="auto"/>
              </w:rPr>
            </w:pPr>
            <w:r>
              <w:rPr>
                <w:rFonts w:ascii="Arial" w:cs="Arial" w:eastAsia="Arial" w:hAnsi="Arial"/>
                <w:sz w:val="18"/>
                <w:szCs w:val="18"/>
                <w:color w:val="auto"/>
              </w:rPr>
              <w:t>66</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200" w:type="dxa"/>
            <w:vAlign w:val="bottom"/>
          </w:tcPr>
          <w:p>
            <w:pPr>
              <w:spacing w:after="0"/>
              <w:rPr>
                <w:sz w:val="24"/>
                <w:szCs w:val="24"/>
                <w:color w:val="auto"/>
              </w:rPr>
            </w:pPr>
          </w:p>
        </w:tc>
        <w:tc>
          <w:tcPr>
            <w:tcW w:w="6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200" w:type="dxa"/>
            <w:vAlign w:val="bottom"/>
            <w:tcBorders>
              <w:bottom w:val="single" w:sz="8" w:color="808080"/>
            </w:tcBorders>
          </w:tcPr>
          <w:p>
            <w:pPr>
              <w:spacing w:after="0"/>
              <w:rPr>
                <w:sz w:val="19"/>
                <w:szCs w:val="19"/>
                <w:color w:val="auto"/>
              </w:rPr>
            </w:pPr>
          </w:p>
        </w:tc>
        <w:tc>
          <w:tcPr>
            <w:tcW w:w="65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gridSpan w:val="2"/>
          </w:tcPr>
          <w:p>
            <w:pPr>
              <w:spacing w:after="0"/>
              <w:rPr>
                <w:sz w:val="20"/>
                <w:szCs w:val="20"/>
                <w:color w:val="auto"/>
              </w:rPr>
            </w:pPr>
            <w:r>
              <w:rPr>
                <w:rFonts w:ascii="Arial" w:cs="Arial" w:eastAsia="Arial" w:hAnsi="Arial"/>
                <w:sz w:val="18"/>
                <w:szCs w:val="18"/>
                <w:b w:val="1"/>
                <w:bCs w:val="1"/>
                <w:color w:val="auto"/>
              </w:rPr>
              <w:t>H.</w:t>
            </w:r>
          </w:p>
        </w:tc>
        <w:tc>
          <w:tcPr>
            <w:tcW w:w="5320" w:type="dxa"/>
            <w:vAlign w:val="bottom"/>
          </w:tcPr>
          <w:p>
            <w:pPr>
              <w:ind w:left="340"/>
              <w:spacing w:after="0"/>
              <w:rPr>
                <w:sz w:val="20"/>
                <w:szCs w:val="20"/>
                <w:color w:val="auto"/>
              </w:rPr>
            </w:pPr>
            <w:r>
              <w:rPr>
                <w:rFonts w:ascii="Arial" w:cs="Arial" w:eastAsia="Arial" w:hAnsi="Arial"/>
                <w:sz w:val="18"/>
                <w:szCs w:val="18"/>
                <w:b w:val="1"/>
                <w:bCs w:val="1"/>
                <w:color w:val="auto"/>
              </w:rPr>
              <w:t>Income Taxes</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tcPr>
          <w:p>
            <w:pPr>
              <w:ind w:left="40"/>
              <w:spacing w:after="0"/>
              <w:rPr>
                <w:sz w:val="20"/>
                <w:szCs w:val="20"/>
                <w:color w:val="auto"/>
              </w:rPr>
            </w:pPr>
            <w:r>
              <w:rPr>
                <w:rFonts w:ascii="Arial" w:cs="Arial" w:eastAsia="Arial" w:hAnsi="Arial"/>
                <w:sz w:val="18"/>
                <w:szCs w:val="18"/>
                <w:color w:val="auto"/>
              </w:rPr>
              <w:t>Income tax expense consists of the following:</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380" w:type="dxa"/>
            <w:vAlign w:val="bottom"/>
            <w:tcBorders>
              <w:bottom w:val="single" w:sz="8" w:color="auto"/>
            </w:tcBorders>
            <w:gridSpan w:val="9"/>
          </w:tcPr>
          <w:p>
            <w:pPr>
              <w:jc w:val="center"/>
              <w:ind w:right="37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right="28"/>
              <w:spacing w:after="0" w:line="155" w:lineRule="exact"/>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268"/>
              <w:spacing w:after="0" w:line="155"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14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276,736</w:t>
            </w:r>
          </w:p>
        </w:tc>
        <w:tc>
          <w:tcPr>
            <w:tcW w:w="2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298,737</w:t>
            </w:r>
          </w:p>
        </w:tc>
        <w:tc>
          <w:tcPr>
            <w:tcW w:w="8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311,435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50,615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24,861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96,301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20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327,351</w:t>
            </w:r>
          </w:p>
        </w:tc>
        <w:tc>
          <w:tcPr>
            <w:tcW w:w="2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323,598</w:t>
            </w:r>
          </w:p>
        </w:tc>
        <w:tc>
          <w:tcPr>
            <w:tcW w:w="8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407,736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20" w:type="dxa"/>
            <w:vAlign w:val="bottom"/>
            <w:gridSpan w:val="5"/>
          </w:tcPr>
          <w:p>
            <w:pPr>
              <w:ind w:left="40"/>
              <w:spacing w:after="0"/>
              <w:rPr>
                <w:sz w:val="20"/>
                <w:szCs w:val="20"/>
                <w:color w:val="auto"/>
              </w:rPr>
            </w:pPr>
            <w:r>
              <w:rPr>
                <w:rFonts w:ascii="Arial" w:cs="Arial" w:eastAsia="Arial" w:hAnsi="Arial"/>
                <w:sz w:val="18"/>
                <w:szCs w:val="18"/>
                <w:color w:val="auto"/>
                <w:w w:val="95"/>
              </w:rPr>
              <w:t>Total income tax expense for the years ended December 31 was allocated as follows (in thousands):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Statement of earnings</w:t>
            </w:r>
          </w:p>
        </w:tc>
        <w:tc>
          <w:tcPr>
            <w:tcW w:w="14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327,351</w:t>
            </w:r>
          </w:p>
        </w:tc>
        <w:tc>
          <w:tcPr>
            <w:tcW w:w="2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323,598</w:t>
            </w:r>
          </w:p>
        </w:tc>
        <w:tc>
          <w:tcPr>
            <w:tcW w:w="8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407,736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pension liability adjustment</w:t>
            </w:r>
          </w:p>
        </w:tc>
        <w:tc>
          <w:tcPr>
            <w:tcW w:w="1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(6,909)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(6,401)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Unrealized losses on investment securities, net</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(20,767)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(10,786)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(7,939)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Total income tax expense (benefit) allocated to other comprehensive income</w:t>
            </w:r>
          </w:p>
        </w:tc>
        <w:tc>
          <w:tcPr>
            <w:tcW w:w="1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(17,695)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gridSpan w:val="3"/>
          </w:tcPr>
          <w:p>
            <w:pPr>
              <w:spacing w:after="0"/>
              <w:rPr>
                <w:sz w:val="20"/>
                <w:szCs w:val="20"/>
                <w:color w:val="auto"/>
              </w:rPr>
            </w:pPr>
            <w:r>
              <w:rPr>
                <w:rFonts w:ascii="Arial" w:cs="Arial" w:eastAsia="Arial" w:hAnsi="Arial"/>
                <w:sz w:val="18"/>
                <w:szCs w:val="18"/>
                <w:color w:val="auto"/>
              </w:rPr>
              <w:t>Total income taxes</w:t>
            </w:r>
          </w:p>
        </w:tc>
        <w:tc>
          <w:tcPr>
            <w:tcW w:w="12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305,396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305,903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393,396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0" w:type="dxa"/>
            <w:vAlign w:val="bottom"/>
            <w:gridSpan w:val="3"/>
          </w:tcPr>
          <w:p>
            <w:pPr>
              <w:ind w:left="20"/>
              <w:spacing w:after="0"/>
              <w:rPr>
                <w:sz w:val="20"/>
                <w:szCs w:val="20"/>
                <w:color w:val="auto"/>
              </w:rPr>
            </w:pPr>
            <w:r>
              <w:rPr>
                <w:rFonts w:ascii="Arial" w:cs="Arial" w:eastAsia="Arial" w:hAnsi="Arial"/>
                <w:sz w:val="18"/>
                <w:szCs w:val="18"/>
                <w:color w:val="auto"/>
                <w:w w:val="92"/>
              </w:rPr>
              <w:t>A reconciliation of the federal statutory rate to the Company’s effective tax rate is as follows:</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5"/>
          </w:tcPr>
          <w:p>
            <w:pPr>
              <w:jc w:val="center"/>
              <w:ind w:left="148"/>
              <w:spacing w:after="0"/>
              <w:rPr>
                <w:sz w:val="20"/>
                <w:szCs w:val="20"/>
                <w:color w:val="auto"/>
              </w:rPr>
            </w:pPr>
            <w:r>
              <w:rPr>
                <w:rFonts w:ascii="Arial" w:cs="Arial" w:eastAsia="Arial" w:hAnsi="Arial"/>
                <w:sz w:val="14"/>
                <w:szCs w:val="14"/>
                <w:b w:val="1"/>
                <w:bCs w:val="1"/>
                <w:color w:val="auto"/>
                <w:w w:val="96"/>
              </w:rPr>
              <w:t>Year Ended</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center"/>
              <w:ind w:left="148"/>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bottom w:val="single" w:sz="8" w:color="auto"/>
            </w:tcBorders>
            <w:gridSpan w:val="3"/>
          </w:tcPr>
          <w:p>
            <w:pPr>
              <w:jc w:val="right"/>
              <w:ind w:right="92"/>
              <w:spacing w:after="0" w:line="155" w:lineRule="exact"/>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72"/>
              <w:spacing w:after="0" w:line="155" w:lineRule="exact"/>
              <w:rPr>
                <w:sz w:val="20"/>
                <w:szCs w:val="20"/>
                <w:color w:val="auto"/>
              </w:rPr>
            </w:pPr>
            <w:r>
              <w:rPr>
                <w:rFonts w:ascii="Arial" w:cs="Arial" w:eastAsia="Arial" w:hAnsi="Arial"/>
                <w:sz w:val="14"/>
                <w:szCs w:val="14"/>
                <w:b w:val="1"/>
                <w:bCs w:val="1"/>
                <w:color w:val="auto"/>
                <w:w w:val="96"/>
              </w:rPr>
              <w:t>2004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2003</w:t>
            </w:r>
          </w:p>
        </w:tc>
        <w:tc>
          <w:tcPr>
            <w:tcW w:w="1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68"/>
              <w:spacing w:after="0"/>
              <w:rPr>
                <w:sz w:val="20"/>
                <w:szCs w:val="20"/>
                <w:color w:val="auto"/>
              </w:rPr>
            </w:pPr>
            <w:r>
              <w:rPr>
                <w:rFonts w:ascii="Arial" w:cs="Arial" w:eastAsia="Arial" w:hAnsi="Arial"/>
                <w:sz w:val="18"/>
                <w:szCs w:val="18"/>
                <w:color w:val="auto"/>
                <w:w w:val="86"/>
              </w:rPr>
              <w:t>35.0%</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35.0%</w:t>
            </w: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Federal benefit of state taxes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68"/>
              <w:spacing w:after="0"/>
              <w:rPr>
                <w:sz w:val="20"/>
                <w:szCs w:val="20"/>
                <w:color w:val="auto"/>
              </w:rPr>
            </w:pPr>
            <w:r>
              <w:rPr>
                <w:rFonts w:ascii="Arial" w:cs="Arial" w:eastAsia="Arial" w:hAnsi="Arial"/>
                <w:sz w:val="18"/>
                <w:szCs w:val="18"/>
                <w:color w:val="auto"/>
                <w:w w:val="91"/>
              </w:rPr>
              <w:t>(1.4)</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exempt interest income</w:t>
            </w:r>
          </w:p>
        </w:tc>
        <w:tc>
          <w:tcPr>
            <w:tcW w:w="1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468"/>
              <w:spacing w:after="0"/>
              <w:rPr>
                <w:sz w:val="20"/>
                <w:szCs w:val="20"/>
                <w:color w:val="auto"/>
              </w:rPr>
            </w:pPr>
            <w:r>
              <w:rPr>
                <w:rFonts w:ascii="Arial" w:cs="Arial" w:eastAsia="Arial" w:hAnsi="Arial"/>
                <w:sz w:val="18"/>
                <w:szCs w:val="18"/>
                <w:color w:val="auto"/>
                <w:w w:val="91"/>
              </w:rPr>
              <w:t>(1.7)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State income taxes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28"/>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28"/>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68"/>
              <w:spacing w:after="0"/>
              <w:rPr>
                <w:sz w:val="20"/>
                <w:szCs w:val="20"/>
                <w:color w:val="auto"/>
              </w:rPr>
            </w:pPr>
            <w:r>
              <w:rPr>
                <w:rFonts w:ascii="Arial" w:cs="Arial" w:eastAsia="Arial" w:hAnsi="Arial"/>
                <w:sz w:val="18"/>
                <w:szCs w:val="18"/>
                <w:color w:val="auto"/>
                <w:w w:val="86"/>
              </w:rPr>
              <w:t>37.7%</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36.6%</w:t>
            </w: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0" w:type="dxa"/>
            <w:vAlign w:val="bottom"/>
            <w:vMerge w:val="restart"/>
          </w:tcPr>
          <w:p>
            <w:pPr>
              <w:jc w:val="right"/>
              <w:ind w:right="870"/>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32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significant components of deferred tax assets and liabilities at December 31, 2005 and 2004 consist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2005</w:t>
            </w:r>
          </w:p>
        </w:tc>
        <w:tc>
          <w:tcPr>
            <w:tcW w:w="7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gridSpan w:val="3"/>
          </w:tcPr>
          <w:p>
            <w:pPr>
              <w:jc w:val="right"/>
              <w:ind w:right="90"/>
              <w:spacing w:after="0" w:line="155"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80"/>
              <w:spacing w:after="0"/>
              <w:rPr>
                <w:sz w:val="20"/>
                <w:szCs w:val="20"/>
                <w:color w:val="auto"/>
              </w:rPr>
            </w:pPr>
            <w:r>
              <w:rPr>
                <w:rFonts w:ascii="Arial" w:cs="Arial" w:eastAsia="Arial" w:hAnsi="Arial"/>
                <w:sz w:val="18"/>
                <w:szCs w:val="18"/>
                <w:color w:val="auto"/>
              </w:rPr>
              <w:t>Employee benefit accruals</w:t>
            </w:r>
          </w:p>
        </w:tc>
        <w:tc>
          <w:tcPr>
            <w:tcW w:w="2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45,290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68,278</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Pension</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20,168</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24,318</w:t>
            </w:r>
          </w:p>
        </w:tc>
      </w:tr>
      <w:tr>
        <w:trPr>
          <w:trHeight w:val="216"/>
        </w:trPr>
        <w:tc>
          <w:tcPr>
            <w:tcW w:w="20" w:type="dxa"/>
            <w:vAlign w:val="bottom"/>
          </w:tcPr>
          <w:p>
            <w:pPr>
              <w:spacing w:after="0"/>
              <w:rPr>
                <w:sz w:val="18"/>
                <w:szCs w:val="18"/>
                <w:color w:val="auto"/>
              </w:rPr>
            </w:pPr>
          </w:p>
        </w:tc>
        <w:tc>
          <w:tcPr>
            <w:tcW w:w="578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16,161</w:t>
            </w:r>
          </w:p>
        </w:tc>
        <w:tc>
          <w:tcPr>
            <w:tcW w:w="28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8,474</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Investment securities</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11,984</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80" w:type="dxa"/>
            <w:vAlign w:val="bottom"/>
          </w:tcPr>
          <w:p>
            <w:pPr>
              <w:ind w:left="280"/>
              <w:spacing w:after="0"/>
              <w:rPr>
                <w:sz w:val="20"/>
                <w:szCs w:val="20"/>
                <w:color w:val="auto"/>
              </w:rPr>
            </w:pPr>
            <w:r>
              <w:rPr>
                <w:rFonts w:ascii="Arial" w:cs="Arial" w:eastAsia="Arial" w:hAnsi="Arial"/>
                <w:sz w:val="18"/>
                <w:szCs w:val="18"/>
                <w:color w:val="auto"/>
              </w:rPr>
              <w:t>State income taxes</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10,605</w:t>
            </w:r>
          </w:p>
        </w:tc>
        <w:tc>
          <w:tcPr>
            <w:tcW w:w="28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10,793</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9,645</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8,777</w:t>
            </w:r>
          </w:p>
        </w:tc>
      </w:tr>
      <w:tr>
        <w:trPr>
          <w:trHeight w:val="230"/>
        </w:trPr>
        <w:tc>
          <w:tcPr>
            <w:tcW w:w="20" w:type="dxa"/>
            <w:vAlign w:val="bottom"/>
          </w:tcPr>
          <w:p>
            <w:pPr>
              <w:spacing w:after="0"/>
              <w:rPr>
                <w:sz w:val="20"/>
                <w:szCs w:val="20"/>
                <w:color w:val="auto"/>
              </w:rPr>
            </w:pPr>
          </w:p>
        </w:tc>
        <w:tc>
          <w:tcPr>
            <w:tcW w:w="5780" w:type="dxa"/>
            <w:vAlign w:val="bottom"/>
          </w:tcPr>
          <w:p>
            <w:pPr>
              <w:ind w:left="600"/>
              <w:spacing w:after="0"/>
              <w:rPr>
                <w:sz w:val="20"/>
                <w:szCs w:val="20"/>
                <w:color w:val="auto"/>
              </w:rPr>
            </w:pPr>
            <w:r>
              <w:rPr>
                <w:rFonts w:ascii="Arial" w:cs="Arial" w:eastAsia="Arial" w:hAnsi="Arial"/>
                <w:sz w:val="18"/>
                <w:szCs w:val="18"/>
                <w:color w:val="auto"/>
              </w:rPr>
              <w:t>Total deferred tax assets</w:t>
            </w:r>
          </w:p>
        </w:tc>
        <w:tc>
          <w:tcPr>
            <w:tcW w:w="214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113,853</w:t>
            </w:r>
          </w:p>
        </w:tc>
        <w:tc>
          <w:tcPr>
            <w:tcW w:w="7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120,640</w:t>
            </w:r>
          </w:p>
        </w:tc>
        <w:tc>
          <w:tcPr>
            <w:tcW w:w="4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80"/>
              <w:spacing w:after="0"/>
              <w:rPr>
                <w:sz w:val="20"/>
                <w:szCs w:val="20"/>
                <w:color w:val="auto"/>
              </w:rPr>
            </w:pPr>
            <w:r>
              <w:rPr>
                <w:rFonts w:ascii="Arial" w:cs="Arial" w:eastAsia="Arial" w:hAnsi="Arial"/>
                <w:sz w:val="18"/>
                <w:szCs w:val="18"/>
                <w:color w:val="auto"/>
              </w:rPr>
              <w:t>Amortization of goodwill and intangible assets</w:t>
            </w:r>
          </w:p>
        </w:tc>
        <w:tc>
          <w:tcPr>
            <w:tcW w:w="2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(26,303)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(27,040)</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Title plant</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(59,757)</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(58,141)</w:t>
            </w:r>
          </w:p>
        </w:tc>
      </w:tr>
      <w:tr>
        <w:trPr>
          <w:trHeight w:val="216"/>
        </w:trPr>
        <w:tc>
          <w:tcPr>
            <w:tcW w:w="20" w:type="dxa"/>
            <w:vAlign w:val="bottom"/>
          </w:tcPr>
          <w:p>
            <w:pPr>
              <w:spacing w:after="0"/>
              <w:rPr>
                <w:sz w:val="18"/>
                <w:szCs w:val="18"/>
                <w:color w:val="auto"/>
              </w:rPr>
            </w:pPr>
          </w:p>
        </w:tc>
        <w:tc>
          <w:tcPr>
            <w:tcW w:w="5780" w:type="dxa"/>
            <w:vAlign w:val="bottom"/>
          </w:tcPr>
          <w:p>
            <w:pPr>
              <w:ind w:left="280"/>
              <w:spacing w:after="0"/>
              <w:rPr>
                <w:sz w:val="20"/>
                <w:szCs w:val="20"/>
                <w:color w:val="auto"/>
              </w:rPr>
            </w:pPr>
            <w:r>
              <w:rPr>
                <w:rFonts w:ascii="Arial" w:cs="Arial" w:eastAsia="Arial" w:hAnsi="Arial"/>
                <w:sz w:val="18"/>
                <w:szCs w:val="18"/>
                <w:color w:val="auto"/>
              </w:rPr>
              <w:t>Other</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(12,396)</w:t>
            </w:r>
          </w:p>
        </w:tc>
        <w:tc>
          <w:tcPr>
            <w:tcW w:w="2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(18,973)</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(17,532)</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(22,083)</w:t>
            </w:r>
          </w:p>
        </w:tc>
      </w:tr>
      <w:tr>
        <w:trPr>
          <w:trHeight w:val="216"/>
        </w:trPr>
        <w:tc>
          <w:tcPr>
            <w:tcW w:w="20" w:type="dxa"/>
            <w:vAlign w:val="bottom"/>
          </w:tcPr>
          <w:p>
            <w:pPr>
              <w:spacing w:after="0"/>
              <w:rPr>
                <w:sz w:val="18"/>
                <w:szCs w:val="18"/>
                <w:color w:val="auto"/>
              </w:rPr>
            </w:pPr>
          </w:p>
        </w:tc>
        <w:tc>
          <w:tcPr>
            <w:tcW w:w="5780" w:type="dxa"/>
            <w:vAlign w:val="bottom"/>
          </w:tcPr>
          <w:p>
            <w:pPr>
              <w:ind w:left="280"/>
              <w:spacing w:after="0"/>
              <w:rPr>
                <w:sz w:val="20"/>
                <w:szCs w:val="20"/>
                <w:color w:val="auto"/>
              </w:rPr>
            </w:pPr>
            <w:r>
              <w:rPr>
                <w:rFonts w:ascii="Arial" w:cs="Arial" w:eastAsia="Arial" w:hAnsi="Arial"/>
                <w:sz w:val="18"/>
                <w:szCs w:val="18"/>
                <w:color w:val="auto"/>
              </w:rPr>
              <w:t>Insurance reserve basis differences</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(60,070)</w:t>
            </w:r>
          </w:p>
        </w:tc>
        <w:tc>
          <w:tcPr>
            <w:tcW w:w="2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(26,589)</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Investment securities</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(8,395)</w:t>
            </w:r>
          </w:p>
        </w:tc>
      </w:tr>
      <w:tr>
        <w:trPr>
          <w:trHeight w:val="216"/>
        </w:trPr>
        <w:tc>
          <w:tcPr>
            <w:tcW w:w="20" w:type="dxa"/>
            <w:vAlign w:val="bottom"/>
          </w:tcPr>
          <w:p>
            <w:pPr>
              <w:spacing w:after="0"/>
              <w:rPr>
                <w:sz w:val="18"/>
                <w:szCs w:val="18"/>
                <w:color w:val="auto"/>
              </w:rPr>
            </w:pPr>
          </w:p>
        </w:tc>
        <w:tc>
          <w:tcPr>
            <w:tcW w:w="5780" w:type="dxa"/>
            <w:vAlign w:val="bottom"/>
          </w:tcPr>
          <w:p>
            <w:pPr>
              <w:ind w:left="280"/>
              <w:spacing w:after="0"/>
              <w:rPr>
                <w:sz w:val="20"/>
                <w:szCs w:val="20"/>
                <w:color w:val="auto"/>
              </w:rPr>
            </w:pPr>
            <w:r>
              <w:rPr>
                <w:rFonts w:ascii="Arial" w:cs="Arial" w:eastAsia="Arial" w:hAnsi="Arial"/>
                <w:sz w:val="18"/>
                <w:szCs w:val="18"/>
                <w:color w:val="auto"/>
              </w:rPr>
              <w:t>Bad debts</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(11,090)</w:t>
            </w:r>
          </w:p>
        </w:tc>
        <w:tc>
          <w:tcPr>
            <w:tcW w:w="2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(10,667)</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Lease accounting</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(2,544)</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780" w:type="dxa"/>
            <w:vAlign w:val="bottom"/>
          </w:tcPr>
          <w:p>
            <w:pPr>
              <w:ind w:left="600"/>
              <w:spacing w:after="0"/>
              <w:rPr>
                <w:sz w:val="20"/>
                <w:szCs w:val="20"/>
                <w:color w:val="auto"/>
              </w:rPr>
            </w:pPr>
            <w:r>
              <w:rPr>
                <w:rFonts w:ascii="Arial" w:cs="Arial" w:eastAsia="Arial" w:hAnsi="Arial"/>
                <w:sz w:val="18"/>
                <w:szCs w:val="18"/>
                <w:color w:val="auto"/>
              </w:rPr>
              <w:t>Total deferred tax liabilities</w:t>
            </w:r>
          </w:p>
        </w:tc>
        <w:tc>
          <w:tcPr>
            <w:tcW w:w="21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(189,692)</w:t>
            </w:r>
          </w:p>
        </w:tc>
        <w:tc>
          <w:tcPr>
            <w:tcW w:w="7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(171,888)</w:t>
            </w:r>
          </w:p>
        </w:tc>
        <w:tc>
          <w:tcPr>
            <w:tcW w:w="4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deferred tax liability</w:t>
            </w:r>
          </w:p>
        </w:tc>
        <w:tc>
          <w:tcPr>
            <w:tcW w:w="24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(75,839)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(51,248)</w:t>
            </w:r>
          </w:p>
        </w:tc>
      </w:tr>
      <w:tr>
        <w:trPr>
          <w:trHeight w:val="21"/>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Management believes that based on its historical pattern of taxable income, the Company will produce sufficient income in the future to realize its deferred tax assets or the realization of its deferred tax assets will coincide with the turnaround in its deferred tax liabilities. A valuation allowance will be established for any portion of a deferred tax asset that management believes may not be realized. Adjustments to the valuation allowance will be made if there is a change in management’s assessment of the amount of deferred tax asset that is realizable.</w:t>
      </w:r>
    </w:p>
    <w:p>
      <w:pPr>
        <w:spacing w:after="0" w:line="79" w:lineRule="exact"/>
        <w:rPr>
          <w:sz w:val="20"/>
          <w:szCs w:val="20"/>
          <w:color w:val="auto"/>
        </w:rPr>
      </w:pPr>
    </w:p>
    <w:p>
      <w:pPr>
        <w:jc w:val="both"/>
        <w:ind w:firstLine="260"/>
        <w:spacing w:after="0" w:line="312" w:lineRule="auto"/>
        <w:rPr>
          <w:sz w:val="20"/>
          <w:szCs w:val="20"/>
          <w:color w:val="auto"/>
        </w:rPr>
      </w:pPr>
      <w:r>
        <w:rPr>
          <w:rFonts w:ascii="Arial" w:cs="Arial" w:eastAsia="Arial" w:hAnsi="Arial"/>
          <w:sz w:val="16"/>
          <w:szCs w:val="16"/>
          <w:color w:val="auto"/>
        </w:rPr>
        <w:t>As of January 1, 2005, FNF has agreed to participate in a new Internal Revenue Service pilot program (Compliance Audit Program or CAP) that is a real-time audit for 2005 and future years. The Internal Revenue Service is also currently examining FNF’s tax returns for years 2004, 2003 and 2002. Management believes the ultimate resolution of this examination will not result in a material adverse effect to the Company’s financial position or results of operations.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gridSpan w:val="2"/>
          </w:tcPr>
          <w:p>
            <w:pPr>
              <w:spacing w:after="0"/>
              <w:rPr>
                <w:sz w:val="20"/>
                <w:szCs w:val="20"/>
                <w:color w:val="auto"/>
              </w:rPr>
            </w:pPr>
            <w:r>
              <w:rPr>
                <w:rFonts w:ascii="Arial" w:cs="Arial" w:eastAsia="Arial" w:hAnsi="Arial"/>
                <w:sz w:val="18"/>
                <w:szCs w:val="18"/>
                <w:b w:val="1"/>
                <w:bCs w:val="1"/>
                <w:color w:val="auto"/>
              </w:rPr>
              <w:t>I.</w:t>
            </w:r>
          </w:p>
        </w:tc>
        <w:tc>
          <w:tcPr>
            <w:tcW w:w="6200" w:type="dxa"/>
            <w:vAlign w:val="bottom"/>
            <w:gridSpan w:val="2"/>
          </w:tcPr>
          <w:p>
            <w:pPr>
              <w:ind w:left="260"/>
              <w:spacing w:after="0"/>
              <w:rPr>
                <w:sz w:val="20"/>
                <w:szCs w:val="20"/>
                <w:color w:val="auto"/>
              </w:rPr>
            </w:pPr>
            <w:r>
              <w:rPr>
                <w:rFonts w:ascii="Arial" w:cs="Arial" w:eastAsia="Arial" w:hAnsi="Arial"/>
                <w:sz w:val="18"/>
                <w:szCs w:val="18"/>
                <w:b w:val="1"/>
                <w:bCs w:val="1"/>
                <w:color w:val="auto"/>
              </w:rPr>
              <w:t>Summary of Reserve for Claim Losses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0" w:type="dxa"/>
            <w:vAlign w:val="bottom"/>
            <w:gridSpan w:val="2"/>
          </w:tcPr>
          <w:p>
            <w:pPr>
              <w:ind w:left="80"/>
              <w:spacing w:after="0"/>
              <w:rPr>
                <w:sz w:val="20"/>
                <w:szCs w:val="20"/>
                <w:color w:val="auto"/>
              </w:rPr>
            </w:pPr>
            <w:r>
              <w:rPr>
                <w:rFonts w:ascii="Arial" w:cs="Arial" w:eastAsia="Arial" w:hAnsi="Arial"/>
                <w:sz w:val="18"/>
                <w:szCs w:val="18"/>
                <w:color w:val="auto"/>
              </w:rPr>
              <w:t>Following is a summary of the reserve for claim losses: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6"/>
              </w:rPr>
              <w:t>Year Ended December 31,</w:t>
            </w:r>
          </w:p>
        </w:tc>
        <w:tc>
          <w:tcPr>
            <w:tcW w:w="2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3"/>
          </w:tcPr>
          <w:p>
            <w:pPr>
              <w:jc w:val="right"/>
              <w:ind w:right="112"/>
              <w:spacing w:after="0" w:line="155" w:lineRule="exact"/>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980,746</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932,439</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887,973</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0" w:type="dxa"/>
            <w:vAlign w:val="bottom"/>
            <w:gridSpan w:val="2"/>
          </w:tcPr>
          <w:p>
            <w:pPr>
              <w:ind w:left="80"/>
              <w:spacing w:after="0"/>
              <w:rPr>
                <w:sz w:val="20"/>
                <w:szCs w:val="20"/>
                <w:color w:val="auto"/>
              </w:rPr>
            </w:pPr>
            <w:r>
              <w:rPr>
                <w:rFonts w:ascii="Arial" w:cs="Arial" w:eastAsia="Arial" w:hAnsi="Arial"/>
                <w:sz w:val="18"/>
                <w:szCs w:val="18"/>
                <w:color w:val="auto"/>
              </w:rPr>
              <w:t>Reserves assumed(1)</w:t>
            </w:r>
          </w:p>
        </w:tc>
        <w:tc>
          <w:tcPr>
            <w:tcW w:w="2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38,597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Claim loss provision related to:</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0" w:type="dxa"/>
            <w:vAlign w:val="bottom"/>
            <w:gridSpan w:val="2"/>
          </w:tcPr>
          <w:p>
            <w:pPr>
              <w:ind w:left="360"/>
              <w:spacing w:after="0"/>
              <w:rPr>
                <w:sz w:val="20"/>
                <w:szCs w:val="20"/>
                <w:color w:val="auto"/>
              </w:rPr>
            </w:pPr>
            <w:r>
              <w:rPr>
                <w:rFonts w:ascii="Arial" w:cs="Arial" w:eastAsia="Arial" w:hAnsi="Arial"/>
                <w:sz w:val="18"/>
                <w:szCs w:val="18"/>
                <w:color w:val="auto"/>
              </w:rPr>
              <w:t>Current year</w:t>
            </w:r>
          </w:p>
        </w:tc>
        <w:tc>
          <w:tcPr>
            <w:tcW w:w="2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319,730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275,982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237,919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Prior years</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34,980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(16,580)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0" w:type="dxa"/>
            <w:vAlign w:val="bottom"/>
            <w:gridSpan w:val="2"/>
          </w:tcPr>
          <w:p>
            <w:pPr>
              <w:ind w:left="640"/>
              <w:spacing w:after="0"/>
              <w:rPr>
                <w:sz w:val="20"/>
                <w:szCs w:val="20"/>
                <w:color w:val="auto"/>
              </w:rPr>
            </w:pPr>
            <w:r>
              <w:rPr>
                <w:rFonts w:ascii="Arial" w:cs="Arial" w:eastAsia="Arial" w:hAnsi="Arial"/>
                <w:sz w:val="18"/>
                <w:szCs w:val="18"/>
                <w:color w:val="auto"/>
              </w:rPr>
              <w:t>Total claim loss provision</w:t>
            </w: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354,710</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259,402</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248,834</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Claims paid, net of recoupments related to:</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0" w:type="dxa"/>
            <w:vAlign w:val="bottom"/>
            <w:gridSpan w:val="2"/>
          </w:tcPr>
          <w:p>
            <w:pPr>
              <w:ind w:left="360"/>
              <w:spacing w:after="0"/>
              <w:rPr>
                <w:sz w:val="20"/>
                <w:szCs w:val="20"/>
                <w:color w:val="auto"/>
              </w:rPr>
            </w:pPr>
            <w:r>
              <w:rPr>
                <w:rFonts w:ascii="Arial" w:cs="Arial" w:eastAsia="Arial" w:hAnsi="Arial"/>
                <w:sz w:val="18"/>
                <w:szCs w:val="18"/>
                <w:color w:val="auto"/>
              </w:rPr>
              <w:t>Current year</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(14,479)</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(19,095)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(11,591)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Prior years</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(258,120)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(230,597)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(196,980)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0" w:type="dxa"/>
            <w:vAlign w:val="bottom"/>
            <w:gridSpan w:val="2"/>
          </w:tcPr>
          <w:p>
            <w:pPr>
              <w:ind w:left="640"/>
              <w:spacing w:after="0"/>
              <w:rPr>
                <w:sz w:val="20"/>
                <w:szCs w:val="20"/>
                <w:color w:val="auto"/>
              </w:rPr>
            </w:pPr>
            <w:r>
              <w:rPr>
                <w:rFonts w:ascii="Arial" w:cs="Arial" w:eastAsia="Arial" w:hAnsi="Arial"/>
                <w:sz w:val="18"/>
                <w:szCs w:val="18"/>
                <w:color w:val="auto"/>
              </w:rPr>
              <w:t>Total claims paid, net of recoupments</w:t>
            </w: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(272,599)</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(249,692)</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(208,571)</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1,063,857</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980,746</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932,439</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400" w:type="dxa"/>
            <w:vAlign w:val="bottom"/>
            <w:gridSpan w:val="4"/>
            <w:vMerge w:val="restart"/>
          </w:tcPr>
          <w:p>
            <w:pPr>
              <w:spacing w:after="0"/>
              <w:rPr>
                <w:sz w:val="20"/>
                <w:szCs w:val="20"/>
                <w:color w:val="auto"/>
              </w:rPr>
            </w:pPr>
            <w:r>
              <w:rPr>
                <w:rFonts w:ascii="Arial" w:cs="Arial" w:eastAsia="Arial" w:hAnsi="Arial"/>
                <w:sz w:val="18"/>
                <w:szCs w:val="18"/>
                <w:color w:val="auto"/>
              </w:rPr>
              <w:t>Provision for claim losses as a percentage of title premiums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400" w:type="dxa"/>
            <w:vAlign w:val="bottom"/>
            <w:gridSpan w:val="4"/>
            <w:vMerge w:val="continue"/>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4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right="40" w:hanging="452"/>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assumed the outstanding reserve for claim losses of Service Link, APTIC, and ANFI in connection with their acquisitions in 2005, 2004, and 2003, respectively.</w:t>
      </w:r>
    </w:p>
    <w:p>
      <w:pPr>
        <w:spacing w:after="0" w:line="62" w:lineRule="exact"/>
        <w:rPr>
          <w:sz w:val="20"/>
          <w:szCs w:val="20"/>
          <w:color w:val="auto"/>
        </w:rPr>
      </w:pPr>
    </w:p>
    <w:p>
      <w:pPr>
        <w:ind w:right="20" w:firstLine="270"/>
        <w:spacing w:after="0" w:line="271" w:lineRule="auto"/>
        <w:rPr>
          <w:sz w:val="20"/>
          <w:szCs w:val="20"/>
          <w:color w:val="auto"/>
        </w:rPr>
      </w:pPr>
      <w:r>
        <w:rPr>
          <w:rFonts w:ascii="Arial" w:cs="Arial" w:eastAsia="Arial" w:hAnsi="Arial"/>
          <w:sz w:val="17"/>
          <w:szCs w:val="17"/>
          <w:color w:val="auto"/>
        </w:rPr>
        <w:t>Management continually updates loss reserve estimates as new information becomes known, new loss patterns emerge, or as other contributing factors are considered and incorporated into the analysis of reserve for claim losses. The unfavorable development on the prior years’ loss reserve during 2005 reflects the increase in losses incurred and loss payments during 2005 on previous policy years, resulting in an increase in estimated ultimate losses in previous policy years. The title loss provision in 2004 reflects a higher estimated loss for the 2004 policy year offset in part by a favorable adjustment from previous policy years. The favorable adjustment was attributable to lower than expected payment levels on previous issue years that included periods of increased resale activity as well as a high proportion of refinance business. As a result, title policies issued in previous years have been replaced by the more recently issued policies, therefore generally terminating much of the loss exposure on the previously issued policies. The unfavorable development during 2003 reflects the higher than expected payment levels on previously issued policies.</w:t>
      </w:r>
    </w:p>
    <w:p>
      <w:pPr>
        <w:spacing w:after="0" w:line="17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60" w:firstLine="267"/>
        <w:spacing w:after="0" w:line="257" w:lineRule="auto"/>
        <w:rPr>
          <w:sz w:val="20"/>
          <w:szCs w:val="20"/>
          <w:color w:val="auto"/>
        </w:rPr>
      </w:pPr>
      <w:r>
        <w:rPr>
          <w:rFonts w:ascii="Arial" w:cs="Arial" w:eastAsia="Arial" w:hAnsi="Arial"/>
          <w:sz w:val="18"/>
          <w:szCs w:val="18"/>
          <w:color w:val="auto"/>
        </w:rPr>
        <w:t>The Company’s title insurance underwriting subsidiaries are, in the ordinary course of business, subject to claims made under, and from time-to-time are named as defendants in legal proceedings relating to, policies of insurance they have issued or other services performed on behalf of insured policyholders and other customers. The Company believes that the reserves reflected in its Consolidated and Combined Financial Statements are adequate to pay losses and loss adjustment expenses which may result from such claims and proceedings; however, such estimates may be more or less than the amount ultimately paid when the claims are settled.</w:t>
      </w:r>
    </w:p>
    <w:p>
      <w:pPr>
        <w:spacing w:after="0" w:line="80" w:lineRule="exact"/>
        <w:rPr>
          <w:sz w:val="20"/>
          <w:szCs w:val="20"/>
          <w:color w:val="auto"/>
        </w:rPr>
      </w:pPr>
    </w:p>
    <w:p>
      <w:pPr>
        <w:ind w:right="180" w:firstLine="270"/>
        <w:spacing w:after="0" w:line="277" w:lineRule="auto"/>
        <w:rPr>
          <w:sz w:val="20"/>
          <w:szCs w:val="20"/>
          <w:color w:val="auto"/>
        </w:rPr>
      </w:pPr>
      <w:r>
        <w:rPr>
          <w:rFonts w:ascii="Arial" w:cs="Arial" w:eastAsia="Arial" w:hAnsi="Arial"/>
          <w:sz w:val="18"/>
          <w:szCs w:val="18"/>
          <w:color w:val="auto"/>
        </w:rPr>
        <w:t>In the ordinary course of business, the Company is involved in various pending and threatened litigation matters related to its operations, some of which include claims for punitive or exemplary damages.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Company believes that no actions, other than those listed below, depart from customary litigation incidental to its business. As background to the disclosure below, please note the following:</w:t>
      </w:r>
    </w:p>
    <w:p>
      <w:pPr>
        <w:spacing w:after="0" w:line="62" w:lineRule="exact"/>
        <w:rPr>
          <w:sz w:val="20"/>
          <w:szCs w:val="20"/>
          <w:color w:val="auto"/>
        </w:rPr>
      </w:pPr>
    </w:p>
    <w:p>
      <w:pPr>
        <w:ind w:left="460" w:right="60" w:hanging="101"/>
        <w:spacing w:after="0" w:line="272"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These matters raise difficult and complicated factual and legal issues and are subject to many uncertainties and complexities, including but not limited to the underlying facts of each matter, novel legal issues, variations between jurisdictions in which matters are being litigated, differences in 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83" w:lineRule="exact"/>
        <w:rPr>
          <w:rFonts w:ascii="Arial" w:cs="Arial" w:eastAsia="Arial" w:hAnsi="Arial"/>
          <w:sz w:val="17"/>
          <w:szCs w:val="17"/>
          <w:color w:val="auto"/>
        </w:rPr>
      </w:pPr>
    </w:p>
    <w:p>
      <w:pPr>
        <w:ind w:left="460" w:hanging="101"/>
        <w:spacing w:after="0" w:line="25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 general, the dollar amount of damages sought is not specified. In those cases where plaintiffs have made a specific statement with regard to monetary damages, they often specify damages just below a jurisdictional limit regardless of the facts of the case. This represents the maximum they can seek without risking removal from state court to federal court. In our experience, monetary demands in plaintiffs’ court pleadings bear little relation to the ultimate loss, if any, we may experience.</w:t>
      </w:r>
    </w:p>
    <w:p>
      <w:pPr>
        <w:spacing w:after="0" w:line="94" w:lineRule="exact"/>
        <w:rPr>
          <w:rFonts w:ascii="Arial" w:cs="Arial" w:eastAsia="Arial" w:hAnsi="Arial"/>
          <w:sz w:val="18"/>
          <w:szCs w:val="18"/>
          <w:color w:val="auto"/>
        </w:rPr>
      </w:pPr>
    </w:p>
    <w:p>
      <w:pPr>
        <w:ind w:left="460" w:hanging="101"/>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the reasons specified above, it is not possible to make meaningful estimates of the amount or range of loss that could result from these matters at this time. The Company reviews these matters on an on-going basis and follows the provisions of SFAS No. 5, “Accounting for Contingencies” when making accrual and disclosure decisions. When assessing reasonably possible and probable outcomes, the Company bases its decision on its assessment of the ultimate outcome following all appeals.</w:t>
      </w:r>
    </w:p>
    <w:p>
      <w:pPr>
        <w:spacing w:after="0" w:line="92" w:lineRule="exact"/>
        <w:rPr>
          <w:rFonts w:ascii="Arial" w:cs="Arial" w:eastAsia="Arial" w:hAnsi="Arial"/>
          <w:sz w:val="18"/>
          <w:szCs w:val="18"/>
          <w:color w:val="auto"/>
        </w:rPr>
      </w:pPr>
    </w:p>
    <w:p>
      <w:pPr>
        <w:ind w:left="460" w:right="480" w:hanging="101"/>
        <w:spacing w:after="0" w:line="277"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opinion of the Company’s management, while some of these matters may be material to the Company’s operating results for any particular period if an unfavorable outcome results, none will have a material adverse effect on its overall financial condition.</w:t>
      </w:r>
    </w:p>
    <w:p>
      <w:pPr>
        <w:spacing w:after="0" w:line="62"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color w:val="auto"/>
        </w:rPr>
        <w:t>Several class actions are pending in Ohio, Pennsylvania and Florida alleging improper premiums were charged for title insurance. The cases allege that the named defendant companies failed to provide notice of premium discounts to consumers refinancing their mortgages, and failed to give discounts in refinancing transactions in violation of the filed rates. The actions seek refunds of the premiums charged and punitive damages. Recently the court’s order denying class certification in one of the Ohio actions was reversed and the case was remanded to the trial court for further proceedings. The Company petitioned the Supreme Court of Ohio for review, but the court declined to accept jurisdiction over the matter. The Company intends to vigorously defend the actions.</w:t>
      </w:r>
    </w:p>
    <w:p>
      <w:pPr>
        <w:spacing w:after="0" w:line="85" w:lineRule="exact"/>
        <w:rPr>
          <w:sz w:val="20"/>
          <w:szCs w:val="20"/>
          <w:color w:val="auto"/>
        </w:rPr>
      </w:pPr>
    </w:p>
    <w:p>
      <w:pPr>
        <w:ind w:right="140" w:firstLine="260"/>
        <w:spacing w:after="0" w:line="264" w:lineRule="auto"/>
        <w:rPr>
          <w:sz w:val="20"/>
          <w:szCs w:val="20"/>
          <w:color w:val="auto"/>
        </w:rPr>
      </w:pPr>
      <w:r>
        <w:rPr>
          <w:rFonts w:ascii="Arial" w:cs="Arial" w:eastAsia="Arial" w:hAnsi="Arial"/>
          <w:sz w:val="18"/>
          <w:szCs w:val="18"/>
          <w:color w:val="auto"/>
        </w:rPr>
        <w:t>A class action in California alleges that the Company violated state law by giving favorable discounts or rates to builders and developers for escrow fees and requiring purchasers to use Chicago Title Insurance Company for escrow services. The action seeks refunds of the premiums charged and additional damages. The Company intends to vigorously defend this action.</w:t>
      </w:r>
    </w:p>
    <w:p>
      <w:pPr>
        <w:spacing w:after="0" w:line="73" w:lineRule="exact"/>
        <w:rPr>
          <w:sz w:val="20"/>
          <w:szCs w:val="20"/>
          <w:color w:val="auto"/>
        </w:rPr>
      </w:pPr>
    </w:p>
    <w:p>
      <w:pPr>
        <w:ind w:right="460" w:firstLine="260"/>
        <w:spacing w:after="0" w:line="264" w:lineRule="auto"/>
        <w:rPr>
          <w:sz w:val="20"/>
          <w:szCs w:val="20"/>
          <w:color w:val="auto"/>
        </w:rPr>
      </w:pPr>
      <w:r>
        <w:rPr>
          <w:rFonts w:ascii="Arial" w:cs="Arial" w:eastAsia="Arial" w:hAnsi="Arial"/>
          <w:sz w:val="18"/>
          <w:szCs w:val="18"/>
          <w:color w:val="auto"/>
        </w:rPr>
        <w:t>A class action in Missouri alleges that the Company has engaged in the unauthorized practice of law by preparing documents in conjunction with its business of insuring title and closing real estate transactions. The action seeks refunds of the payments and treble damages. The Company intends to vigorously defend this action.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337" w:lineRule="exact"/>
        <w:rPr>
          <w:sz w:val="20"/>
          <w:szCs w:val="20"/>
          <w:color w:val="auto"/>
        </w:rPr>
      </w:pPr>
    </w:p>
    <w:p>
      <w:pPr>
        <w:ind w:right="180" w:firstLine="260"/>
        <w:spacing w:after="0" w:line="270" w:lineRule="auto"/>
        <w:rPr>
          <w:sz w:val="20"/>
          <w:szCs w:val="20"/>
          <w:color w:val="auto"/>
        </w:rPr>
      </w:pPr>
      <w:r>
        <w:rPr>
          <w:rFonts w:ascii="Arial" w:cs="Arial" w:eastAsia="Arial" w:hAnsi="Arial"/>
          <w:sz w:val="17"/>
          <w:szCs w:val="17"/>
          <w:color w:val="auto"/>
        </w:rPr>
        <w:t>A shareholder derivative action was filed in Florida on February 11, 2005 alleging that FNF directors and certain executive officers breached their fiduciary and other duties, and exposed FNF to potential fines, penalties and suits in the future, by permitting so called contingent commissions to obtain business. The Company and the directors and executive officers named as defendants filed motions to dismiss the action on June 3, 2005. The plaintiff abandoned his original complaint and responded to the motions by filing an amended complaint on July 13, 2005, and FNF, along with the directors and executive officers named as defendants, has responded to the amended complaint. Recently, the magistrate judge granted the defendant’s motion to stay discovery. The amended complaint repeats the allegations of the original complaint and adds allegations about “captive reinsurance” programs, which FNF continues to believe were lawful. These “captive reinsurance” programs are the subject of investigations by several state departments of insurance and attorneys general. FNT has agreed to indemnify FNF in connection with this matter under the separation agreement that was entered into in connection with the distribution of FNT common stock and the Company intends to vigorously defend this action.</w:t>
      </w:r>
    </w:p>
    <w:p>
      <w:pPr>
        <w:spacing w:after="0" w:line="74" w:lineRule="exact"/>
        <w:rPr>
          <w:sz w:val="20"/>
          <w:szCs w:val="20"/>
          <w:color w:val="auto"/>
        </w:rPr>
      </w:pPr>
    </w:p>
    <w:p>
      <w:pPr>
        <w:jc w:val="both"/>
        <w:ind w:right="100" w:firstLine="270"/>
        <w:spacing w:after="0" w:line="375" w:lineRule="auto"/>
        <w:rPr>
          <w:sz w:val="20"/>
          <w:szCs w:val="20"/>
          <w:color w:val="auto"/>
        </w:rPr>
      </w:pPr>
      <w:r>
        <w:rPr>
          <w:rFonts w:ascii="Arial" w:cs="Arial" w:eastAsia="Arial" w:hAnsi="Arial"/>
          <w:sz w:val="15"/>
          <w:szCs w:val="15"/>
          <w:color w:val="auto"/>
        </w:rPr>
        <w:t>None of the cases described above includes a statement as to the dollar amount of damages demanded. Instead, each of the cases includes a demand in an amount to be proved at trial. Two of the Ohio cases state that the damages per class member are less than the jurisdictional limit for removal to federal court.</w:t>
      </w:r>
    </w:p>
    <w:p>
      <w:pPr>
        <w:spacing w:after="0" w:line="1" w:lineRule="exact"/>
        <w:rPr>
          <w:sz w:val="20"/>
          <w:szCs w:val="20"/>
          <w:color w:val="auto"/>
        </w:rPr>
      </w:pPr>
    </w:p>
    <w:p>
      <w:pPr>
        <w:ind w:right="40" w:firstLine="267"/>
        <w:spacing w:after="0" w:line="259" w:lineRule="auto"/>
        <w:rPr>
          <w:sz w:val="20"/>
          <w:szCs w:val="20"/>
          <w:color w:val="auto"/>
        </w:rPr>
      </w:pPr>
      <w:r>
        <w:rPr>
          <w:rFonts w:ascii="Arial" w:cs="Arial" w:eastAsia="Arial" w:hAnsi="Arial"/>
          <w:sz w:val="18"/>
          <w:szCs w:val="18"/>
          <w:color w:val="auto"/>
        </w:rPr>
        <w:t>The Company receives inquiries and requests for information from state insurance departments, attorneys general and other regulatory agencies from time to time about various matters relating to its business. Sometimes these take the form of civil investigative subpoenas. The Company attempts to cooperate with all such inquiries. From time to time, the Company is assessed fines for violations of regulations or other matters or enters into settlements with such authorities which require the Company to pay money or take other actions.</w:t>
      </w:r>
    </w:p>
    <w:p>
      <w:pPr>
        <w:spacing w:after="0" w:line="79" w:lineRule="exact"/>
        <w:rPr>
          <w:sz w:val="20"/>
          <w:szCs w:val="20"/>
          <w:color w:val="auto"/>
        </w:rPr>
      </w:pPr>
    </w:p>
    <w:p>
      <w:pPr>
        <w:ind w:right="180" w:firstLine="270"/>
        <w:spacing w:after="0" w:line="257" w:lineRule="auto"/>
        <w:rPr>
          <w:sz w:val="20"/>
          <w:szCs w:val="20"/>
          <w:color w:val="auto"/>
        </w:rPr>
      </w:pPr>
      <w:r>
        <w:rPr>
          <w:rFonts w:ascii="Arial" w:cs="Arial" w:eastAsia="Arial" w:hAnsi="Arial"/>
          <w:sz w:val="18"/>
          <w:szCs w:val="18"/>
          <w:color w:val="auto"/>
        </w:rPr>
        <w:t>In the Fall of 2004, the California Department of Insurance began an investigation into reinsurance practices in the title insurance industry. In February 2005, FNF was issued a subpoena to provide information to the California Department of Insurance as part of its investigation. This investigation paralleled similar inquiries of the National Association of Insurance Commissioners, which began earlier in 2004. The investigations have focused on arrangements in which title insurers would write title insurance generated by realtors, developers and lenders and cede a portion of the premiums to a reinsurance company affiliate of the entity that generated the business.</w:t>
      </w:r>
    </w:p>
    <w:p>
      <w:pPr>
        <w:spacing w:after="0" w:line="80"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The Company recently negotiated a settlement with the California Department of Insurance with respect to that department’s inquiry into these arrangements, which the Company refers to as captive reinsurance arrangements. Under the terms of the settlement, the Company will refund approximately $7.7 million to those consumers whose California property was subject to a captive reinsurance arrangement and paid a penalty of $5.6 million. The Company also recently entered into similar settlements with 26 other states, in which the Company agreed to refund a total of approximately $1.2 million to policyholders. Other state insurance departments and attorneys general and the U.S. Department of Housing and Urban Development (“HUD”) also have made formal or informal inquiries of the Company regarding these matters.</w:t>
      </w:r>
    </w:p>
    <w:p>
      <w:pPr>
        <w:spacing w:after="0" w:line="85" w:lineRule="exact"/>
        <w:rPr>
          <w:sz w:val="20"/>
          <w:szCs w:val="20"/>
          <w:color w:val="auto"/>
        </w:rPr>
      </w:pPr>
    </w:p>
    <w:p>
      <w:pPr>
        <w:ind w:right="20" w:firstLine="267"/>
        <w:spacing w:after="0" w:line="259" w:lineRule="auto"/>
        <w:rPr>
          <w:sz w:val="20"/>
          <w:szCs w:val="20"/>
          <w:color w:val="auto"/>
        </w:rPr>
      </w:pPr>
      <w:r>
        <w:rPr>
          <w:rFonts w:ascii="Arial" w:cs="Arial" w:eastAsia="Arial" w:hAnsi="Arial"/>
          <w:sz w:val="18"/>
          <w:szCs w:val="18"/>
          <w:color w:val="auto"/>
        </w:rPr>
        <w:t>The Company has been cooperating and intends to continue to cooperate with the other ongoing investigations. The Company has discontinued all captive reinsurance arrangements. The total amount of premiums the Company ceded to reinsurers was approximately $10 million over the existence of these agreements. The remaining investigations are continuing and the Company currently is unable to give any assurance regarding their consequences for the industry or for FNT.</w:t>
      </w:r>
    </w:p>
    <w:p>
      <w:pPr>
        <w:spacing w:after="0" w:line="79" w:lineRule="exact"/>
        <w:rPr>
          <w:sz w:val="20"/>
          <w:szCs w:val="20"/>
          <w:color w:val="auto"/>
        </w:rPr>
      </w:pPr>
    </w:p>
    <w:p>
      <w:pPr>
        <w:jc w:val="both"/>
        <w:ind w:right="260" w:firstLine="260"/>
        <w:spacing w:after="0" w:line="286" w:lineRule="auto"/>
        <w:rPr>
          <w:sz w:val="20"/>
          <w:szCs w:val="20"/>
          <w:color w:val="auto"/>
        </w:rPr>
      </w:pPr>
      <w:r>
        <w:rPr>
          <w:rFonts w:ascii="Arial" w:cs="Arial" w:eastAsia="Arial" w:hAnsi="Arial"/>
          <w:sz w:val="17"/>
          <w:szCs w:val="17"/>
          <w:color w:val="auto"/>
        </w:rPr>
        <w:t>Additionally, the Company has received inquiries from regulators about its business involvement with title insurance agencies affiliated with builders, realtors and other traditional sources of title insurance business, some of which the Company participated in forming as joint ventures with its subsidiaries. These inquiries have focused on whether the placement of title insurance with the Company through these affiliated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agencies is proper or an improper form of referral payment. Like most other title insurers, the Company participates in these affiliated business arrangements in a number of states. The Company recently entered into a settlement with the Florida Department of Financial Services under which it agreed to refund approximately $3 million in premiums received though these types of agencies in Florida and pay a fine of $1 million. The other pending inquiries are at an early stage and as a result the Company can give no assurance as to their likely outcome.</w:t>
      </w:r>
    </w:p>
    <w:p>
      <w:pPr>
        <w:spacing w:after="0" w:line="79" w:lineRule="exact"/>
        <w:rPr>
          <w:sz w:val="20"/>
          <w:szCs w:val="20"/>
          <w:color w:val="auto"/>
        </w:rPr>
      </w:pPr>
    </w:p>
    <w:p>
      <w:pPr>
        <w:ind w:right="80" w:firstLine="270"/>
        <w:spacing w:after="0" w:line="269" w:lineRule="auto"/>
        <w:rPr>
          <w:sz w:val="20"/>
          <w:szCs w:val="20"/>
          <w:color w:val="auto"/>
        </w:rPr>
      </w:pPr>
      <w:r>
        <w:rPr>
          <w:rFonts w:ascii="Arial" w:cs="Arial" w:eastAsia="Arial" w:hAnsi="Arial"/>
          <w:sz w:val="17"/>
          <w:szCs w:val="17"/>
          <w:color w:val="auto"/>
        </w:rPr>
        <w:t>Since 2004 the Company’s subsidiaries have received civil subpoenas and other inquiries from the New York State Attorney General (the “NYAG”), requesting information about their arrangements with agents and customers and other matters relating to, among other things, rates, rate calculation practices, use of blended rates in multi-state transactions, rebates, entertainment expenses, and referral fees. Title insurance rates in New York are set by regulation and generally title insurers may not charge less than the established rate. Among other things, the NYAG has asked for information about an industry practice (called “blended rates” and “delayed blends”) in which discounts on title insurance on properties outside New York are sometimes given or where credit is given in subsequent transactions in connection with multi-state commercial transactions in which one or more of the properties is located in New York. The NYAG is also reviewing the possibility that the Company’s Chicago Title subsidiary may have provided incorrect data in connection with rate-setting proceedings in New York and in connection with reaching a settlement of a class action suit over charges for title insurance issued in 1996 through 2002. The New York State Insurance Department has also joined NYAG in the latter’s wide-ranging review of the title insurance industry and the Company. The Company can give no assurance as to the likely outcome of these investigations, including but not limited to whether they may result in fines, monetary settlements, reductions in title insurance rates or other actions, any of which could adversely affect the Company. The Company is cooperating fully with the NYAG and New York State Insurance Department inquiries into these matters.</w:t>
      </w:r>
    </w:p>
    <w:p>
      <w:pPr>
        <w:spacing w:after="0" w:line="72" w:lineRule="exact"/>
        <w:rPr>
          <w:sz w:val="20"/>
          <w:szCs w:val="20"/>
          <w:color w:val="auto"/>
        </w:rPr>
      </w:pPr>
    </w:p>
    <w:p>
      <w:pPr>
        <w:ind w:firstLine="270"/>
        <w:spacing w:after="0" w:line="276" w:lineRule="auto"/>
        <w:rPr>
          <w:sz w:val="20"/>
          <w:szCs w:val="20"/>
          <w:color w:val="auto"/>
        </w:rPr>
      </w:pPr>
      <w:r>
        <w:rPr>
          <w:rFonts w:ascii="Arial" w:cs="Arial" w:eastAsia="Arial" w:hAnsi="Arial"/>
          <w:sz w:val="17"/>
          <w:szCs w:val="17"/>
          <w:color w:val="auto"/>
        </w:rPr>
        <w:t>Further, U.S. Representative Oxley, the Chairman of the House Financial Services Committee, recently asked the Government Accountability Office (the “GAO”) to investigate the title insurance industry. Representative Oxley stated that the Committee is concerned about payments that certain title insurers have made to developers, lenders and real estate agents for referrals of title insurance business. Representative Oxley asked the GAO to examine, among other things, the foregoing relationships and the levels of pricing and competition in the title insurance industry. The Company is unable to predict the outcome of this inquiry or whether it will adversely affect the Company’s business or results of operations.</w:t>
      </w:r>
    </w:p>
    <w:p>
      <w:pPr>
        <w:spacing w:after="0" w:line="64"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Finally, the California Department of Insurance has begun to examine levels of pricing and competition in the title insurance industry in California, with a view to determining whether prices are too high and if so, implementing rate reductions. New York, Colorado, Florida, Nevada and Texas insurance regulators have also announced similar inquiries (or other reviews of title insurance rates) and other states could follow. At this stage, the Company is unable to predict what the outcome will be of this or any similar review.</w:t>
      </w:r>
    </w:p>
    <w:p>
      <w:pPr>
        <w:spacing w:after="0" w:line="79"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In conducting its operations, the Company routinely holds customers’ assets in escrow, pending completion of real estate transactions. Certain of these amounts are maintained in segregated bank accounts and have not been included in the accompanying Consolidated and Combined Balance Sheets. The Company has a contingent liability relating to proper disposition of these balances for our customers, which amounted to $8.7 billion at December 31, 2005. As a result of holding these customers’ assets in escrow, the Company has ongoing programs for realizing economic benefits during the year through favorable borrowing and vendor arrangements with various banks. There were no investments or loans outstanding as of December 31, 2005 and 2004 related to these arrangements.</w:t>
      </w:r>
    </w:p>
    <w:p>
      <w:pPr>
        <w:spacing w:after="0" w:line="85" w:lineRule="exact"/>
        <w:rPr>
          <w:sz w:val="20"/>
          <w:szCs w:val="20"/>
          <w:color w:val="auto"/>
        </w:rPr>
      </w:pPr>
    </w:p>
    <w:p>
      <w:pPr>
        <w:ind w:right="380" w:firstLine="267"/>
        <w:spacing w:after="0" w:line="277" w:lineRule="auto"/>
        <w:rPr>
          <w:sz w:val="20"/>
          <w:szCs w:val="20"/>
          <w:color w:val="auto"/>
        </w:rPr>
      </w:pPr>
      <w:r>
        <w:rPr>
          <w:rFonts w:ascii="Arial" w:cs="Arial" w:eastAsia="Arial" w:hAnsi="Arial"/>
          <w:sz w:val="18"/>
          <w:szCs w:val="18"/>
          <w:color w:val="auto"/>
        </w:rPr>
        <w:t>The Company leases certain of its premises and equipment under leases which expire at various dates. Several of these agreements include escalation clauses and provide for purchases and renewal options for periods ranging from one to five years.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95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8200" w:type="dxa"/>
            <w:vAlign w:val="bottom"/>
          </w:tcPr>
          <w:p>
            <w:pPr>
              <w:jc w:val="center"/>
              <w:ind w:left="430"/>
              <w:spacing w:after="0"/>
              <w:rPr>
                <w:sz w:val="20"/>
                <w:szCs w:val="20"/>
                <w:color w:val="auto"/>
              </w:rPr>
            </w:pPr>
            <w:r>
              <w:rPr>
                <w:rFonts w:ascii="Arial" w:cs="Arial" w:eastAsia="Arial" w:hAnsi="Arial"/>
                <w:sz w:val="18"/>
                <w:szCs w:val="18"/>
                <w:b w:val="1"/>
                <w:bCs w:val="1"/>
                <w:color w:val="auto"/>
              </w:rPr>
              <w:t>FIDELITY NATIONAL TITLE GROUP, INC. AND SUBSIDIARIES</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0" w:type="dxa"/>
            <w:vAlign w:val="bottom"/>
          </w:tcPr>
          <w:p>
            <w:pPr>
              <w:jc w:val="center"/>
              <w:ind w:left="410"/>
              <w:spacing w:after="0"/>
              <w:rPr>
                <w:sz w:val="20"/>
                <w:szCs w:val="20"/>
                <w:color w:val="auto"/>
              </w:rPr>
            </w:pPr>
            <w:r>
              <w:rPr>
                <w:rFonts w:ascii="Arial" w:cs="Arial" w:eastAsia="Arial" w:hAnsi="Arial"/>
                <w:sz w:val="18"/>
                <w:szCs w:val="18"/>
                <w:b w:val="1"/>
                <w:bCs w:val="1"/>
                <w:color w:val="auto"/>
                <w:w w:val="98"/>
              </w:rPr>
              <w:t>NOTES TO CONSOLIDATED AND COMBINED FINANCIAL STATEMENTS — (Continued)</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9540" w:type="dxa"/>
            <w:vAlign w:val="bottom"/>
            <w:gridSpan w:val="2"/>
          </w:tcPr>
          <w:p>
            <w:pPr>
              <w:ind w:left="260"/>
              <w:spacing w:after="0"/>
              <w:rPr>
                <w:sz w:val="20"/>
                <w:szCs w:val="20"/>
                <w:color w:val="auto"/>
              </w:rPr>
            </w:pPr>
            <w:r>
              <w:rPr>
                <w:rFonts w:ascii="Arial" w:cs="Arial" w:eastAsia="Arial" w:hAnsi="Arial"/>
                <w:sz w:val="18"/>
                <w:szCs w:val="18"/>
                <w:color w:val="auto"/>
              </w:rPr>
              <w:t>Future minimum operating lease payments are as follows (dollars in thousands):</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8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8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115,854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2007</w:t>
            </w:r>
          </w:p>
        </w:tc>
        <w:tc>
          <w:tcPr>
            <w:tcW w:w="8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94,742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8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2009</w:t>
            </w:r>
          </w:p>
        </w:tc>
        <w:tc>
          <w:tcPr>
            <w:tcW w:w="8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42,563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8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12,576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future minimum operating lease payments</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353,938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600" w:firstLine="270"/>
        <w:spacing w:after="0" w:line="277" w:lineRule="auto"/>
        <w:rPr>
          <w:sz w:val="20"/>
          <w:szCs w:val="20"/>
          <w:color w:val="auto"/>
        </w:rPr>
      </w:pPr>
      <w:r>
        <w:rPr>
          <w:rFonts w:ascii="Arial" w:cs="Arial" w:eastAsia="Arial" w:hAnsi="Arial"/>
          <w:sz w:val="18"/>
          <w:szCs w:val="18"/>
          <w:color w:val="auto"/>
        </w:rPr>
        <w:t>Rent expense incurred under operating leases during the years ended December 31, 2005, 2004, and 2003, was $144.2 million, $140.8 million and $127.3 million, respectively.</w:t>
      </w:r>
    </w:p>
    <w:p>
      <w:pPr>
        <w:spacing w:after="0" w:line="166" w:lineRule="exact"/>
        <w:rPr>
          <w:sz w:val="20"/>
          <w:szCs w:val="20"/>
          <w:color w:val="auto"/>
        </w:rPr>
      </w:pPr>
    </w:p>
    <w:p>
      <w:pPr>
        <w:ind w:left="580" w:hanging="572"/>
        <w:spacing w:after="0"/>
        <w:tabs>
          <w:tab w:leader="none" w:pos="5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Regulation and Stockholders’ Equity</w:t>
      </w:r>
    </w:p>
    <w:p>
      <w:pPr>
        <w:spacing w:after="0" w:line="121" w:lineRule="exact"/>
        <w:rPr>
          <w:sz w:val="20"/>
          <w:szCs w:val="20"/>
          <w:color w:val="auto"/>
        </w:rPr>
      </w:pPr>
    </w:p>
    <w:p>
      <w:pPr>
        <w:ind w:right="40" w:firstLine="270"/>
        <w:spacing w:after="0" w:line="273" w:lineRule="auto"/>
        <w:rPr>
          <w:sz w:val="20"/>
          <w:szCs w:val="20"/>
          <w:color w:val="auto"/>
        </w:rPr>
      </w:pPr>
      <w:r>
        <w:rPr>
          <w:rFonts w:ascii="Arial" w:cs="Arial" w:eastAsia="Arial" w:hAnsi="Arial"/>
          <w:sz w:val="17"/>
          <w:szCs w:val="17"/>
          <w:color w:val="auto"/>
        </w:rPr>
        <w:t>Our insurance subsidiaries, including underwriters, underwritten title companies and independent agents, are subject to extensive regulation under applicable state laws. Each of the insurance underwriters is subject to a holding company act in its state of domicile which regulates, among other matters, the ability to pay dividends and investment policies. The laws of most states in which the Company transacts business establish supervisory agencies with broad administrative powers relating to: issuing and revoking licenses to transact business; regulating trade practices; licensing agents; approving policy forms; prescribing accounting principles and financial practices; establishing reserve and capital and surplus as regards policyholders (“capital and surplus”) requirements; defining suitable investments and approving rate schedules.</w:t>
      </w:r>
    </w:p>
    <w:p>
      <w:pPr>
        <w:spacing w:after="0" w:line="70" w:lineRule="exact"/>
        <w:rPr>
          <w:sz w:val="20"/>
          <w:szCs w:val="20"/>
          <w:color w:val="auto"/>
        </w:rPr>
      </w:pPr>
    </w:p>
    <w:p>
      <w:pPr>
        <w:ind w:right="20" w:firstLine="270"/>
        <w:spacing w:after="0" w:line="297" w:lineRule="auto"/>
        <w:rPr>
          <w:sz w:val="20"/>
          <w:szCs w:val="20"/>
          <w:color w:val="auto"/>
        </w:rPr>
      </w:pPr>
      <w:r>
        <w:rPr>
          <w:rFonts w:ascii="Arial" w:cs="Arial" w:eastAsia="Arial" w:hAnsi="Arial"/>
          <w:sz w:val="16"/>
          <w:szCs w:val="16"/>
          <w:color w:val="auto"/>
        </w:rPr>
        <w:t>Pursuant to statutory accounting requirements of the various states in which the Company’s title insurance subsidiaries are licensed, they must defer a portion of premiums earned as an unearned premium reserve for the protection of policyholders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2005, the combined statutory unearned premium reserve required and reported for the Company’s title insurance subsidiaries was $1,303.8 million.</w:t>
      </w:r>
    </w:p>
    <w:p>
      <w:pPr>
        <w:spacing w:after="0" w:line="50" w:lineRule="exact"/>
        <w:rPr>
          <w:sz w:val="20"/>
          <w:szCs w:val="20"/>
          <w:color w:val="auto"/>
        </w:rPr>
      </w:pPr>
    </w:p>
    <w:p>
      <w:pPr>
        <w:ind w:right="180" w:firstLine="267"/>
        <w:spacing w:after="0" w:line="277" w:lineRule="auto"/>
        <w:rPr>
          <w:sz w:val="20"/>
          <w:szCs w:val="20"/>
          <w:color w:val="auto"/>
        </w:rPr>
      </w:pPr>
      <w:r>
        <w:rPr>
          <w:rFonts w:ascii="Arial" w:cs="Arial" w:eastAsia="Arial" w:hAnsi="Arial"/>
          <w:sz w:val="18"/>
          <w:szCs w:val="18"/>
          <w:color w:val="auto"/>
        </w:rPr>
        <w:t>The insurance commissioners of their respective states of domicile regulate the Company’s title insurance subsidiaries. Regulatory examinations usually occur at three-year intervals, and certain of these examinations are currently ongoing.</w:t>
      </w:r>
    </w:p>
    <w:p>
      <w:pPr>
        <w:spacing w:after="0" w:line="62" w:lineRule="exact"/>
        <w:rPr>
          <w:sz w:val="20"/>
          <w:szCs w:val="20"/>
          <w:color w:val="auto"/>
        </w:rPr>
      </w:pPr>
    </w:p>
    <w:p>
      <w:pPr>
        <w:ind w:firstLine="267"/>
        <w:spacing w:after="0" w:line="302" w:lineRule="auto"/>
        <w:rPr>
          <w:sz w:val="20"/>
          <w:szCs w:val="20"/>
          <w:color w:val="auto"/>
        </w:rPr>
      </w:pPr>
      <w:r>
        <w:rPr>
          <w:rFonts w:ascii="Arial" w:cs="Arial" w:eastAsia="Arial" w:hAnsi="Arial"/>
          <w:sz w:val="16"/>
          <w:szCs w:val="16"/>
          <w:color w:val="auto"/>
        </w:rPr>
        <w:t>The Company’s insurance subsidiaries are subject to regulations that restrict their ability to pay dividends or make other distributions of cash or property to their immediate parent company without prior approval from the Department of Insurance of their respective states of domicile. As of December 31, 2005, $1.9 billion of the Company’s net assets are restricted from dividend payments without prior approval from the Departments of Insurance. During 2006, the Company’s directly owned title insurance subsidiaries can pay or make distributions to the Company of approximately $289.9 million, without prior approval.</w:t>
      </w:r>
    </w:p>
    <w:p>
      <w:pPr>
        <w:spacing w:after="0" w:line="46" w:lineRule="exact"/>
        <w:rPr>
          <w:sz w:val="20"/>
          <w:szCs w:val="20"/>
          <w:color w:val="auto"/>
        </w:rPr>
      </w:pPr>
    </w:p>
    <w:p>
      <w:pPr>
        <w:jc w:val="both"/>
        <w:ind w:firstLine="267"/>
        <w:spacing w:after="0" w:line="264" w:lineRule="auto"/>
        <w:rPr>
          <w:sz w:val="20"/>
          <w:szCs w:val="20"/>
          <w:color w:val="auto"/>
        </w:rPr>
      </w:pPr>
      <w:r>
        <w:rPr>
          <w:rFonts w:ascii="Arial" w:cs="Arial" w:eastAsia="Arial" w:hAnsi="Arial"/>
          <w:sz w:val="18"/>
          <w:szCs w:val="18"/>
          <w:color w:val="auto"/>
        </w:rPr>
        <w:t>The combined statutory capital and surplus of the Company’s title insurance subsidiaries was $852.2 million and $887.2 million as of December 31, 2005 and 2004, respectively. The combined statutory earnings of the Company’s title insurance subsidiaries were $400.4 million, $371.0 million and $477.9 million for the years ended December 31, 2005, 2004, and 2003, respectively.</w:t>
      </w:r>
    </w:p>
    <w:p>
      <w:pPr>
        <w:spacing w:after="0" w:line="73" w:lineRule="exact"/>
        <w:rPr>
          <w:sz w:val="20"/>
          <w:szCs w:val="20"/>
          <w:color w:val="auto"/>
        </w:rPr>
      </w:pPr>
    </w:p>
    <w:p>
      <w:pPr>
        <w:ind w:right="240" w:firstLine="260"/>
        <w:spacing w:after="0" w:line="277" w:lineRule="auto"/>
        <w:rPr>
          <w:sz w:val="20"/>
          <w:szCs w:val="20"/>
          <w:color w:val="auto"/>
        </w:rPr>
      </w:pPr>
      <w:r>
        <w:rPr>
          <w:rFonts w:ascii="Arial" w:cs="Arial" w:eastAsia="Arial" w:hAnsi="Arial"/>
          <w:sz w:val="18"/>
          <w:szCs w:val="18"/>
          <w:color w:val="auto"/>
        </w:rPr>
        <w:t>As a condition to continued authority to underwrite policies in the states in which the Company’s title insurance subsidiaries conduct their business, the subsidiaries are required to pay certain fees and file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regarding their officers, directors and financial condition. In addition, the Company’s escrow and trust business is subject to regulation by various state banking authorities.</w:t>
      </w:r>
    </w:p>
    <w:p>
      <w:pPr>
        <w:spacing w:after="0" w:line="62"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Pursuant to statutory requirements of the various states in which the Company’s title insurance subsidiaries are domiciled, they must maintain certain levels of minimum capital and surplus. Each of the Company’s title underwriters has complied with the minimum statutory requirements as of December 31, 2005.</w:t>
      </w:r>
    </w:p>
    <w:p>
      <w:pPr>
        <w:spacing w:after="0" w:line="73" w:lineRule="exact"/>
        <w:rPr>
          <w:sz w:val="20"/>
          <w:szCs w:val="20"/>
          <w:color w:val="auto"/>
        </w:rPr>
      </w:pPr>
    </w:p>
    <w:p>
      <w:pPr>
        <w:ind w:right="40" w:firstLine="267"/>
        <w:spacing w:after="0" w:line="259" w:lineRule="auto"/>
        <w:rPr>
          <w:sz w:val="20"/>
          <w:szCs w:val="20"/>
          <w:color w:val="auto"/>
        </w:rPr>
      </w:pPr>
      <w:r>
        <w:rPr>
          <w:rFonts w:ascii="Arial" w:cs="Arial" w:eastAsia="Arial" w:hAnsi="Arial"/>
          <w:sz w:val="18"/>
          <w:szCs w:val="18"/>
          <w:color w:val="auto"/>
        </w:rPr>
        <w:t>The Company’s underwritten title companies are also subject to certain regulation by insurance regulatory or banking authorities, primarily relating to minimum net worth. Minimum net worth of $7.5 million, $2.5 million, $3.0 million and $0.4 million is required for Fidelity National Title Company, Fidelity National Title Company of California, Chicago Title Company and Ticor Title Company of California, respectively. All of the Company’s underwritten title companies are in compliance with all of their respective minimum net worth requirements at December 31, 2005.</w:t>
      </w:r>
    </w:p>
    <w:p>
      <w:pPr>
        <w:spacing w:after="0" w:line="79" w:lineRule="exact"/>
        <w:rPr>
          <w:sz w:val="20"/>
          <w:szCs w:val="20"/>
          <w:color w:val="auto"/>
        </w:rPr>
      </w:pPr>
    </w:p>
    <w:p>
      <w:pPr>
        <w:ind w:right="280" w:firstLine="270"/>
        <w:spacing w:after="0" w:line="297" w:lineRule="auto"/>
        <w:rPr>
          <w:sz w:val="20"/>
          <w:szCs w:val="20"/>
          <w:color w:val="auto"/>
        </w:rPr>
      </w:pPr>
      <w:r>
        <w:rPr>
          <w:rFonts w:ascii="Arial" w:cs="Arial" w:eastAsia="Arial" w:hAnsi="Arial"/>
          <w:sz w:val="16"/>
          <w:szCs w:val="16"/>
          <w:color w:val="auto"/>
        </w:rPr>
        <w:t>FNT has agreed that, without FNF’s consent, FNT will not issue any shares of its capital stock or any rights, warrants or options to acquire its capital stock, if after giving effect to the issuances and considering all of the shares of FNT’s capital stock which may be acquired under the rights, warrants and options outstanding on the date of the issuance, FNF would not be eligible to consolidate FNT’s results of operations for tax purposes, would not receive favorable tax treatment of dividends paid by FNT or would not be able, if it so desired, to distribute the rest of FNT’s stock it holds to its stockholders in a tax-free distribution. These limits will generally enable FNF to continue to own at least 80% of FNT’s outstanding common stock.</w:t>
      </w:r>
    </w:p>
    <w:p>
      <w:pPr>
        <w:spacing w:after="0" w:line="154"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 Purchase Plan</w:t>
      </w:r>
    </w:p>
    <w:p>
      <w:pPr>
        <w:spacing w:after="0" w:line="117"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In connection with the Distribution, we established an Employee Stock Purchase Plan (the “FNT ESPP”). Participation in the FNT ESPP began in November 2005. Under the terms of the FNT ESPP, eligible employees may voluntarily purchase, at current market prices, shares of the Company’s common stock through payroll deductions and through matching contributions, if any, on their behalf. Pursuant to the FNT ESPP, employees may contribute an amount between 3% and 15% of their base salary. Shares purchased are allocated to employees based upon their contributions. The Company contributes varying amounts as specified in the FNT ESPP. During the year ended December 31, 2005, 214,746 shares were purchased and allocated to employees, based upon their contributions, at an average price of $22.73 per share and the Company contributed $1.8 million or the equivalent of 77,135 shares, in accordance with the employer’s matching contribution.</w:t>
      </w:r>
    </w:p>
    <w:p>
      <w:pPr>
        <w:spacing w:after="0" w:line="81" w:lineRule="exact"/>
        <w:rPr>
          <w:sz w:val="20"/>
          <w:szCs w:val="20"/>
          <w:color w:val="auto"/>
        </w:rPr>
      </w:pPr>
    </w:p>
    <w:p>
      <w:pPr>
        <w:ind w:right="140" w:firstLine="270"/>
        <w:spacing w:after="0" w:line="293" w:lineRule="auto"/>
        <w:rPr>
          <w:sz w:val="20"/>
          <w:szCs w:val="20"/>
          <w:color w:val="auto"/>
        </w:rPr>
      </w:pPr>
      <w:r>
        <w:rPr>
          <w:rFonts w:ascii="Arial" w:cs="Arial" w:eastAsia="Arial" w:hAnsi="Arial"/>
          <w:sz w:val="16"/>
          <w:szCs w:val="16"/>
          <w:color w:val="auto"/>
        </w:rPr>
        <w:t>Prior to the commencement of the FNT ESPP, the Company’s employees participated in the Fidelity National Financial, Inc. Employee Stock Purchase Plan (the “FNF ESPP”). Under the terms of the FNF ESPP and subsequent amendments, eligible employees voluntarily purchased, at current market prices, shares of FNF’s common stock through payroll deductions. Pursuant to the FNF ESPP, employees were allowed to contribute an amount between 3% and 15% of their base salary and certain commissions. Shares purchased were allocated to employees, based upon their contributions. The Company contributed varying matching amounts as specified in the ESPP. The Company recorded expenses of $14.0 million, $8.6 million, and $11.5 million, respectively, for the years ended December 31, 2005, 2004, and 2003 relating to participation of FNT employees in ESPP plans.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401(k) Profit Savings Plan</w:t>
      </w:r>
    </w:p>
    <w:p>
      <w:pPr>
        <w:spacing w:after="0" w:line="117" w:lineRule="exact"/>
        <w:rPr>
          <w:sz w:val="20"/>
          <w:szCs w:val="20"/>
          <w:color w:val="auto"/>
        </w:rPr>
      </w:pPr>
    </w:p>
    <w:p>
      <w:pPr>
        <w:jc w:val="both"/>
        <w:ind w:right="280" w:firstLine="267"/>
        <w:spacing w:after="0" w:line="264" w:lineRule="auto"/>
        <w:rPr>
          <w:sz w:val="20"/>
          <w:szCs w:val="20"/>
          <w:color w:val="auto"/>
        </w:rPr>
      </w:pPr>
      <w:r>
        <w:rPr>
          <w:rFonts w:ascii="Arial" w:cs="Arial" w:eastAsia="Arial" w:hAnsi="Arial"/>
          <w:sz w:val="18"/>
          <w:szCs w:val="18"/>
          <w:color w:val="auto"/>
        </w:rPr>
        <w:t>The Company’s employees are eligible to participate in the FNF 401(k) Plan, which allows eligible employees to contribute up to 40% of their pretax annual compensation, up to the maximum amount allowed pursuant to the Internal Revenue Code. The Company generally matches 50% of each dollar of employee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contribution up to 6% of the employee’s total eligible compensation. The Company recorded $23.5 million, $20.1 million, and $19.0 million, respectively, in expenses for the years ended December 31, 2005, 2004, and 2003 relating to the participation of FNT employees in the FNF 401(k) plan.</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ind w:right="180" w:firstLine="270"/>
        <w:spacing w:after="0" w:line="255" w:lineRule="auto"/>
        <w:rPr>
          <w:sz w:val="20"/>
          <w:szCs w:val="20"/>
          <w:color w:val="auto"/>
        </w:rPr>
      </w:pPr>
      <w:r>
        <w:rPr>
          <w:rFonts w:ascii="Arial" w:cs="Arial" w:eastAsia="Arial" w:hAnsi="Arial"/>
          <w:sz w:val="18"/>
          <w:szCs w:val="18"/>
          <w:color w:val="auto"/>
        </w:rPr>
        <w:t>In 2005, in connection with the Distribution, we established a 2005 Omnibus Incentive Plan (the “Omnibus Plan”) authorizing the issuance of up to 8,000,000 shares of common stock, subject to the terms of the Omnibus Plan. The Omnibus Plan provides for the grant of stock options, stock appreciation rights, restricted stock, restricted stock units and performance shares, performance units, other cash and stock-based awards and dividend equivalents. As of December 31, 2005, there were 777,500 shares of restricted stock and 2,206,500 stock options outstanding, all of which were granted to certain employees and directors of the Company on October 18, 2005, pursuant to the Omnibus Plan. These shares and options vest over a four-year period. The Company recorded stock-based compensation expense of $0.9 million and $0.4 million in 2005 in connection with the issuances of FNT restricted stock and stock options, respectively.</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All stock option transactions under the Omnibus Plan in 2005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1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720" w:type="dxa"/>
            <w:vAlign w:val="bottom"/>
            <w:vMerge w:val="restart"/>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Weighted Average</w:t>
            </w:r>
          </w:p>
        </w:tc>
        <w:tc>
          <w:tcPr>
            <w:tcW w:w="1140" w:type="dxa"/>
            <w:vAlign w:val="bottom"/>
          </w:tcPr>
          <w:p>
            <w:pPr>
              <w:spacing w:after="0"/>
              <w:rPr>
                <w:sz w:val="14"/>
                <w:szCs w:val="14"/>
                <w:color w:val="auto"/>
              </w:rPr>
            </w:pPr>
          </w:p>
        </w:tc>
        <w:tc>
          <w:tcPr>
            <w:tcW w:w="9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Exercisable</w:t>
            </w:r>
          </w:p>
        </w:tc>
        <w:tc>
          <w:tcPr>
            <w:tcW w:w="4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Exercise Price</w:t>
            </w:r>
          </w:p>
        </w:tc>
        <w:tc>
          <w:tcPr>
            <w:tcW w:w="114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2,206,500</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21.90</w:t>
            </w:r>
          </w:p>
        </w:tc>
        <w:tc>
          <w:tcPr>
            <w:tcW w:w="1140" w:type="dxa"/>
            <w:vAlign w:val="bottom"/>
          </w:tcPr>
          <w:p>
            <w:pPr>
              <w:spacing w:after="0"/>
              <w:rPr>
                <w:sz w:val="18"/>
                <w:szCs w:val="18"/>
                <w:color w:val="auto"/>
              </w:rPr>
            </w:pPr>
          </w:p>
        </w:tc>
        <w:tc>
          <w:tcPr>
            <w:tcW w:w="13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80"/>
              <w:spacing w:after="0"/>
              <w:rPr>
                <w:sz w:val="20"/>
                <w:szCs w:val="20"/>
                <w:color w:val="auto"/>
              </w:rPr>
            </w:pPr>
            <w:r>
              <w:rPr>
                <w:rFonts w:ascii="Arial" w:cs="Arial" w:eastAsia="Arial" w:hAnsi="Arial"/>
                <w:sz w:val="18"/>
                <w:szCs w:val="18"/>
                <w:color w:val="auto"/>
              </w:rPr>
              <w:t>Cancelled</w:t>
            </w: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3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2,206,500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400" w:firstLine="260"/>
        <w:spacing w:after="0" w:line="342" w:lineRule="auto"/>
        <w:rPr>
          <w:sz w:val="20"/>
          <w:szCs w:val="20"/>
          <w:color w:val="auto"/>
        </w:rPr>
      </w:pPr>
      <w:r>
        <w:rPr>
          <w:rFonts w:ascii="Arial" w:cs="Arial" w:eastAsia="Arial" w:hAnsi="Arial"/>
          <w:sz w:val="16"/>
          <w:szCs w:val="16"/>
          <w:color w:val="auto"/>
        </w:rPr>
        <w:t>All options issued and outstanding at December 31, 2005, are unvested, have an exercise price of $21.90 per share and a weighted average remaining contractual life of 9.8 years. There were no exercisable options outstanding at December 31, 2005. No stock options vested or were forfeited in 2005.</w:t>
      </w:r>
    </w:p>
    <w:p>
      <w:pPr>
        <w:spacing w:after="0" w:line="16" w:lineRule="exact"/>
        <w:rPr>
          <w:sz w:val="20"/>
          <w:szCs w:val="20"/>
          <w:color w:val="auto"/>
        </w:rPr>
      </w:pPr>
    </w:p>
    <w:p>
      <w:pPr>
        <w:ind w:right="20" w:firstLine="260"/>
        <w:spacing w:after="0" w:line="270" w:lineRule="auto"/>
        <w:rPr>
          <w:sz w:val="20"/>
          <w:szCs w:val="20"/>
          <w:color w:val="auto"/>
        </w:rPr>
      </w:pPr>
      <w:r>
        <w:rPr>
          <w:rFonts w:ascii="Arial" w:cs="Arial" w:eastAsia="Arial" w:hAnsi="Arial"/>
          <w:sz w:val="17"/>
          <w:szCs w:val="17"/>
          <w:color w:val="auto"/>
        </w:rPr>
        <w:t>As a result of stock-based compensation grants prior to the commencement of the Omnibus Plan, certain Company employees are also participants in FNF’s stock-based compensation plans, which provide for the granting of incentive and nonqualified stock options, restricted stock and other stock-based incentive awards for officers and key employees. Grants of incentive and nonqualified stock options under the FNF Plans have generally provided that options shall vest equally over three years and generally expire ten years after their original date of grant. All options granted under the FNF Plans had an exercise price equal to the market value of the underlying common stock on the date of grant. However, certain of these plans allow for the option exercise price for each share granted pursuant to a nonqualified stock option to be less than the fair market value of the common stock on the date of grant to reflect the application of the optionee’s deferred bonus, if applicable. In connection with grants of FNF stock options to Company employees, the Company recorded stock-based compensation expense of $8.4 million, $2.8 million, and $3.3 million in 2005, 2004, and 2003, respectively, which was based on an allocation of compensation expense to the Company for personnel who provided services to the Company.</w:t>
      </w:r>
    </w:p>
    <w:p>
      <w:pPr>
        <w:spacing w:after="0" w:line="74" w:lineRule="exact"/>
        <w:rPr>
          <w:sz w:val="20"/>
          <w:szCs w:val="20"/>
          <w:color w:val="auto"/>
        </w:rPr>
      </w:pPr>
    </w:p>
    <w:p>
      <w:pPr>
        <w:ind w:right="180" w:firstLine="270"/>
        <w:spacing w:after="0" w:line="276" w:lineRule="auto"/>
        <w:rPr>
          <w:sz w:val="20"/>
          <w:szCs w:val="20"/>
          <w:color w:val="auto"/>
        </w:rPr>
      </w:pPr>
      <w:r>
        <w:rPr>
          <w:rFonts w:ascii="Arial" w:cs="Arial" w:eastAsia="Arial" w:hAnsi="Arial"/>
          <w:sz w:val="17"/>
          <w:szCs w:val="17"/>
          <w:color w:val="auto"/>
        </w:rPr>
        <w:t>In 2003, FNF issued to certain Company employees rights to purchase shares of FNF restricted common stock (the “FNF Restricted Shares”). A portion of the FNF Restricted Shares vest over a five-year period and a portion vest over a four-year period, of which one-fifth vested immediately on the date of grant. The Company recorded stock-based compensation expense of $2.8 million, $2.6 million, and $1.6 million in connection with the issuance of the FNF Restricted Shares to FNT employees for the years ended December 31, 2005, 2004, and 2003, respectively, which was based on an allocation of compensation expense to the Company for personnel who provided services to the Company.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337" w:lineRule="exact"/>
        <w:rPr>
          <w:sz w:val="20"/>
          <w:szCs w:val="20"/>
          <w:color w:val="auto"/>
        </w:rPr>
      </w:pPr>
    </w:p>
    <w:p>
      <w:pPr>
        <w:ind w:right="20" w:firstLine="267"/>
        <w:spacing w:after="0" w:line="286" w:lineRule="auto"/>
        <w:rPr>
          <w:sz w:val="20"/>
          <w:szCs w:val="20"/>
          <w:color w:val="auto"/>
        </w:rPr>
      </w:pPr>
      <w:r>
        <w:rPr>
          <w:rFonts w:ascii="Arial" w:cs="Arial" w:eastAsia="Arial" w:hAnsi="Arial"/>
          <w:sz w:val="16"/>
          <w:szCs w:val="16"/>
          <w:color w:val="auto"/>
        </w:rPr>
        <w:t>The Company follows the fair value recognition provisions of Statement of Financial Accounting Standards No. 123, “Accounting for Stock-Based Compensation” (“SFAS No. 123”), for stock-based employee compensation. Under the fair value method of accounting, compensation cost is measured based on the fair value of the award at the grant date and recognized over the service period. The Company has elected to use the prospective method of transition, as permitted by Statement of Financial Accounting Standards No. 148, “Accounting for Stock-Based Compensation — Transition and Disclosure”</w:t>
      </w:r>
    </w:p>
    <w:p>
      <w:pPr>
        <w:spacing w:after="0" w:line="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(“SFAS No. 148”). Under this method, stock-based employee compensation cost is recognized from the beginning of 2003 as if the fair value method of accounting had been used to account for all employee awards granted, modified, or settled in years beginning after December 31, 2002. The Company has recorded stock-based compensation expense of $1.3 million in 2005 related to the Incentive Plan and has allocated stock-based compensation expense of $11.2 million, $5.4 million, and $4.9 million for the years ended December 31, 2005, 2004, and 2003, respectively, related to the participation of Company employees in the FNF stock-based compensation plans, all of which is included in personnel costs in the Consolidated and Combined Statements of Earnings.</w:t>
      </w:r>
    </w:p>
    <w:p>
      <w:pPr>
        <w:spacing w:after="0" w:line="55" w:lineRule="exact"/>
        <w:rPr>
          <w:sz w:val="20"/>
          <w:szCs w:val="20"/>
          <w:color w:val="auto"/>
        </w:rPr>
      </w:pPr>
    </w:p>
    <w:p>
      <w:pPr>
        <w:ind w:firstLine="270"/>
        <w:spacing w:after="0" w:line="284" w:lineRule="auto"/>
        <w:rPr>
          <w:sz w:val="20"/>
          <w:szCs w:val="20"/>
          <w:color w:val="auto"/>
        </w:rPr>
      </w:pPr>
      <w:r>
        <w:rPr>
          <w:rFonts w:ascii="Arial" w:cs="Arial" w:eastAsia="Arial" w:hAnsi="Arial"/>
          <w:sz w:val="16"/>
          <w:szCs w:val="16"/>
          <w:color w:val="auto"/>
        </w:rPr>
        <w:t>Pro forma information regarding net earnings and earnings per share is required by SFAS No. 123, and has been determined as if the Company had accounted for all of its employee stock options under the fair value method of that statement. The fair values of all options were estimated at the date of grant using a Black-Scholes option-pricing model with the following weighted average assumptions. The risk free interest rates used in the calculation are the rates that correspond to the weighted average expected life of an option. For purposes of valuing the options granted under the Omnibus Plan in 2005, the Company used historical activity of FNF common stock shares and stock options to estimate the volatility rate of the FNT common stock and the expected life of the FNT options. FNT stock options granted in 2005 were valued using a risk free interest rate of 4.3%, a volatility factor of 28%, an expected dividend yield of 4.6%, and a weighted average expected life of four years, resulting in a weighted average fair value of $3.98 per option. The risk free interest rate used for options granted under the FNF stock-based compensation plans during the years ended December 31, 2005, 2004, and 2003 was 4.1%, 3.2% and</w:t>
      </w:r>
    </w:p>
    <w:p>
      <w:pPr>
        <w:spacing w:after="0" w:line="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2.0%, respectively. A volatility factor for the expected market price of FNF common stock of 27%, 34% and 43% was used for options granted for the years ended December 31, 2005, 2004, and 2003, respectively. The expected dividend yield used for FNF stock in 2005, 2004, and 2003 was 2.4%, 2.5% and 1.4%, respectively. A weighted average expected life of 4.0 years, 3.8 years and 3.5 years was used for FNF options issued in 2005, 2004, and 2003 respectively. The weighted average fair value of each FNF option granted during 2005, 2004, and 2003 was $8.56, $10.71, and $10.57, respectively.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337" w:lineRule="exact"/>
        <w:rPr>
          <w:sz w:val="20"/>
          <w:szCs w:val="20"/>
          <w:color w:val="auto"/>
        </w:rPr>
      </w:pPr>
    </w:p>
    <w:p>
      <w:pPr>
        <w:ind w:right="280" w:firstLine="270"/>
        <w:spacing w:after="0" w:line="264" w:lineRule="auto"/>
        <w:rPr>
          <w:sz w:val="20"/>
          <w:szCs w:val="20"/>
          <w:color w:val="auto"/>
        </w:rPr>
      </w:pPr>
      <w:r>
        <w:rPr>
          <w:rFonts w:ascii="Arial" w:cs="Arial" w:eastAsia="Arial" w:hAnsi="Arial"/>
          <w:sz w:val="18"/>
          <w:szCs w:val="18"/>
          <w:color w:val="auto"/>
        </w:rPr>
        <w:t>For purposes of pro forma disclosures, the estimated fair value of the options is amortized into expense over the options’ vesting period. The following table illustrates the effect on net income and earnings per share if the Company had applied the fair value recognition provisions of SFAS No. 123 to all outstanding and unvested awards in each period: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Year Ended December 31,</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33"/>
              <w:spacing w:after="0" w:line="155" w:lineRule="exact"/>
              <w:rPr>
                <w:sz w:val="20"/>
                <w:szCs w:val="20"/>
                <w:color w:val="auto"/>
              </w:rPr>
            </w:pPr>
            <w:r>
              <w:rPr>
                <w:rFonts w:ascii="Arial" w:cs="Arial" w:eastAsia="Arial" w:hAnsi="Arial"/>
                <w:sz w:val="14"/>
                <w:szCs w:val="14"/>
                <w:b w:val="1"/>
                <w:bCs w:val="1"/>
                <w:color w:val="auto"/>
                <w:w w:val="89"/>
              </w:rPr>
              <w:t>2004</w:t>
            </w:r>
          </w:p>
        </w:tc>
        <w:tc>
          <w:tcPr>
            <w:tcW w:w="6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earnings, as reported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538,981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558,164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683,325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spacing w:after="0" w:line="201" w:lineRule="exact"/>
              <w:rPr>
                <w:sz w:val="20"/>
                <w:szCs w:val="20"/>
                <w:color w:val="auto"/>
              </w:rPr>
            </w:pPr>
            <w:r>
              <w:rPr>
                <w:rFonts w:ascii="Arial" w:cs="Arial" w:eastAsia="Arial" w:hAnsi="Arial"/>
                <w:sz w:val="18"/>
                <w:szCs w:val="18"/>
                <w:color w:val="auto"/>
                <w:w w:val="93"/>
              </w:rPr>
              <w:t>Add: Stock-based compensation expense included in reported net earnings, net of related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ind w:left="120"/>
              <w:spacing w:after="0"/>
              <w:rPr>
                <w:sz w:val="20"/>
                <w:szCs w:val="20"/>
                <w:color w:val="auto"/>
              </w:rPr>
            </w:pPr>
            <w:r>
              <w:rPr>
                <w:rFonts w:ascii="Arial" w:cs="Arial" w:eastAsia="Arial" w:hAnsi="Arial"/>
                <w:sz w:val="18"/>
                <w:szCs w:val="18"/>
                <w:color w:val="auto"/>
              </w:rPr>
              <w:t>tax effects</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7,839</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3,360</w:t>
            </w:r>
          </w:p>
        </w:tc>
        <w:tc>
          <w:tcPr>
            <w:tcW w:w="24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Deduct: Total stock-based employee compensation expense determined under fair value</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based methods for all awards, net of related tax effects</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(8,277)</w:t>
            </w: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(4,268)</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(8,124)</w:t>
            </w: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Pro forma net earnings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538,543</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557,256</w:t>
            </w:r>
          </w:p>
        </w:tc>
        <w:tc>
          <w:tcPr>
            <w:tcW w:w="6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678,217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Basic — as reported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Basic — pro forma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Diluted — as reported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740" w:type="dxa"/>
            <w:vAlign w:val="bottom"/>
            <w:gridSpan w:val="2"/>
            <w:vMerge w:val="continue"/>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Diluted — pro forma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Pro forma net earnings per share — basic and diluted, as reported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vMerge w:val="restart"/>
          </w:tcPr>
          <w:p>
            <w:pPr>
              <w:jc w:val="right"/>
              <w:ind w:right="39"/>
              <w:spacing w:after="0"/>
              <w:rPr>
                <w:sz w:val="20"/>
                <w:szCs w:val="20"/>
                <w:color w:val="auto"/>
              </w:rPr>
            </w:pPr>
            <w:r>
              <w:rPr>
                <w:rFonts w:ascii="Arial" w:cs="Arial" w:eastAsia="Arial" w:hAnsi="Arial"/>
                <w:sz w:val="18"/>
                <w:szCs w:val="18"/>
                <w:color w:val="auto"/>
              </w:rPr>
              <w:t>$</w:t>
            </w:r>
          </w:p>
        </w:tc>
        <w:tc>
          <w:tcPr>
            <w:tcW w:w="1460" w:type="dxa"/>
            <w:vAlign w:val="bottom"/>
            <w:gridSpan w:val="2"/>
            <w:vMerge w:val="restart"/>
          </w:tcPr>
          <w:p>
            <w:pPr>
              <w:jc w:val="right"/>
              <w:ind w:right="68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7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9"/>
              </w:rPr>
              <w:t>Pro forma net earnings per share — basic and diluted, adjusted for SFAS 123 effects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Pension Plans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connection with the Chicago Title merger, the Company assumed Chicago Title’s noncontributory defined benefit pension plan (the “Pension Plan”).</w:t>
      </w:r>
    </w:p>
    <w:p>
      <w:pPr>
        <w:spacing w:after="0" w:line="140" w:lineRule="exact"/>
        <w:rPr>
          <w:sz w:val="20"/>
          <w:szCs w:val="20"/>
          <w:color w:val="auto"/>
        </w:rPr>
      </w:pPr>
    </w:p>
    <w:p>
      <w:pPr>
        <w:jc w:val="both"/>
        <w:ind w:right="20" w:firstLine="267"/>
        <w:spacing w:after="0" w:line="264" w:lineRule="auto"/>
        <w:rPr>
          <w:sz w:val="20"/>
          <w:szCs w:val="20"/>
          <w:color w:val="auto"/>
        </w:rPr>
      </w:pPr>
      <w:r>
        <w:rPr>
          <w:rFonts w:ascii="Arial" w:cs="Arial" w:eastAsia="Arial" w:hAnsi="Arial"/>
          <w:sz w:val="18"/>
          <w:szCs w:val="18"/>
          <w:color w:val="auto"/>
        </w:rPr>
        <w:t>The Pension Plan covered certain Chicago Title employees. Plan benefits are based on years of service and the employee’s average monthly compensation in the highest 60 consecutive calendar months during the 120 months ending at retirement or termination. Effective December 31, 2000, the Pension Plan was frozen and there will be no future credit given for years of service or changes in salary.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sets forth the funded status of the Pension Plan as of December 31, 2005, 2004, and 2003: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Net benefit obligation at beginning of year</w:t>
            </w:r>
          </w:p>
        </w:tc>
        <w:tc>
          <w:tcPr>
            <w:tcW w:w="18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150,255</w:t>
            </w: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131,984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111,132</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8,347</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8,650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8,104</w:t>
            </w:r>
          </w:p>
        </w:tc>
      </w:tr>
      <w:tr>
        <w:trPr>
          <w:trHeight w:val="216"/>
        </w:trPr>
        <w:tc>
          <w:tcPr>
            <w:tcW w:w="20" w:type="dxa"/>
            <w:vAlign w:val="bottom"/>
          </w:tcPr>
          <w:p>
            <w:pPr>
              <w:spacing w:after="0"/>
              <w:rPr>
                <w:sz w:val="18"/>
                <w:szCs w:val="18"/>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Actuarial (gain) loss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11,682</w:t>
            </w:r>
          </w:p>
        </w:tc>
        <w:tc>
          <w:tcPr>
            <w:tcW w:w="22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20,918</w:t>
            </w:r>
          </w:p>
        </w:tc>
        <w:tc>
          <w:tcPr>
            <w:tcW w:w="24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20,676</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benefits paid</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(7,409)</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(11,297)</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(7,928)</w:t>
            </w:r>
          </w:p>
        </w:tc>
      </w:tr>
      <w:tr>
        <w:trPr>
          <w:trHeight w:val="223"/>
        </w:trPr>
        <w:tc>
          <w:tcPr>
            <w:tcW w:w="20" w:type="dxa"/>
            <w:vAlign w:val="bottom"/>
          </w:tcPr>
          <w:p>
            <w:pPr>
              <w:spacing w:after="0"/>
              <w:rPr>
                <w:sz w:val="19"/>
                <w:szCs w:val="19"/>
                <w:color w:val="auto"/>
              </w:rPr>
            </w:pPr>
          </w:p>
        </w:tc>
        <w:tc>
          <w:tcPr>
            <w:tcW w:w="5060" w:type="dxa"/>
            <w:vAlign w:val="bottom"/>
          </w:tcPr>
          <w:p>
            <w:pPr>
              <w:ind w:left="560"/>
              <w:spacing w:after="0"/>
              <w:rPr>
                <w:sz w:val="20"/>
                <w:szCs w:val="20"/>
                <w:color w:val="auto"/>
              </w:rPr>
            </w:pPr>
            <w:r>
              <w:rPr>
                <w:rFonts w:ascii="Arial" w:cs="Arial" w:eastAsia="Arial" w:hAnsi="Arial"/>
                <w:sz w:val="18"/>
                <w:szCs w:val="18"/>
                <w:color w:val="auto"/>
              </w:rPr>
              <w:t>Net benefit obligation at end of year</w:t>
            </w:r>
          </w:p>
        </w:tc>
        <w:tc>
          <w:tcPr>
            <w:tcW w:w="15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162,875</w:t>
            </w: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150,255</w:t>
            </w:r>
          </w:p>
        </w:tc>
        <w:tc>
          <w:tcPr>
            <w:tcW w:w="6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131,984</w:t>
            </w:r>
          </w:p>
        </w:tc>
        <w:tc>
          <w:tcPr>
            <w:tcW w:w="40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Change in Pension Plan Assets:</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Fair value of plan assets at beginning of year</w:t>
            </w:r>
          </w:p>
        </w:tc>
        <w:tc>
          <w:tcPr>
            <w:tcW w:w="18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87,214</w:t>
            </w: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77,700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66,232</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Actual return on plan assets</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8,525</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2,811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7,196</w:t>
            </w:r>
          </w:p>
        </w:tc>
      </w:tr>
      <w:tr>
        <w:trPr>
          <w:trHeight w:val="216"/>
        </w:trPr>
        <w:tc>
          <w:tcPr>
            <w:tcW w:w="20" w:type="dxa"/>
            <w:vAlign w:val="bottom"/>
          </w:tcPr>
          <w:p>
            <w:pPr>
              <w:spacing w:after="0"/>
              <w:rPr>
                <w:sz w:val="18"/>
                <w:szCs w:val="18"/>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Employer contributions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24,306</w:t>
            </w:r>
          </w:p>
        </w:tc>
        <w:tc>
          <w:tcPr>
            <w:tcW w:w="22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18,000</w:t>
            </w:r>
          </w:p>
        </w:tc>
        <w:tc>
          <w:tcPr>
            <w:tcW w:w="24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12,200</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benefits paid</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(7,409)</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(11,297)</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(7,928)</w:t>
            </w:r>
          </w:p>
        </w:tc>
      </w:tr>
      <w:tr>
        <w:trPr>
          <w:trHeight w:val="223"/>
        </w:trPr>
        <w:tc>
          <w:tcPr>
            <w:tcW w:w="20" w:type="dxa"/>
            <w:vAlign w:val="bottom"/>
          </w:tcPr>
          <w:p>
            <w:pPr>
              <w:spacing w:after="0"/>
              <w:rPr>
                <w:sz w:val="19"/>
                <w:szCs w:val="19"/>
                <w:color w:val="auto"/>
              </w:rPr>
            </w:pPr>
          </w:p>
        </w:tc>
        <w:tc>
          <w:tcPr>
            <w:tcW w:w="5060" w:type="dxa"/>
            <w:vAlign w:val="bottom"/>
          </w:tcPr>
          <w:p>
            <w:pPr>
              <w:ind w:left="560"/>
              <w:spacing w:after="0"/>
              <w:rPr>
                <w:sz w:val="20"/>
                <w:szCs w:val="20"/>
                <w:color w:val="auto"/>
              </w:rPr>
            </w:pPr>
            <w:r>
              <w:rPr>
                <w:rFonts w:ascii="Arial" w:cs="Arial" w:eastAsia="Arial" w:hAnsi="Arial"/>
                <w:sz w:val="18"/>
                <w:szCs w:val="18"/>
                <w:color w:val="auto"/>
              </w:rPr>
              <w:t>Fair value of plan assets at end of year</w:t>
            </w:r>
          </w:p>
        </w:tc>
        <w:tc>
          <w:tcPr>
            <w:tcW w:w="15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112,636</w:t>
            </w: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87,214</w:t>
            </w:r>
          </w:p>
        </w:tc>
        <w:tc>
          <w:tcPr>
            <w:tcW w:w="6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77,700</w:t>
            </w:r>
          </w:p>
        </w:tc>
        <w:tc>
          <w:tcPr>
            <w:tcW w:w="40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Funded status at end of year</w:t>
            </w:r>
          </w:p>
        </w:tc>
        <w:tc>
          <w:tcPr>
            <w:tcW w:w="18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(50,239)</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(63,041)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(54,284)</w:t>
            </w:r>
          </w:p>
        </w:tc>
      </w:tr>
      <w:tr>
        <w:trPr>
          <w:trHeight w:val="216"/>
        </w:trPr>
        <w:tc>
          <w:tcPr>
            <w:tcW w:w="20" w:type="dxa"/>
            <w:vAlign w:val="bottom"/>
          </w:tcPr>
          <w:p>
            <w:pPr>
              <w:spacing w:after="0"/>
              <w:rPr>
                <w:sz w:val="18"/>
                <w:szCs w:val="18"/>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Unrecognized net actuarial loss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83,466</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80,261</w:t>
            </w:r>
          </w:p>
        </w:tc>
        <w:tc>
          <w:tcPr>
            <w:tcW w:w="24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61,588</w:t>
            </w: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amount recognized at end of year</w:t>
            </w:r>
          </w:p>
        </w:tc>
        <w:tc>
          <w:tcPr>
            <w:tcW w:w="18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33,227</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17,220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7,304</w:t>
            </w:r>
          </w:p>
        </w:tc>
      </w:tr>
      <w:tr>
        <w:trPr>
          <w:trHeight w:val="21"/>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67"/>
        <w:spacing w:after="0" w:line="277" w:lineRule="auto"/>
        <w:rPr>
          <w:sz w:val="20"/>
          <w:szCs w:val="20"/>
          <w:color w:val="auto"/>
        </w:rPr>
      </w:pPr>
      <w:r>
        <w:rPr>
          <w:rFonts w:ascii="Arial" w:cs="Arial" w:eastAsia="Arial" w:hAnsi="Arial"/>
          <w:sz w:val="18"/>
          <w:szCs w:val="18"/>
          <w:color w:val="auto"/>
        </w:rPr>
        <w:t>The accumulated benefit obligation (ABO) is the same as the projected benefit obligation (PBO) due to the pension plan being frozen as of December 31, 2000.</w:t>
      </w:r>
    </w:p>
    <w:p>
      <w:pPr>
        <w:spacing w:after="0" w:line="62"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Under Statement of Financial Accounting Standards No. 87, “Employers’ Accounting for Pensions,” (“SFAS No. 87”) the measurement date shall be as of the date of the financial statements, or if used consistently from year to year, as of a date not more than three months prior to that date. The Company’s measurement date is December 31.</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net pension liability included in accounts payable and accrued liabilities as of December 31, 2005 and 2004 is $50.2 million and $63.0 million,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respectively. The net pension liability at December 31, 2005 and 2004 includes the additional minimum pension liability adjustment of $3.2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$18.7 million, respectively, which was recorded as a net of tax charge of $2.0 million and $11.8 million, respectively, to accumulated other comprehensive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earnings (loss) in 2005 and 2004 in accordance with SFAS No. 87.</w:t>
      </w:r>
    </w:p>
    <w:p>
      <w:pPr>
        <w:spacing w:after="0" w:line="10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components of net periodic (income) expense included in the results of operations for 2005, 2004, and 2003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Interest cost</w:t>
            </w: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8,347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8,650</w:t>
            </w: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8,104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3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(8,877)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(7,570)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Amortization of actuarial loss</w:t>
            </w: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8,829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7,004</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net expense</w:t>
            </w:r>
          </w:p>
        </w:tc>
        <w:tc>
          <w:tcPr>
            <w:tcW w:w="3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8,084</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5,169</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3400" w:type="dxa"/>
            <w:vAlign w:val="bottom"/>
            <w:vMerge w:val="restart"/>
          </w:tcPr>
          <w:p>
            <w:pPr>
              <w:jc w:val="right"/>
              <w:ind w:right="1390"/>
              <w:spacing w:after="0"/>
              <w:rPr>
                <w:sz w:val="20"/>
                <w:szCs w:val="20"/>
                <w:color w:val="auto"/>
              </w:rPr>
            </w:pPr>
            <w:r>
              <w:rPr>
                <w:rFonts w:ascii="Arial" w:cs="Arial" w:eastAsia="Arial" w:hAnsi="Arial"/>
                <w:sz w:val="18"/>
                <w:szCs w:val="18"/>
                <w:color w:val="auto"/>
              </w:rPr>
              <w:t>78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88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8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Pension Assumptions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Weighted-average assumptions used to determine benefit obligations at December 31,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5.50%</w:t>
            </w:r>
          </w:p>
        </w:tc>
        <w:tc>
          <w:tcPr>
            <w:tcW w:w="5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5.75%</w:t>
            </w:r>
          </w:p>
        </w:tc>
      </w:tr>
      <w:tr>
        <w:trPr>
          <w:trHeight w:val="230"/>
        </w:trPr>
        <w:tc>
          <w:tcPr>
            <w:tcW w:w="20" w:type="dxa"/>
            <w:vAlign w:val="bottom"/>
          </w:tcPr>
          <w:p>
            <w:pPr>
              <w:spacing w:after="0"/>
              <w:rPr>
                <w:sz w:val="20"/>
                <w:szCs w:val="20"/>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Rate of compensation increase</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tcPr>
          <w:p>
            <w:pPr>
              <w:ind w:left="220"/>
              <w:spacing w:after="0"/>
              <w:rPr>
                <w:sz w:val="20"/>
                <w:szCs w:val="20"/>
                <w:color w:val="auto"/>
              </w:rPr>
            </w:pPr>
            <w:r>
              <w:rPr>
                <w:rFonts w:ascii="Arial" w:cs="Arial" w:eastAsia="Arial" w:hAnsi="Arial"/>
                <w:sz w:val="18"/>
                <w:szCs w:val="18"/>
                <w:color w:val="auto"/>
              </w:rPr>
              <w:t>N/A(a)</w:t>
            </w:r>
          </w:p>
        </w:tc>
        <w:tc>
          <w:tcPr>
            <w:tcW w:w="120" w:type="dxa"/>
            <w:vAlign w:val="bottom"/>
          </w:tcPr>
          <w:p>
            <w:pPr>
              <w:spacing w:after="0"/>
              <w:rPr>
                <w:sz w:val="20"/>
                <w:szCs w:val="20"/>
                <w:color w:val="auto"/>
              </w:rPr>
            </w:pP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N/A(a)</w:t>
            </w:r>
          </w:p>
        </w:tc>
      </w:tr>
      <w:tr>
        <w:trPr>
          <w:trHeight w:val="310"/>
        </w:trPr>
        <w:tc>
          <w:tcPr>
            <w:tcW w:w="20" w:type="dxa"/>
            <w:vAlign w:val="bottom"/>
          </w:tcPr>
          <w:p>
            <w:pPr>
              <w:spacing w:after="0"/>
              <w:rPr>
                <w:sz w:val="24"/>
                <w:szCs w:val="24"/>
                <w:color w:val="auto"/>
              </w:rPr>
            </w:pPr>
          </w:p>
        </w:tc>
        <w:tc>
          <w:tcPr>
            <w:tcW w:w="8760" w:type="dxa"/>
            <w:vAlign w:val="bottom"/>
            <w:gridSpan w:val="4"/>
          </w:tcPr>
          <w:p>
            <w:pPr>
              <w:ind w:left="260"/>
              <w:spacing w:after="0"/>
              <w:rPr>
                <w:sz w:val="20"/>
                <w:szCs w:val="20"/>
                <w:color w:val="auto"/>
              </w:rPr>
            </w:pPr>
            <w:r>
              <w:rPr>
                <w:rFonts w:ascii="Arial" w:cs="Arial" w:eastAsia="Arial" w:hAnsi="Arial"/>
                <w:sz w:val="18"/>
                <w:szCs w:val="18"/>
                <w:color w:val="auto"/>
                <w:w w:val="97"/>
              </w:rPr>
              <w:t>Weighted-average assumptions used to determine net expense for years ended December 31 are as follows:</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24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5.75%</w:t>
            </w:r>
          </w:p>
        </w:tc>
        <w:tc>
          <w:tcPr>
            <w:tcW w:w="154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6.25%</w:t>
            </w:r>
          </w:p>
        </w:tc>
        <w:tc>
          <w:tcPr>
            <w:tcW w:w="11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6.75%</w:t>
            </w: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Expected return on plan assets</w:t>
            </w:r>
          </w:p>
        </w:tc>
        <w:tc>
          <w:tcPr>
            <w:tcW w:w="1160" w:type="dxa"/>
            <w:vAlign w:val="bottom"/>
            <w:gridSpan w:val="2"/>
          </w:tcPr>
          <w:p>
            <w:pPr>
              <w:ind w:left="420"/>
              <w:spacing w:after="0"/>
              <w:rPr>
                <w:sz w:val="20"/>
                <w:szCs w:val="20"/>
                <w:color w:val="auto"/>
              </w:rPr>
            </w:pPr>
            <w:r>
              <w:rPr>
                <w:rFonts w:ascii="Arial" w:cs="Arial" w:eastAsia="Arial" w:hAnsi="Arial"/>
                <w:sz w:val="18"/>
                <w:szCs w:val="18"/>
                <w:color w:val="auto"/>
              </w:rPr>
              <w:t>8.50%</w:t>
            </w:r>
          </w:p>
        </w:tc>
        <w:tc>
          <w:tcPr>
            <w:tcW w:w="1540" w:type="dxa"/>
            <w:vAlign w:val="bottom"/>
            <w:gridSpan w:val="4"/>
          </w:tcPr>
          <w:p>
            <w:pPr>
              <w:ind w:left="680"/>
              <w:spacing w:after="0"/>
              <w:rPr>
                <w:sz w:val="20"/>
                <w:szCs w:val="20"/>
                <w:color w:val="auto"/>
              </w:rPr>
            </w:pPr>
            <w:r>
              <w:rPr>
                <w:rFonts w:ascii="Arial" w:cs="Arial" w:eastAsia="Arial" w:hAnsi="Arial"/>
                <w:sz w:val="18"/>
                <w:szCs w:val="18"/>
                <w:color w:val="auto"/>
              </w:rPr>
              <w:t>8.50%</w:t>
            </w:r>
          </w:p>
        </w:tc>
        <w:tc>
          <w:tcPr>
            <w:tcW w:w="1100" w:type="dxa"/>
            <w:vAlign w:val="bottom"/>
            <w:gridSpan w:val="3"/>
          </w:tcPr>
          <w:p>
            <w:pPr>
              <w:ind w:left="440"/>
              <w:spacing w:after="0"/>
              <w:rPr>
                <w:sz w:val="20"/>
                <w:szCs w:val="20"/>
                <w:color w:val="auto"/>
              </w:rPr>
            </w:pPr>
            <w:r>
              <w:rPr>
                <w:rFonts w:ascii="Arial" w:cs="Arial" w:eastAsia="Arial" w:hAnsi="Arial"/>
                <w:sz w:val="18"/>
                <w:szCs w:val="18"/>
                <w:color w:val="auto"/>
              </w:rPr>
              <w:t>8.50%</w:t>
            </w: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1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N/A(a)</w:t>
            </w: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N/A(a)</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N/A(a)</w:t>
            </w:r>
          </w:p>
        </w:tc>
      </w:tr>
      <w:tr>
        <w:trPr>
          <w:trHeight w:val="108"/>
        </w:trPr>
        <w:tc>
          <w:tcPr>
            <w:tcW w:w="20" w:type="dxa"/>
            <w:vAlign w:val="bottom"/>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5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r>
    </w:tbl>
    <w:p>
      <w:pPr>
        <w:spacing w:after="0" w:line="67"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Rate of compensation increase is not applicable due to the pension being frozen at December 31, 2000.</w:t>
      </w:r>
    </w:p>
    <w:p>
      <w:pPr>
        <w:spacing w:after="0" w:line="117" w:lineRule="exact"/>
        <w:rPr>
          <w:sz w:val="20"/>
          <w:szCs w:val="20"/>
          <w:color w:val="auto"/>
        </w:rPr>
      </w:pPr>
    </w:p>
    <w:p>
      <w:pPr>
        <w:ind w:right="40" w:firstLine="267"/>
        <w:spacing w:after="0" w:line="277" w:lineRule="auto"/>
        <w:rPr>
          <w:sz w:val="20"/>
          <w:szCs w:val="20"/>
          <w:color w:val="auto"/>
        </w:rPr>
      </w:pPr>
      <w:r>
        <w:rPr>
          <w:rFonts w:ascii="Arial" w:cs="Arial" w:eastAsia="Arial" w:hAnsi="Arial"/>
          <w:sz w:val="18"/>
          <w:szCs w:val="18"/>
          <w:color w:val="auto"/>
        </w:rPr>
        <w:t>The discount rate used was determined by discounting projections of future benefit payments using annual spot rates from the Citigroup Pension Discount Curve. The discounted cash flows were then used to determine the effective discount rate.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Pension Plan Assets</w:t>
      </w:r>
    </w:p>
    <w:p>
      <w:pPr>
        <w:spacing w:after="0" w:line="117" w:lineRule="exact"/>
        <w:rPr>
          <w:sz w:val="20"/>
          <w:szCs w:val="20"/>
          <w:color w:val="auto"/>
        </w:rPr>
      </w:pPr>
    </w:p>
    <w:p>
      <w:pPr>
        <w:ind w:right="220" w:firstLine="267"/>
        <w:spacing w:after="0" w:line="257" w:lineRule="auto"/>
        <w:rPr>
          <w:sz w:val="20"/>
          <w:szCs w:val="20"/>
          <w:color w:val="auto"/>
        </w:rPr>
      </w:pPr>
      <w:r>
        <w:rPr>
          <w:rFonts w:ascii="Arial" w:cs="Arial" w:eastAsia="Arial" w:hAnsi="Arial"/>
          <w:sz w:val="18"/>
          <w:szCs w:val="18"/>
          <w:color w:val="auto"/>
        </w:rPr>
        <w:t>The expected long term rate of return on plan assets was 8.5% in 2005 and 2004, derived using the plan’s asset mix, historical returns by asset category, expectations for future capital market performance, and the fund’s past experience. Both the plan’s investment policy and the expected long-term rate of return assumption are reviewed periodically. The Company’s strategy is to focus on a one to three-year investment horizon, maintaining equity securities at 65% of total assets while maintaining an average duration in debt securities, extending that duration as interest rates rise and maintaining cash funds at appropriate levels relating to the current economic environment.</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Company’s pension plan asset allocation at December 31, 2005 and 2004 and target allocation for 2006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Target</w:t>
            </w:r>
          </w:p>
        </w:tc>
        <w:tc>
          <w:tcPr>
            <w:tcW w:w="6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3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5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1"/>
              </w:rPr>
              <w:t>Allocation</w:t>
            </w:r>
          </w:p>
        </w:tc>
        <w:tc>
          <w:tcPr>
            <w:tcW w:w="6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Plan Assets</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300" w:type="dxa"/>
            <w:vAlign w:val="bottom"/>
            <w:gridSpan w:val="4"/>
            <w:vMerge w:val="continue"/>
          </w:tcPr>
          <w:p>
            <w:pPr>
              <w:spacing w:after="0"/>
              <w:rPr>
                <w:sz w:val="13"/>
                <w:szCs w:val="13"/>
                <w:color w:val="auto"/>
              </w:rPr>
            </w:pPr>
          </w:p>
        </w:tc>
        <w:tc>
          <w:tcPr>
            <w:tcW w:w="8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2006</w:t>
            </w:r>
          </w:p>
        </w:tc>
        <w:tc>
          <w:tcPr>
            <w:tcW w:w="740" w:type="dxa"/>
            <w:vAlign w:val="bottom"/>
          </w:tcPr>
          <w:p>
            <w:pPr>
              <w:spacing w:after="0"/>
              <w:rPr>
                <w:sz w:val="13"/>
                <w:szCs w:val="13"/>
                <w:color w:val="auto"/>
              </w:rPr>
            </w:pPr>
          </w:p>
        </w:tc>
        <w:tc>
          <w:tcPr>
            <w:tcW w:w="620" w:type="dxa"/>
            <w:vAlign w:val="bottom"/>
            <w:tcBorders>
              <w:top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2005</w:t>
            </w:r>
          </w:p>
        </w:tc>
        <w:tc>
          <w:tcPr>
            <w:tcW w:w="5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w w:val="89"/>
              </w:rPr>
              <w:t>2004</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4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w:t>
            </w:r>
          </w:p>
        </w:tc>
        <w:tc>
          <w:tcPr>
            <w:tcW w:w="11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72.0%</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tcPr>
          <w:p>
            <w:pPr>
              <w:spacing w:after="0"/>
              <w:rPr>
                <w:sz w:val="20"/>
                <w:szCs w:val="20"/>
                <w:color w:val="auto"/>
              </w:rPr>
            </w:pPr>
            <w:r>
              <w:rPr>
                <w:rFonts w:ascii="Arial" w:cs="Arial" w:eastAsia="Arial" w:hAnsi="Arial"/>
                <w:sz w:val="18"/>
                <w:szCs w:val="18"/>
                <w:color w:val="auto"/>
              </w:rPr>
              <w:t>Debt securities</w:t>
            </w: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35</w:t>
            </w:r>
          </w:p>
        </w:tc>
        <w:tc>
          <w:tcPr>
            <w:tcW w:w="1160" w:type="dxa"/>
            <w:vAlign w:val="bottom"/>
            <w:gridSpan w:val="2"/>
          </w:tcPr>
          <w:p>
            <w:pPr>
              <w:jc w:val="right"/>
              <w:ind w:right="468"/>
              <w:spacing w:after="0"/>
              <w:rPr>
                <w:sz w:val="20"/>
                <w:szCs w:val="20"/>
                <w:color w:val="auto"/>
              </w:rPr>
            </w:pPr>
            <w:r>
              <w:rPr>
                <w:rFonts w:ascii="Arial" w:cs="Arial" w:eastAsia="Arial" w:hAnsi="Arial"/>
                <w:sz w:val="18"/>
                <w:szCs w:val="18"/>
                <w:color w:val="auto"/>
              </w:rPr>
              <w:t>18.3</w:t>
            </w:r>
          </w:p>
        </w:tc>
        <w:tc>
          <w:tcPr>
            <w:tcW w:w="3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 annuities</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tcPr>
          <w:p>
            <w:pPr>
              <w:spacing w:after="0"/>
              <w:rPr>
                <w:sz w:val="20"/>
                <w:szCs w:val="20"/>
                <w:color w:val="auto"/>
              </w:rPr>
            </w:pPr>
            <w:r>
              <w:rPr>
                <w:rFonts w:ascii="Arial" w:cs="Arial" w:eastAsia="Arial" w:hAnsi="Arial"/>
                <w:sz w:val="18"/>
                <w:szCs w:val="18"/>
                <w:color w:val="auto"/>
              </w:rPr>
              <w:t>Other (Cash)</w:t>
            </w: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1-3%</w:t>
            </w:r>
          </w:p>
        </w:tc>
        <w:tc>
          <w:tcPr>
            <w:tcW w:w="1160" w:type="dxa"/>
            <w:vAlign w:val="bottom"/>
            <w:gridSpan w:val="2"/>
          </w:tcPr>
          <w:p>
            <w:pPr>
              <w:jc w:val="right"/>
              <w:ind w:right="468"/>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100.0%(a)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4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80" w:right="80" w:hanging="272"/>
        <w:spacing w:after="0" w:line="402" w:lineRule="auto"/>
        <w:tabs>
          <w:tab w:leader="none" w:pos="47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Investments were all cash at December 31, 2004 as the Company was in the process of transferring the assets from one investment manager to another. The Company does not hold any investments in its own equity securities within its pension plan assets.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Pension Plan Cash Flows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Plan Contributions</w:t>
      </w:r>
    </w:p>
    <w:p>
      <w:pPr>
        <w:spacing w:after="0" w:line="117" w:lineRule="exact"/>
        <w:rPr>
          <w:sz w:val="20"/>
          <w:szCs w:val="20"/>
          <w:color w:val="auto"/>
        </w:rPr>
      </w:pPr>
    </w:p>
    <w:p>
      <w:pPr>
        <w:ind w:right="80" w:firstLine="267"/>
        <w:spacing w:after="0" w:line="259" w:lineRule="auto"/>
        <w:rPr>
          <w:sz w:val="20"/>
          <w:szCs w:val="20"/>
          <w:color w:val="auto"/>
        </w:rPr>
      </w:pPr>
      <w:r>
        <w:rPr>
          <w:rFonts w:ascii="Arial" w:cs="Arial" w:eastAsia="Arial" w:hAnsi="Arial"/>
          <w:sz w:val="18"/>
          <w:szCs w:val="18"/>
          <w:color w:val="auto"/>
        </w:rPr>
        <w:t>The Company’s funding policy is to contribute annually at least the minimum required contribution under the Employee Retirement Income Security Act (ERISA). Contributions are intended to provide not only for benefits accrued to date, but also for those expected to be earned in the future. In 2005, 2004 and 2003, the Company made contributions of $24.3 million, $18.0 million, and $12.2 million, respectively. In 2006, the Company is not required to make a contribution to the pension plan and has not yet determined if a voluntary contribution will be made.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8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Plan Benefit Payments</w:t>
            </w:r>
          </w:p>
        </w:tc>
        <w:tc>
          <w:tcPr>
            <w:tcW w:w="2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880" w:type="dxa"/>
            <w:vAlign w:val="bottom"/>
          </w:tcPr>
          <w:p>
            <w:pPr>
              <w:ind w:left="240"/>
              <w:spacing w:after="0"/>
              <w:rPr>
                <w:sz w:val="20"/>
                <w:szCs w:val="20"/>
                <w:color w:val="auto"/>
              </w:rPr>
            </w:pPr>
            <w:r>
              <w:rPr>
                <w:rFonts w:ascii="Arial" w:cs="Arial" w:eastAsia="Arial" w:hAnsi="Arial"/>
                <w:sz w:val="18"/>
                <w:szCs w:val="18"/>
                <w:color w:val="auto"/>
              </w:rPr>
              <w:t>A detail of actual and expected benefit payments is as follows (in thousands):</w:t>
            </w:r>
          </w:p>
        </w:tc>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78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Actual Benefit Payments</w:t>
            </w:r>
          </w:p>
        </w:tc>
        <w:tc>
          <w:tcPr>
            <w:tcW w:w="2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2004</w:t>
            </w:r>
          </w:p>
        </w:tc>
        <w:tc>
          <w:tcPr>
            <w:tcW w:w="2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11,297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Expected Future Payments</w:t>
            </w: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2007</w:t>
            </w:r>
          </w:p>
        </w:tc>
        <w:tc>
          <w:tcPr>
            <w:tcW w:w="2360" w:type="dxa"/>
            <w:vAlign w:val="bottom"/>
          </w:tcPr>
          <w:p>
            <w:pPr>
              <w:spacing w:after="0"/>
              <w:rPr>
                <w:sz w:val="18"/>
                <w:szCs w:val="18"/>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10,298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2009</w:t>
            </w:r>
          </w:p>
        </w:tc>
        <w:tc>
          <w:tcPr>
            <w:tcW w:w="2360" w:type="dxa"/>
            <w:vAlign w:val="bottom"/>
          </w:tcPr>
          <w:p>
            <w:pPr>
              <w:spacing w:after="0"/>
              <w:rPr>
                <w:sz w:val="18"/>
                <w:szCs w:val="18"/>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12,058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12,477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2011 — 2015</w:t>
            </w:r>
          </w:p>
        </w:tc>
        <w:tc>
          <w:tcPr>
            <w:tcW w:w="236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68,180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Postretirement Plans</w:t>
      </w:r>
    </w:p>
    <w:p>
      <w:pPr>
        <w:spacing w:after="0" w:line="117" w:lineRule="exact"/>
        <w:rPr>
          <w:sz w:val="20"/>
          <w:szCs w:val="20"/>
          <w:color w:val="auto"/>
        </w:rPr>
      </w:pPr>
    </w:p>
    <w:p>
      <w:pPr>
        <w:jc w:val="both"/>
        <w:ind w:right="280" w:firstLine="267"/>
        <w:spacing w:after="0" w:line="264" w:lineRule="auto"/>
        <w:rPr>
          <w:sz w:val="20"/>
          <w:szCs w:val="20"/>
          <w:color w:val="auto"/>
        </w:rPr>
      </w:pPr>
      <w:r>
        <w:rPr>
          <w:rFonts w:ascii="Arial" w:cs="Arial" w:eastAsia="Arial" w:hAnsi="Arial"/>
          <w:sz w:val="18"/>
          <w:szCs w:val="18"/>
          <w:color w:val="auto"/>
        </w:rPr>
        <w:t>The Company assumed certain health care and life insurance benefits for retired Chicago Title employees in connection with the Chicago Title merger. Beginning on January 1, 2001, these benefits were offered to all employees who meet specific eligibility requirements. The costs of these benefit plans are accrued during the periods the employees render service.</w:t>
      </w:r>
    </w:p>
    <w:p>
      <w:pPr>
        <w:spacing w:after="0" w:line="73" w:lineRule="exact"/>
        <w:rPr>
          <w:sz w:val="20"/>
          <w:szCs w:val="20"/>
          <w:color w:val="auto"/>
        </w:rPr>
      </w:pPr>
    </w:p>
    <w:p>
      <w:pPr>
        <w:ind w:right="140" w:firstLine="267"/>
        <w:spacing w:after="0" w:line="264" w:lineRule="auto"/>
        <w:rPr>
          <w:sz w:val="20"/>
          <w:szCs w:val="20"/>
          <w:color w:val="auto"/>
        </w:rPr>
      </w:pPr>
      <w:r>
        <w:rPr>
          <w:rFonts w:ascii="Arial" w:cs="Arial" w:eastAsia="Arial" w:hAnsi="Arial"/>
          <w:sz w:val="18"/>
          <w:szCs w:val="18"/>
          <w:color w:val="auto"/>
        </w:rPr>
        <w:t>The Company is fully insured for its postretirement health care and life insurance benefit plans, and the plans are not funded. The health care plans provide for insurance benefits after retirement and are generally contributory, with contributions adjusted annually. Postretirement life insurance benefits are contributory, with coverage amounts declining with increases in a retiree’s age.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accrued cost of the accumulated postretirement benefit obligation included in the Company’s Consolidated and Combined Balance Sheets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2005, 2004, and 2003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00"/>
              <w:spacing w:after="0"/>
              <w:rPr>
                <w:sz w:val="20"/>
                <w:szCs w:val="20"/>
                <w:color w:val="auto"/>
              </w:rPr>
            </w:pPr>
            <w:r>
              <w:rPr>
                <w:rFonts w:ascii="Arial" w:cs="Arial" w:eastAsia="Arial" w:hAnsi="Arial"/>
                <w:sz w:val="18"/>
                <w:szCs w:val="18"/>
                <w:color w:val="auto"/>
              </w:rPr>
              <w:t>Net benefit obligation at beginning of year</w:t>
            </w: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21,440</w:t>
            </w: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22,684</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22,757</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Service cost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6300" w:type="dxa"/>
            <w:vAlign w:val="bottom"/>
          </w:tcPr>
          <w:p>
            <w:pPr>
              <w:ind w:left="300"/>
              <w:spacing w:after="0"/>
              <w:rPr>
                <w:sz w:val="20"/>
                <w:szCs w:val="20"/>
                <w:color w:val="auto"/>
              </w:rPr>
            </w:pPr>
            <w:r>
              <w:rPr>
                <w:rFonts w:ascii="Arial" w:cs="Arial" w:eastAsia="Arial" w:hAnsi="Arial"/>
                <w:sz w:val="18"/>
                <w:szCs w:val="18"/>
                <w:color w:val="auto"/>
              </w:rPr>
              <w:t>Interest cost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1,005</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1,281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Plan participants’ contributions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00"/>
              <w:spacing w:after="0"/>
              <w:rPr>
                <w:sz w:val="20"/>
                <w:szCs w:val="20"/>
                <w:color w:val="auto"/>
              </w:rPr>
            </w:pPr>
            <w:r>
              <w:rPr>
                <w:rFonts w:ascii="Arial" w:cs="Arial" w:eastAsia="Arial" w:hAnsi="Arial"/>
                <w:sz w:val="18"/>
                <w:szCs w:val="18"/>
                <w:color w:val="auto"/>
              </w:rPr>
              <w:t>Plan amendments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(782)</w:t>
            </w: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Actuarial (gain) loss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(1,429)</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6300" w:type="dxa"/>
            <w:vAlign w:val="bottom"/>
          </w:tcPr>
          <w:p>
            <w:pPr>
              <w:ind w:left="300"/>
              <w:spacing w:after="0"/>
              <w:rPr>
                <w:sz w:val="20"/>
                <w:szCs w:val="20"/>
                <w:color w:val="auto"/>
              </w:rPr>
            </w:pPr>
            <w:r>
              <w:rPr>
                <w:rFonts w:ascii="Arial" w:cs="Arial" w:eastAsia="Arial" w:hAnsi="Arial"/>
                <w:sz w:val="18"/>
                <w:szCs w:val="18"/>
                <w:color w:val="auto"/>
              </w:rPr>
              <w:t>Gross benefits paid</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(3,822)</w:t>
            </w: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(3,895)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Net benefit obligation at end of year</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18,235</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21,440</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22,684</w:t>
            </w:r>
          </w:p>
        </w:tc>
        <w:tc>
          <w:tcPr>
            <w:tcW w:w="0" w:type="dxa"/>
            <w:vAlign w:val="bottom"/>
          </w:tcPr>
          <w:p>
            <w:pPr>
              <w:spacing w:after="0"/>
              <w:rPr>
                <w:sz w:val="1"/>
                <w:szCs w:val="1"/>
                <w:color w:val="auto"/>
              </w:rPr>
            </w:pPr>
          </w:p>
        </w:tc>
      </w:tr>
      <w:tr>
        <w:trPr>
          <w:trHeight w:val="21"/>
        </w:trPr>
        <w:tc>
          <w:tcPr>
            <w:tcW w:w="6300" w:type="dxa"/>
            <w:vAlign w:val="bottom"/>
            <w:vMerge w:val="restart"/>
          </w:tcPr>
          <w:p>
            <w:pPr>
              <w:spacing w:after="0"/>
              <w:rPr>
                <w:sz w:val="20"/>
                <w:szCs w:val="20"/>
                <w:color w:val="auto"/>
              </w:rPr>
            </w:pPr>
            <w:r>
              <w:rPr>
                <w:rFonts w:ascii="Arial" w:cs="Arial" w:eastAsia="Arial" w:hAnsi="Arial"/>
                <w:sz w:val="18"/>
                <w:szCs w:val="18"/>
                <w:color w:val="auto"/>
              </w:rPr>
              <w:t>Change in Plan Assets:</w:t>
            </w: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3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Fair value of plan assets at beginning of year</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Pr>
          <w:p>
            <w:pPr>
              <w:ind w:left="300"/>
              <w:spacing w:after="0"/>
              <w:rPr>
                <w:sz w:val="20"/>
                <w:szCs w:val="20"/>
                <w:color w:val="auto"/>
              </w:rPr>
            </w:pPr>
            <w:r>
              <w:rPr>
                <w:rFonts w:ascii="Arial" w:cs="Arial" w:eastAsia="Arial" w:hAnsi="Arial"/>
                <w:sz w:val="18"/>
                <w:szCs w:val="18"/>
                <w:color w:val="auto"/>
              </w:rPr>
              <w:t>Employer contributions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2,160</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2,382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Plan participants’ contributions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00"/>
              <w:spacing w:after="0"/>
              <w:rPr>
                <w:sz w:val="20"/>
                <w:szCs w:val="20"/>
                <w:color w:val="auto"/>
              </w:rPr>
            </w:pPr>
            <w:r>
              <w:rPr>
                <w:rFonts w:ascii="Arial" w:cs="Arial" w:eastAsia="Arial" w:hAnsi="Arial"/>
                <w:sz w:val="18"/>
                <w:szCs w:val="18"/>
                <w:color w:val="auto"/>
              </w:rPr>
              <w:t>Gross benefits paid</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(3,822)</w:t>
            </w: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(3,895)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Fair value of plan assets at end of year</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300" w:type="dxa"/>
            <w:vAlign w:val="bottom"/>
            <w:vMerge w:val="restart"/>
          </w:tcPr>
          <w:p>
            <w:pPr>
              <w:ind w:left="300"/>
              <w:spacing w:after="0"/>
              <w:rPr>
                <w:sz w:val="20"/>
                <w:szCs w:val="20"/>
                <w:color w:val="auto"/>
              </w:rPr>
            </w:pPr>
            <w:r>
              <w:rPr>
                <w:rFonts w:ascii="Arial" w:cs="Arial" w:eastAsia="Arial" w:hAnsi="Arial"/>
                <w:sz w:val="18"/>
                <w:szCs w:val="18"/>
                <w:color w:val="auto"/>
              </w:rPr>
              <w:t>Funded status at end of year</w:t>
            </w: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3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(18,235)</w:t>
            </w:r>
          </w:p>
        </w:tc>
        <w:tc>
          <w:tcPr>
            <w:tcW w:w="68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(21,440)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(22,684)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Unrecognized net actuarial loss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4,533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tcPr>
          <w:p>
            <w:pPr>
              <w:ind w:left="300"/>
              <w:spacing w:after="0"/>
              <w:rPr>
                <w:sz w:val="20"/>
                <w:szCs w:val="20"/>
                <w:color w:val="auto"/>
              </w:rPr>
            </w:pPr>
            <w:r>
              <w:rPr>
                <w:rFonts w:ascii="Arial" w:cs="Arial" w:eastAsia="Arial" w:hAnsi="Arial"/>
                <w:sz w:val="18"/>
                <w:szCs w:val="18"/>
                <w:color w:val="auto"/>
              </w:rPr>
              <w:t>Unrecognized prior service cost</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(856)</w:t>
            </w:r>
          </w:p>
        </w:tc>
        <w:tc>
          <w:tcPr>
            <w:tcW w:w="2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(1,610)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202"/>
        </w:trPr>
        <w:tc>
          <w:tcPr>
            <w:tcW w:w="63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7"/>
              </w:rPr>
              <w:t>Net accrued cost of accumulated postretirement benefit obligation included in</w:t>
            </w:r>
          </w:p>
        </w:tc>
        <w:tc>
          <w:tcPr>
            <w:tcW w:w="4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(15,986)</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(18,517)</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(21,787)</w:t>
            </w:r>
          </w:p>
        </w:tc>
        <w:tc>
          <w:tcPr>
            <w:tcW w:w="0" w:type="dxa"/>
            <w:vAlign w:val="bottom"/>
          </w:tcPr>
          <w:p>
            <w:pPr>
              <w:spacing w:after="0"/>
              <w:rPr>
                <w:sz w:val="1"/>
                <w:szCs w:val="1"/>
                <w:color w:val="auto"/>
              </w:rPr>
            </w:pPr>
          </w:p>
        </w:tc>
      </w:tr>
      <w:tr>
        <w:trPr>
          <w:trHeight w:val="21"/>
        </w:trPr>
        <w:tc>
          <w:tcPr>
            <w:tcW w:w="6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In December 2003, the Medicare Prescription Drug Improvement and Modernization Act of 2003 (“the Act”) became law in the United States. The Act introduced a prescription drug benefit under Medicare as well as a federal subsidy to sponsors of retiree health care plans that provide a benefit that is at least actuarially equivalent to the Medicare benefit. The Company’s management elected to recognize the effects of the Act in measuring the benefit obligation and cost effective January 1, 2006.</w:t>
      </w:r>
    </w:p>
    <w:p>
      <w:pPr>
        <w:spacing w:after="0" w:line="79" w:lineRule="exact"/>
        <w:rPr>
          <w:sz w:val="20"/>
          <w:szCs w:val="20"/>
          <w:color w:val="auto"/>
        </w:rPr>
      </w:pPr>
    </w:p>
    <w:p>
      <w:pPr>
        <w:ind w:right="280" w:firstLine="270"/>
        <w:spacing w:after="0" w:line="259" w:lineRule="auto"/>
        <w:rPr>
          <w:sz w:val="20"/>
          <w:szCs w:val="20"/>
          <w:color w:val="auto"/>
        </w:rPr>
      </w:pPr>
      <w:r>
        <w:rPr>
          <w:rFonts w:ascii="Arial" w:cs="Arial" w:eastAsia="Arial" w:hAnsi="Arial"/>
          <w:sz w:val="18"/>
          <w:szCs w:val="18"/>
          <w:color w:val="auto"/>
        </w:rPr>
        <w:t>Once the final regulations were published in January 2005, the Company determined that it would not be eligible for the Part D subsidy. Consequently, beginning with the December 31, 2005 obligation, the impact of this Act is no longer being recognized. The benefits provided by the plan to its existing retirees were adjusted in order to encourage the retirees eligible for Part D benefits to enroll for the prescription drug benefits that are now provided by the federal government.</w:t>
      </w:r>
    </w:p>
    <w:p>
      <w:pPr>
        <w:spacing w:after="0" w:line="79"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color w:val="auto"/>
        </w:rPr>
        <w:t>Under Statement of Financial Accounting Standards No. 106, “Accounting for Postretirement Benefits Other Than Pensions,” the measurement date shall be as of the date of the financial statements, or if used consistently from year to year, as of a date not more than three months prior to that date. The Company’s measurement date is December 31.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Company’s postretirement health care and life insurance costs included in the results of operations for 2005, 2004, and 2003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gridSpan w:val="5"/>
          </w:tcPr>
          <w:p>
            <w:pPr>
              <w:jc w:val="right"/>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1,005</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1,281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1,405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(2,704)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Amortization of actuarial loss</w:t>
            </w:r>
          </w:p>
        </w:tc>
        <w:tc>
          <w:tcPr>
            <w:tcW w:w="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net periodic (income) expense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(888)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vMerge w:val="restart"/>
          </w:tcPr>
          <w:p>
            <w:pPr>
              <w:ind w:left="440"/>
              <w:spacing w:after="0"/>
              <w:rPr>
                <w:sz w:val="20"/>
                <w:szCs w:val="20"/>
                <w:color w:val="auto"/>
              </w:rPr>
            </w:pPr>
            <w:r>
              <w:rPr>
                <w:rFonts w:ascii="Arial" w:cs="Arial" w:eastAsia="Arial" w:hAnsi="Arial"/>
                <w:sz w:val="18"/>
                <w:szCs w:val="18"/>
                <w:b w:val="1"/>
                <w:bCs w:val="1"/>
                <w:i w:val="1"/>
                <w:iCs w:val="1"/>
                <w:color w:val="auto"/>
              </w:rPr>
              <w:t>Postretirement Benefit Assumptions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520" w:type="dxa"/>
            <w:vAlign w:val="bottom"/>
            <w:gridSpan w:val="2"/>
          </w:tcPr>
          <w:p>
            <w:pPr>
              <w:ind w:left="260"/>
              <w:spacing w:after="0"/>
              <w:rPr>
                <w:sz w:val="20"/>
                <w:szCs w:val="20"/>
                <w:color w:val="auto"/>
              </w:rPr>
            </w:pPr>
            <w:r>
              <w:rPr>
                <w:rFonts w:ascii="Arial" w:cs="Arial" w:eastAsia="Arial" w:hAnsi="Arial"/>
                <w:sz w:val="18"/>
                <w:szCs w:val="18"/>
                <w:color w:val="auto"/>
                <w:w w:val="89"/>
              </w:rPr>
              <w:t>Weighted-average assumptions used to determine benefit obligations at December 31 are as follows: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6"/>
            <w:shd w:val="clear" w:color="auto" w:fill="CCEEFF"/>
          </w:tcPr>
          <w:p>
            <w:pPr>
              <w:jc w:val="right"/>
              <w:ind w:right="340"/>
              <w:spacing w:after="0"/>
              <w:rPr>
                <w:sz w:val="20"/>
                <w:szCs w:val="20"/>
                <w:color w:val="auto"/>
              </w:rPr>
            </w:pPr>
            <w:r>
              <w:rPr>
                <w:rFonts w:ascii="Arial" w:cs="Arial" w:eastAsia="Arial" w:hAnsi="Arial"/>
                <w:sz w:val="18"/>
                <w:szCs w:val="18"/>
                <w:color w:val="auto"/>
              </w:rPr>
              <w:t>5.50%</w:t>
            </w: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Health care cost trend rate assumed for next year</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6"/>
          </w:tcPr>
          <w:p>
            <w:pPr>
              <w:jc w:val="right"/>
              <w:ind w:right="34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Rate that the cost trend rate gradually declines to</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6"/>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Year that the rate reaches the rate it is assumed to remain at</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220" w:type="dxa"/>
            <w:vAlign w:val="bottom"/>
            <w:gridSpan w:val="5"/>
          </w:tcPr>
          <w:p>
            <w:pPr>
              <w:ind w:left="260"/>
              <w:spacing w:after="0"/>
              <w:rPr>
                <w:sz w:val="20"/>
                <w:szCs w:val="20"/>
                <w:color w:val="auto"/>
              </w:rPr>
            </w:pPr>
            <w:r>
              <w:rPr>
                <w:rFonts w:ascii="Arial" w:cs="Arial" w:eastAsia="Arial" w:hAnsi="Arial"/>
                <w:sz w:val="18"/>
                <w:szCs w:val="18"/>
                <w:color w:val="auto"/>
                <w:w w:val="91"/>
              </w:rPr>
              <w:t>Weighted-average assumptions used to determine net expense for years ended December 31 are as follows:</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1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2003</w:t>
            </w:r>
          </w:p>
        </w:tc>
        <w:tc>
          <w:tcPr>
            <w:tcW w:w="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132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Health care cost trend rate assumed for next year</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1320" w:type="dxa"/>
            <w:vAlign w:val="bottom"/>
            <w:gridSpan w:val="6"/>
          </w:tcPr>
          <w:p>
            <w:pPr>
              <w:jc w:val="right"/>
              <w:ind w:right="20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Rate that the cost trend rate gradually declines to</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32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Year that the rate reaches the rate it is assumed to remain at</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20"/>
                <w:szCs w:val="20"/>
                <w:color w:val="auto"/>
              </w:rPr>
            </w:pPr>
          </w:p>
        </w:tc>
        <w:tc>
          <w:tcPr>
            <w:tcW w:w="1320" w:type="dxa"/>
            <w:vAlign w:val="bottom"/>
            <w:gridSpan w:val="6"/>
          </w:tcPr>
          <w:p>
            <w:pPr>
              <w:jc w:val="right"/>
              <w:ind w:right="34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20" w:firstLine="267"/>
        <w:spacing w:after="0" w:line="308" w:lineRule="auto"/>
        <w:rPr>
          <w:sz w:val="20"/>
          <w:szCs w:val="20"/>
          <w:color w:val="auto"/>
        </w:rPr>
      </w:pPr>
      <w:r>
        <w:rPr>
          <w:rFonts w:ascii="Arial" w:cs="Arial" w:eastAsia="Arial" w:hAnsi="Arial"/>
          <w:sz w:val="17"/>
          <w:szCs w:val="17"/>
          <w:color w:val="auto"/>
        </w:rPr>
        <w:t>The discount rate used was determined by discounting projections of future benefit payments using annual spot rates derived from a yield curve created from yields on a large number of U.S. Aa rated bonds. The discounted cash flows were then used to determine the effective discount rate.</w:t>
      </w:r>
    </w:p>
    <w:p>
      <w:pPr>
        <w:spacing w:after="0" w:line="38" w:lineRule="exact"/>
        <w:rPr>
          <w:sz w:val="20"/>
          <w:szCs w:val="20"/>
          <w:color w:val="auto"/>
        </w:rPr>
      </w:pPr>
    </w:p>
    <w:p>
      <w:pPr>
        <w:ind w:right="660" w:firstLine="260"/>
        <w:spacing w:after="0" w:line="277" w:lineRule="auto"/>
        <w:rPr>
          <w:sz w:val="20"/>
          <w:szCs w:val="20"/>
          <w:color w:val="auto"/>
        </w:rPr>
      </w:pPr>
      <w:r>
        <w:rPr>
          <w:rFonts w:ascii="Arial" w:cs="Arial" w:eastAsia="Arial" w:hAnsi="Arial"/>
          <w:sz w:val="18"/>
          <w:szCs w:val="18"/>
          <w:color w:val="auto"/>
        </w:rPr>
        <w:t>Assumed health care cost trend rates have a significant effect on the amounts reported for the health care plans. A one-percentage-point change in assumed health care cost trend rates would have the following effects: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One-Percentage-Point</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w w:val="91"/>
              </w:rPr>
              <w:t>One-Percentage-Point</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Increase</w:t>
            </w:r>
          </w:p>
        </w:tc>
        <w:tc>
          <w:tcPr>
            <w:tcW w:w="12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2540" w:type="dxa"/>
            <w:vAlign w:val="bottom"/>
            <w:gridSpan w:val="2"/>
          </w:tcPr>
          <w:p>
            <w:pPr>
              <w:jc w:val="right"/>
              <w:ind w:right="158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Effect on total of service and interest cost</w:t>
            </w:r>
          </w:p>
        </w:tc>
        <w:tc>
          <w:tcPr>
            <w:tcW w:w="18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18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905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540" w:type="dxa"/>
            <w:vAlign w:val="bottom"/>
            <w:gridSpan w:val="2"/>
          </w:tcPr>
          <w:p>
            <w:pPr>
              <w:jc w:val="right"/>
              <w:ind w:right="10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391"/>
        </w:trPr>
        <w:tc>
          <w:tcPr>
            <w:tcW w:w="434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34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98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8460" w:type="dxa"/>
            <w:vAlign w:val="bottom"/>
          </w:tcPr>
          <w:p>
            <w:pPr>
              <w:jc w:val="center"/>
              <w:ind w:left="170"/>
              <w:spacing w:after="0"/>
              <w:rPr>
                <w:sz w:val="20"/>
                <w:szCs w:val="20"/>
                <w:color w:val="auto"/>
              </w:rPr>
            </w:pPr>
            <w:r>
              <w:rPr>
                <w:rFonts w:ascii="Arial" w:cs="Arial" w:eastAsia="Arial" w:hAnsi="Arial"/>
                <w:sz w:val="18"/>
                <w:szCs w:val="18"/>
                <w:b w:val="1"/>
                <w:bCs w:val="1"/>
                <w:color w:val="auto"/>
              </w:rPr>
              <w:t>FIDELITY NATIONAL TITLE GROUP, INC. AND SUBSIDIARIES</w:t>
            </w: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60" w:type="dxa"/>
            <w:vAlign w:val="bottom"/>
          </w:tcPr>
          <w:p>
            <w:pPr>
              <w:jc w:val="center"/>
              <w:ind w:left="150"/>
              <w:spacing w:after="0"/>
              <w:rPr>
                <w:sz w:val="20"/>
                <w:szCs w:val="20"/>
                <w:color w:val="auto"/>
              </w:rPr>
            </w:pPr>
            <w:r>
              <w:rPr>
                <w:rFonts w:ascii="Arial" w:cs="Arial" w:eastAsia="Arial" w:hAnsi="Arial"/>
                <w:sz w:val="18"/>
                <w:szCs w:val="18"/>
                <w:b w:val="1"/>
                <w:bCs w:val="1"/>
                <w:color w:val="auto"/>
                <w:w w:val="98"/>
              </w:rPr>
              <w:t>NOTES TO CONSOLIDATED AND COMBINED FINANCIAL STATEMENTS — (Continued)</w:t>
            </w: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80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rPr>
              <w:t>Postretirement Cash Flows</w:t>
            </w: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800" w:type="dxa"/>
            <w:vAlign w:val="bottom"/>
            <w:gridSpan w:val="2"/>
          </w:tcPr>
          <w:p>
            <w:pPr>
              <w:ind w:left="240"/>
              <w:spacing w:after="0"/>
              <w:rPr>
                <w:sz w:val="20"/>
                <w:szCs w:val="20"/>
                <w:color w:val="auto"/>
              </w:rPr>
            </w:pPr>
            <w:r>
              <w:rPr>
                <w:rFonts w:ascii="Arial" w:cs="Arial" w:eastAsia="Arial" w:hAnsi="Arial"/>
                <w:sz w:val="18"/>
                <w:szCs w:val="18"/>
                <w:color w:val="auto"/>
              </w:rPr>
              <w:t>A detail of actual and expected employer benefit payments is as follows (in thousands):</w:t>
            </w: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8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Payments</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2004</w:t>
            </w:r>
          </w:p>
        </w:tc>
        <w:tc>
          <w:tcPr>
            <w:tcW w:w="846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8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Expected Future Payments</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84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2007</w:t>
            </w:r>
          </w:p>
        </w:tc>
        <w:tc>
          <w:tcPr>
            <w:tcW w:w="8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8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2009</w:t>
            </w:r>
          </w:p>
        </w:tc>
        <w:tc>
          <w:tcPr>
            <w:tcW w:w="8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8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2011-2015</w:t>
            </w:r>
          </w:p>
        </w:tc>
        <w:tc>
          <w:tcPr>
            <w:tcW w:w="8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580" w:hanging="572"/>
        <w:spacing w:after="0"/>
        <w:tabs>
          <w:tab w:leader="none" w:pos="5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Supplementary Cash Flow Information</w:t>
      </w:r>
    </w:p>
    <w:p>
      <w:pPr>
        <w:spacing w:after="0" w:line="121" w:lineRule="exact"/>
        <w:rPr>
          <w:sz w:val="20"/>
          <w:szCs w:val="20"/>
          <w:color w:val="auto"/>
        </w:rPr>
      </w:pPr>
    </w:p>
    <w:p>
      <w:pPr>
        <w:ind w:right="460" w:firstLine="267"/>
        <w:spacing w:after="0" w:line="277" w:lineRule="auto"/>
        <w:rPr>
          <w:sz w:val="20"/>
          <w:szCs w:val="20"/>
          <w:color w:val="auto"/>
        </w:rPr>
      </w:pPr>
      <w:r>
        <w:rPr>
          <w:rFonts w:ascii="Arial" w:cs="Arial" w:eastAsia="Arial" w:hAnsi="Arial"/>
          <w:sz w:val="18"/>
          <w:szCs w:val="18"/>
          <w:color w:val="auto"/>
        </w:rPr>
        <w:t>The following supplemental cash flow information is provided with respect to interest payments, as well as certain non-cash investing and financing activities.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32"/>
              <w:spacing w:after="0" w:line="155" w:lineRule="exact"/>
              <w:rPr>
                <w:sz w:val="20"/>
                <w:szCs w:val="20"/>
                <w:color w:val="auto"/>
              </w:rPr>
            </w:pPr>
            <w:r>
              <w:rPr>
                <w:rFonts w:ascii="Arial" w:cs="Arial" w:eastAsia="Arial" w:hAnsi="Arial"/>
                <w:sz w:val="14"/>
                <w:szCs w:val="14"/>
                <w:b w:val="1"/>
                <w:bCs w:val="1"/>
                <w:color w:val="auto"/>
                <w:w w:val="89"/>
              </w:rPr>
              <w:t>2004</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80"/>
              <w:spacing w:after="0"/>
              <w:rPr>
                <w:sz w:val="20"/>
                <w:szCs w:val="20"/>
                <w:color w:val="auto"/>
              </w:rPr>
            </w:pPr>
            <w:r>
              <w:rPr>
                <w:rFonts w:ascii="Arial" w:cs="Arial" w:eastAsia="Arial" w:hAnsi="Arial"/>
                <w:sz w:val="18"/>
                <w:szCs w:val="18"/>
                <w:color w:val="auto"/>
              </w:rPr>
              <w:t>Interest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5,833</w:t>
            </w:r>
          </w:p>
        </w:tc>
        <w:tc>
          <w:tcPr>
            <w:tcW w:w="180" w:type="dxa"/>
            <w:vAlign w:val="bottom"/>
          </w:tcPr>
          <w:p>
            <w:pPr>
              <w:spacing w:after="0"/>
              <w:rPr>
                <w:sz w:val="18"/>
                <w:szCs w:val="18"/>
                <w:color w:val="auto"/>
              </w:rPr>
            </w:pPr>
          </w:p>
        </w:tc>
        <w:tc>
          <w:tcPr>
            <w:tcW w:w="72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3,934</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4,725</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Fair value of assets acquired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154,308</w:t>
            </w:r>
          </w:p>
        </w:tc>
        <w:tc>
          <w:tcPr>
            <w:tcW w:w="180" w:type="dxa"/>
            <w:vAlign w:val="bottom"/>
          </w:tcPr>
          <w:p>
            <w:pPr>
              <w:spacing w:after="0"/>
              <w:rPr>
                <w:sz w:val="18"/>
                <w:szCs w:val="18"/>
                <w:color w:val="auto"/>
              </w:rPr>
            </w:pPr>
          </w:p>
        </w:tc>
        <w:tc>
          <w:tcPr>
            <w:tcW w:w="72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162,245</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217,132</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Less: Liabilities assumed</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17,066</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46,533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48,543</w:t>
            </w: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Total purchase price</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137,242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115,712</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168,589</w:t>
            </w:r>
          </w:p>
        </w:tc>
        <w:tc>
          <w:tcPr>
            <w:tcW w:w="3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Less: Cash purchase price, net of cash acquired</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137,242</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115,712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8,352</w:t>
            </w: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Non-cash purchase price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160,237</w:t>
            </w:r>
          </w:p>
        </w:tc>
        <w:tc>
          <w:tcPr>
            <w:tcW w:w="3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non-cash contributions of capital primarily stock option allocation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4,276</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3,491</w:t>
            </w: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Total non-cash contribution of capital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6,526</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4,276</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163,728</w:t>
            </w:r>
          </w:p>
        </w:tc>
        <w:tc>
          <w:tcPr>
            <w:tcW w:w="3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with Off-Balance Sheet Risk and Concentration of Risk</w:t>
      </w:r>
    </w:p>
    <w:p>
      <w:pPr>
        <w:spacing w:after="0" w:line="121"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In the normal course of business the Company and certain of its subsidiaries enter into off-balance sheet credit risk associated with certain aspects of its title insurance business and other activities.</w:t>
      </w:r>
    </w:p>
    <w:p>
      <w:pPr>
        <w:spacing w:after="0" w:line="62" w:lineRule="exact"/>
        <w:rPr>
          <w:sz w:val="20"/>
          <w:szCs w:val="20"/>
          <w:color w:val="auto"/>
        </w:rPr>
      </w:pPr>
    </w:p>
    <w:p>
      <w:pPr>
        <w:ind w:right="340" w:firstLine="267"/>
        <w:spacing w:after="0" w:line="277" w:lineRule="auto"/>
        <w:rPr>
          <w:sz w:val="20"/>
          <w:szCs w:val="20"/>
          <w:color w:val="auto"/>
        </w:rPr>
      </w:pPr>
      <w:r>
        <w:rPr>
          <w:rFonts w:ascii="Arial" w:cs="Arial" w:eastAsia="Arial" w:hAnsi="Arial"/>
          <w:sz w:val="18"/>
          <w:szCs w:val="18"/>
          <w:color w:val="auto"/>
        </w:rPr>
        <w:t>The Company generates a significant amount of title insurance premiums in California, Florida, Texas, and New York. Title insurance premiums from those four states are detailed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15"/>
                <w:szCs w:val="15"/>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5"/>
                <w:szCs w:val="15"/>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6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20.9%</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Florida</w:t>
            </w:r>
          </w:p>
        </w:tc>
        <w:tc>
          <w:tcPr>
            <w:tcW w:w="6180" w:type="dxa"/>
            <w:vAlign w:val="bottom"/>
            <w:gridSpan w:val="3"/>
          </w:tcPr>
          <w:p>
            <w:pPr>
              <w:jc w:val="right"/>
              <w:ind w:right="380"/>
              <w:spacing w:after="0"/>
              <w:rPr>
                <w:sz w:val="20"/>
                <w:szCs w:val="20"/>
                <w:color w:val="auto"/>
              </w:rPr>
            </w:pPr>
            <w:r>
              <w:rPr>
                <w:rFonts w:ascii="Arial" w:cs="Arial" w:eastAsia="Arial" w:hAnsi="Arial"/>
                <w:sz w:val="18"/>
                <w:szCs w:val="18"/>
                <w:color w:val="auto"/>
              </w:rPr>
              <w:t>14.1%</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10.3%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6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9.6%</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New York</w:t>
            </w:r>
          </w:p>
        </w:tc>
        <w:tc>
          <w:tcPr>
            <w:tcW w:w="6180" w:type="dxa"/>
            <w:vAlign w:val="bottom"/>
            <w:gridSpan w:val="3"/>
          </w:tcPr>
          <w:p>
            <w:pPr>
              <w:jc w:val="right"/>
              <w:ind w:right="380"/>
              <w:spacing w:after="0"/>
              <w:rPr>
                <w:sz w:val="20"/>
                <w:szCs w:val="20"/>
                <w:color w:val="auto"/>
              </w:rPr>
            </w:pPr>
            <w:r>
              <w:rPr>
                <w:rFonts w:ascii="Arial" w:cs="Arial" w:eastAsia="Arial" w:hAnsi="Arial"/>
                <w:sz w:val="18"/>
                <w:szCs w:val="18"/>
                <w:color w:val="auto"/>
              </w:rPr>
              <w:t>8.1%</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8.5%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r>
      <w:tr>
        <w:trPr>
          <w:trHeight w:val="391"/>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000" w:type="dxa"/>
            <w:vAlign w:val="bottom"/>
          </w:tcPr>
          <w:p>
            <w:pPr>
              <w:jc w:val="right"/>
              <w:ind w:right="2290"/>
              <w:spacing w:after="0"/>
              <w:rPr>
                <w:sz w:val="20"/>
                <w:szCs w:val="20"/>
                <w:color w:val="auto"/>
              </w:rPr>
            </w:pPr>
            <w:r>
              <w:rPr>
                <w:rFonts w:ascii="Arial" w:cs="Arial" w:eastAsia="Arial" w:hAnsi="Arial"/>
                <w:sz w:val="18"/>
                <w:szCs w:val="18"/>
                <w:color w:val="auto"/>
              </w:rPr>
              <w:t>83</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50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TITLE GROUP,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337"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equivalents, short-term investments, and trade receivables.</w:t>
      </w:r>
    </w:p>
    <w:p>
      <w:pPr>
        <w:spacing w:after="0" w:line="62" w:lineRule="exact"/>
        <w:rPr>
          <w:sz w:val="20"/>
          <w:szCs w:val="20"/>
          <w:color w:val="auto"/>
        </w:rPr>
      </w:pPr>
    </w:p>
    <w:p>
      <w:pPr>
        <w:ind w:right="40" w:firstLine="267"/>
        <w:spacing w:after="0" w:line="264" w:lineRule="auto"/>
        <w:rPr>
          <w:sz w:val="20"/>
          <w:szCs w:val="20"/>
          <w:color w:val="auto"/>
        </w:rPr>
      </w:pPr>
      <w:r>
        <w:rPr>
          <w:rFonts w:ascii="Arial" w:cs="Arial" w:eastAsia="Arial" w:hAnsi="Arial"/>
          <w:sz w:val="18"/>
          <w:szCs w:val="18"/>
          <w:color w:val="auto"/>
        </w:rPr>
        <w:t>The Company places its cash equivalents and short-term investments with high credit quality financial institutions and, by policy, limits the amount of credit exposure with any one financial institution. Investments in commercial paper of industrial firms and financial institutions are rated investment grade by nationally recognized rating agencies.</w:t>
      </w:r>
    </w:p>
    <w:p>
      <w:pPr>
        <w:spacing w:after="0" w:line="73" w:lineRule="exact"/>
        <w:rPr>
          <w:sz w:val="20"/>
          <w:szCs w:val="20"/>
          <w:color w:val="auto"/>
        </w:rPr>
      </w:pPr>
    </w:p>
    <w:p>
      <w:pPr>
        <w:ind w:right="580" w:firstLine="270"/>
        <w:spacing w:after="0" w:line="342" w:lineRule="auto"/>
        <w:rPr>
          <w:sz w:val="20"/>
          <w:szCs w:val="20"/>
          <w:color w:val="auto"/>
        </w:rPr>
      </w:pPr>
      <w:r>
        <w:rPr>
          <w:rFonts w:ascii="Arial" w:cs="Arial" w:eastAsia="Arial" w:hAnsi="Arial"/>
          <w:sz w:val="16"/>
          <w:szCs w:val="16"/>
          <w:color w:val="auto"/>
        </w:rPr>
        <w:t>Concentrations of credit risk with respect to trade receivables are limited because a large number of geographically diverse customers make up the Company’s customer base, thus spreading the trade receivables credit risk. The Company controls credit risk through monitoring procedures.</w:t>
      </w:r>
    </w:p>
    <w:p>
      <w:pPr>
        <w:spacing w:after="0" w:line="120" w:lineRule="exact"/>
        <w:rPr>
          <w:sz w:val="20"/>
          <w:szCs w:val="20"/>
          <w:color w:val="auto"/>
        </w:rPr>
      </w:pPr>
    </w:p>
    <w:p>
      <w:pPr>
        <w:ind w:left="580" w:hanging="572"/>
        <w:spacing w:after="0"/>
        <w:tabs>
          <w:tab w:leader="none" w:pos="5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color w:val="auto"/>
        </w:rPr>
        <w:t>In December 2004, the FASB issued FASB Statement No. 123R (“SFAS No. 123R”), “Share-Based Payment”, which requires that compensation cost relating to share-based payments be recognized in the Company’s financial statements. The Company is implementing this standard effective January 1, 2006. During 2003, the Company adopted the fair value recognition provisions of Statement of Financial Accounting Standards No. 123, “Accounting for Stock-Based Compensation” (“SFAS No. 123”), for stock-based employee compensation, effective as of the beginning of 2003. The Company elected to use the prospective method of transition, as permitted by Statement of Financial Accounting Standards No. 148, “Accounting for Stock-Based Compensation — Transition and Disclosure” (“SFAS No. 148”). Under this method, stock-based employee compensation cost is recognized from the beginning of 2003 as if the fair value method of accounting had been used to account for all employee awards granted, modified, or settled in years beginning after December 31, 2002. SFAS No. 123R does not allow for the prospective method, but requires the recording of expense relating to the vesting of all unvested options beginning January 1, 2006. Since the Company adopted SFAS No. 123 in 2003, the impact of recording additional expense in 2006 under SFAS No. 123R relating to options granted prior to January 1, 2003 is insignificant.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21" w:lineRule="exact"/>
        <w:rPr>
          <w:sz w:val="20"/>
          <w:szCs w:val="20"/>
          <w:color w:val="auto"/>
        </w:rPr>
      </w:pPr>
    </w:p>
    <w:p>
      <w:pPr>
        <w:ind w:firstLine="260"/>
        <w:spacing w:after="0" w:line="257" w:lineRule="auto"/>
        <w:rPr>
          <w:sz w:val="20"/>
          <w:szCs w:val="20"/>
          <w:color w:val="auto"/>
        </w:rPr>
      </w:pPr>
      <w:r>
        <w:rPr>
          <w:rFonts w:ascii="Arial" w:cs="Arial" w:eastAsia="Arial" w:hAnsi="Arial"/>
          <w:sz w:val="18"/>
          <w:szCs w:val="18"/>
          <w:color w:val="auto"/>
        </w:rPr>
        <w:t>As of the end of the year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Exchange Act. Based on this evaluation, our principal executive officer and principal financial officer concluded that our disclosure controls and procedures are effective to provide reasonable assurance that our disclosure controls and procedures will timely alert them to material information required to be included in our periodic SEC reports.</w:t>
      </w:r>
    </w:p>
    <w:p>
      <w:pPr>
        <w:spacing w:after="0" w:line="80" w:lineRule="exact"/>
        <w:rPr>
          <w:sz w:val="20"/>
          <w:szCs w:val="20"/>
          <w:color w:val="auto"/>
        </w:rPr>
      </w:pPr>
    </w:p>
    <w:p>
      <w:pPr>
        <w:ind w:right="300" w:firstLine="267"/>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December 31, 2005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11, 13 and 14.</w:t>
      </w:r>
    </w:p>
    <w:p>
      <w:pPr>
        <w:spacing w:after="0" w:line="121" w:lineRule="exact"/>
        <w:rPr>
          <w:sz w:val="20"/>
          <w:szCs w:val="20"/>
          <w:color w:val="auto"/>
        </w:rPr>
      </w:pPr>
    </w:p>
    <w:p>
      <w:pPr>
        <w:ind w:right="20" w:firstLine="267"/>
        <w:spacing w:after="0" w:line="302" w:lineRule="auto"/>
        <w:rPr>
          <w:sz w:val="20"/>
          <w:szCs w:val="20"/>
          <w:color w:val="auto"/>
        </w:rPr>
      </w:pPr>
      <w:r>
        <w:rPr>
          <w:rFonts w:ascii="Arial" w:cs="Arial" w:eastAsia="Arial" w:hAnsi="Arial"/>
          <w:sz w:val="16"/>
          <w:szCs w:val="16"/>
          <w:color w:val="auto"/>
        </w:rPr>
        <w:t>Within 120 days after the close of its fiscal year, the Company intends to file with the Securities and Exchange Commission a definitive proxy statement pursuant to Regulation 14A of the Securities Exchange Act of 1934 as amended, which will include the election of directors, the report of the compensation committee on annual compensation, certain relationships and related transactions between the Company and its Board of Directors and executive officers, and other matters. Certain information on related party arrangements between the Company and its parent and affiliates is included in Item 13 below.</w:t>
      </w:r>
    </w:p>
    <w:p>
      <w:pPr>
        <w:spacing w:after="0" w:line="15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1040" w:firstLine="267"/>
        <w:spacing w:after="0" w:line="277" w:lineRule="auto"/>
        <w:rPr>
          <w:sz w:val="20"/>
          <w:szCs w:val="20"/>
          <w:color w:val="auto"/>
        </w:rPr>
      </w:pPr>
      <w:r>
        <w:rPr>
          <w:rFonts w:ascii="Arial" w:cs="Arial" w:eastAsia="Arial" w:hAnsi="Arial"/>
          <w:sz w:val="18"/>
          <w:szCs w:val="18"/>
          <w:color w:val="auto"/>
        </w:rPr>
        <w:t>The following table provides information regarding shares of its Class A common stock authorized for issuance under the Company’s equity compensation plans, as of December 31, 2005:</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vMerge w:val="restart"/>
          </w:tcPr>
          <w:p>
            <w:pPr>
              <w:jc w:val="center"/>
              <w:ind w:right="1040"/>
              <w:spacing w:after="0"/>
              <w:rPr>
                <w:sz w:val="20"/>
                <w:szCs w:val="20"/>
                <w:color w:val="auto"/>
              </w:rPr>
            </w:pPr>
            <w:r>
              <w:rPr>
                <w:rFonts w:ascii="Arial" w:cs="Arial" w:eastAsia="Arial" w:hAnsi="Arial"/>
                <w:sz w:val="14"/>
                <w:szCs w:val="14"/>
                <w:b w:val="1"/>
                <w:bCs w:val="1"/>
                <w:color w:val="auto"/>
                <w:w w:val="91"/>
              </w:rPr>
              <w:t>Weighted-Average</w:t>
            </w:r>
          </w:p>
        </w:tc>
        <w:tc>
          <w:tcPr>
            <w:tcW w:w="2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2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2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2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Securities Reflected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2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in Column (a))</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9"/>
              </w:rPr>
              <w:t>(b)</w:t>
            </w:r>
          </w:p>
        </w:tc>
        <w:tc>
          <w:tcPr>
            <w:tcW w:w="23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w:t>
            </w:r>
          </w:p>
        </w:tc>
        <w:tc>
          <w:tcPr>
            <w:tcW w:w="1900" w:type="dxa"/>
            <w:vAlign w:val="bottom"/>
            <w:tcBorders>
              <w:top w:val="single" w:sz="8" w:color="auto"/>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security holders(1)</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21.90</w:t>
            </w:r>
          </w:p>
        </w:tc>
        <w:tc>
          <w:tcPr>
            <w:tcW w:w="2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5,016,000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2,206,500</w:t>
            </w:r>
          </w:p>
        </w:tc>
        <w:tc>
          <w:tcPr>
            <w:tcW w:w="9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21.90</w:t>
            </w:r>
          </w:p>
        </w:tc>
        <w:tc>
          <w:tcPr>
            <w:tcW w:w="94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5,016,000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16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right="120" w:hanging="452"/>
        <w:spacing w:after="0" w:line="26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2005 Omnibus Incentive Plan was approved by Fidelity National Financial, Inc. prior to the Distribution as the sole shareholder at that time and will be submitted for approval by the remaining shareholders at the next annual meeting. Additional information regarding these options is included in Note L of Notes to Consolidated and Combined Financial Statements, incorporated herein by reference.</w:t>
      </w:r>
    </w:p>
    <w:p>
      <w:pPr>
        <w:spacing w:after="0" w:line="73" w:lineRule="exact"/>
        <w:rPr>
          <w:sz w:val="20"/>
          <w:szCs w:val="20"/>
          <w:color w:val="auto"/>
        </w:rPr>
      </w:pPr>
    </w:p>
    <w:p>
      <w:pPr>
        <w:ind w:right="160" w:firstLine="267"/>
        <w:spacing w:after="0" w:line="264" w:lineRule="auto"/>
        <w:rPr>
          <w:sz w:val="20"/>
          <w:szCs w:val="20"/>
          <w:color w:val="auto"/>
        </w:rPr>
      </w:pPr>
      <w:r>
        <w:rPr>
          <w:rFonts w:ascii="Arial" w:cs="Arial" w:eastAsia="Arial" w:hAnsi="Arial"/>
          <w:sz w:val="18"/>
          <w:szCs w:val="18"/>
          <w:color w:val="auto"/>
        </w:rPr>
        <w:t>Within 120 days after the close of its fiscal year, the Company intends to file with the Securities and Exchange Commission a definitive proxy statement pursuant to Regulation 14A of the Securities Act of 1934 as amended, which will include information regarding beneficial ownership of principal shareholders, directors and management.</w:t>
      </w:r>
    </w:p>
    <w:p>
      <w:pPr>
        <w:spacing w:after="0" w:line="1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121" w:lineRule="exact"/>
        <w:rPr>
          <w:sz w:val="20"/>
          <w:szCs w:val="20"/>
          <w:color w:val="auto"/>
        </w:rPr>
      </w:pPr>
    </w:p>
    <w:p>
      <w:pPr>
        <w:ind w:right="400" w:firstLine="270"/>
        <w:spacing w:after="0" w:line="264" w:lineRule="auto"/>
        <w:rPr>
          <w:sz w:val="20"/>
          <w:szCs w:val="20"/>
          <w:color w:val="auto"/>
        </w:rPr>
      </w:pPr>
      <w:r>
        <w:rPr>
          <w:rFonts w:ascii="Arial" w:cs="Arial" w:eastAsia="Arial" w:hAnsi="Arial"/>
          <w:sz w:val="18"/>
          <w:szCs w:val="18"/>
          <w:color w:val="auto"/>
        </w:rPr>
        <w:t>Information relating to certain relationships and related transactions between the Company and its Board of Directors and executive officers will be included in a definitive proxy statement to be filed with the Securities and Exchange Commission (See “Items 10, 11, 13 and 14” above). Information on related party arrangements between the Company and its parent and affiliates is included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270"/>
        <w:spacing w:after="0" w:line="286" w:lineRule="auto"/>
        <w:rPr>
          <w:sz w:val="20"/>
          <w:szCs w:val="20"/>
          <w:color w:val="auto"/>
        </w:rPr>
      </w:pPr>
      <w:r>
        <w:rPr>
          <w:rFonts w:ascii="Arial" w:cs="Arial" w:eastAsia="Arial" w:hAnsi="Arial"/>
          <w:sz w:val="17"/>
          <w:szCs w:val="17"/>
          <w:color w:val="auto"/>
        </w:rPr>
        <w:t>Historically, FNF and its subsidiaries have provided a variety of services to us, and we have provided various services to FNF and its subsidiaries. Below is a summary description of these various agreements. This description summarizes the material terms of the agreements, but is not complete. You should review the full text of these agreements, which have previously been filed with the Securities and Exchange Commission.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Arrangements with FNF</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agreements we entered into with FNF in connection with the Distribution include:</w:t>
      </w:r>
    </w:p>
    <w:p>
      <w:pPr>
        <w:spacing w:after="0" w:line="117" w:lineRule="exact"/>
        <w:rPr>
          <w:sz w:val="20"/>
          <w:szCs w:val="20"/>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separation agreement;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corporate services agreements;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mirror notes;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tax matters agreement;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employee matters agreement;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registration rights agreement;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intellectual property cross license agreement;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sublease agreement;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assignment, assumption and novation agreement.</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agreements we entered into with FIS are discussed separately below under “— Our Arrangements with FIS.”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entered into a separation agreement with FNF which governs certain aspects of our relationship with FNF following the Distribution.</w:t>
      </w:r>
    </w:p>
    <w:p>
      <w:pPr>
        <w:spacing w:after="0" w:line="117" w:lineRule="exact"/>
        <w:rPr>
          <w:sz w:val="20"/>
          <w:szCs w:val="20"/>
          <w:color w:val="auto"/>
        </w:rPr>
      </w:pPr>
    </w:p>
    <w:p>
      <w:pPr>
        <w:ind w:right="220" w:firstLine="270"/>
        <w:spacing w:after="0" w:line="276" w:lineRule="auto"/>
        <w:rPr>
          <w:sz w:val="20"/>
          <w:szCs w:val="20"/>
          <w:color w:val="auto"/>
        </w:rPr>
      </w:pPr>
      <w:r>
        <w:rPr>
          <w:rFonts w:ascii="Arial" w:cs="Arial" w:eastAsia="Arial" w:hAnsi="Arial"/>
          <w:sz w:val="17"/>
          <w:szCs w:val="17"/>
          <w:i w:val="1"/>
          <w:iCs w:val="1"/>
          <w:color w:val="auto"/>
        </w:rPr>
        <w:t xml:space="preserve">No Representations and Warranties. </w:t>
      </w:r>
      <w:r>
        <w:rPr>
          <w:rFonts w:ascii="Arial" w:cs="Arial" w:eastAsia="Arial" w:hAnsi="Arial"/>
          <w:sz w:val="17"/>
          <w:szCs w:val="17"/>
          <w:color w:val="auto"/>
        </w:rPr>
        <w:t>The separation agreement provides that FNF makes no representation or warranty as to the condition or quality of</w:t>
      </w:r>
      <w:r>
        <w:rPr>
          <w:rFonts w:ascii="Arial" w:cs="Arial" w:eastAsia="Arial" w:hAnsi="Arial"/>
          <w:sz w:val="17"/>
          <w:szCs w:val="17"/>
          <w:i w:val="1"/>
          <w:iCs w:val="1"/>
          <w:color w:val="auto"/>
        </w:rPr>
        <w:t xml:space="preserve"> </w:t>
      </w:r>
      <w:r>
        <w:rPr>
          <w:rFonts w:ascii="Arial" w:cs="Arial" w:eastAsia="Arial" w:hAnsi="Arial"/>
          <w:sz w:val="17"/>
          <w:szCs w:val="17"/>
          <w:color w:val="auto"/>
        </w:rPr>
        <w:t>any subsidiary contributed to us as part of the restructuring of FNF in connection with the Distribution or any other matters relating to our businesses. We have no recourse against FNF if the transfer of any subsidiary to us is defective in any manner. We agree to bear the economic and legal risks that any conveyance was insufficient to vest in us good title, free and clear of any security interest, and that any necessary consents or approvals are not obtained or that any requirements of laws or judgments are not complied with.</w:t>
      </w:r>
    </w:p>
    <w:p>
      <w:pPr>
        <w:spacing w:after="0" w:line="64" w:lineRule="exact"/>
        <w:rPr>
          <w:sz w:val="20"/>
          <w:szCs w:val="20"/>
          <w:color w:val="auto"/>
        </w:rPr>
      </w:pPr>
    </w:p>
    <w:p>
      <w:pPr>
        <w:ind w:firstLine="270"/>
        <w:spacing w:after="0" w:line="268" w:lineRule="auto"/>
        <w:rPr>
          <w:sz w:val="20"/>
          <w:szCs w:val="20"/>
          <w:color w:val="auto"/>
        </w:rPr>
      </w:pPr>
      <w:r>
        <w:rPr>
          <w:rFonts w:ascii="Arial" w:cs="Arial" w:eastAsia="Arial" w:hAnsi="Arial"/>
          <w:sz w:val="17"/>
          <w:szCs w:val="17"/>
          <w:i w:val="1"/>
          <w:iCs w:val="1"/>
          <w:color w:val="auto"/>
        </w:rPr>
        <w:t xml:space="preserve">Access to Financial and Other Information. </w:t>
      </w:r>
      <w:r>
        <w:rPr>
          <w:rFonts w:ascii="Arial" w:cs="Arial" w:eastAsia="Arial" w:hAnsi="Arial"/>
          <w:sz w:val="17"/>
          <w:szCs w:val="17"/>
          <w:color w:val="auto"/>
        </w:rPr>
        <w:t>Under the separation agreement, following the Distribution, we and FNF are obligated to provide each other</w:t>
      </w:r>
      <w:r>
        <w:rPr>
          <w:rFonts w:ascii="Arial" w:cs="Arial" w:eastAsia="Arial" w:hAnsi="Arial"/>
          <w:sz w:val="17"/>
          <w:szCs w:val="17"/>
          <w:i w:val="1"/>
          <w:iCs w:val="1"/>
          <w:color w:val="auto"/>
        </w:rPr>
        <w:t xml:space="preserve"> </w:t>
      </w:r>
      <w:r>
        <w:rPr>
          <w:rFonts w:ascii="Arial" w:cs="Arial" w:eastAsia="Arial" w:hAnsi="Arial"/>
          <w:sz w:val="17"/>
          <w:szCs w:val="17"/>
          <w:color w:val="auto"/>
        </w:rPr>
        <w:t>access to certain information, subject to confidentiality obligations and other restrictions. So long as FNF is required to consolidate our results of operations and financial position or to account for its investment in our company on the equity method of accounting, we provide to FNF and its independent auditors, at no charge, all financial information and other data that FNF requires in order to timely prepare its financial statements and reports or filings with governmental authorities or to issue its earnings releases, including copies of all quarterly and annual historical financial information and other reports and documents we intend to file with the Securities and Exchange Commission prior to these filings (as well as final copies upon filing), and copies of our budgets and financial projections as well as access to the responsible company personnel so that FNF and its independent auditors may conduct their audits relating to our financial statements. We also agreed that, so long as FNF is required to consolidate our results of operations and financial position or account for its investment in our company on the equity method of accounting, we will use our reasonable efforts to enable our independent auditors to complete their audit of our financial statements in a timely manner so as to permit the timely filing of FNF’s financial statements. In addition, we and FNF will use commercially reasonable efforts to make reasonably available to each other our respective past and present directors, officers, other employees and agents as witnesses in any legal, administrative or other proceedings in which the other party may become involved. We and FNF will each retain all proprietary information within each company’s respective possession relating to the other party’s respective businesses for an agreed period of time and, prior to destroying the information, each of us must give the other notice and an opportunity to take possession of the information, if necessary or appropriate to the conduct of the respective businesses. We and FNF each agreed to hold in strict confidence all information concerning or belonging to the other for an agreed period of time.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i w:val="1"/>
          <w:iCs w:val="1"/>
          <w:color w:val="auto"/>
        </w:rPr>
        <w:t xml:space="preserve">Exchange of Other Information. </w:t>
      </w:r>
      <w:r>
        <w:rPr>
          <w:rFonts w:ascii="Arial" w:cs="Arial" w:eastAsia="Arial" w:hAnsi="Arial"/>
          <w:sz w:val="18"/>
          <w:szCs w:val="18"/>
          <w:color w:val="auto"/>
        </w:rPr>
        <w:t>The separation agreement also provides for other arrangements with respect to the mutual sharing between us and FNF of</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that is requested in connection with any bona fide business purpose.</w:t>
      </w:r>
    </w:p>
    <w:p>
      <w:pPr>
        <w:spacing w:after="0" w:line="62" w:lineRule="exact"/>
        <w:rPr>
          <w:sz w:val="20"/>
          <w:szCs w:val="20"/>
          <w:color w:val="auto"/>
        </w:rPr>
      </w:pPr>
    </w:p>
    <w:p>
      <w:pPr>
        <w:ind w:right="280" w:firstLine="270"/>
        <w:spacing w:after="0" w:line="277"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We will indemnify, hold harmless and defend FNF, each of its affiliates and each of their respective directors, officers and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from and against all liabilities relating to, arising out of or resulting from:</w:t>
      </w:r>
    </w:p>
    <w:p>
      <w:pPr>
        <w:spacing w:after="0" w:line="62" w:lineRule="exact"/>
        <w:rPr>
          <w:sz w:val="20"/>
          <w:szCs w:val="20"/>
          <w:color w:val="auto"/>
        </w:rPr>
      </w:pPr>
    </w:p>
    <w:p>
      <w:pPr>
        <w:ind w:left="460" w:right="100" w:hanging="101"/>
        <w:spacing w:after="0" w:line="26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ownership or operation of the assets or properties, or the operations or conduct, of the entities transferred to us in connection with the Distribution, whether arising before or after the Distribution (including any liabilities arising under the </w:t>
      </w:r>
      <w:r>
        <w:rPr>
          <w:rFonts w:ascii="Arial" w:cs="Arial" w:eastAsia="Arial" w:hAnsi="Arial"/>
          <w:sz w:val="18"/>
          <w:szCs w:val="18"/>
          <w:u w:val="single" w:color="auto"/>
          <w:color w:val="auto"/>
        </w:rPr>
        <w:t>McCabe</w:t>
      </w:r>
      <w:r>
        <w:rPr>
          <w:rFonts w:ascii="Arial" w:cs="Arial" w:eastAsia="Arial" w:hAnsi="Arial"/>
          <w:sz w:val="18"/>
          <w:szCs w:val="18"/>
          <w:color w:val="auto"/>
        </w:rPr>
        <w:t xml:space="preserve"> case referred to under “Business — Legal Proceedings”);</w:t>
      </w:r>
    </w:p>
    <w:p>
      <w:pPr>
        <w:spacing w:after="0" w:line="86" w:lineRule="exact"/>
        <w:rPr>
          <w:rFonts w:ascii="Arial" w:cs="Arial" w:eastAsia="Arial" w:hAnsi="Arial"/>
          <w:sz w:val="18"/>
          <w:szCs w:val="18"/>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guarantee, indemnification obligation, surety bond or other credit support arrangement by FNF or any of its affiliates for our benefit;</w:t>
      </w:r>
    </w:p>
    <w:p>
      <w:pPr>
        <w:spacing w:after="0" w:line="130" w:lineRule="exact"/>
        <w:rPr>
          <w:rFonts w:ascii="Arial" w:cs="Arial" w:eastAsia="Arial" w:hAnsi="Arial"/>
          <w:sz w:val="18"/>
          <w:szCs w:val="18"/>
          <w:color w:val="auto"/>
        </w:rPr>
      </w:pPr>
    </w:p>
    <w:p>
      <w:pPr>
        <w:ind w:left="460" w:right="160" w:hanging="101"/>
        <w:spacing w:after="0" w:line="277"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breach by us or any of our affiliates of the separation agreement, any of the other transaction documents, any other agreement to which we or our affiliates are a party, our certificate of incorporation or by-laws or any law or regulation;</w:t>
      </w:r>
    </w:p>
    <w:p>
      <w:pPr>
        <w:spacing w:after="0" w:line="75" w:lineRule="exact"/>
        <w:rPr>
          <w:rFonts w:ascii="Arial" w:cs="Arial" w:eastAsia="Arial" w:hAnsi="Arial"/>
          <w:sz w:val="18"/>
          <w:szCs w:val="18"/>
          <w:color w:val="auto"/>
        </w:rPr>
      </w:pPr>
    </w:p>
    <w:p>
      <w:pPr>
        <w:ind w:left="460" w:right="180" w:hanging="101"/>
        <w:spacing w:after="0" w:line="342"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untrue statement of, or omission to state, a material fact in FNF’s public filings to the extent it was as a result of information that we furnished to FNF or which FNF incorporated by reference from our public filings, if that statement or omission was made or occurred after the Distribution; and</w:t>
      </w:r>
    </w:p>
    <w:p>
      <w:pPr>
        <w:spacing w:after="0" w:line="29" w:lineRule="exact"/>
        <w:rPr>
          <w:rFonts w:ascii="Arial" w:cs="Arial" w:eastAsia="Arial" w:hAnsi="Arial"/>
          <w:sz w:val="16"/>
          <w:szCs w:val="16"/>
          <w:color w:val="auto"/>
        </w:rPr>
      </w:pPr>
    </w:p>
    <w:p>
      <w:pPr>
        <w:ind w:left="460" w:right="20" w:hanging="101"/>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untrue statement of, or omission to state, a material fact in any registration statement or prospectus we may prepare or any of our other public filings, except to the extent the statement was made or omitted in reliance upon information provided to us by FNF expressly for use in any registration statement or prospectus or other public filing or information relating to and provided by any underwriter expressly for use in any registration statement or prospectus.</w:t>
      </w:r>
    </w:p>
    <w:p>
      <w:pPr>
        <w:spacing w:after="0" w:line="79"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FNF will indemnify, hold harmless and defend us, each of our affiliates and each of our and their respective directors, officers and employees from and against all liabilities relating to, arising out of or resulting from:</w:t>
      </w:r>
    </w:p>
    <w:p>
      <w:pPr>
        <w:spacing w:after="0" w:line="62" w:lineRule="exact"/>
        <w:rPr>
          <w:sz w:val="20"/>
          <w:szCs w:val="20"/>
          <w:color w:val="auto"/>
        </w:rPr>
      </w:pPr>
    </w:p>
    <w:p>
      <w:pPr>
        <w:ind w:left="460" w:right="60" w:hanging="101"/>
        <w:spacing w:after="0" w:line="27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ownership or operation of the assets or properties, and the operations or conduct, of FNF or any of its affiliates (other than us and our subsidiaries), whether arising before or after the Distribution;</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guarantee, indemnification obligation, surety bond or other credit support arrangement by us or any of our affiliates for the benefit of FNF;</w:t>
      </w:r>
    </w:p>
    <w:p>
      <w:pPr>
        <w:spacing w:after="0" w:line="142" w:lineRule="exact"/>
        <w:rPr>
          <w:rFonts w:ascii="Arial" w:cs="Arial" w:eastAsia="Arial" w:hAnsi="Arial"/>
          <w:sz w:val="17"/>
          <w:szCs w:val="17"/>
          <w:color w:val="auto"/>
        </w:rPr>
      </w:pPr>
    </w:p>
    <w:p>
      <w:pPr>
        <w:ind w:left="460" w:right="40" w:hanging="101"/>
        <w:spacing w:after="0" w:line="27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breach by FNF or any of its affiliates of the separation agreement or certain of the other transaction documents, any other agreement to which FNF or its affiliates are a party, FNF’s certificate of incorporation or bylaws, or any law or regulation;</w:t>
      </w:r>
    </w:p>
    <w:p>
      <w:pPr>
        <w:spacing w:after="0" w:line="75" w:lineRule="exact"/>
        <w:rPr>
          <w:rFonts w:ascii="Arial" w:cs="Arial" w:eastAsia="Arial" w:hAnsi="Arial"/>
          <w:sz w:val="18"/>
          <w:szCs w:val="18"/>
          <w:color w:val="auto"/>
        </w:rPr>
      </w:pPr>
    </w:p>
    <w:p>
      <w:pPr>
        <w:ind w:left="460" w:right="80" w:hanging="101"/>
        <w:spacing w:after="0" w:line="27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untrue statement of, or omission to state, a material fact in our public filings to the extent it was as a result of information that FNF furnished to us or which we incorporated by reference from FNF’s public filings;</w:t>
      </w:r>
    </w:p>
    <w:p>
      <w:pPr>
        <w:spacing w:after="0" w:line="75" w:lineRule="exact"/>
        <w:rPr>
          <w:rFonts w:ascii="Arial" w:cs="Arial" w:eastAsia="Arial" w:hAnsi="Arial"/>
          <w:sz w:val="18"/>
          <w:szCs w:val="18"/>
          <w:color w:val="auto"/>
        </w:rPr>
      </w:pPr>
    </w:p>
    <w:p>
      <w:pPr>
        <w:ind w:left="460" w:right="440" w:hanging="101"/>
        <w:spacing w:after="0" w:line="26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untrue statement of, or omission to state, a material fact contained in any registration statement or prospectus we may prepare, but only to the extent the untrue statement or omission was made or omitted in reliance upon information provided by FNF expressly for use in any registration statement or prospectus; and</w:t>
      </w:r>
    </w:p>
    <w:p>
      <w:pPr>
        <w:spacing w:after="0" w:line="86"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action or liability arising as a result of the Distribution.</w:t>
      </w:r>
    </w:p>
    <w:p>
      <w:pPr>
        <w:spacing w:after="0" w:line="117" w:lineRule="exact"/>
        <w:rPr>
          <w:sz w:val="20"/>
          <w:szCs w:val="20"/>
          <w:color w:val="auto"/>
        </w:rPr>
      </w:pPr>
    </w:p>
    <w:p>
      <w:pPr>
        <w:ind w:right="100" w:firstLine="267"/>
        <w:spacing w:after="0" w:line="264" w:lineRule="auto"/>
        <w:rPr>
          <w:sz w:val="20"/>
          <w:szCs w:val="20"/>
          <w:color w:val="auto"/>
        </w:rPr>
      </w:pPr>
      <w:r>
        <w:rPr>
          <w:rFonts w:ascii="Arial" w:cs="Arial" w:eastAsia="Arial" w:hAnsi="Arial"/>
          <w:sz w:val="18"/>
          <w:szCs w:val="18"/>
          <w:color w:val="auto"/>
        </w:rPr>
        <w:t>The separation agreement also specifies procedures with respect to claims subject to indemnification and related matters and provides for contribution in the event that indemnification is not available to an indemnified party. All indemnification amounts will be reduced by any insurance proceeds and other offsetting amounts recovered by the party entitled to indemnification.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i w:val="1"/>
          <w:iCs w:val="1"/>
          <w:color w:val="auto"/>
        </w:rPr>
        <w:t xml:space="preserve">Covenants and Other Provisions. </w:t>
      </w:r>
      <w:r>
        <w:rPr>
          <w:rFonts w:ascii="Arial" w:cs="Arial" w:eastAsia="Arial" w:hAnsi="Arial"/>
          <w:sz w:val="18"/>
          <w:szCs w:val="18"/>
          <w:color w:val="auto"/>
        </w:rPr>
        <w:t>The separation agreement also contains covenants between FNF and us with respect to various matters, including mutual</w:t>
      </w:r>
      <w:r>
        <w:rPr>
          <w:rFonts w:ascii="Arial" w:cs="Arial" w:eastAsia="Arial" w:hAnsi="Arial"/>
          <w:sz w:val="18"/>
          <w:szCs w:val="18"/>
          <w:i w:val="1"/>
          <w:iCs w:val="1"/>
          <w:color w:val="auto"/>
        </w:rPr>
        <w:t xml:space="preserve"> </w:t>
      </w:r>
      <w:r>
        <w:rPr>
          <w:rFonts w:ascii="Arial" w:cs="Arial" w:eastAsia="Arial" w:hAnsi="Arial"/>
          <w:sz w:val="18"/>
          <w:szCs w:val="18"/>
          <w:color w:val="auto"/>
        </w:rPr>
        <w:t>confidentiality of our and FNF’s information, and litigation and settlement cooperation between us and FNF on pending or future litigation matters. In addition, we agreed that, so long as FNF beneficially owns or controls 50% or more of the total voting power of our outstanding stock, we will not, without FNF’s prior consent:</w:t>
      </w:r>
    </w:p>
    <w:p>
      <w:pPr>
        <w:spacing w:after="0" w:line="79" w:lineRule="exact"/>
        <w:rPr>
          <w:sz w:val="20"/>
          <w:szCs w:val="20"/>
          <w:color w:val="auto"/>
        </w:rPr>
      </w:pPr>
    </w:p>
    <w:p>
      <w:pPr>
        <w:ind w:left="460" w:hanging="101"/>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take any action or enter into any agreement that would cause FNF to violate any law, agreement or judgment;</w:t>
      </w:r>
    </w:p>
    <w:p>
      <w:pPr>
        <w:spacing w:after="0" w:line="130" w:lineRule="exact"/>
        <w:rPr>
          <w:rFonts w:ascii="Arial" w:cs="Arial" w:eastAsia="Arial" w:hAnsi="Arial"/>
          <w:sz w:val="18"/>
          <w:szCs w:val="18"/>
          <w:color w:val="auto"/>
        </w:rPr>
      </w:pPr>
    </w:p>
    <w:p>
      <w:pPr>
        <w:ind w:left="460" w:hanging="101"/>
        <w:spacing w:after="0" w:line="277"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take any action that limits FNF’s ability to freely sell, transfer, pledge or otherwise dispose of our stock or limits the rights of any transferee of FNF as a holder of our common stock; or</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enter into any agreement that binds or purports to bind FNF.</w:t>
      </w:r>
    </w:p>
    <w:p>
      <w:pPr>
        <w:spacing w:after="0" w:line="117" w:lineRule="exact"/>
        <w:rPr>
          <w:sz w:val="20"/>
          <w:szCs w:val="20"/>
          <w:color w:val="auto"/>
        </w:rPr>
      </w:pPr>
    </w:p>
    <w:p>
      <w:pPr>
        <w:ind w:right="160" w:firstLine="270"/>
        <w:spacing w:after="0" w:line="276" w:lineRule="auto"/>
        <w:rPr>
          <w:sz w:val="20"/>
          <w:szCs w:val="20"/>
          <w:color w:val="auto"/>
        </w:rPr>
      </w:pPr>
      <w:r>
        <w:rPr>
          <w:rFonts w:ascii="Arial" w:cs="Arial" w:eastAsia="Arial" w:hAnsi="Arial"/>
          <w:sz w:val="17"/>
          <w:szCs w:val="17"/>
          <w:color w:val="auto"/>
        </w:rPr>
        <w:t>In addition, we agreed that we will not issue any shares of our capital stock or any rights, warrants or options to acquire our capital stock, if after giving effect to the issuances and considering all of the shares of our capital stock which may be acquired under the rights, warrants and options outstanding on the date of the issuance, FNF would not be eligible to consolidate our results of operations for tax purposes, would not receive favorable tax treatment of dividends paid by us or would not be able, if it so desired, to distribute the rest of our stock it holds to its stockholders in a tax-free distribution. These limits generally enable FNF to continue to own at least 80% of our outstanding common stock.</w:t>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 xml:space="preserve">Expenses of the Distribution. </w:t>
      </w:r>
      <w:r>
        <w:rPr>
          <w:rFonts w:ascii="Arial" w:cs="Arial" w:eastAsia="Arial" w:hAnsi="Arial"/>
          <w:sz w:val="17"/>
          <w:szCs w:val="17"/>
          <w:color w:val="auto"/>
        </w:rPr>
        <w:t>In general, the separation agreement provides that we will pay all costs incurred in connection with the Distribution.</w:t>
      </w:r>
    </w:p>
    <w:p>
      <w:pPr>
        <w:spacing w:after="0" w:line="129" w:lineRule="exact"/>
        <w:rPr>
          <w:sz w:val="20"/>
          <w:szCs w:val="20"/>
          <w:color w:val="auto"/>
        </w:rPr>
      </w:pPr>
    </w:p>
    <w:p>
      <w:pPr>
        <w:ind w:right="80" w:firstLine="270"/>
        <w:spacing w:after="0" w:line="272" w:lineRule="auto"/>
        <w:rPr>
          <w:sz w:val="20"/>
          <w:szCs w:val="20"/>
          <w:color w:val="auto"/>
        </w:rPr>
      </w:pPr>
      <w:r>
        <w:rPr>
          <w:rFonts w:ascii="Arial" w:cs="Arial" w:eastAsia="Arial" w:hAnsi="Arial"/>
          <w:sz w:val="17"/>
          <w:szCs w:val="17"/>
          <w:i w:val="1"/>
          <w:iCs w:val="1"/>
          <w:color w:val="auto"/>
        </w:rPr>
        <w:t xml:space="preserve">Dispute Resolution Procedures. </w:t>
      </w:r>
      <w:r>
        <w:rPr>
          <w:rFonts w:ascii="Arial" w:cs="Arial" w:eastAsia="Arial" w:hAnsi="Arial"/>
          <w:sz w:val="17"/>
          <w:szCs w:val="17"/>
          <w:color w:val="auto"/>
        </w:rPr>
        <w:t>The separation agreement provides that neither party will commence any court action to resolve any dispute or claim</w:t>
      </w:r>
      <w:r>
        <w:rPr>
          <w:rFonts w:ascii="Arial" w:cs="Arial" w:eastAsia="Arial" w:hAnsi="Arial"/>
          <w:sz w:val="17"/>
          <w:szCs w:val="17"/>
          <w:i w:val="1"/>
          <w:iCs w:val="1"/>
          <w:color w:val="auto"/>
        </w:rPr>
        <w:t xml:space="preserve"> </w:t>
      </w:r>
      <w:r>
        <w:rPr>
          <w:rFonts w:ascii="Arial" w:cs="Arial" w:eastAsia="Arial" w:hAnsi="Arial"/>
          <w:sz w:val="17"/>
          <w:szCs w:val="17"/>
          <w:color w:val="auto"/>
        </w:rPr>
        <w:t>arising out of or relating to the separation agreement. Instead, any dispute that is not resolved in the normal course of business will be submitted to senior executives of each business entity involved in the dispute for resolution. If the dispute is not resolved by negotiation within 30 days, either party may submit the dispute to mediation. If the dispute is not resolved by mediation within 30 days of the selection of a mediator, either party may submit the dispute to binding arbitration before an arbitrator. Both parties will be permitted to seek injunctive or interim relief in the event of any actual or threatened breach of the provisions of the separation agreement relating to confidentiality. If an arbitral tribunal has not been appointed, both parties may seek injunctive or interim relief from any court with jurisdiction over the matter.</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separation agreement can be terminated only by the mutual consent of both parties.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FNF Corporate Services Agreements</w:t>
      </w:r>
    </w:p>
    <w:p>
      <w:pPr>
        <w:spacing w:after="0" w:line="117" w:lineRule="exact"/>
        <w:rPr>
          <w:sz w:val="20"/>
          <w:szCs w:val="20"/>
          <w:color w:val="auto"/>
        </w:rPr>
      </w:pPr>
    </w:p>
    <w:p>
      <w:pPr>
        <w:ind w:right="300" w:firstLine="267"/>
        <w:spacing w:after="0" w:line="277" w:lineRule="auto"/>
        <w:rPr>
          <w:sz w:val="20"/>
          <w:szCs w:val="20"/>
          <w:color w:val="auto"/>
        </w:rPr>
      </w:pPr>
      <w:r>
        <w:rPr>
          <w:rFonts w:ascii="Arial" w:cs="Arial" w:eastAsia="Arial" w:hAnsi="Arial"/>
          <w:sz w:val="18"/>
          <w:szCs w:val="18"/>
          <w:color w:val="auto"/>
        </w:rPr>
        <w:t>We entered into a corporate services agreement with FNF under which we provide corporate and other support services to FNF. The corporate services agreement governs the provision by us to FNF of these corporate support services, which may include:</w:t>
      </w:r>
    </w:p>
    <w:p>
      <w:pPr>
        <w:spacing w:after="0" w:line="62" w:lineRule="exact"/>
        <w:rPr>
          <w:sz w:val="20"/>
          <w:szCs w:val="20"/>
          <w:color w:val="auto"/>
        </w:rPr>
      </w:pPr>
    </w:p>
    <w:p>
      <w:pPr>
        <w:ind w:left="460" w:hanging="101"/>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accounting (including statutory accounting services);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corporate, legal and related services;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purchasing and procurement services;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travel services;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general administrative and management functions.</w:t>
      </w:r>
    </w:p>
    <w:p>
      <w:pPr>
        <w:spacing w:after="0" w:line="117" w:lineRule="exact"/>
        <w:rPr>
          <w:sz w:val="20"/>
          <w:szCs w:val="20"/>
          <w:color w:val="auto"/>
        </w:rPr>
      </w:pPr>
    </w:p>
    <w:p>
      <w:pPr>
        <w:ind w:right="100" w:firstLine="267"/>
        <w:spacing w:after="0" w:line="342" w:lineRule="auto"/>
        <w:rPr>
          <w:sz w:val="20"/>
          <w:szCs w:val="20"/>
          <w:color w:val="auto"/>
        </w:rPr>
      </w:pPr>
      <w:r>
        <w:rPr>
          <w:rFonts w:ascii="Arial" w:cs="Arial" w:eastAsia="Arial" w:hAnsi="Arial"/>
          <w:sz w:val="16"/>
          <w:szCs w:val="16"/>
          <w:color w:val="auto"/>
        </w:rPr>
        <w:t>We also entered into a separate corporate services agreement with FNF, under which FNF provides us senior management consulting services and certain corporate and other support services. This agreement governs the provision by FNF to us of certain corporation support services, which may include:</w:t>
      </w:r>
    </w:p>
    <w:p>
      <w:pPr>
        <w:spacing w:after="0" w:line="16" w:lineRule="exact"/>
        <w:rPr>
          <w:sz w:val="20"/>
          <w:szCs w:val="20"/>
          <w:color w:val="auto"/>
        </w:rPr>
      </w:pPr>
    </w:p>
    <w:p>
      <w:pPr>
        <w:ind w:left="460" w:hanging="101"/>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mergers &amp; acquisitions and corporate finance services;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 &amp; reporting services;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101"/>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internal audit services;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treasury services;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risk management services;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tax services;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communications and investor relations services; and</w:t>
      </w:r>
    </w:p>
    <w:p>
      <w:pPr>
        <w:spacing w:after="0" w:line="130" w:lineRule="exact"/>
        <w:rPr>
          <w:rFonts w:ascii="Arial" w:cs="Arial" w:eastAsia="Arial" w:hAnsi="Arial"/>
          <w:sz w:val="18"/>
          <w:szCs w:val="18"/>
          <w:color w:val="auto"/>
        </w:rPr>
      </w:pPr>
    </w:p>
    <w:p>
      <w:pPr>
        <w:ind w:left="460" w:right="20" w:hanging="101"/>
        <w:spacing w:after="0" w:line="277"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senior executive and consulting, and general administrative and management services, including the time and attention of FNF’s chief executive officer, chief financial officer and other senior officers.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also agreed to provide each other additional services that we and FNF may identify during the term of the agreements.</w:t>
      </w:r>
    </w:p>
    <w:p>
      <w:pPr>
        <w:spacing w:after="0" w:line="117"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i w:val="1"/>
          <w:iCs w:val="1"/>
          <w:color w:val="auto"/>
        </w:rPr>
        <w:t xml:space="preserve">Provision of Services. </w:t>
      </w:r>
      <w:r>
        <w:rPr>
          <w:rFonts w:ascii="Arial" w:cs="Arial" w:eastAsia="Arial" w:hAnsi="Arial"/>
          <w:sz w:val="18"/>
          <w:szCs w:val="18"/>
          <w:color w:val="auto"/>
        </w:rPr>
        <w:t>Under the terms of the corporate services agreements, each party renders these services under the oversight, supervision,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the other, acting through its respective board of directors and officers. FNF and we will each have the right to purchase goods or services and realize other benefits and rights under the other party’s agreements with third-party vendors to the extent allowed by those vendor agreements, during the term of the agreement.</w:t>
      </w:r>
    </w:p>
    <w:p>
      <w:pPr>
        <w:spacing w:after="0" w:line="79" w:lineRule="exact"/>
        <w:rPr>
          <w:sz w:val="20"/>
          <w:szCs w:val="20"/>
          <w:color w:val="auto"/>
        </w:rPr>
      </w:pPr>
    </w:p>
    <w:p>
      <w:pPr>
        <w:ind w:right="60" w:firstLine="270"/>
        <w:spacing w:after="0" w:line="270" w:lineRule="auto"/>
        <w:rPr>
          <w:sz w:val="20"/>
          <w:szCs w:val="20"/>
          <w:color w:val="auto"/>
        </w:rPr>
      </w:pPr>
      <w:r>
        <w:rPr>
          <w:rFonts w:ascii="Arial" w:cs="Arial" w:eastAsia="Arial" w:hAnsi="Arial"/>
          <w:sz w:val="17"/>
          <w:szCs w:val="17"/>
          <w:i w:val="1"/>
          <w:iCs w:val="1"/>
          <w:color w:val="auto"/>
        </w:rPr>
        <w:t xml:space="preserve">Pricing and Payment Terms. </w:t>
      </w:r>
      <w:r>
        <w:rPr>
          <w:rFonts w:ascii="Arial" w:cs="Arial" w:eastAsia="Arial" w:hAnsi="Arial"/>
          <w:sz w:val="17"/>
          <w:szCs w:val="17"/>
          <w:color w:val="auto"/>
        </w:rPr>
        <w:t>The pricing for the services to be provided by us to FNF, and by FNF to us, under the corporate services agreements is on a</w:t>
      </w:r>
      <w:r>
        <w:rPr>
          <w:rFonts w:ascii="Arial" w:cs="Arial" w:eastAsia="Arial" w:hAnsi="Arial"/>
          <w:sz w:val="17"/>
          <w:szCs w:val="17"/>
          <w:i w:val="1"/>
          <w:iCs w:val="1"/>
          <w:color w:val="auto"/>
        </w:rPr>
        <w:t xml:space="preserve"> </w:t>
      </w:r>
      <w:r>
        <w:rPr>
          <w:rFonts w:ascii="Arial" w:cs="Arial" w:eastAsia="Arial" w:hAnsi="Arial"/>
          <w:sz w:val="17"/>
          <w:szCs w:val="17"/>
          <w:color w:val="auto"/>
        </w:rPr>
        <w:t>cost-only basis, with each party in effect reimbursing the other for the costs and expenses incurred in providing these corporate services to the other party. Under the corporate service agreement for corporate services to be provided by us to FNF, our costs and expenses will be determined and reimbursed by FNF as follows: (i) all out of pocket expenses and costs incurred by us on FNF’s behalf will be fully reimbursed, and (ii) all of our staff and employee costs and expenses associated with performing services under the corporate services agreement, including compensation paid to our employees performing these corporate services as well as general overhead associated with these employees and their functions, are allocated based on the percentage of time that our employees spend on providing corporate services to FNF under the corporate services agreement. FNF’s costs and expenses incurred in providing corporate services to us are similarly determined and reimbursed. These costs and expenses are invoiced by each party to the other on a monthly basis in arrears. Payments are made in cash within thirty days after invoicing.</w:t>
      </w:r>
    </w:p>
    <w:p>
      <w:pPr>
        <w:spacing w:after="0" w:line="74" w:lineRule="exact"/>
        <w:rPr>
          <w:sz w:val="20"/>
          <w:szCs w:val="20"/>
          <w:color w:val="auto"/>
        </w:rPr>
      </w:pPr>
    </w:p>
    <w:p>
      <w:pPr>
        <w:ind w:right="220" w:firstLine="270"/>
        <w:spacing w:after="0" w:line="297" w:lineRule="auto"/>
        <w:rPr>
          <w:sz w:val="20"/>
          <w:szCs w:val="20"/>
          <w:color w:val="auto"/>
        </w:rPr>
      </w:pPr>
      <w:r>
        <w:rPr>
          <w:rFonts w:ascii="Arial" w:cs="Arial" w:eastAsia="Arial" w:hAnsi="Arial"/>
          <w:sz w:val="16"/>
          <w:szCs w:val="16"/>
          <w:color w:val="auto"/>
        </w:rPr>
        <w:t>Prior to the date in 2005 that we became a party to these agreements, allocations of expense were made in respect of these services. For the year ended December 31, 2005, our expenses were reduced by $7.0 million related to the provision of these services by us to FNF and its subsidiaries (other than FIS). While the exact amounts to be paid by FNF to us, and by us to FNF, under the corporate services agreements are dependent upon the amount of services actually provided in any given year, we do not anticipate that the level of services to be provided, or the total amounts to be paid by each entity to the other for services in the near future will differ materially from the total amounts recorded during the 2005 and 2004 fiscal years for these corporate services.</w:t>
      </w:r>
    </w:p>
    <w:p>
      <w:pPr>
        <w:spacing w:after="0" w:line="50" w:lineRule="exact"/>
        <w:rPr>
          <w:sz w:val="20"/>
          <w:szCs w:val="20"/>
          <w:color w:val="auto"/>
        </w:rPr>
      </w:pPr>
    </w:p>
    <w:p>
      <w:pPr>
        <w:ind w:right="20" w:firstLine="270"/>
        <w:spacing w:after="0" w:line="288" w:lineRule="auto"/>
        <w:rPr>
          <w:sz w:val="20"/>
          <w:szCs w:val="20"/>
          <w:color w:val="auto"/>
        </w:rPr>
      </w:pPr>
      <w:r>
        <w:rPr>
          <w:rFonts w:ascii="Arial" w:cs="Arial" w:eastAsia="Arial" w:hAnsi="Arial"/>
          <w:sz w:val="16"/>
          <w:szCs w:val="16"/>
          <w:i w:val="1"/>
          <w:iCs w:val="1"/>
          <w:color w:val="auto"/>
        </w:rPr>
        <w:t xml:space="preserve">Duration and Effect of Termination. </w:t>
      </w:r>
      <w:r>
        <w:rPr>
          <w:rFonts w:ascii="Arial" w:cs="Arial" w:eastAsia="Arial" w:hAnsi="Arial"/>
          <w:sz w:val="16"/>
          <w:szCs w:val="16"/>
          <w:color w:val="auto"/>
        </w:rPr>
        <w:t>The corporate services agreements will continue in effect as to each service covered by the agreements until the party</w:t>
      </w:r>
      <w:r>
        <w:rPr>
          <w:rFonts w:ascii="Arial" w:cs="Arial" w:eastAsia="Arial" w:hAnsi="Arial"/>
          <w:sz w:val="16"/>
          <w:szCs w:val="16"/>
          <w:i w:val="1"/>
          <w:iCs w:val="1"/>
          <w:color w:val="auto"/>
        </w:rPr>
        <w:t xml:space="preserve"> </w:t>
      </w:r>
      <w:r>
        <w:rPr>
          <w:rFonts w:ascii="Arial" w:cs="Arial" w:eastAsia="Arial" w:hAnsi="Arial"/>
          <w:sz w:val="16"/>
          <w:szCs w:val="16"/>
          <w:color w:val="auto"/>
        </w:rPr>
        <w:t>receiving the services notifies the other party, in accordance with the terms and conditions set forth in the agreements and subject to certain limitations, that the service is no longer requested. However, if FNF ceases to own 50% or more of our voting stock or ceases to have 50% or more of the voting control for the election of our directors, then the corporate services agreements will terminate after six months. In addition, services to be provided to any subsidiary terminate on the date that the entity ceases to be a subsidiary of the party receiving the services. Under the corporate services agreements, if the party providing the services receives notice that the party receiving services would like to terminate a particular service, and the providing party believes in good faith that, notwithstanding its reasonable commercial efforts, the termination will have a material adverse impact on the other services being provided, then the party providing services can dispute the termination, with the dispute being resolved through the dispute resolution generally applicable to the agreements. When the agreements are terminated, FNF and we would arrange for alternate suppliers or hire additional employees for all the services important to our respective businesses. However, if we have to replicate facilities, services, or employees that we are not using full time, our costs could increase.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i w:val="1"/>
          <w:iCs w:val="1"/>
          <w:color w:val="auto"/>
        </w:rPr>
        <w:t xml:space="preserve">Liability and Indemnification. </w:t>
      </w:r>
      <w:r>
        <w:rPr>
          <w:rFonts w:ascii="Arial" w:cs="Arial" w:eastAsia="Arial" w:hAnsi="Arial"/>
          <w:sz w:val="18"/>
          <w:szCs w:val="18"/>
          <w:color w:val="auto"/>
        </w:rPr>
        <w:t>The corporate services agreements provide that the provider of services will not be liable to the receiving party for or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any services rendered or for any actions or inactions taken by a provider in connection with the provision of services, except to the extent of liabilities resulting from the provider’s gross negligence, willful misconduct, improper use or disclosure of customer information or violations of law and except for liabilities that arise out of intellectual property infringement. Additionally, the receiving party will indemnify the provider of services for any losses arising from the provision of services, provided that the amount of any losses will be reduced by the amount of the losses caused by the provider’s negligence, willful misconduct, violation of law, or breach of the agreement.</w:t>
      </w:r>
    </w:p>
    <w:p>
      <w:pPr>
        <w:spacing w:after="0" w:line="85" w:lineRule="exact"/>
        <w:rPr>
          <w:sz w:val="20"/>
          <w:szCs w:val="20"/>
          <w:color w:val="auto"/>
        </w:rPr>
      </w:pPr>
    </w:p>
    <w:p>
      <w:pPr>
        <w:ind w:right="180" w:firstLine="270"/>
        <w:spacing w:after="0" w:line="255" w:lineRule="auto"/>
        <w:rPr>
          <w:sz w:val="20"/>
          <w:szCs w:val="20"/>
          <w:color w:val="auto"/>
        </w:rPr>
      </w:pPr>
      <w:r>
        <w:rPr>
          <w:rFonts w:ascii="Arial" w:cs="Arial" w:eastAsia="Arial" w:hAnsi="Arial"/>
          <w:sz w:val="18"/>
          <w:szCs w:val="18"/>
          <w:i w:val="1"/>
          <w:iCs w:val="1"/>
          <w:color w:val="auto"/>
        </w:rPr>
        <w:t xml:space="preserve">Dispute Resolution Procedures. </w:t>
      </w:r>
      <w:r>
        <w:rPr>
          <w:rFonts w:ascii="Arial" w:cs="Arial" w:eastAsia="Arial" w:hAnsi="Arial"/>
          <w:sz w:val="18"/>
          <w:szCs w:val="18"/>
          <w:color w:val="auto"/>
        </w:rPr>
        <w:t>The corporate services agreements provide dispute resolution procedures that reflect the parties’ desire for friendly</w:t>
      </w:r>
      <w:r>
        <w:rPr>
          <w:rFonts w:ascii="Arial" w:cs="Arial" w:eastAsia="Arial" w:hAnsi="Arial"/>
          <w:sz w:val="18"/>
          <w:szCs w:val="18"/>
          <w:i w:val="1"/>
          <w:iCs w:val="1"/>
          <w:color w:val="auto"/>
        </w:rPr>
        <w:t xml:space="preserve"> </w:t>
      </w:r>
      <w:r>
        <w:rPr>
          <w:rFonts w:ascii="Arial" w:cs="Arial" w:eastAsia="Arial" w:hAnsi="Arial"/>
          <w:sz w:val="18"/>
          <w:szCs w:val="18"/>
          <w:color w:val="auto"/>
        </w:rPr>
        <w:t>collaboration and amicable resolution of disagreements. In the event of a dispute, the matter is referred to the president (or similar position) of each of the divisions implicated for resolution within 15 days. If the division presidents of the parties are unable to resolve the dispute, the matter is referred to the presidents of FNF and our company for final resolution within 15 days. If the matter remains unresolved, then either party may submit the matter to arbitration. The dispute resolution procedures do not preclude either party from pursuing immediate injunctive relief in the event of any actual or threatened breach of confidentiality or infringement of intellectual property.</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 Notes Payable to FNF</w:t>
      </w:r>
    </w:p>
    <w:p>
      <w:pPr>
        <w:spacing w:after="0" w:line="117" w:lineRule="exact"/>
        <w:rPr>
          <w:sz w:val="20"/>
          <w:szCs w:val="20"/>
          <w:color w:val="auto"/>
        </w:rPr>
      </w:pPr>
    </w:p>
    <w:p>
      <w:pPr>
        <w:ind w:right="40" w:firstLine="270"/>
        <w:spacing w:after="0" w:line="257" w:lineRule="auto"/>
        <w:rPr>
          <w:sz w:val="20"/>
          <w:szCs w:val="20"/>
          <w:color w:val="auto"/>
        </w:rPr>
      </w:pPr>
      <w:r>
        <w:rPr>
          <w:rFonts w:ascii="Arial" w:cs="Arial" w:eastAsia="Arial" w:hAnsi="Arial"/>
          <w:sz w:val="18"/>
          <w:szCs w:val="18"/>
          <w:color w:val="auto"/>
        </w:rPr>
        <w:t>In connection with the Distribution, we issued two $250 million intercompany notes payable to FNF, with terms that mirror FNF’s existing $250 million 7.30% public notes due in August 2011 and $250 million 5.25% public notes due in March 2013. Following issuance of the intercompany notes, we made an exchange offer in which we exchanged $491.3 million principal amount of the outstanding FNF notes for new notes issued by us and delivered the FNF notes received to FNF to reduce the debt under the intercompany notes. See “Management’s Discussion and Analysis of Financial Condition and Results of Operations — Liquidity and Capital Resources.”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Tax Matters Agreement</w:t>
      </w:r>
    </w:p>
    <w:p>
      <w:pPr>
        <w:spacing w:after="0" w:line="117" w:lineRule="exact"/>
        <w:rPr>
          <w:sz w:val="20"/>
          <w:szCs w:val="20"/>
          <w:color w:val="auto"/>
        </w:rPr>
      </w:pPr>
    </w:p>
    <w:p>
      <w:pPr>
        <w:ind w:right="340" w:firstLine="270"/>
        <w:spacing w:after="0" w:line="302" w:lineRule="auto"/>
        <w:rPr>
          <w:sz w:val="20"/>
          <w:szCs w:val="20"/>
          <w:color w:val="auto"/>
        </w:rPr>
      </w:pPr>
      <w:r>
        <w:rPr>
          <w:rFonts w:ascii="Arial" w:cs="Arial" w:eastAsia="Arial" w:hAnsi="Arial"/>
          <w:sz w:val="16"/>
          <w:szCs w:val="16"/>
          <w:color w:val="auto"/>
        </w:rPr>
        <w:t>In connection with the Distribution, we and FNF entered into a tax matters agreement, which governs the respective rights, responsibilities, and obligations of FNF and us with respect to tax liabilities and refunds, tax attributes, tax contests and other matters regarding income taxes, taxes other than income taxes and related tax returns. The tax matters agreement governs these tax matters as they apply to us and to all of our subsidiaries other than our subsidiaries that are the title insurance companies. Our title insurance companies are also parties to various tax sharing agreements with FNF.</w:t>
      </w:r>
    </w:p>
    <w:p>
      <w:pPr>
        <w:spacing w:after="0" w:line="46" w:lineRule="exact"/>
        <w:rPr>
          <w:sz w:val="20"/>
          <w:szCs w:val="20"/>
          <w:color w:val="auto"/>
        </w:rPr>
      </w:pPr>
    </w:p>
    <w:p>
      <w:pPr>
        <w:ind w:firstLine="270"/>
        <w:spacing w:after="0" w:line="268" w:lineRule="auto"/>
        <w:rPr>
          <w:sz w:val="20"/>
          <w:szCs w:val="20"/>
          <w:color w:val="auto"/>
        </w:rPr>
      </w:pPr>
      <w:r>
        <w:rPr>
          <w:rFonts w:ascii="Arial" w:cs="Arial" w:eastAsia="Arial" w:hAnsi="Arial"/>
          <w:sz w:val="17"/>
          <w:szCs w:val="17"/>
          <w:i w:val="1"/>
          <w:iCs w:val="1"/>
          <w:color w:val="auto"/>
        </w:rPr>
        <w:t xml:space="preserve">Allocation of Tax Liability. </w:t>
      </w:r>
      <w:r>
        <w:rPr>
          <w:rFonts w:ascii="Arial" w:cs="Arial" w:eastAsia="Arial" w:hAnsi="Arial"/>
          <w:sz w:val="17"/>
          <w:szCs w:val="17"/>
          <w:color w:val="auto"/>
        </w:rPr>
        <w:t>The tax matters agreement provides for the allocation and payment of taxes for periods during which we and FNF are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same consolidated group for federal income tax purposes or the same consolidated, combined or unitary returns for state tax purposes, the allocation of responsibility for the filing of tax returns, the conduct of tax audits and the handling of tax controversies, and various related matters. The tax matters agreement became effective on the date of Distribution and is effective until the occurrence of any of the following: (i) written mutual agreement of the parties to terminate the agreement; (ii) FNF is no longer the parent company of FNT; or (iii) FNF does not file a consolidated tax return. Under the tax matters agreement, FNF is primarily responsible for preparing and filing any tax return with respect to the FNF affiliated group for U.S. federal income tax purposes and with respect to any consolidated, combined or unitary group of which FNF or any of its subsidiaries is the filing parent for U.S. state or local income tax purposes. We are generally responsible for preparing and filing any federal tax returns that include only us and our subsidiaries and any U.S. state and local tax returns for which we or any of our subsidiaries is the filing parent. For periods during which we are included in FNF’s consolidated federal income tax returns or state consolidated, combined, or unitary tax returns, we generally are required to pay an amount of income tax equal to the amount we would have paid had we filed tax returns as a separate entity. We are responsible for our own separate tax liabilities that are not determined on a consolidated or combined basis. We will also be responsible in the future for any increases of consolidated tax liability of FNF that are attributable to us and will be entitled to refunds for reductions of tax liabilities attributable to us for prior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periods. We will continue to be included in FNF’s consolidated group for federal income tax purposes so long as FNF beneficially owns at least 80% of the total voting power and value of our outstanding common stock. Each corporation that is a member of a consolidated group during any portion of the group’s tax year is severally liable for the federal income tax liability of the group for that year. While the tax matters agreement allocates tax liabilities between FNF and us, we could be liable in the event federal tax liability allocated to FNF is incurred but not paid by FNF or any other member of FNF’s consolidated group for FNF’s tax years that include these periods. In this event, we would be entitled to indemnification by FNF under the tax matters agreement.</w:t>
      </w:r>
    </w:p>
    <w:p>
      <w:pPr>
        <w:spacing w:after="0" w:line="50" w:lineRule="exact"/>
        <w:rPr>
          <w:sz w:val="20"/>
          <w:szCs w:val="20"/>
          <w:color w:val="auto"/>
        </w:rPr>
      </w:pPr>
    </w:p>
    <w:p>
      <w:pPr>
        <w:ind w:right="160" w:firstLine="270"/>
        <w:spacing w:after="0" w:line="297" w:lineRule="auto"/>
        <w:rPr>
          <w:sz w:val="20"/>
          <w:szCs w:val="20"/>
          <w:color w:val="auto"/>
        </w:rPr>
      </w:pPr>
      <w:r>
        <w:rPr>
          <w:rFonts w:ascii="Arial" w:cs="Arial" w:eastAsia="Arial" w:hAnsi="Arial"/>
          <w:sz w:val="16"/>
          <w:szCs w:val="16"/>
          <w:i w:val="1"/>
          <w:iCs w:val="1"/>
          <w:color w:val="auto"/>
        </w:rPr>
        <w:t xml:space="preserve">Tax Disputes and Contests. </w:t>
      </w:r>
      <w:r>
        <w:rPr>
          <w:rFonts w:ascii="Arial" w:cs="Arial" w:eastAsia="Arial" w:hAnsi="Arial"/>
          <w:sz w:val="16"/>
          <w:szCs w:val="16"/>
          <w:color w:val="auto"/>
        </w:rPr>
        <w:t>Generally, for periods in which we are included in FNF’s consolidated federal income tax return, or state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combined, or unitary tax returns, we control tax contests to the extent the underlying tax liabilities would be allocated to us under the tax matters agreement, and FNF controls all tax contests to the extent the underlying tax liabilities would be allocated to FNF under the tax matters agreement. We generally have authority to control tax contests with respect to tax returns that include only our subsidiaries and us. Disputes arising between us and FNF related to matters covered by the tax matters agreement are subject to resolution though specific dispute resolutions provisions described in the tax matters agreement.</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Employee Matters Agreement</w:t>
      </w:r>
    </w:p>
    <w:p>
      <w:pPr>
        <w:spacing w:after="0" w:line="117"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color w:val="auto"/>
        </w:rPr>
        <w:t>Historically, our employees have participated in various health, welfare, and retirement plans and programs sponsored by FNF. After the Distribution, our employees continue to participate in these FNF-sponsored plans through the operation of the employee matters agreement.</w:t>
      </w:r>
    </w:p>
    <w:p>
      <w:pPr>
        <w:spacing w:after="0" w:line="62" w:lineRule="exact"/>
        <w:rPr>
          <w:sz w:val="20"/>
          <w:szCs w:val="20"/>
          <w:color w:val="auto"/>
        </w:rPr>
      </w:pPr>
    </w:p>
    <w:p>
      <w:pPr>
        <w:ind w:right="100" w:firstLine="270"/>
        <w:spacing w:after="0" w:line="312" w:lineRule="auto"/>
        <w:rPr>
          <w:sz w:val="20"/>
          <w:szCs w:val="20"/>
          <w:color w:val="auto"/>
        </w:rPr>
      </w:pPr>
      <w:r>
        <w:rPr>
          <w:rFonts w:ascii="Arial" w:cs="Arial" w:eastAsia="Arial" w:hAnsi="Arial"/>
          <w:sz w:val="16"/>
          <w:szCs w:val="16"/>
          <w:color w:val="auto"/>
        </w:rPr>
        <w:t>Specifically, under the employee matters agreement, our employees continue to be eligible (subject to generally applicable plan limitations and eligibility conditions) to participate in FNF’s health, dental, disability, and other welfare benefit plans. Our employees administer the FNF plans. Our employees’ participation in FNF’s plans will continue until it is determined that it would be beneficial for us to establish separate plans for our employees.</w:t>
      </w:r>
    </w:p>
    <w:p>
      <w:pPr>
        <w:spacing w:after="0" w:line="39"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Under the employee matters agreement, as long as our employees participate in FNF’s plans, we will be required to contribute to the plans the cost of our employees’ participation in such plans. Such costs will include, for example, payment of 401(k) matching contributions for our employees and payment of the employer portion of the cost of health, dental, disability and other welfare benefits provided to our employees. Since our employees administer the plans, we are not charged an administrative expense for participation.</w:t>
      </w:r>
    </w:p>
    <w:p>
      <w:pPr>
        <w:spacing w:after="0" w:line="79" w:lineRule="exact"/>
        <w:rPr>
          <w:sz w:val="20"/>
          <w:szCs w:val="20"/>
          <w:color w:val="auto"/>
        </w:rPr>
      </w:pPr>
    </w:p>
    <w:p>
      <w:pPr>
        <w:ind w:right="40" w:firstLine="270"/>
        <w:spacing w:after="0" w:line="279" w:lineRule="auto"/>
        <w:rPr>
          <w:sz w:val="20"/>
          <w:szCs w:val="20"/>
          <w:color w:val="auto"/>
        </w:rPr>
      </w:pPr>
      <w:r>
        <w:rPr>
          <w:rFonts w:ascii="Arial" w:cs="Arial" w:eastAsia="Arial" w:hAnsi="Arial"/>
          <w:sz w:val="17"/>
          <w:szCs w:val="17"/>
          <w:color w:val="auto"/>
        </w:rPr>
        <w:t>Our contributions to FNF’s plans for our employees during 2005 were $125.7 million. The contributions we will be required to make to FNF’s plans in future years under the employee matters agreement depend on factors that we cannot predict with certainty at this point, such as the level of employee participation and the costs of providing health, dental and other benefits. Nevertheless, we do not anticipate that the contributions we will be required to make to the plans under the employee matters agreement will differ materially from the total amount we contributed for the 2005 fiscal year.</w:t>
      </w:r>
    </w:p>
    <w:p>
      <w:pPr>
        <w:spacing w:after="0" w:line="63" w:lineRule="exact"/>
        <w:rPr>
          <w:sz w:val="20"/>
          <w:szCs w:val="20"/>
          <w:color w:val="auto"/>
        </w:rPr>
      </w:pPr>
    </w:p>
    <w:p>
      <w:pPr>
        <w:ind w:right="140" w:firstLine="267"/>
        <w:spacing w:after="0" w:line="308" w:lineRule="auto"/>
        <w:rPr>
          <w:sz w:val="20"/>
          <w:szCs w:val="20"/>
          <w:color w:val="auto"/>
        </w:rPr>
      </w:pPr>
      <w:r>
        <w:rPr>
          <w:rFonts w:ascii="Arial" w:cs="Arial" w:eastAsia="Arial" w:hAnsi="Arial"/>
          <w:sz w:val="17"/>
          <w:szCs w:val="17"/>
          <w:color w:val="auto"/>
        </w:rPr>
        <w:t>To the extent our employees hold FNF stock-based incentives, such as FNF stock options or restricted stock, related accounting charges under SFAS 123 or SFAS 123R are allocated to us by treating any such accounting charges that are recognized by FNF as FNF contributions to our capital.</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Because FNF did not divest itself of all of its shares of our common stock as part of the Distribution, FNF is not able to freely sell our shares without registration under the Securities Act of 1933 (“Securities Act”) or a valid exemption therefrom. Accordingly, we entered into a registration rights agreement with FNF requiring us, under certain circumstances, to register our shares beneficially owned by FNF. These registration rights became effective at the time of the Distribution.</w:t>
      </w:r>
    </w:p>
    <w:p>
      <w:pPr>
        <w:spacing w:after="0" w:line="79" w:lineRule="exact"/>
        <w:rPr>
          <w:sz w:val="20"/>
          <w:szCs w:val="20"/>
          <w:color w:val="auto"/>
        </w:rPr>
      </w:pPr>
    </w:p>
    <w:p>
      <w:pPr>
        <w:ind w:right="240" w:firstLine="270"/>
        <w:spacing w:after="0" w:line="277"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Under the registration rights agreement, FNF has the right to require us to register for offer and sale all or a portion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beneficially owned by FNF, which we refer to as 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demand registration. The maximum number of demand registrations that we are required to effect is two per year and the number of shares to be registered in each demand registration must have an aggregate expected offering price of at least $25 million.</w:t>
      </w:r>
    </w:p>
    <w:p>
      <w:pPr>
        <w:spacing w:after="0" w:line="62"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i w:val="1"/>
          <w:iCs w:val="1"/>
          <w:color w:val="auto"/>
        </w:rPr>
        <w:t xml:space="preserve">Piggy-Back Registration Rights. </w:t>
      </w:r>
      <w:r>
        <w:rPr>
          <w:rFonts w:ascii="Arial" w:cs="Arial" w:eastAsia="Arial" w:hAnsi="Arial"/>
          <w:sz w:val="18"/>
          <w:szCs w:val="18"/>
          <w:color w:val="auto"/>
        </w:rPr>
        <w:t>In addition, FNF has the right, subject to certain conditions, which it may exercise at any time, to include its shares in any</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common stock that we may make in the future, commonly referred to as a piggy-back registration right, if our registration would permit the inclusion.</w:t>
      </w:r>
    </w:p>
    <w:p>
      <w:pPr>
        <w:spacing w:after="0" w:line="73"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i w:val="1"/>
          <w:iCs w:val="1"/>
          <w:color w:val="auto"/>
        </w:rPr>
        <w:t xml:space="preserve">Terms of Offering. </w:t>
      </w:r>
      <w:r>
        <w:rPr>
          <w:rFonts w:ascii="Arial" w:cs="Arial" w:eastAsia="Arial" w:hAnsi="Arial"/>
          <w:sz w:val="18"/>
          <w:szCs w:val="18"/>
          <w:color w:val="auto"/>
        </w:rPr>
        <w:t>FNF has the right to designate the terms of each offering effected pursuant to a demand registration, which may take any form,</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 shelf registration, a convertible registration or an exchange registration. We have agreed to cooperate fully in connection with any registration for FNF’s benefit and with any offering FNF makes under the registration rights agreement. We have also agreed to pay for the costs and expenses related to shares sold by FNF in connection with any registration covered by the agreement, except that FNF will be responsible for any applicable registration or filing fees with respect to the shares being sold by FNF. The registration rights of FNF are transferable by FNF for an indefinite term. In addition, the registration rights agreement contains indemnification and contribution provisions with respect to information included in any registration statement, prospectus or related documents.</w:t>
      </w:r>
    </w:p>
    <w:p>
      <w:pPr>
        <w:spacing w:after="0" w:line="81" w:lineRule="exact"/>
        <w:rPr>
          <w:sz w:val="20"/>
          <w:szCs w:val="20"/>
          <w:color w:val="auto"/>
        </w:rPr>
      </w:pPr>
    </w:p>
    <w:p>
      <w:pPr>
        <w:ind w:right="40" w:firstLine="270"/>
        <w:spacing w:after="0" w:line="257" w:lineRule="auto"/>
        <w:rPr>
          <w:sz w:val="20"/>
          <w:szCs w:val="20"/>
          <w:color w:val="auto"/>
        </w:rPr>
      </w:pPr>
      <w:r>
        <w:rPr>
          <w:rFonts w:ascii="Arial" w:cs="Arial" w:eastAsia="Arial" w:hAnsi="Arial"/>
          <w:sz w:val="18"/>
          <w:szCs w:val="18"/>
          <w:i w:val="1"/>
          <w:iCs w:val="1"/>
          <w:color w:val="auto"/>
        </w:rPr>
        <w:t xml:space="preserve">Timing of Demand Registrations. </w:t>
      </w:r>
      <w:r>
        <w:rPr>
          <w:rFonts w:ascii="Arial" w:cs="Arial" w:eastAsia="Arial" w:hAnsi="Arial"/>
          <w:sz w:val="18"/>
          <w:szCs w:val="18"/>
          <w:color w:val="auto"/>
        </w:rPr>
        <w:t>We are not required to undertake a demand registration within 90 days of the effective date of a previous demand</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other than a demand registration that was effected as a shelf registration. In addition, we generally have the right (which may be exercised once in any 12-month period) to postpone the filing or effectiveness of any demand registration for up to 90 days, if we determine that the registration would be reasonably expected to have a material adverse effect on any then-active proposals to engage in certain material transactions or would otherwise disadvantage us through premature disclosure of pending developments.</w:t>
      </w:r>
    </w:p>
    <w:p>
      <w:pPr>
        <w:spacing w:after="0" w:line="80" w:lineRule="exact"/>
        <w:rPr>
          <w:sz w:val="20"/>
          <w:szCs w:val="20"/>
          <w:color w:val="auto"/>
        </w:rPr>
      </w:pPr>
    </w:p>
    <w:p>
      <w:pPr>
        <w:ind w:right="60" w:firstLine="270"/>
        <w:spacing w:after="0" w:line="273" w:lineRule="auto"/>
        <w:rPr>
          <w:sz w:val="20"/>
          <w:szCs w:val="20"/>
          <w:color w:val="auto"/>
        </w:rPr>
      </w:pPr>
      <w:r>
        <w:rPr>
          <w:rFonts w:ascii="Arial" w:cs="Arial" w:eastAsia="Arial" w:hAnsi="Arial"/>
          <w:sz w:val="17"/>
          <w:szCs w:val="17"/>
          <w:i w:val="1"/>
          <w:iCs w:val="1"/>
          <w:color w:val="auto"/>
        </w:rPr>
        <w:t xml:space="preserve">Duration. </w:t>
      </w:r>
      <w:r>
        <w:rPr>
          <w:rFonts w:ascii="Arial" w:cs="Arial" w:eastAsia="Arial" w:hAnsi="Arial"/>
          <w:sz w:val="17"/>
          <w:szCs w:val="17"/>
          <w:color w:val="auto"/>
        </w:rPr>
        <w:t>The registration rights under the registration rights agreement will remain in effect with respect to our shares until: (i) the shares have been sold</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an effective registration statement under the Securities Act; (ii) the shares have been sold to the public pursuant to Rule 144 under the Securities Act (or any successor provision); (iii) the shares have been otherwise transferred, new certificates for them not bearing a legend restricting further transfer have been delivered by us, and subsequent public distribution of the shares does not require registration or qualification under the Securities Act or any similar state law; (iv) the shares have ceased to be outstanding; or (v) in the case of shares held by a transferee of FNF, when the shares become eligible for sale pursuant to Rule 144(k) under the Securities Act (or any successor provision).</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Intellectual Property Cross License Agreement</w:t>
      </w:r>
    </w:p>
    <w:p>
      <w:pPr>
        <w:spacing w:after="0" w:line="117" w:lineRule="exact"/>
        <w:rPr>
          <w:sz w:val="20"/>
          <w:szCs w:val="20"/>
          <w:color w:val="auto"/>
        </w:rPr>
      </w:pPr>
    </w:p>
    <w:p>
      <w:pPr>
        <w:ind w:right="20" w:firstLine="270"/>
        <w:spacing w:after="0" w:line="271" w:lineRule="auto"/>
        <w:rPr>
          <w:sz w:val="20"/>
          <w:szCs w:val="20"/>
          <w:color w:val="auto"/>
        </w:rPr>
      </w:pPr>
      <w:r>
        <w:rPr>
          <w:rFonts w:ascii="Arial" w:cs="Arial" w:eastAsia="Arial" w:hAnsi="Arial"/>
          <w:sz w:val="17"/>
          <w:szCs w:val="17"/>
          <w:color w:val="auto"/>
        </w:rPr>
        <w:t>Historically, we and our subsidiaries were permitted, as subsidiaries of FNF, to utilize various trademarks, copyrights, trade secrets and know-how, patents and other intellectual property owned by FNF and its other subsidiaries but used by us in the conduct of our title insurance business. Likewise, FNF and its other subsidiaries were permitted to utilize various trademarks, copyrights, trade secrets and know-how, patents and other intellectual property owned by us and our subsidiaries but used by them in the conduct of their business. The intellectual property cross license agreement permits each entity to continue to have access to those items of intellectual property that it does not own, but utilizes in the conduct of its business, so that each group can continue to grow and develop its respective businesses and markets after the Distribution. This agreement governs the respective responsibilities and obligations between us and FNF with respect to the applicable intellectual property. The intellectual property licensed by FNF to us will include the use of the name “Fidelity National” and the logo widely used by our company and our subsidiaries.</w:t>
      </w:r>
    </w:p>
    <w:p>
      <w:pPr>
        <w:spacing w:after="0" w:line="71" w:lineRule="exact"/>
        <w:rPr>
          <w:sz w:val="20"/>
          <w:szCs w:val="20"/>
          <w:color w:val="auto"/>
        </w:rPr>
      </w:pPr>
    </w:p>
    <w:p>
      <w:pPr>
        <w:ind w:right="40" w:firstLine="270"/>
        <w:spacing w:after="0" w:line="257" w:lineRule="auto"/>
        <w:rPr>
          <w:sz w:val="20"/>
          <w:szCs w:val="20"/>
          <w:color w:val="auto"/>
        </w:rPr>
      </w:pPr>
      <w:r>
        <w:rPr>
          <w:rFonts w:ascii="Arial" w:cs="Arial" w:eastAsia="Arial" w:hAnsi="Arial"/>
          <w:sz w:val="18"/>
          <w:szCs w:val="18"/>
          <w:i w:val="1"/>
          <w:iCs w:val="1"/>
          <w:color w:val="auto"/>
        </w:rPr>
        <w:t xml:space="preserve">Terms of the Cross License. </w:t>
      </w:r>
      <w:r>
        <w:rPr>
          <w:rFonts w:ascii="Arial" w:cs="Arial" w:eastAsia="Arial" w:hAnsi="Arial"/>
          <w:sz w:val="18"/>
          <w:szCs w:val="18"/>
          <w:color w:val="auto"/>
        </w:rPr>
        <w:t>The intellectual property licensed by or to us, and by or to FNF, relates to a variety of aspects of the title insurance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lines of business in which we and FNF and our respective subsidiaries are engaged. With respect to each item of intellectual property licensed, the party that owns the intellectual property as of the date of the Distribution will continue to own the item, but will grant a broad license for use of the intellectual property item to the other party without giving up any ownership rights. Subject to certain limitations and early termination events (limited to bankruptcy, insolvency and the like, or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if FNF ceases to own 50% or more of our voting stock or ceases to have 50% or more of the voting control for the election of our directors), the licenses are perpetual, irrevocable, and non-terminable. In addition, as to each item of intellectual property, the license to any subsidiary terminates on the date that the entity ceases to be a subsidiary of the party receiving the benefit of the license. The licenses are also non-exclusive and allow the licensing party to fully utilize its intellectual property, including the granting of licenses to third parties.</w:t>
      </w:r>
    </w:p>
    <w:p>
      <w:pPr>
        <w:spacing w:after="0" w:line="79" w:lineRule="exact"/>
        <w:rPr>
          <w:sz w:val="20"/>
          <w:szCs w:val="20"/>
          <w:color w:val="auto"/>
        </w:rPr>
      </w:pPr>
    </w:p>
    <w:p>
      <w:pPr>
        <w:ind w:right="260" w:firstLine="270"/>
        <w:spacing w:after="0" w:line="259" w:lineRule="auto"/>
        <w:rPr>
          <w:sz w:val="20"/>
          <w:szCs w:val="20"/>
          <w:color w:val="auto"/>
        </w:rPr>
      </w:pPr>
      <w:r>
        <w:rPr>
          <w:rFonts w:ascii="Arial" w:cs="Arial" w:eastAsia="Arial" w:hAnsi="Arial"/>
          <w:sz w:val="18"/>
          <w:szCs w:val="18"/>
          <w:i w:val="1"/>
          <w:iCs w:val="1"/>
          <w:color w:val="auto"/>
        </w:rPr>
        <w:t xml:space="preserve">Pricing and Payment Terms. </w:t>
      </w:r>
      <w:r>
        <w:rPr>
          <w:rFonts w:ascii="Arial" w:cs="Arial" w:eastAsia="Arial" w:hAnsi="Arial"/>
          <w:sz w:val="18"/>
          <w:szCs w:val="18"/>
          <w:color w:val="auto"/>
        </w:rPr>
        <w:t>Given the nature of the intellectual property to be licensed and the historical relationship between the parties, we and FNF</w:t>
      </w:r>
      <w:r>
        <w:rPr>
          <w:rFonts w:ascii="Arial" w:cs="Arial" w:eastAsia="Arial" w:hAnsi="Arial"/>
          <w:sz w:val="18"/>
          <w:szCs w:val="18"/>
          <w:i w:val="1"/>
          <w:iCs w:val="1"/>
          <w:color w:val="auto"/>
        </w:rPr>
        <w:t xml:space="preserve"> </w:t>
      </w:r>
      <w:r>
        <w:rPr>
          <w:rFonts w:ascii="Arial" w:cs="Arial" w:eastAsia="Arial" w:hAnsi="Arial"/>
          <w:sz w:val="18"/>
          <w:szCs w:val="18"/>
          <w:color w:val="auto"/>
        </w:rPr>
        <w:t>have determined that the licenses to each party should be royalty-free with the consideration for each party’s license of its intellectual property being the receipt of a license of the other’s intellectual property. As a result, no payments will be made to us or received by us under the intellectual property cross license agreement.</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Sublease Agreement</w:t>
      </w:r>
    </w:p>
    <w:p>
      <w:pPr>
        <w:spacing w:after="0" w:line="117" w:lineRule="exact"/>
        <w:rPr>
          <w:sz w:val="20"/>
          <w:szCs w:val="20"/>
          <w:color w:val="auto"/>
        </w:rPr>
      </w:pPr>
    </w:p>
    <w:p>
      <w:pPr>
        <w:jc w:val="both"/>
        <w:ind w:right="420" w:firstLine="267"/>
        <w:spacing w:after="0" w:line="264" w:lineRule="auto"/>
        <w:rPr>
          <w:sz w:val="20"/>
          <w:szCs w:val="20"/>
          <w:color w:val="auto"/>
        </w:rPr>
      </w:pPr>
      <w:r>
        <w:rPr>
          <w:rFonts w:ascii="Arial" w:cs="Arial" w:eastAsia="Arial" w:hAnsi="Arial"/>
          <w:sz w:val="18"/>
          <w:szCs w:val="18"/>
          <w:color w:val="auto"/>
        </w:rPr>
        <w:t>We entered into a sublease agreement pursuant to which we sublease to FNF a portion of the space that we are leasing from a subsidiary of FIS. See “— Our Arrangements with FIS — Lease Agreement.” The sublease arrangement with FNF will continue until December 31, 2007, which is the date on which our lease with the FIS subsidiary expires by its terms.</w:t>
      </w:r>
    </w:p>
    <w:p>
      <w:pPr>
        <w:spacing w:after="0" w:line="73" w:lineRule="exact"/>
        <w:rPr>
          <w:sz w:val="20"/>
          <w:szCs w:val="20"/>
          <w:color w:val="auto"/>
        </w:rPr>
      </w:pPr>
    </w:p>
    <w:p>
      <w:pPr>
        <w:ind w:right="180" w:firstLine="270"/>
        <w:spacing w:after="0" w:line="302" w:lineRule="auto"/>
        <w:rPr>
          <w:sz w:val="20"/>
          <w:szCs w:val="20"/>
          <w:color w:val="auto"/>
        </w:rPr>
      </w:pPr>
      <w:r>
        <w:rPr>
          <w:rFonts w:ascii="Arial" w:cs="Arial" w:eastAsia="Arial" w:hAnsi="Arial"/>
          <w:sz w:val="16"/>
          <w:szCs w:val="16"/>
          <w:i w:val="1"/>
          <w:iCs w:val="1"/>
          <w:color w:val="auto"/>
        </w:rPr>
        <w:t xml:space="preserve">Pricing and Payment Terms. </w:t>
      </w:r>
      <w:r>
        <w:rPr>
          <w:rFonts w:ascii="Arial" w:cs="Arial" w:eastAsia="Arial" w:hAnsi="Arial"/>
          <w:sz w:val="16"/>
          <w:szCs w:val="16"/>
          <w:color w:val="auto"/>
        </w:rPr>
        <w:t>Pursuant to the sublease agreement, FNF is obligated to pay rent for approximately 7,000 square feet on terms and at rental</w:t>
      </w:r>
      <w:r>
        <w:rPr>
          <w:rFonts w:ascii="Arial" w:cs="Arial" w:eastAsia="Arial" w:hAnsi="Arial"/>
          <w:sz w:val="16"/>
          <w:szCs w:val="16"/>
          <w:i w:val="1"/>
          <w:iCs w:val="1"/>
          <w:color w:val="auto"/>
        </w:rPr>
        <w:t xml:space="preserve"> </w:t>
      </w:r>
      <w:r>
        <w:rPr>
          <w:rFonts w:ascii="Arial" w:cs="Arial" w:eastAsia="Arial" w:hAnsi="Arial"/>
          <w:sz w:val="16"/>
          <w:szCs w:val="16"/>
          <w:color w:val="auto"/>
        </w:rPr>
        <w:t>rates that mirror our obligations under our lease agreement with the FIS subsidiary. This includes both the base rent amount as well as the additional rent required under our lease. If FNF fails to pay timely, a default rate applies. FNF is also responsible for the entire cost of any services or materials provided exclusively to FNF in connection with the sublease or the use of the space. FNF paid $3.8 million to us in 2005 under this arrangement.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Sharing Agreements</w:t>
      </w:r>
    </w:p>
    <w:p>
      <w:pPr>
        <w:spacing w:after="0" w:line="121"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FNF and each of our title insurance subsidiaries are parties to one or more of four tax sharing agreements and one tax allocation agreement, which govern the respective rights, responsibilities, and obligations of FNF and those subsidiaries with respect to tax liabilities and refunds, tax attributes, other matters regarding income taxes and related tax returns. These tax sharing agreements have been in effect for varying periods of time prior to the distribution and have been filed with the respective insurance regulators of the title insurance subsidiaries.</w:t>
      </w:r>
    </w:p>
    <w:p>
      <w:pPr>
        <w:spacing w:after="0" w:line="79" w:lineRule="exact"/>
        <w:rPr>
          <w:sz w:val="20"/>
          <w:szCs w:val="20"/>
          <w:color w:val="auto"/>
        </w:rPr>
      </w:pPr>
    </w:p>
    <w:p>
      <w:pPr>
        <w:ind w:firstLine="270"/>
        <w:spacing w:after="0" w:line="269" w:lineRule="auto"/>
        <w:rPr>
          <w:sz w:val="20"/>
          <w:szCs w:val="20"/>
          <w:color w:val="auto"/>
        </w:rPr>
      </w:pPr>
      <w:r>
        <w:rPr>
          <w:rFonts w:ascii="Arial" w:cs="Arial" w:eastAsia="Arial" w:hAnsi="Arial"/>
          <w:sz w:val="17"/>
          <w:szCs w:val="17"/>
          <w:i w:val="1"/>
          <w:iCs w:val="1"/>
          <w:color w:val="auto"/>
        </w:rPr>
        <w:t xml:space="preserve">Allocation of Tax Liability. </w:t>
      </w:r>
      <w:r>
        <w:rPr>
          <w:rFonts w:ascii="Arial" w:cs="Arial" w:eastAsia="Arial" w:hAnsi="Arial"/>
          <w:sz w:val="17"/>
          <w:szCs w:val="17"/>
          <w:color w:val="auto"/>
        </w:rPr>
        <w:t>The tax sharing agreements generally provide for the allocation and payment of taxes for periods during which the respective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title insurance subsidiaries and FNF are included in the same consolidated group for federal income tax purposes or the same consolidated, combined or unitary returns for state tax purposes. For periods during which the respective title insurance subsidiaries are included in FNF’s consolidated federal income tax returns or state consolidated, combined, or unitary tax returns, each of the title insurance subsidiaries generally is required to pay an amount of income tax equal to the amount it would have paid had it filed tax returns as a separate entity. Each title insurance subsidiary is also responsible in the future for any increases of consolidated tax liability of FNF that are attributable to the title insurance subsidiary and will be entitled to refunds for reductions of tax liabilities attributable to it for prior periods. Each title insurance subsidiary will be included in FNF’s consolidated group for federal income tax purposes so long as FNF beneficially owns, directly or indirectly, at least 80% of the total voting power and value of the title insurance subsidiary’s outstanding common stock. Each corporation that is a member of a consolidated group during any portion of the group’s tax year is severally liable for the federal income tax liability of the group for that year. As a result, the title insurance subsidiaries could be liable in the event federal tax liability allocated to FNF is incurred but not paid by FNF or any other member of FNF’s consolidated group for FNF’s tax years that include these periods. In 2005, our payments under these tax sharing agreements were $255.9 million.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Loan Agreements</w:t>
      </w:r>
    </w:p>
    <w:p>
      <w:pPr>
        <w:spacing w:after="0" w:line="121" w:lineRule="exact"/>
        <w:rPr>
          <w:sz w:val="20"/>
          <w:szCs w:val="20"/>
          <w:color w:val="auto"/>
        </w:rPr>
      </w:pPr>
    </w:p>
    <w:p>
      <w:pPr>
        <w:ind w:firstLine="267"/>
        <w:spacing w:after="0" w:line="312" w:lineRule="auto"/>
        <w:rPr>
          <w:sz w:val="20"/>
          <w:szCs w:val="20"/>
          <w:color w:val="auto"/>
        </w:rPr>
      </w:pPr>
      <w:r>
        <w:rPr>
          <w:rFonts w:ascii="Arial" w:cs="Arial" w:eastAsia="Arial" w:hAnsi="Arial"/>
          <w:sz w:val="16"/>
          <w:szCs w:val="16"/>
          <w:color w:val="auto"/>
        </w:rPr>
        <w:t>We are parties to two master loan agreements under which our title insurance subsidiaries have made certain loans to FNF. These loans are evidenced by notes that amounted to $19.0 million at December 31, 2005. The notes amortize in equal principal amounts annually with final maturity in 2009 and 2010 and bear interest at a variable rate that at December 31, 2005 was equal to 5.1%. We have no commitment to make further loans under this arrangement.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Arrangements with FIS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agreements we have entered into with FIS and its subsidiaries include:</w:t>
      </w:r>
    </w:p>
    <w:p>
      <w:pPr>
        <w:spacing w:after="0" w:line="117" w:lineRule="exact"/>
        <w:rPr>
          <w:sz w:val="20"/>
          <w:szCs w:val="20"/>
          <w:color w:val="auto"/>
        </w:rPr>
      </w:pPr>
    </w:p>
    <w:p>
      <w:pPr>
        <w:ind w:left="460" w:hanging="101"/>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corporate services agreements;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starter repository and back plant access agreements;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license and services agreement;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lease agreement;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master information technology agreement;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software license agreement for “SoftPro” software.</w:t>
      </w:r>
    </w:p>
    <w:p>
      <w:pPr>
        <w:spacing w:after="0" w:line="117" w:lineRule="exact"/>
        <w:rPr>
          <w:sz w:val="20"/>
          <w:szCs w:val="20"/>
          <w:color w:val="auto"/>
        </w:rPr>
      </w:pPr>
    </w:p>
    <w:p>
      <w:pPr>
        <w:ind w:right="420" w:firstLine="267"/>
        <w:spacing w:after="0" w:line="277" w:lineRule="auto"/>
        <w:rPr>
          <w:sz w:val="20"/>
          <w:szCs w:val="20"/>
          <w:color w:val="auto"/>
        </w:rPr>
      </w:pPr>
      <w:r>
        <w:rPr>
          <w:rFonts w:ascii="Arial" w:cs="Arial" w:eastAsia="Arial" w:hAnsi="Arial"/>
          <w:sz w:val="18"/>
          <w:szCs w:val="18"/>
          <w:color w:val="auto"/>
        </w:rPr>
        <w:t>These agreements are described below. On February 1, 2006, in connection with the merger between FIS and Certegy (the “Merger”), many of these agreements were amended and restated.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Corporate Services Agreements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are party to an Amended and Restated Corporate Services Agreement with FIS under which we provide corporate and other support services to FIS.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Amended and Restated Corporate Services Agreement governs the provision by us to FIS of these corporate support services, which may include:</w:t>
      </w:r>
    </w:p>
    <w:p>
      <w:pPr>
        <w:spacing w:after="0" w:line="114" w:lineRule="exact"/>
        <w:rPr>
          <w:sz w:val="20"/>
          <w:szCs w:val="20"/>
          <w:color w:val="auto"/>
        </w:rPr>
      </w:pPr>
    </w:p>
    <w:p>
      <w:pPr>
        <w:ind w:left="460" w:hanging="101"/>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accounting (including statutory accounting services);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corporate, legal and related services;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purchasing and procurement services;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travel services;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general administrative and management services.</w:t>
      </w:r>
    </w:p>
    <w:p>
      <w:pPr>
        <w:spacing w:after="0" w:line="117" w:lineRule="exact"/>
        <w:rPr>
          <w:sz w:val="20"/>
          <w:szCs w:val="20"/>
          <w:color w:val="auto"/>
        </w:rPr>
      </w:pPr>
    </w:p>
    <w:p>
      <w:pPr>
        <w:ind w:right="140" w:firstLine="267"/>
        <w:spacing w:after="0" w:line="277" w:lineRule="auto"/>
        <w:rPr>
          <w:sz w:val="20"/>
          <w:szCs w:val="20"/>
          <w:color w:val="auto"/>
        </w:rPr>
      </w:pPr>
      <w:r>
        <w:rPr>
          <w:rFonts w:ascii="Arial" w:cs="Arial" w:eastAsia="Arial" w:hAnsi="Arial"/>
          <w:sz w:val="18"/>
          <w:szCs w:val="18"/>
          <w:color w:val="auto"/>
        </w:rPr>
        <w:t>We are also party to a Reverse Corporate Services Agreement with FIS, under which FIS provides us with access to legal services, human resources and employee benefits administration, and access to services with regard to a mainframe computer system.</w:t>
      </w:r>
    </w:p>
    <w:p>
      <w:pPr>
        <w:spacing w:after="0" w:line="62"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Both the Amended and Restated Corporate Services Agreement and the Restated Corporate Services Agreement were amended and restated in connection with the Merger to reflect the parties’ agreement that the mainframe computer services provided by FIS will be phased out within one year of the effective date of the Merger, and to reflect the understanding of the parties that FIS will not be obligated to provide us with legal services if doing so would pose a conflict of interest for FIS.</w:t>
      </w:r>
    </w:p>
    <w:p>
      <w:pPr>
        <w:spacing w:after="0" w:line="79"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i w:val="1"/>
          <w:iCs w:val="1"/>
          <w:color w:val="auto"/>
        </w:rPr>
        <w:t xml:space="preserve">Provision of Services and Allocation of Costs. </w:t>
      </w:r>
      <w:r>
        <w:rPr>
          <w:rFonts w:ascii="Arial" w:cs="Arial" w:eastAsia="Arial" w:hAnsi="Arial"/>
          <w:sz w:val="18"/>
          <w:szCs w:val="18"/>
          <w:color w:val="auto"/>
        </w:rPr>
        <w:t>Under the corporate services agreement, each party renders services under the oversight, supervision,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the other party, acting through its board of directors and officers. FIS and we each have the right to purchase goods or services and realize other benefits and rights under the other party’s agreements with third-party vendors to the extent allowed by those vendor agreements, during the term of the agreements.</w:t>
      </w:r>
    </w:p>
    <w:p>
      <w:pPr>
        <w:spacing w:after="0" w:line="79" w:lineRule="exact"/>
        <w:rPr>
          <w:sz w:val="20"/>
          <w:szCs w:val="20"/>
          <w:color w:val="auto"/>
        </w:rPr>
      </w:pPr>
    </w:p>
    <w:p>
      <w:pPr>
        <w:ind w:right="260" w:firstLine="270"/>
        <w:spacing w:after="0" w:line="277" w:lineRule="auto"/>
        <w:rPr>
          <w:sz w:val="20"/>
          <w:szCs w:val="20"/>
          <w:color w:val="auto"/>
        </w:rPr>
      </w:pPr>
      <w:r>
        <w:rPr>
          <w:rFonts w:ascii="Arial" w:cs="Arial" w:eastAsia="Arial" w:hAnsi="Arial"/>
          <w:sz w:val="18"/>
          <w:szCs w:val="18"/>
          <w:i w:val="1"/>
          <w:iCs w:val="1"/>
          <w:color w:val="auto"/>
        </w:rPr>
        <w:t xml:space="preserve">Pricing and Payment Terms. </w:t>
      </w:r>
      <w:r>
        <w:rPr>
          <w:rFonts w:ascii="Arial" w:cs="Arial" w:eastAsia="Arial" w:hAnsi="Arial"/>
          <w:sz w:val="18"/>
          <w:szCs w:val="18"/>
          <w:color w:val="auto"/>
        </w:rPr>
        <w:t>The pricing for the services to be provided by us to FIS, and by FIS to us, under the corporate services agreements is on a</w:t>
      </w:r>
      <w:r>
        <w:rPr>
          <w:rFonts w:ascii="Arial" w:cs="Arial" w:eastAsia="Arial" w:hAnsi="Arial"/>
          <w:sz w:val="18"/>
          <w:szCs w:val="18"/>
          <w:i w:val="1"/>
          <w:iCs w:val="1"/>
          <w:color w:val="auto"/>
        </w:rPr>
        <w:t xml:space="preserve"> </w:t>
      </w:r>
      <w:r>
        <w:rPr>
          <w:rFonts w:ascii="Arial" w:cs="Arial" w:eastAsia="Arial" w:hAnsi="Arial"/>
          <w:sz w:val="18"/>
          <w:szCs w:val="18"/>
          <w:color w:val="auto"/>
        </w:rPr>
        <w:t>cost-only basis, with each party in effect reimbursing the other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for the costs and expenses incurred in providing these corporate services to the other party subject to the limitation described below. Under the corporate service agreement for corporate services to be provided by us to FIS, our costs and expenses are determined and reimbursed by FIS as follows: (i) all out of pocket expenses and costs incurred by us on FIS’s behalf are fully reimbursed, and (ii) all of our staff and employee costs and expenses associated with performing services under the corporate services agreement, including compensation paid to our employees performing these corporate services as well as general overhead associated with these employees and their functions, are allocated based on the percentage of time that our employees spend on providing corporate services to FIS under the corporate services agreement. FIS’s costs and expenses incurred in providing corporate services to us are similarly determined and reimbursed. The costs and expenses under the corporate services agreements are invoiced by each party to the other on a monthly basis in arrears, and payments are expected to be made in cash within thirty days after invoicing.</w:t>
      </w:r>
    </w:p>
    <w:p>
      <w:pPr>
        <w:spacing w:after="0" w:line="71" w:lineRule="exact"/>
        <w:rPr>
          <w:sz w:val="20"/>
          <w:szCs w:val="20"/>
          <w:color w:val="auto"/>
        </w:rPr>
      </w:pPr>
    </w:p>
    <w:p>
      <w:pPr>
        <w:ind w:right="20" w:firstLine="270"/>
        <w:spacing w:after="0" w:line="286" w:lineRule="auto"/>
        <w:rPr>
          <w:sz w:val="20"/>
          <w:szCs w:val="20"/>
          <w:color w:val="auto"/>
        </w:rPr>
      </w:pPr>
      <w:r>
        <w:rPr>
          <w:rFonts w:ascii="Arial" w:cs="Arial" w:eastAsia="Arial" w:hAnsi="Arial"/>
          <w:sz w:val="17"/>
          <w:szCs w:val="17"/>
          <w:color w:val="auto"/>
        </w:rPr>
        <w:t>Prior to the date in 2005 that we became a party to these agreements, allocations of expense were made in respect of these services. During 2005, our expenses were reduced by $23.3 million related to the provision of these corporate services by us to FIS. The exact amounts to be paid by FIS to us, and by us to FIS, under the corporate services agreements are dependent upon the amount of services actually provided in any given year.</w:t>
      </w:r>
    </w:p>
    <w:p>
      <w:pPr>
        <w:spacing w:after="0" w:line="57" w:lineRule="exact"/>
        <w:rPr>
          <w:sz w:val="20"/>
          <w:szCs w:val="20"/>
          <w:color w:val="auto"/>
        </w:rPr>
      </w:pPr>
    </w:p>
    <w:p>
      <w:pPr>
        <w:ind w:right="20" w:firstLine="270"/>
        <w:spacing w:after="0" w:line="270" w:lineRule="auto"/>
        <w:rPr>
          <w:sz w:val="20"/>
          <w:szCs w:val="20"/>
          <w:color w:val="auto"/>
        </w:rPr>
      </w:pPr>
      <w:r>
        <w:rPr>
          <w:rFonts w:ascii="Arial" w:cs="Arial" w:eastAsia="Arial" w:hAnsi="Arial"/>
          <w:sz w:val="17"/>
          <w:szCs w:val="17"/>
          <w:i w:val="1"/>
          <w:iCs w:val="1"/>
          <w:color w:val="auto"/>
        </w:rPr>
        <w:t xml:space="preserve">Duration and Effect of Termination. </w:t>
      </w:r>
      <w:r>
        <w:rPr>
          <w:rFonts w:ascii="Arial" w:cs="Arial" w:eastAsia="Arial" w:hAnsi="Arial"/>
          <w:sz w:val="17"/>
          <w:szCs w:val="17"/>
          <w:color w:val="auto"/>
        </w:rPr>
        <w:t>The corporate services agreements continue in effect as to each service covered by the agreements until the party</w:t>
      </w:r>
      <w:r>
        <w:rPr>
          <w:rFonts w:ascii="Arial" w:cs="Arial" w:eastAsia="Arial" w:hAnsi="Arial"/>
          <w:sz w:val="17"/>
          <w:szCs w:val="17"/>
          <w:i w:val="1"/>
          <w:iCs w:val="1"/>
          <w:color w:val="auto"/>
        </w:rPr>
        <w:t xml:space="preserve"> </w:t>
      </w:r>
      <w:r>
        <w:rPr>
          <w:rFonts w:ascii="Arial" w:cs="Arial" w:eastAsia="Arial" w:hAnsi="Arial"/>
          <w:sz w:val="17"/>
          <w:szCs w:val="17"/>
          <w:color w:val="auto"/>
        </w:rPr>
        <w:t>receiving the services notifies the other party, in accordance with the terms and conditions set forth in the agreements and subject to certain limitations, that the service is no longer requested. However, the corporate services agreements will terminate after six months from a change of control of FIS (which specifically excludes the Merger). In addition, services to be provided to any subsidiary will terminate on the date that the entity ceases to be a subsidiary of the party receiving the services. Under the corporate services agreements, if the party providing the services receives notice that the party receiving services would like to terminate a particular service, and the providing party believes in good faith that, notwithstanding its reasonable commercial efforts, the termination will have a material adverse impact on the other services being provided, then the party providing services can dispute the termination, with the dispute being resolved through the dispute resolution generally applicable to the agreement. Further, in the event that the party receiving the services is unable to complete its transition efforts prior to the termination date established for any particular corporate service, the party receiving the services can extend the termination date for up to 30 additional days.</w:t>
      </w:r>
    </w:p>
    <w:p>
      <w:pPr>
        <w:spacing w:after="0" w:line="70"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i w:val="1"/>
          <w:iCs w:val="1"/>
          <w:color w:val="auto"/>
        </w:rPr>
        <w:t xml:space="preserve">Liability and Indemnification. </w:t>
      </w:r>
      <w:r>
        <w:rPr>
          <w:rFonts w:ascii="Arial" w:cs="Arial" w:eastAsia="Arial" w:hAnsi="Arial"/>
          <w:sz w:val="18"/>
          <w:szCs w:val="18"/>
          <w:color w:val="auto"/>
        </w:rPr>
        <w:t>The corporate services agreements provide that the provider of services are not liable to the receiving party for or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any services rendered or for any actions or inactions taken by a provider in connection with the provision of services, except to the extent of liabilities resulting from the provider’s gross negligence, willful misconduct, improper use or disclosure of customer information or violations of law and except for liabilities that arise out of intellectual property infringement. Additionally, the receiving party will indemnify the provider of services for any losses arising from the provision of services, provided that the amount of any losses will be reduced by the amount of the losses caused by the provider’s negligence, willful misconduct, violation of law, or breach of the agreement.</w:t>
      </w:r>
    </w:p>
    <w:p>
      <w:pPr>
        <w:spacing w:after="0" w:line="85" w:lineRule="exact"/>
        <w:rPr>
          <w:sz w:val="20"/>
          <w:szCs w:val="20"/>
          <w:color w:val="auto"/>
        </w:rPr>
      </w:pPr>
    </w:p>
    <w:p>
      <w:pPr>
        <w:ind w:right="140" w:firstLine="270"/>
        <w:spacing w:after="0" w:line="255" w:lineRule="auto"/>
        <w:rPr>
          <w:sz w:val="20"/>
          <w:szCs w:val="20"/>
          <w:color w:val="auto"/>
        </w:rPr>
      </w:pPr>
      <w:r>
        <w:rPr>
          <w:rFonts w:ascii="Arial" w:cs="Arial" w:eastAsia="Arial" w:hAnsi="Arial"/>
          <w:sz w:val="18"/>
          <w:szCs w:val="18"/>
          <w:i w:val="1"/>
          <w:iCs w:val="1"/>
          <w:color w:val="auto"/>
        </w:rPr>
        <w:t xml:space="preserve">Dispute Resolution Procedures. </w:t>
      </w:r>
      <w:r>
        <w:rPr>
          <w:rFonts w:ascii="Arial" w:cs="Arial" w:eastAsia="Arial" w:hAnsi="Arial"/>
          <w:sz w:val="18"/>
          <w:szCs w:val="18"/>
          <w:color w:val="auto"/>
        </w:rPr>
        <w:t>The agreements provide dispute resolution procedures that reflect the parties’ desire for friendly collaboration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amicable resolution of disagreements. In the event of a dispute, the matter is referred to the president (or similar position) of each of the divisions implicated for resolution within 15 days. If the division presidents of the parties are unable to resolve the dispute, the matter is referred to the presidents of FIS and our company for final resolution within 15 days. If the matter remains unresolved, then either party may submit the matter to arbitration. The dispute resolution procedures do not preclude either party from pursuing immediate injunctive relief in the event of any actual or threatened breach of confidentiality or infringement of intellectual property.</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Amended and Restated Starter Repository and Back Plant Access Agreements</w:t>
      </w:r>
    </w:p>
    <w:p>
      <w:pPr>
        <w:spacing w:after="0" w:line="117" w:lineRule="exact"/>
        <w:rPr>
          <w:sz w:val="20"/>
          <w:szCs w:val="20"/>
          <w:color w:val="auto"/>
        </w:rPr>
      </w:pPr>
    </w:p>
    <w:p>
      <w:pPr>
        <w:ind w:firstLine="267"/>
        <w:spacing w:after="0" w:line="264" w:lineRule="auto"/>
        <w:rPr>
          <w:sz w:val="20"/>
          <w:szCs w:val="20"/>
          <w:color w:val="auto"/>
        </w:rPr>
      </w:pPr>
      <w:r>
        <w:rPr>
          <w:rFonts w:ascii="Arial" w:cs="Arial" w:eastAsia="Arial" w:hAnsi="Arial"/>
          <w:sz w:val="18"/>
          <w:szCs w:val="18"/>
          <w:color w:val="auto"/>
        </w:rPr>
        <w:t>We are party to agreements with FIS whereby certain FIS subsidiaries have access to and use certain title records owned by our title company subsidiaries. The FIS subsidiaries covered by these agreements are granted access to (i) the database of previously issued title policies and title policy information (the “starters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repository”), and (ii) certain other physical title records and information (the “back plant”) and are permitted to use the retrieved information solely in connection with the issuance of title insurance products that FIS offers as part of its business. The starters repository consists of title records and information used in previously issued title insurance policies. The back plant consists of physical, paper title records that are generally only used in the event that the electronically-stored title information is corrupted or otherwise unavailable or incomplete. Thus, the back plant access is infrequent and has been made available to FIS and its subsidiaries so as to ensure access to needed title information only in the event the electronic databases do not contain the needed title information. The FIS subsidiaries that are covered by these agreements may create proprietary means of technical access to the starters repository, but this does not apply to the back plant since the back plant consists of physical documents and records that cannot be accessed electronically. Our applicable title company subsidiaries retain ownership of the starters repository, the back plant, and all related programs, databases, and materials.</w:t>
      </w:r>
    </w:p>
    <w:p>
      <w:pPr>
        <w:spacing w:after="0" w:line="58"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color w:val="auto"/>
        </w:rPr>
        <w:t>FIS pays fees to us for the access to the starters repository and the back plant and reimburses our subsidiaries for payment of certain taxes and government charges. The fees payable under the Amended and Restated Starters Repository Agreement were based on the parties’ evaluation of the market price for access and successful retrievals from starters repository/databases, the anticipated volume of successful retrievals from the starters repository database, and the geographic scope of the available starters repository database. Due to the infrequent nature of the access to the back plant and its limited usefulness, there are no fees payable under the Amended and Restated Back Plan Access Agreement, other than reimbursement of costs incurred by FNT in allowing FIS and its subsidiaries to access the back plant. These costs include reproduction, transport of paper records and files, and fees to local land recording offices and search services. FIS indemnifies us for third party claims arising from any errors or omissions in the starters repository and the back plant or the provision of access under the agreements. In addition, FIS is responsible for costs incurred as a result of unauthorized access to the database and records. With regard to dispute resolution, if either party institutes an action against the other party for breach, such other party has the option, within 30 days of the notice of such action, to institute an arbitration proceeding and stay the other action.</w:t>
      </w:r>
    </w:p>
    <w:p>
      <w:pPr>
        <w:spacing w:after="0" w:line="70" w:lineRule="exact"/>
        <w:rPr>
          <w:sz w:val="20"/>
          <w:szCs w:val="20"/>
          <w:color w:val="auto"/>
        </w:rPr>
      </w:pPr>
    </w:p>
    <w:p>
      <w:pPr>
        <w:ind w:firstLine="270"/>
        <w:spacing w:after="0" w:line="297" w:lineRule="auto"/>
        <w:rPr>
          <w:sz w:val="20"/>
          <w:szCs w:val="20"/>
          <w:color w:val="auto"/>
        </w:rPr>
      </w:pPr>
      <w:r>
        <w:rPr>
          <w:rFonts w:ascii="Arial" w:cs="Arial" w:eastAsia="Arial" w:hAnsi="Arial"/>
          <w:sz w:val="16"/>
          <w:szCs w:val="16"/>
          <w:i w:val="1"/>
          <w:iCs w:val="1"/>
          <w:color w:val="auto"/>
        </w:rPr>
        <w:t xml:space="preserve">Duration and Termination. </w:t>
      </w:r>
      <w:r>
        <w:rPr>
          <w:rFonts w:ascii="Arial" w:cs="Arial" w:eastAsia="Arial" w:hAnsi="Arial"/>
          <w:sz w:val="16"/>
          <w:szCs w:val="16"/>
          <w:color w:val="auto"/>
        </w:rPr>
        <w:t>These agreements, each as amended and restated, are effective for a ten-year period commencing on the effective date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with automatic renewal, and may be terminated by mutual agreement of the parties or upon five years’ prior written notice given after the fifth anniversary of the effective date of the agreement, except in the case of a default in performance, in which case the agreement may be terminated immediately if the default is not cured within 30 days after notice (with provisions that permit an extension of the 30-day cure period under certain circumstances). In addition, each of these agreements may be terminated in the event of a change of control of either FIS or us (which specifically excludes the Merger).</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Amended and Restated License and Services Agreement</w:t>
      </w:r>
    </w:p>
    <w:p>
      <w:pPr>
        <w:spacing w:after="0" w:line="117" w:lineRule="exact"/>
        <w:rPr>
          <w:sz w:val="20"/>
          <w:szCs w:val="20"/>
          <w:color w:val="auto"/>
        </w:rPr>
      </w:pPr>
    </w:p>
    <w:p>
      <w:pPr>
        <w:ind w:right="20" w:firstLine="267"/>
        <w:spacing w:after="0" w:line="289" w:lineRule="auto"/>
        <w:rPr>
          <w:sz w:val="20"/>
          <w:szCs w:val="20"/>
          <w:color w:val="auto"/>
        </w:rPr>
      </w:pPr>
      <w:r>
        <w:rPr>
          <w:rFonts w:ascii="Arial" w:cs="Arial" w:eastAsia="Arial" w:hAnsi="Arial"/>
          <w:sz w:val="16"/>
          <w:szCs w:val="16"/>
          <w:color w:val="auto"/>
        </w:rPr>
        <w:t>We are a party to an Amended and Restated License and Services Agreement with FIS dated as of the effective date of the Merger. Under this agreement, we conduct business on behalf of FIS’s subsidiaries that operate as title agents in certain limited jurisdictions in which the subsidiaries otherwise lack ready access to title plants, and pay to FIS’s subsidiaries the associated revenues, with the subsidiaries bearing the related costs. This arrangement was originally entered into by FNF when FIS was established and FIS’s title agency businesses, which then operated as divisions of our title insurers, were transferred to FIS. The agreement calls for us to license from FIS the use of certain proprietary business processes and related documentation in certain geographic areas. In addition, under this agreement, FIS provides us with oversight and advice in connection with the implementation of these business processes, including responsibility by FIS for maintaining the computer hardware, software systems, telephone and communication equipment as well as sales support services. In exchange for these business processes and documentation and oversight and advisory services, we pay fees to FIS equal to the aggregate earnings generated through or as a result of these proprietary business processes and documentation. Fees are billed monthly based on presentation of an invoice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schedule showing the revenues generated during the prior month. FIS retains ownership of the proprietary business processes and documentation and is responsible for defending any claims brought by third parties against us for infringement based upon the business processes licensed to us under the Amended and Restated License and Services Agreement. We are responsible for defending any claims brought by third parties against FIS for infringement based upon any services we undertake that relate to the license and services agreement but are outside the agreement’s permitted scope. FIS and we each agree to indemnify each other for property damage arising out of any negligence, breach of statutory duty, omission or default in performing our respective obligations under the Amended and Restated License and Services Agreement. With regard to dispute resolution, the agreement includes procedures by which the parties can attempt to resolve disputes amicably, but if those disputes cannot be resolved timely, then arbitration proceedings can be instituted. We reimbursed $5.9 million in 2005 relating to this agreement.</w:t>
      </w:r>
    </w:p>
    <w:p>
      <w:pPr>
        <w:spacing w:after="0" w:line="71"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i w:val="1"/>
          <w:iCs w:val="1"/>
          <w:color w:val="auto"/>
        </w:rPr>
        <w:t xml:space="preserve">Duration and Termination. </w:t>
      </w:r>
      <w:r>
        <w:rPr>
          <w:rFonts w:ascii="Arial" w:cs="Arial" w:eastAsia="Arial" w:hAnsi="Arial"/>
          <w:sz w:val="18"/>
          <w:szCs w:val="18"/>
          <w:color w:val="auto"/>
        </w:rPr>
        <w:t>Subject to certain early termination provisions, the Amended and Restated License and Services Agreement continues in effect</w:t>
      </w:r>
      <w:r>
        <w:rPr>
          <w:rFonts w:ascii="Arial" w:cs="Arial" w:eastAsia="Arial" w:hAnsi="Arial"/>
          <w:sz w:val="18"/>
          <w:szCs w:val="18"/>
          <w:i w:val="1"/>
          <w:iCs w:val="1"/>
          <w:color w:val="auto"/>
        </w:rPr>
        <w:t xml:space="preserve"> </w:t>
      </w:r>
      <w:r>
        <w:rPr>
          <w:rFonts w:ascii="Arial" w:cs="Arial" w:eastAsia="Arial" w:hAnsi="Arial"/>
          <w:sz w:val="18"/>
          <w:szCs w:val="18"/>
          <w:color w:val="auto"/>
        </w:rPr>
        <w:t>until either (i) FIS acquires its own direct access to title plants in the relevant geographic area or (ii) we build or otherwise acquire title plants for the relevant geographic area and provide access thereto to FIS on terms acceptable to FIS. The Amended and Restated License and Services Agreement may also be terminated as to all or a portion of the relevant geographic area by mutual agreement of the parties or upon five years’ prior written notice given after the fifth anniversary of the effective date of the agreement, except in the case of a default in performance, in which case the agreement may be terminated immediately if the default is not cured within 30 days after notice (with provisions that permit an extension of the 30-day cure period under certain circumstances). The Amended and Restated License and Services Agreement may also be terminated in the event of a change of control of either FIS or us (which specifically excludes the Merger).</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Amended and Restated Lease Agreement</w:t>
      </w:r>
    </w:p>
    <w:p>
      <w:pPr>
        <w:spacing w:after="0" w:line="117" w:lineRule="exact"/>
        <w:rPr>
          <w:sz w:val="20"/>
          <w:szCs w:val="20"/>
          <w:color w:val="auto"/>
        </w:rPr>
      </w:pPr>
    </w:p>
    <w:p>
      <w:pPr>
        <w:ind w:right="60" w:firstLine="267"/>
        <w:spacing w:after="0" w:line="259" w:lineRule="auto"/>
        <w:rPr>
          <w:sz w:val="20"/>
          <w:szCs w:val="20"/>
          <w:color w:val="auto"/>
        </w:rPr>
      </w:pPr>
      <w:r>
        <w:rPr>
          <w:rFonts w:ascii="Arial" w:cs="Arial" w:eastAsia="Arial" w:hAnsi="Arial"/>
          <w:sz w:val="18"/>
          <w:szCs w:val="18"/>
          <w:color w:val="auto"/>
        </w:rPr>
        <w:t>We are party to an Amended and Restated Lease Agreement, dated as of the effective date of the Merger, pursuant to which we lease from a subsidiary of FIS certain portions of FIS’ Jacksonville, Florida headquarters corporate campus. This agreement was originally entered into in March 2005 between FIS and us. This lease arrangement continues until December 31, 2007. The lease terms are believed to be commensurate with those found in the local real estate market.</w:t>
      </w:r>
    </w:p>
    <w:p>
      <w:pPr>
        <w:spacing w:after="0" w:line="79" w:lineRule="exact"/>
        <w:rPr>
          <w:sz w:val="20"/>
          <w:szCs w:val="20"/>
          <w:color w:val="auto"/>
        </w:rPr>
      </w:pPr>
    </w:p>
    <w:p>
      <w:pPr>
        <w:ind w:right="200" w:firstLine="270"/>
        <w:spacing w:after="0" w:line="273" w:lineRule="auto"/>
        <w:rPr>
          <w:sz w:val="20"/>
          <w:szCs w:val="20"/>
          <w:color w:val="auto"/>
        </w:rPr>
      </w:pPr>
      <w:r>
        <w:rPr>
          <w:rFonts w:ascii="Arial" w:cs="Arial" w:eastAsia="Arial" w:hAnsi="Arial"/>
          <w:sz w:val="17"/>
          <w:szCs w:val="17"/>
          <w:i w:val="1"/>
          <w:iCs w:val="1"/>
          <w:color w:val="auto"/>
        </w:rPr>
        <w:t xml:space="preserve">Pricing and Payment Terms. </w:t>
      </w:r>
      <w:r>
        <w:rPr>
          <w:rFonts w:ascii="Arial" w:cs="Arial" w:eastAsia="Arial" w:hAnsi="Arial"/>
          <w:sz w:val="17"/>
          <w:szCs w:val="17"/>
          <w:color w:val="auto"/>
        </w:rPr>
        <w:t>Under the lease, we pay rent for the space that we lease, initially approximately 484,586 rentable square feet, at an annual</w:t>
      </w:r>
      <w:r>
        <w:rPr>
          <w:rFonts w:ascii="Arial" w:cs="Arial" w:eastAsia="Arial" w:hAnsi="Arial"/>
          <w:sz w:val="17"/>
          <w:szCs w:val="17"/>
          <w:i w:val="1"/>
          <w:iCs w:val="1"/>
          <w:color w:val="auto"/>
        </w:rPr>
        <w:t xml:space="preserve"> </w:t>
      </w:r>
      <w:r>
        <w:rPr>
          <w:rFonts w:ascii="Arial" w:cs="Arial" w:eastAsia="Arial" w:hAnsi="Arial"/>
          <w:sz w:val="17"/>
          <w:szCs w:val="17"/>
          <w:color w:val="auto"/>
        </w:rPr>
        <w:t>rate of $23.05 per rentable square foot, in equal monthly installments paid in advance on the first day of each calendar month. If we fail to pay timely, a default rate applies. In addition to paying base rent, for each calendar year, we are obligated to pay FIS, as additional rent, our share of the landlord’s reasonable estimate of operating expenses for the entire facility that are in excess of the operating expenses (subject to certain exclusions) applicable to the 2004 base year. We are also liable to the landlord for its entire cost of providing any services or materials exclusively to us. We do not anticipate requesting any exclusive services from the landlord, in its capacity as landlord, during calendar years 2006 or 2007.</w:t>
      </w:r>
    </w:p>
    <w:p>
      <w:pPr>
        <w:spacing w:after="0" w:line="70" w:lineRule="exact"/>
        <w:rPr>
          <w:sz w:val="20"/>
          <w:szCs w:val="20"/>
          <w:color w:val="auto"/>
        </w:rPr>
      </w:pPr>
    </w:p>
    <w:p>
      <w:pPr>
        <w:ind w:right="180" w:firstLine="270"/>
        <w:spacing w:after="0" w:line="276" w:lineRule="auto"/>
        <w:rPr>
          <w:sz w:val="20"/>
          <w:szCs w:val="20"/>
          <w:color w:val="auto"/>
        </w:rPr>
      </w:pPr>
      <w:r>
        <w:rPr>
          <w:rFonts w:ascii="Arial" w:cs="Arial" w:eastAsia="Arial" w:hAnsi="Arial"/>
          <w:sz w:val="17"/>
          <w:szCs w:val="17"/>
          <w:color w:val="auto"/>
        </w:rPr>
        <w:t>In the lease, the parties acknowledge that during the term of the lease, there will be reallocations of office space among FIS, us and certain other entities that are affiliates of FNF, including one or more reallocations during calendar year 2006. The lease provides that the rentable square footage that we lease may, by mutual agreement, increase or decrease from time to time during the term of the lease. In that event, the parties will memorialize the changes in the rentable square footage and the monthly base rent, which will be re-calculated based on the rentable square footage leased to us as a percentage of the total rentable square footage of office space available at the Jacksonville corporate campus.</w:t>
      </w:r>
    </w:p>
    <w:p>
      <w:pPr>
        <w:spacing w:after="0" w:line="64"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Prior to the date in 2005 that we became a party to this agreement, allocations of expense were made in respect of these services. The amount allocated to us for office space costs at the FIS Jacksonville, Florida headquarters buildings for the portion of the buildings utilized by us and our subsidiaries during 2005 was $3.8 million. During 2005, there were some changes in the allocations of rentable square footage as among FIS, FNF and us, and it is anticipated that additional changes in the allocations of rentable square footage will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take place during 2006. While the exact amount of rent to be paid by us under the lease agreement is dependent upon the aggregate excess operating costs incurred for the entire facility, we do not anticipate that the total amount to be paid by us under the lease agreement in the near future will differ materially from the total amounts paid and allocated to us during the 2005 fiscal year for the office space at the Jacksonville, Florida building utilized by us and our subsidiaries.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Amended and Restated Master Information Technology Services Agreement</w:t>
      </w:r>
    </w:p>
    <w:p>
      <w:pPr>
        <w:spacing w:after="0" w:line="117" w:lineRule="exact"/>
        <w:rPr>
          <w:sz w:val="20"/>
          <w:szCs w:val="20"/>
          <w:color w:val="auto"/>
        </w:rPr>
      </w:pPr>
    </w:p>
    <w:p>
      <w:pPr>
        <w:ind w:right="20" w:firstLine="267"/>
        <w:spacing w:after="0" w:line="272" w:lineRule="auto"/>
        <w:rPr>
          <w:sz w:val="20"/>
          <w:szCs w:val="20"/>
          <w:color w:val="auto"/>
        </w:rPr>
      </w:pPr>
      <w:r>
        <w:rPr>
          <w:rFonts w:ascii="Arial" w:cs="Arial" w:eastAsia="Arial" w:hAnsi="Arial"/>
          <w:sz w:val="17"/>
          <w:szCs w:val="17"/>
          <w:color w:val="auto"/>
        </w:rPr>
        <w:t>We are party to an Amended and Restated Master Services Agreement with FIS, dated as of the effective date of the Merger, pursuant to which FIS and its subsidiaries provide various services to us and our affiliates, which services are substantially similar in nature to the services that FIS has historically provided to our subsidiaries and to FNF, such as IT infrastructure support, data center management and software sales. Under this agreement, we have designated certain services as high priority critical services required for our business. These include: managed operations, network, email/messaging, network routing, technology center infrastructure, active directory and domains, systems perimeter security, data security, disaster recovery and business continuity. FIS has agreed to use reasonable best efforts to provide these core services without interruption throughout the term of the Amended and Restated Master Services Agreement, except for scheduled maintenance.</w:t>
      </w:r>
    </w:p>
    <w:p>
      <w:pPr>
        <w:spacing w:after="0" w:line="70"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i w:val="1"/>
          <w:iCs w:val="1"/>
          <w:color w:val="auto"/>
        </w:rPr>
        <w:t xml:space="preserve">Terms of Provision. </w:t>
      </w:r>
      <w:r>
        <w:rPr>
          <w:rFonts w:ascii="Arial" w:cs="Arial" w:eastAsia="Arial" w:hAnsi="Arial"/>
          <w:sz w:val="18"/>
          <w:szCs w:val="18"/>
          <w:color w:val="auto"/>
        </w:rPr>
        <w:t>The Amended and Restated Master Information Technology Services Agreement sets forth the specific services to be provided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for statements of work and amendment as necessary. FIS may provide the services itself or through one or more subcontractors that are approved by us, but it is fully responsible for compliance by each subcontractor with the terms of the agreement.</w:t>
      </w:r>
    </w:p>
    <w:p>
      <w:pPr>
        <w:spacing w:after="0" w:line="73" w:lineRule="exact"/>
        <w:rPr>
          <w:sz w:val="20"/>
          <w:szCs w:val="20"/>
          <w:color w:val="auto"/>
        </w:rPr>
      </w:pPr>
    </w:p>
    <w:p>
      <w:pPr>
        <w:ind w:right="40" w:firstLine="267"/>
        <w:spacing w:after="0" w:line="271" w:lineRule="auto"/>
        <w:rPr>
          <w:sz w:val="20"/>
          <w:szCs w:val="20"/>
          <w:color w:val="auto"/>
        </w:rPr>
      </w:pPr>
      <w:r>
        <w:rPr>
          <w:rFonts w:ascii="Arial" w:cs="Arial" w:eastAsia="Arial" w:hAnsi="Arial"/>
          <w:sz w:val="17"/>
          <w:szCs w:val="17"/>
          <w:color w:val="auto"/>
        </w:rPr>
        <w:t>The Amended and Restated Master Information Technology Services Agreement includes, as part of the agreement, various base services agreements, each of which includes a specific description of the service to be performed as well as the terms, conditions, responsibilities and delivery schedules that apply to a particular service. Any new terms, conditions, responsibilities and delivery schedules that may be agreed to by the parties during the term of the agreement will be added as part of one of the base services agreements or the Amended and Restated Master Information Technology Services Agreement itself. We can also request services that are not specified in the agreement. These additional services will be provided on terms that we propose to FIS and, if we can agree on the terms, a new statement of work or amendment will be executed. In addition, if requested by us, FIS will continue to provide, for an appropriate fee, services to us that are not specifically included in the Amended and Restated Master Information Technology Services Agreement if those services were provided to us by FIS or its subcontractors in the past.</w:t>
      </w:r>
    </w:p>
    <w:p>
      <w:pPr>
        <w:spacing w:after="0" w:line="71" w:lineRule="exact"/>
        <w:rPr>
          <w:sz w:val="20"/>
          <w:szCs w:val="20"/>
          <w:color w:val="auto"/>
        </w:rPr>
      </w:pPr>
    </w:p>
    <w:p>
      <w:pPr>
        <w:ind w:right="20" w:firstLine="267"/>
        <w:spacing w:after="0" w:line="272" w:lineRule="auto"/>
        <w:rPr>
          <w:sz w:val="20"/>
          <w:szCs w:val="20"/>
          <w:color w:val="auto"/>
        </w:rPr>
      </w:pPr>
      <w:r>
        <w:rPr>
          <w:rFonts w:ascii="Arial" w:cs="Arial" w:eastAsia="Arial" w:hAnsi="Arial"/>
          <w:sz w:val="17"/>
          <w:szCs w:val="17"/>
          <w:color w:val="auto"/>
        </w:rPr>
        <w:t>The agreement provides for specified levels of service for each of the services to be provided, including any additional services that FIS agrees to perform pursuant to amendments to the agreement or additional statements of work. If FIS fails to provide service in accordance with the applicable service levels, then FIS is required to correct its failure as promptly as possible (and in any event, within five days of the failure recognition) at no cost to us. FIS is also required to use reasonable efforts to continuously improve the quality and efficiency of its performance. If either FIS or we find that the level of service for any particular service is inappropriate, ineffective or irrelevant, then the parties may review the service level and, upon agreement, adjust the level of service accordingly. We are permitted to audit FIS’s operations, procedures, policies and service levels as they apply to the services under the agreement. In addition, at least every year during the term of the agreement, FIS will conduct a customer satisfaction survey.</w:t>
      </w:r>
    </w:p>
    <w:p>
      <w:pPr>
        <w:spacing w:after="0" w:line="70" w:lineRule="exact"/>
        <w:rPr>
          <w:sz w:val="20"/>
          <w:szCs w:val="20"/>
          <w:color w:val="auto"/>
        </w:rPr>
      </w:pPr>
    </w:p>
    <w:p>
      <w:pPr>
        <w:ind w:firstLine="270"/>
        <w:spacing w:after="0" w:line="297" w:lineRule="auto"/>
        <w:rPr>
          <w:sz w:val="20"/>
          <w:szCs w:val="20"/>
          <w:color w:val="auto"/>
        </w:rPr>
      </w:pPr>
      <w:r>
        <w:rPr>
          <w:rFonts w:ascii="Arial" w:cs="Arial" w:eastAsia="Arial" w:hAnsi="Arial"/>
          <w:sz w:val="16"/>
          <w:szCs w:val="16"/>
          <w:color w:val="auto"/>
        </w:rPr>
        <w:t>FIS may provide the services under the Amended and Restated Master Information Technology Services Agreement from one or more of its technology centers or other data centers that it designates within the United States. FIS must also maintain and enforce safety and security procedures that are at least equal to industry standards and are as rigorous as those in effect on the effective date of the agreement. The agreement contains provisions regarding privacy and confidentiality and requires each of the parties to use at least the same standard of care in the protection of confidential information of the other party as it uses in the protection of its own confidential or proprietary information, but in no event less than a reasonable level of protection.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70"/>
        <w:spacing w:after="0" w:line="271" w:lineRule="auto"/>
        <w:rPr>
          <w:sz w:val="20"/>
          <w:szCs w:val="20"/>
          <w:color w:val="auto"/>
        </w:rPr>
      </w:pPr>
      <w:r>
        <w:rPr>
          <w:rFonts w:ascii="Arial" w:cs="Arial" w:eastAsia="Arial" w:hAnsi="Arial"/>
          <w:sz w:val="17"/>
          <w:szCs w:val="17"/>
          <w:i w:val="1"/>
          <w:iCs w:val="1"/>
          <w:color w:val="auto"/>
        </w:rPr>
        <w:t xml:space="preserve">Pricing and Payment Terms. </w:t>
      </w:r>
      <w:r>
        <w:rPr>
          <w:rFonts w:ascii="Arial" w:cs="Arial" w:eastAsia="Arial" w:hAnsi="Arial"/>
          <w:sz w:val="17"/>
          <w:szCs w:val="17"/>
          <w:color w:val="auto"/>
        </w:rPr>
        <w:t>Under the Amended and Restated Master Information Technology Services Agreement, we are obligated to pay FIS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that we and our subsidiaries utilize, calculated under a specific and comprehensive pricing schedule. Although the pricing includes some minimum usage charges, most of the service charges are based on volume and actual usage, specifically related to the particular service and support provided by FIS and the complexity of the technical analysis and technology support provided by FIS. The amount included in our expenses for information technology services received from FIS during the 2005 fiscal year was $56.9 million. While the exact amounts to be paid by us to FIS under the master information technology services agreement are dependent upon the actual usage and volume of services performed by FIS for us, we do not anticipate that the total amount to be paid by us to FIS under the master information technology services agreement in the near future will differ materially from the amounts paid by us to FIS during the 2005 fiscal year for these information technology services.</w:t>
      </w:r>
    </w:p>
    <w:p>
      <w:pPr>
        <w:spacing w:after="0" w:line="71" w:lineRule="exact"/>
        <w:rPr>
          <w:sz w:val="20"/>
          <w:szCs w:val="20"/>
          <w:color w:val="auto"/>
        </w:rPr>
      </w:pPr>
    </w:p>
    <w:p>
      <w:pPr>
        <w:ind w:right="120" w:firstLine="270"/>
        <w:spacing w:after="0" w:line="270" w:lineRule="auto"/>
        <w:rPr>
          <w:sz w:val="20"/>
          <w:szCs w:val="20"/>
          <w:color w:val="auto"/>
        </w:rPr>
      </w:pPr>
      <w:r>
        <w:rPr>
          <w:rFonts w:ascii="Arial" w:cs="Arial" w:eastAsia="Arial" w:hAnsi="Arial"/>
          <w:sz w:val="17"/>
          <w:szCs w:val="17"/>
          <w:i w:val="1"/>
          <w:iCs w:val="1"/>
          <w:color w:val="auto"/>
        </w:rPr>
        <w:t xml:space="preserve">Duration and Effect of Termination. </w:t>
      </w:r>
      <w:r>
        <w:rPr>
          <w:rFonts w:ascii="Arial" w:cs="Arial" w:eastAsia="Arial" w:hAnsi="Arial"/>
          <w:sz w:val="17"/>
          <w:szCs w:val="17"/>
          <w:color w:val="auto"/>
        </w:rPr>
        <w:t>The Amended and Restated Master Information Technology Services Agreement is effective for a term of five years</w:t>
      </w:r>
      <w:r>
        <w:rPr>
          <w:rFonts w:ascii="Arial" w:cs="Arial" w:eastAsia="Arial" w:hAnsi="Arial"/>
          <w:sz w:val="17"/>
          <w:szCs w:val="17"/>
          <w:i w:val="1"/>
          <w:iCs w:val="1"/>
          <w:color w:val="auto"/>
        </w:rPr>
        <w:t xml:space="preserve"> </w:t>
      </w:r>
      <w:r>
        <w:rPr>
          <w:rFonts w:ascii="Arial" w:cs="Arial" w:eastAsia="Arial" w:hAnsi="Arial"/>
          <w:sz w:val="17"/>
          <w:szCs w:val="17"/>
          <w:color w:val="auto"/>
        </w:rPr>
        <w:t>unless earlier terminated in accordance with its terms. We have the right to renew the agreement for a single one-year period or a single two-year period, by providing a written notice of our intent to renew at least six months prior to the expiration date. Upon receipt of a renewal notice, the parties will begin discussions regarding the terms and conditions that will apply for the renewal period, and if the parties have not reached agreement on the terms by the time the renewal period commences, then the agreement will be renewed for only one year on the terms as in effect at the expiration of the initial term. We may also terminate the agreement or any particular statement of work or base services agreement on six months’ prior written notice. In addition, if either party fails to perform its obligations under the agreement, the other party may terminate after the expiration of certain cure periods. We may also terminate the agreement if there is a change in ownership or control of FIS whereby one of our direct competitors owns or controls FIS (excluding changes resulting from the Merger), as more fully defined by the terms of the agreement.</w:t>
      </w:r>
    </w:p>
    <w:p>
      <w:pPr>
        <w:spacing w:after="0" w:line="74" w:lineRule="exact"/>
        <w:rPr>
          <w:sz w:val="20"/>
          <w:szCs w:val="20"/>
          <w:color w:val="auto"/>
        </w:rPr>
      </w:pPr>
    </w:p>
    <w:p>
      <w:pPr>
        <w:ind w:firstLine="270"/>
        <w:spacing w:after="0" w:line="276" w:lineRule="auto"/>
        <w:rPr>
          <w:sz w:val="20"/>
          <w:szCs w:val="20"/>
          <w:color w:val="auto"/>
        </w:rPr>
      </w:pPr>
      <w:r>
        <w:rPr>
          <w:rFonts w:ascii="Arial" w:cs="Arial" w:eastAsia="Arial" w:hAnsi="Arial"/>
          <w:sz w:val="17"/>
          <w:szCs w:val="17"/>
          <w:i w:val="1"/>
          <w:iCs w:val="1"/>
          <w:color w:val="auto"/>
        </w:rPr>
        <w:t xml:space="preserve">Dispute Resolution Procedures. </w:t>
      </w:r>
      <w:r>
        <w:rPr>
          <w:rFonts w:ascii="Arial" w:cs="Arial" w:eastAsia="Arial" w:hAnsi="Arial"/>
          <w:sz w:val="17"/>
          <w:szCs w:val="17"/>
          <w:color w:val="auto"/>
        </w:rPr>
        <w:t>Disputes, controversies and claims under the master information technology services agreement are referred to a</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committee that includes representatives from both parties. If the management committee is unable to resolve the issue, the agreement sets forth a procedure by which the issue is referred to and reviewed by increasingly senior members of our management and FIS’s management. If our senior management cannot resolve the issues with FIS’s senior management, then the dispute is referred to an independent arbitrator for resolution. However, we are required to continue to provide services during the period of any dispute or dispute resolution process.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Amended and Restated SoftPro Software License Agreement</w:t>
      </w:r>
    </w:p>
    <w:p>
      <w:pPr>
        <w:spacing w:after="0" w:line="117" w:lineRule="exact"/>
        <w:rPr>
          <w:sz w:val="20"/>
          <w:szCs w:val="20"/>
          <w:color w:val="auto"/>
        </w:rPr>
      </w:pPr>
    </w:p>
    <w:p>
      <w:pPr>
        <w:ind w:right="100" w:firstLine="267"/>
        <w:spacing w:after="0" w:line="264" w:lineRule="auto"/>
        <w:rPr>
          <w:sz w:val="20"/>
          <w:szCs w:val="20"/>
          <w:color w:val="auto"/>
        </w:rPr>
      </w:pPr>
      <w:r>
        <w:rPr>
          <w:rFonts w:ascii="Arial" w:cs="Arial" w:eastAsia="Arial" w:hAnsi="Arial"/>
          <w:sz w:val="18"/>
          <w:szCs w:val="18"/>
          <w:color w:val="auto"/>
        </w:rPr>
        <w:t>We are party to an Amended and Restated Software License Agreement pursuant to which we license from a subsidiary of FIS, for the benefit of our title insurance subsidiaries, the use of certain proprietary software, related documentation, and object code for a package of software programs and products known as “SoftPro.”</w:t>
      </w:r>
    </w:p>
    <w:p>
      <w:pPr>
        <w:spacing w:after="0" w:line="73" w:lineRule="exact"/>
        <w:rPr>
          <w:sz w:val="20"/>
          <w:szCs w:val="20"/>
          <w:color w:val="auto"/>
        </w:rPr>
      </w:pPr>
    </w:p>
    <w:p>
      <w:pPr>
        <w:ind w:right="100" w:firstLine="267"/>
        <w:spacing w:after="0" w:line="288" w:lineRule="auto"/>
        <w:rPr>
          <w:sz w:val="20"/>
          <w:szCs w:val="20"/>
          <w:color w:val="auto"/>
        </w:rPr>
      </w:pPr>
      <w:r>
        <w:rPr>
          <w:rFonts w:ascii="Arial" w:cs="Arial" w:eastAsia="Arial" w:hAnsi="Arial"/>
          <w:sz w:val="16"/>
          <w:szCs w:val="16"/>
          <w:color w:val="auto"/>
        </w:rPr>
        <w:t>The SoftPro software is a related series of software programs and products that have historically been used, and continue to be used, in various locations by a number of our title insurance subsidiaries, including Chicago Title, Fidelity National Title, and Ticor Title. In addition to the use license, under this agreement, upon the occurrence of certain events, such as the bankruptcy of the FIS subsidiary, a breach of a material covenant, or the subsidiary’s notification to us that it has ceased to provide maintenance or support for SoftPro, then subject to certain conditions, we will also receive the SoftPro source code for purposes of integration, maintenance, modification and enhancement. We will also receive the SoftPro source code if the FIS subsidiary fails to fulfill our requests for development or integration services or we cannot reach agreement on the commercial terms for that development. We pay fees to the FIS subsidiary for the use of the SoftPro software based on the number of workstations and the actual number of SoftPro software programs and products used in each location. Fees are billed monthly based on presentation of an invoice. During the term of the agreement, the FIS subsidiary retains ownership of SoftPro and is responsible for defending any claims brought by third parties against us for infringement based upon the software. The FIS subsidiary and we each agree to indemnify each other for property damage arising out of any negligence, breach of statutory</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duty, omission or default in performing our respective obligations under the Amended and Restated Software License Agreement. With regard to dispute resolution, the agreement includes procedures by which the parties can attempt to resolve disputes amicably, but if those disputes cannot be resolved timely, then arbitration proceedings can be instituted.</w:t>
      </w:r>
    </w:p>
    <w:p>
      <w:pPr>
        <w:spacing w:after="0" w:line="73" w:lineRule="exact"/>
        <w:rPr>
          <w:sz w:val="20"/>
          <w:szCs w:val="20"/>
          <w:color w:val="auto"/>
        </w:rPr>
      </w:pPr>
    </w:p>
    <w:p>
      <w:pPr>
        <w:ind w:right="120" w:firstLine="270"/>
        <w:spacing w:after="0" w:line="257" w:lineRule="auto"/>
        <w:rPr>
          <w:sz w:val="20"/>
          <w:szCs w:val="20"/>
          <w:color w:val="auto"/>
        </w:rPr>
      </w:pPr>
      <w:r>
        <w:rPr>
          <w:rFonts w:ascii="Arial" w:cs="Arial" w:eastAsia="Arial" w:hAnsi="Arial"/>
          <w:sz w:val="18"/>
          <w:szCs w:val="18"/>
          <w:i w:val="1"/>
          <w:iCs w:val="1"/>
          <w:color w:val="auto"/>
        </w:rPr>
        <w:t xml:space="preserve">Duration and Termination. </w:t>
      </w:r>
      <w:r>
        <w:rPr>
          <w:rFonts w:ascii="Arial" w:cs="Arial" w:eastAsia="Arial" w:hAnsi="Arial"/>
          <w:sz w:val="18"/>
          <w:szCs w:val="18"/>
          <w:color w:val="auto"/>
        </w:rPr>
        <w:t>While the SoftPro Amended and Restated Software License Agreement is perpetual, we can terminate the license on not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90 days prior notice. In addition, if we disclose any of the SoftPro software, or a material part of the documentation related thereto, to a competitor of FIS, then if we fail to discontinue the unauthorized disclosure after a 30-day cure period, SoftPro may terminate the license as to the portion of the SoftPro software that we so disclosed on 30 days notice. In that event, FIS would also retain the right to pursue other remedies, including claims for damages for the unauthorized disclosure.</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expenses for the SoftPro license were $7.7 million in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Information</w:t>
      </w:r>
    </w:p>
    <w:p>
      <w:pPr>
        <w:spacing w:after="0" w:line="117" w:lineRule="exact"/>
        <w:rPr>
          <w:sz w:val="20"/>
          <w:szCs w:val="20"/>
          <w:color w:val="auto"/>
        </w:rPr>
      </w:pPr>
    </w:p>
    <w:p>
      <w:pPr>
        <w:ind w:right="120" w:firstLine="267"/>
        <w:spacing w:after="0" w:line="259" w:lineRule="auto"/>
        <w:rPr>
          <w:sz w:val="20"/>
          <w:szCs w:val="20"/>
          <w:color w:val="auto"/>
        </w:rPr>
      </w:pPr>
      <w:r>
        <w:rPr>
          <w:rFonts w:ascii="Arial" w:cs="Arial" w:eastAsia="Arial" w:hAnsi="Arial"/>
          <w:sz w:val="18"/>
          <w:szCs w:val="18"/>
          <w:color w:val="auto"/>
        </w:rPr>
        <w:t>We also do business with additional entities within the mortgage information services segment of FIS that provide real estate information to our operations. Our expenses for these services were $10.9 million, in 2005. Although there is no long-term contract, we are continuing to purchase information from FIS. The pricing of these purchases was determined on the basis of a discount to market that is believed reasonable based on the volume of our purchases.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Agency Agreements</w:t>
      </w:r>
    </w:p>
    <w:p>
      <w:pPr>
        <w:spacing w:after="0" w:line="117"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auto"/>
        </w:rPr>
        <w:t>Our subsidiaries, Chicago Title Insurance Company (“CTI”), a Missouri-domiciled title insurer, and Fidelity National Title Insurance Company (“FNTIC”), a California-domiciled title insurer, is each a party to separate issuing agency contracts with five subsidiaries of FIS. Under these issuing agency contracts, the FIS subsidiaries act as title agents for CTI and FNTIC in various jurisdictions.</w:t>
      </w:r>
    </w:p>
    <w:p>
      <w:pPr>
        <w:spacing w:after="0" w:line="73" w:lineRule="exact"/>
        <w:rPr>
          <w:sz w:val="20"/>
          <w:szCs w:val="20"/>
          <w:color w:val="auto"/>
        </w:rPr>
      </w:pPr>
    </w:p>
    <w:p>
      <w:pPr>
        <w:ind w:firstLine="270"/>
        <w:spacing w:after="0" w:line="279" w:lineRule="auto"/>
        <w:rPr>
          <w:sz w:val="20"/>
          <w:szCs w:val="20"/>
          <w:color w:val="auto"/>
        </w:rPr>
      </w:pPr>
      <w:r>
        <w:rPr>
          <w:rFonts w:ascii="Arial" w:cs="Arial" w:eastAsia="Arial" w:hAnsi="Arial"/>
          <w:sz w:val="17"/>
          <w:szCs w:val="17"/>
          <w:color w:val="auto"/>
        </w:rPr>
        <w:t>Under the issuing agency contracts, the title agency appointments of the FIS subsidiaries are not exclusive and CTI and FNTIC each retain the ability to appoint other title agents and to issue title insurance directly. In addition, the issuance of all title insurance for which the FIS subsidiaries are the agents is subject to the terms set forth in the issuing agency contracts. We believe that rates, duties, liability and indemnification provisions comport with the terms and conditions generally applicable in similar arrangements between non-affiliated parties in the title industry.</w:t>
      </w:r>
    </w:p>
    <w:p>
      <w:pPr>
        <w:spacing w:after="0" w:line="63" w:lineRule="exact"/>
        <w:rPr>
          <w:sz w:val="20"/>
          <w:szCs w:val="20"/>
          <w:color w:val="auto"/>
        </w:rPr>
      </w:pPr>
    </w:p>
    <w:p>
      <w:pPr>
        <w:jc w:val="both"/>
        <w:ind w:right="140" w:firstLine="270"/>
        <w:spacing w:after="0" w:line="264" w:lineRule="auto"/>
        <w:rPr>
          <w:sz w:val="20"/>
          <w:szCs w:val="20"/>
          <w:color w:val="auto"/>
        </w:rPr>
      </w:pPr>
      <w:r>
        <w:rPr>
          <w:rFonts w:ascii="Arial" w:cs="Arial" w:eastAsia="Arial" w:hAnsi="Arial"/>
          <w:sz w:val="18"/>
          <w:szCs w:val="18"/>
          <w:color w:val="auto"/>
        </w:rPr>
        <w:t>Subject to certain early termination provisions for cause, each of these agreements may be terminated upon five years’ prior written notice, which notice may not be given until after the fifth anniversary of the effective date of the agreement (thus effectively resulting in a minimum ten year term). The issuing agency contracts were entered into by our subsidiaries between July 22, 2004 and February 24, 2005.</w:t>
      </w:r>
    </w:p>
    <w:p>
      <w:pPr>
        <w:spacing w:after="0" w:line="73" w:lineRule="exact"/>
        <w:rPr>
          <w:sz w:val="20"/>
          <w:szCs w:val="20"/>
          <w:color w:val="auto"/>
        </w:rPr>
      </w:pPr>
    </w:p>
    <w:p>
      <w:pPr>
        <w:ind w:right="500" w:firstLine="270"/>
        <w:spacing w:after="0" w:line="264" w:lineRule="auto"/>
        <w:rPr>
          <w:sz w:val="20"/>
          <w:szCs w:val="20"/>
          <w:color w:val="auto"/>
        </w:rPr>
      </w:pPr>
      <w:r>
        <w:rPr>
          <w:rFonts w:ascii="Arial" w:cs="Arial" w:eastAsia="Arial" w:hAnsi="Arial"/>
          <w:sz w:val="18"/>
          <w:szCs w:val="18"/>
          <w:color w:val="auto"/>
        </w:rPr>
        <w:t>Prior to entering into these issuing agency contracts, these agency operations were conducted as divisions of certain of our title insurers. We earned $91.9 million of agency title premiums generated by these operations in 2005, and paid related commissions of $80.9 million in 2005, representing a commission rate of 88% of premiums earned.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Sharing Agreement</w:t>
      </w:r>
    </w:p>
    <w:p>
      <w:pPr>
        <w:spacing w:after="0" w:line="117" w:lineRule="exact"/>
        <w:rPr>
          <w:sz w:val="20"/>
          <w:szCs w:val="20"/>
          <w:color w:val="auto"/>
        </w:rPr>
      </w:pPr>
    </w:p>
    <w:p>
      <w:pPr>
        <w:ind w:right="40" w:firstLine="270"/>
        <w:spacing w:after="0" w:line="273" w:lineRule="auto"/>
        <w:rPr>
          <w:sz w:val="20"/>
          <w:szCs w:val="20"/>
          <w:color w:val="auto"/>
        </w:rPr>
      </w:pPr>
      <w:r>
        <w:rPr>
          <w:rFonts w:ascii="Arial" w:cs="Arial" w:eastAsia="Arial" w:hAnsi="Arial"/>
          <w:sz w:val="17"/>
          <w:szCs w:val="17"/>
          <w:color w:val="auto"/>
        </w:rPr>
        <w:t>Our subsidiary CTI is a party to a transitional cost sharing agreement effective as of March 4, 2005 with certain subsidiaries of FIS that are engaged in its mortgage origination services business, including providing appraisal, title and closing services to residential mortgage originators and providing automated loan servicing (the “lenders services business”). Pursuant to this cost sharing agreement, CTI agrees to share certain costs and facilities relating to these lenders services businesses with various FIS subsidiaries. The costs shared include costs of the employees performing the services related to these businesses as well as the costs and expenses related to various facilities such as data processing, equipment, business property and communication equipment. The cost sharing agreement will terminate (i) as to all parties, upon the transfer of a small</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title insurance company subsidiary from FNF to FIS, which transfer is contingent upon receipt of certain regulatory approvals, or (ii) as to CTI, at such time as various subsidiaries of FIS obtain the licenses necessary to enable them to operate all aspects of the lenders services business. We paid $5.9 million to CTI under this agreement in 2005.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Plant Maintenance Agreement and Master Title Plant Access Agreement</w:t>
      </w:r>
    </w:p>
    <w:p>
      <w:pPr>
        <w:spacing w:after="0" w:line="117" w:lineRule="exact"/>
        <w:rPr>
          <w:sz w:val="20"/>
          <w:szCs w:val="20"/>
          <w:color w:val="auto"/>
        </w:rPr>
      </w:pPr>
    </w:p>
    <w:p>
      <w:pPr>
        <w:ind w:firstLine="270"/>
        <w:spacing w:after="0" w:line="342" w:lineRule="auto"/>
        <w:rPr>
          <w:sz w:val="20"/>
          <w:szCs w:val="20"/>
          <w:color w:val="auto"/>
        </w:rPr>
      </w:pPr>
      <w:r>
        <w:rPr>
          <w:rFonts w:ascii="Arial" w:cs="Arial" w:eastAsia="Arial" w:hAnsi="Arial"/>
          <w:sz w:val="16"/>
          <w:szCs w:val="16"/>
          <w:color w:val="auto"/>
        </w:rPr>
        <w:t>Certain of our title insurance company subsidiaries have entered into a title plant maintenance agreement with Property Insight, LLC (“Property Insight”), a subsidiary of FIS. In connection therewith, one of our subsidiaries has also entered into a master title plant access agreement with Property Insight.</w:t>
      </w:r>
    </w:p>
    <w:p>
      <w:pPr>
        <w:spacing w:after="0" w:line="16" w:lineRule="exact"/>
        <w:rPr>
          <w:sz w:val="20"/>
          <w:szCs w:val="20"/>
          <w:color w:val="auto"/>
        </w:rPr>
      </w:pPr>
    </w:p>
    <w:p>
      <w:pPr>
        <w:ind w:right="40" w:firstLine="270"/>
        <w:spacing w:after="0" w:line="286" w:lineRule="auto"/>
        <w:rPr>
          <w:sz w:val="20"/>
          <w:szCs w:val="20"/>
          <w:color w:val="auto"/>
        </w:rPr>
      </w:pPr>
      <w:r>
        <w:rPr>
          <w:rFonts w:ascii="Arial" w:cs="Arial" w:eastAsia="Arial" w:hAnsi="Arial"/>
          <w:sz w:val="16"/>
          <w:szCs w:val="16"/>
          <w:color w:val="auto"/>
        </w:rPr>
        <w:t>Pursuant to the title plant maintenance agreement, Property Insight manages certain title plant assets of these title insurance company subsidiaries. These management services include keeping the title plant assets current and functioning on a daily basis. Property Insight’s management services also include updating, compiling, extracting, manipulating, purging, storing and processing title plant data so that the title plant database is current, accurate and accessible, through an efficient and organized access system. In performing these functions, Property Insight may make use of the software systems licensed to it from these subsidiaries, but it may also utilize proprietary systems, software, technologies and methodologies that have been developed, or will be developed, by Property Insight. We have no ownership or other right or title to these proprietary systems and methodologies (except in certain limited circumstances in the event of a termination of a title plant maintenance agreement, as a result of a default by, or termination by, Property Insight). Property Insight may also use these proprietary systems and methodologies in the title plant management services it may provide to other third party customers. In exchange for its management services, Property Insight has perpetual, irrevocable, transferable and nonexclusive worldwide licensed access to the title plants owned by these subsidiaries, together with certain software relating thereto, and it is able to sell this title plant access to third party customers and earn all revenue generated from the use of those assets by third party customers. In addition, Property Insight earns fees from providing access to updated and organized title plant databases to our subsidiaries through the master title plant access agreement described below. In consideration for the licensed access to the title plants and related software, Property Insight must pay a royalty to each of our title insurance company subsidiaries which are parties to the title plant maintenance agreement, in an amount equal to 2.5% to 3.75% of the revenues generated from the licensed access to the title plants and related software that the title insurance company subsidiary owns.</w:t>
      </w:r>
    </w:p>
    <w:p>
      <w:pPr>
        <w:spacing w:after="0" w:line="61" w:lineRule="exact"/>
        <w:rPr>
          <w:sz w:val="20"/>
          <w:szCs w:val="20"/>
          <w:color w:val="auto"/>
        </w:rPr>
      </w:pPr>
    </w:p>
    <w:p>
      <w:pPr>
        <w:ind w:right="160" w:firstLine="270"/>
        <w:spacing w:after="0" w:line="342" w:lineRule="auto"/>
        <w:rPr>
          <w:sz w:val="20"/>
          <w:szCs w:val="20"/>
          <w:color w:val="auto"/>
        </w:rPr>
      </w:pPr>
      <w:r>
        <w:rPr>
          <w:rFonts w:ascii="Arial" w:cs="Arial" w:eastAsia="Arial" w:hAnsi="Arial"/>
          <w:sz w:val="16"/>
          <w:szCs w:val="16"/>
          <w:color w:val="auto"/>
        </w:rPr>
        <w:t>Pursuant to the master title plant access agreement, our subsidiaries have access to all title plants to which Property Insight has access or right to access, including the title plants owned by certain of our subsidiaries. In consideration for this access and use, our subsidiaries pay access fees to Property Insight.</w:t>
      </w:r>
    </w:p>
    <w:p>
      <w:pPr>
        <w:spacing w:after="0" w:line="16" w:lineRule="exact"/>
        <w:rPr>
          <w:sz w:val="20"/>
          <w:szCs w:val="20"/>
          <w:color w:val="auto"/>
        </w:rPr>
      </w:pPr>
    </w:p>
    <w:p>
      <w:pPr>
        <w:jc w:val="both"/>
        <w:ind w:right="100" w:firstLine="270"/>
        <w:spacing w:after="0" w:line="286" w:lineRule="auto"/>
        <w:rPr>
          <w:sz w:val="20"/>
          <w:szCs w:val="20"/>
          <w:color w:val="auto"/>
        </w:rPr>
      </w:pPr>
      <w:r>
        <w:rPr>
          <w:rFonts w:ascii="Arial" w:cs="Arial" w:eastAsia="Arial" w:hAnsi="Arial"/>
          <w:sz w:val="17"/>
          <w:szCs w:val="17"/>
          <w:color w:val="auto"/>
        </w:rPr>
        <w:t>Under the title plant maintenance agreement, Property Insight has no liability to our subsidiaries who are parties to the title plant maintenance agreement for any error in the information provided in the performance of its services, except in the event of Property Insight’s gross negligence or willful misconduct. Property Insight accepts no liability under the master title plant access agreement for any errors in the title plant information.</w:t>
      </w:r>
    </w:p>
    <w:p>
      <w:pPr>
        <w:spacing w:after="0" w:line="57" w:lineRule="exact"/>
        <w:rPr>
          <w:sz w:val="20"/>
          <w:szCs w:val="20"/>
          <w:color w:val="auto"/>
        </w:rPr>
      </w:pPr>
    </w:p>
    <w:p>
      <w:pPr>
        <w:ind w:right="20" w:firstLine="267"/>
        <w:spacing w:after="0" w:line="290" w:lineRule="auto"/>
        <w:rPr>
          <w:sz w:val="20"/>
          <w:szCs w:val="20"/>
          <w:color w:val="auto"/>
        </w:rPr>
      </w:pPr>
      <w:r>
        <w:rPr>
          <w:rFonts w:ascii="Arial" w:cs="Arial" w:eastAsia="Arial" w:hAnsi="Arial"/>
          <w:sz w:val="16"/>
          <w:szCs w:val="16"/>
          <w:color w:val="auto"/>
        </w:rPr>
        <w:t>The title plant maintenance agreement is effective for a ten year period, with automatic renewal, and may be terminated by mutual agreement of the parties or upon five years’ prior written notice (given after the fifth anniversary of the agreement), except in the case of a default in performance, in which case the agreement may be terminated immediately if the default is not cured within 30 days after notice (with provisions that permit an extension of the 30-day cure period under certain circumstances). In addition, the title plant maintenance agreement may be terminated in the event of a change of control of either Property Insight or our subsidiaries who are parties to the title plant maintenance agreement. So long as Property Insight does not cause the termination of a title plant maintenance agreement (either through notice of termination or by defaulting on its obligations or otherwise), Property Insight will retain a copy of the title plant database and related software as well as the right to use the software and sell access to the title plant database to third party customers. The termination provisions of the master title plant access agreement are in general similar to those of the title plant maintenance agreement.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267"/>
        <w:spacing w:after="0" w:line="308" w:lineRule="auto"/>
        <w:rPr>
          <w:sz w:val="20"/>
          <w:szCs w:val="20"/>
          <w:color w:val="auto"/>
        </w:rPr>
      </w:pPr>
      <w:r>
        <w:rPr>
          <w:rFonts w:ascii="Arial" w:cs="Arial" w:eastAsia="Arial" w:hAnsi="Arial"/>
          <w:sz w:val="17"/>
          <w:szCs w:val="17"/>
          <w:color w:val="auto"/>
        </w:rPr>
        <w:t>The foregoing agreements became effective on March 4, 2005. Prior to that time, Property Insight was a division of our company. Our payments to FIS under these arrangements were $29.9 in 2005. We received $3.0 million in revenues from the royalty payable by FIS in 2005.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Plant Management Agreement</w:t>
      </w:r>
    </w:p>
    <w:p>
      <w:pPr>
        <w:spacing w:after="0" w:line="117" w:lineRule="exact"/>
        <w:rPr>
          <w:sz w:val="20"/>
          <w:szCs w:val="20"/>
          <w:color w:val="auto"/>
        </w:rPr>
      </w:pPr>
    </w:p>
    <w:p>
      <w:pPr>
        <w:ind w:firstLine="267"/>
        <w:spacing w:after="0" w:line="291" w:lineRule="auto"/>
        <w:rPr>
          <w:sz w:val="20"/>
          <w:szCs w:val="20"/>
          <w:color w:val="auto"/>
        </w:rPr>
      </w:pPr>
      <w:r>
        <w:rPr>
          <w:rFonts w:ascii="Arial" w:cs="Arial" w:eastAsia="Arial" w:hAnsi="Arial"/>
          <w:sz w:val="16"/>
          <w:szCs w:val="16"/>
          <w:color w:val="auto"/>
        </w:rPr>
        <w:t>We entered into a management agreement effective as of May 17, 2005 with Property Insight, pursuant to which Property Insight manages title plant assets for one of our subsidiaries, Ticor Title Insurance Company of Florida (“Ticor-FL”). These management services include overseeing and supervising the title plant maintenance process (such as updating and purging), but do not include full responsibility for keeping the title plant assets current and functioning on a daily basis. Ticor-FL maintains all ownership rights over the title plants and its proprietary systems and methodologies used in the title plant maintenance process. Under this agreement, Property Insight’s use of these proprietary systems and methodologies and access to Ticor-FL’s title plants is limited to use and access necessary to perform its management obligations under the agreement. Property Insight is paid a management fee equal to 20% of the actual costs incurred by Ticor-FL for maintaining its title plants. In 2005, our payments to Property Insight under this agreement was $1.2 million.</w:t>
      </w:r>
    </w:p>
    <w:p>
      <w:pPr>
        <w:spacing w:after="0" w:line="59" w:lineRule="exact"/>
        <w:rPr>
          <w:sz w:val="20"/>
          <w:szCs w:val="20"/>
          <w:color w:val="auto"/>
        </w:rPr>
      </w:pPr>
    </w:p>
    <w:p>
      <w:pPr>
        <w:ind w:right="620" w:firstLine="270"/>
        <w:spacing w:after="0" w:line="277" w:lineRule="auto"/>
        <w:rPr>
          <w:sz w:val="20"/>
          <w:szCs w:val="20"/>
          <w:color w:val="auto"/>
        </w:rPr>
      </w:pPr>
      <w:r>
        <w:rPr>
          <w:rFonts w:ascii="Arial" w:cs="Arial" w:eastAsia="Arial" w:hAnsi="Arial"/>
          <w:sz w:val="18"/>
          <w:szCs w:val="18"/>
          <w:color w:val="auto"/>
        </w:rPr>
        <w:t>Under the title plant management agreement, Property Insight has no liability to Ticor-FL in the performance of its services, except in the event of Property Insight’s gross negligence or willful misconduct.</w:t>
      </w:r>
    </w:p>
    <w:p>
      <w:pPr>
        <w:spacing w:after="0" w:line="62" w:lineRule="exact"/>
        <w:rPr>
          <w:sz w:val="20"/>
          <w:szCs w:val="20"/>
          <w:color w:val="auto"/>
        </w:rPr>
      </w:pPr>
    </w:p>
    <w:p>
      <w:pPr>
        <w:ind w:right="100" w:firstLine="267"/>
        <w:spacing w:after="0" w:line="302" w:lineRule="auto"/>
        <w:rPr>
          <w:sz w:val="20"/>
          <w:szCs w:val="20"/>
          <w:color w:val="auto"/>
        </w:rPr>
      </w:pPr>
      <w:r>
        <w:rPr>
          <w:rFonts w:ascii="Arial" w:cs="Arial" w:eastAsia="Arial" w:hAnsi="Arial"/>
          <w:sz w:val="16"/>
          <w:szCs w:val="16"/>
          <w:color w:val="auto"/>
        </w:rPr>
        <w:t>The title plant management agreement is effective for a ten year period, with automatic renewal, and may be terminated by mutual agreement of the parties or upon five years’ prior written notice, except in the case of a default in performance, in which case the agreement may be terminated immediately if the default is not cured within 30 days after notice (with provisions that permit an extension of the 30-day cure period under certain circumstances). In addition, the title plant management agreement may be terminated in the event of a change of control of either Property Insight or Ticor-FL.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Software License Agreements</w:t>
      </w:r>
    </w:p>
    <w:p>
      <w:pPr>
        <w:spacing w:after="0" w:line="117" w:lineRule="exact"/>
        <w:rPr>
          <w:sz w:val="20"/>
          <w:szCs w:val="20"/>
          <w:color w:val="auto"/>
        </w:rPr>
      </w:pPr>
    </w:p>
    <w:p>
      <w:pPr>
        <w:ind w:right="160" w:firstLine="260"/>
        <w:spacing w:after="0" w:line="273" w:lineRule="auto"/>
        <w:rPr>
          <w:sz w:val="20"/>
          <w:szCs w:val="20"/>
          <w:color w:val="auto"/>
        </w:rPr>
      </w:pPr>
      <w:r>
        <w:rPr>
          <w:rFonts w:ascii="Arial" w:cs="Arial" w:eastAsia="Arial" w:hAnsi="Arial"/>
          <w:sz w:val="17"/>
          <w:szCs w:val="17"/>
          <w:color w:val="auto"/>
        </w:rPr>
        <w:t>A subsidiary of FIS has licensed proprietary software and provide maintenance services to certain of our subsidiaries for annual fees under individual license agreements. The three software license agreements, for OTS/ OTS Gold, SIMON and TEAM software, all provide our subsidiaries with worldwide nonexclusive, perpetual, irrevocable right to use certain software and documentation. Fees for these licenses are charged on varying bases, including in the case of OTS/ OTS Gold, a flat annual fee, and in the case of SIMON and TEAM, a monthly fee based on the number of servers or the number of users utilizing the licensed software. The terms of the licenses are perpetual and may be terminated by our subsidiaries upon ninety days written notice, disclosure of software or documentation to competitors or if an entity is no longer a subsidiary of FIS.</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expenses for these items in 2005 were insubstantial and not material, either individually or in the aggregate.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Leases</w:t>
      </w:r>
    </w:p>
    <w:p>
      <w:pPr>
        <w:spacing w:after="0" w:line="117" w:lineRule="exact"/>
        <w:rPr>
          <w:sz w:val="20"/>
          <w:szCs w:val="20"/>
          <w:color w:val="auto"/>
        </w:rPr>
      </w:pPr>
    </w:p>
    <w:p>
      <w:pPr>
        <w:ind w:right="140" w:firstLine="267"/>
        <w:spacing w:after="0" w:line="277" w:lineRule="auto"/>
        <w:rPr>
          <w:sz w:val="20"/>
          <w:szCs w:val="20"/>
          <w:color w:val="auto"/>
        </w:rPr>
      </w:pPr>
      <w:r>
        <w:rPr>
          <w:rFonts w:ascii="Arial" w:cs="Arial" w:eastAsia="Arial" w:hAnsi="Arial"/>
          <w:sz w:val="18"/>
          <w:szCs w:val="18"/>
          <w:color w:val="auto"/>
        </w:rPr>
        <w:t>We previously leased certain business equipment to FIS. All of the equipment covered by these leases was purchased by FIS for $19.4 million on June 1, 2005, and the leases were terminated. In 2005 we received $5.0 million from these leases prior to their termination.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Cross Conveyance and Software Development and Property Allocation Agreements</w:t>
      </w:r>
    </w:p>
    <w:p>
      <w:pPr>
        <w:spacing w:after="0" w:line="117"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One of our subsidiaries is a party to an amended and restated cross conveyance and joint ownership agreement with an FIS subsidiary whereby the parties have conveyed their respective interests in certain proprietary software, known as “eLender”, such that both parties are the joint owners of the software. The parties have also agreed to further develop the jointly owned software. Pursuant to this agreement, through March 31, 2006, our subsidiary pays $500,000 per month to the FIS subsidiary for development services, including maintenance by the FIS subsidiary for the developed software. Each party will own an undivided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half interest in the developed software. This agreement expires on March 31, 2006, but may be terminated prior to that time by mutual agreement or in the event of a breach that remains uncured for more than 30 days (subject to extension in certain circumstances).</w:t>
      </w:r>
    </w:p>
    <w:p>
      <w:pPr>
        <w:spacing w:after="0" w:line="62"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One of our subsidiaries is also a party to a joint development and ownership agreement with an FIS subsidiary whereby the FIS subsidiary provides development services for proprietary software, known as “Titlepoint”, to be used in connection with the title plants owned by our title insurance subsidiaries. Pursuant to this agreement, our subsidiary pays fees and expenses to the FIS subsidiary for development services per our specifications. The fees are charged on an hourly rate basis but cannot exceed an aggregate of $7,130,000 for the entire development project. Upon delivery by the FIS subsidiary of software that meets acceptance criteria, both parties will jointly own the developed software. This agreement expires forty-five days after acceptance of the agreed upon software release, but may be terminated prior to that time by mutual agreement or in the event of a breach that remains uncured for more than 30 days (subject to extension in certain circumstances).</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payments to FIS under these arrangements were $17.2 million in 2005.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21"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The following is a list of the Consolidated and Combined Financial Statements of Fidelity National Title Group, Inc. and its subsidiaries included in Item 8 of Part II:</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Report of Independent Registered Public Accounting Firm on Financial Statements</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Consolidated and Combined Balance Sheets as of December 31, 2005 and 2004</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Consolidated and Combined Statements of Earnings for the years ended December 31, 2005, 2004 and 2003</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Consolidated and Combined Statements of Comprehensive Earnings for the years ended December 31, 2005, 2004 and 2003</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Consolidated and Combined Statements of Stockholders’ Equity for the years ended December 31, 2005, 2004 and 2003</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Consolidated and Combined Statements of Cash Flows for the years ended December 31, 2005, 2004 and 2003</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Notes to Consolidated and Combined Financial Statements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 xml:space="preserve">(a)(2) </w:t>
      </w:r>
      <w:r>
        <w:rPr>
          <w:rFonts w:ascii="Arial" w:cs="Arial" w:eastAsia="Arial" w:hAnsi="Arial"/>
          <w:sz w:val="17"/>
          <w:szCs w:val="17"/>
          <w:i w:val="1"/>
          <w:iCs w:val="1"/>
          <w:color w:val="auto"/>
        </w:rPr>
        <w:t>Financial Statement Schedules.</w:t>
      </w:r>
      <w:r>
        <w:rPr>
          <w:rFonts w:ascii="Arial" w:cs="Arial" w:eastAsia="Arial" w:hAnsi="Arial"/>
          <w:sz w:val="17"/>
          <w:szCs w:val="17"/>
          <w:color w:val="auto"/>
        </w:rPr>
        <w:t xml:space="preserve"> The following is a list of financial statement schedules filed as part of this annual report on Form 10-K:</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Schedule II: Fidelity National Title Group, Inc. (Parent Company Financial Statements)</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Schedule V: Valuation and Qualifying Accounts</w:t>
      </w:r>
    </w:p>
    <w:p>
      <w:pPr>
        <w:spacing w:after="0" w:line="117" w:lineRule="exact"/>
        <w:rPr>
          <w:sz w:val="20"/>
          <w:szCs w:val="20"/>
          <w:color w:val="auto"/>
        </w:rPr>
      </w:pPr>
    </w:p>
    <w:p>
      <w:pPr>
        <w:ind w:right="260" w:firstLine="260"/>
        <w:spacing w:after="0" w:line="277"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included in the Consolidated and Combined Financial Statements or notes thereto.</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(a)(3) The following exhibits are incorporated by reference or are set forth on pages to this Form 10-K:</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jc w:val="right"/>
              <w:ind w:right="693"/>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3"/>
                <w:szCs w:val="13"/>
                <w:color w:val="auto"/>
              </w:rPr>
            </w:pPr>
          </w:p>
        </w:tc>
        <w:tc>
          <w:tcPr>
            <w:tcW w:w="9080" w:type="dxa"/>
            <w:vAlign w:val="bottom"/>
            <w:vMerge w:val="restart"/>
          </w:tcPr>
          <w:p>
            <w:pPr>
              <w:ind w:left="4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00" w:type="dxa"/>
            <w:vAlign w:val="bottom"/>
          </w:tcPr>
          <w:p>
            <w:pPr>
              <w:jc w:val="right"/>
              <w:ind w:right="693"/>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1"/>
              </w:rPr>
              <w:t>Amended and Restated Certificate of Incorporation, incorporated by reference to the Registrant’s current report on Form 8-K</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(File No. 1-32630) filed on October 19, 2005, as Exhibit 3.1.</w:t>
            </w:r>
          </w:p>
        </w:tc>
        <w:tc>
          <w:tcPr>
            <w:tcW w:w="0" w:type="dxa"/>
            <w:vAlign w:val="bottom"/>
          </w:tcPr>
          <w:p>
            <w:pPr>
              <w:spacing w:after="0"/>
              <w:rPr>
                <w:sz w:val="1"/>
                <w:szCs w:val="1"/>
                <w:color w:val="auto"/>
              </w:rPr>
            </w:pPr>
          </w:p>
        </w:tc>
      </w:tr>
      <w:tr>
        <w:trPr>
          <w:trHeight w:val="216"/>
        </w:trPr>
        <w:tc>
          <w:tcPr>
            <w:tcW w:w="2000" w:type="dxa"/>
            <w:vAlign w:val="bottom"/>
          </w:tcPr>
          <w:p>
            <w:pPr>
              <w:jc w:val="right"/>
              <w:ind w:right="693"/>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Amended and Restated Bylaws of the Registrant.†</w:t>
            </w:r>
          </w:p>
        </w:tc>
        <w:tc>
          <w:tcPr>
            <w:tcW w:w="0" w:type="dxa"/>
            <w:vAlign w:val="bottom"/>
          </w:tcPr>
          <w:p>
            <w:pPr>
              <w:spacing w:after="0"/>
              <w:rPr>
                <w:sz w:val="1"/>
                <w:szCs w:val="1"/>
                <w:color w:val="auto"/>
              </w:rPr>
            </w:pPr>
          </w:p>
        </w:tc>
      </w:tr>
      <w:tr>
        <w:trPr>
          <w:trHeight w:val="216"/>
        </w:trPr>
        <w:tc>
          <w:tcPr>
            <w:tcW w:w="2000" w:type="dxa"/>
            <w:vAlign w:val="bottom"/>
          </w:tcPr>
          <w:p>
            <w:pPr>
              <w:jc w:val="right"/>
              <w:ind w:right="693"/>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Indenture between the Registrant and The Bank of New York Trust Company, N.A. relating to the FNT notes.*</w:t>
            </w:r>
          </w:p>
        </w:tc>
        <w:tc>
          <w:tcPr>
            <w:tcW w:w="0" w:type="dxa"/>
            <w:vAlign w:val="bottom"/>
          </w:tcPr>
          <w:p>
            <w:pPr>
              <w:spacing w:after="0"/>
              <w:rPr>
                <w:sz w:val="1"/>
                <w:szCs w:val="1"/>
                <w:color w:val="auto"/>
              </w:rPr>
            </w:pPr>
          </w:p>
        </w:tc>
      </w:tr>
      <w:tr>
        <w:trPr>
          <w:trHeight w:val="216"/>
        </w:trPr>
        <w:tc>
          <w:tcPr>
            <w:tcW w:w="2000" w:type="dxa"/>
            <w:vAlign w:val="bottom"/>
          </w:tcPr>
          <w:p>
            <w:pPr>
              <w:jc w:val="right"/>
              <w:ind w:right="693"/>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0"/>
              </w:rPr>
              <w:t>Supplemental Indenture, dated as of January 6, 2006, between the Registrant and the Bank of New York Trust Company, N.A.</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incorporated by reference to Exhibit 4.1 to the Registrant’s current report on Form 8-K (File No. 1-32630) filed on</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January 24, 2006.</w:t>
            </w:r>
          </w:p>
        </w:tc>
        <w:tc>
          <w:tcPr>
            <w:tcW w:w="0" w:type="dxa"/>
            <w:vAlign w:val="bottom"/>
          </w:tcPr>
          <w:p>
            <w:pPr>
              <w:spacing w:after="0"/>
              <w:rPr>
                <w:sz w:val="1"/>
                <w:szCs w:val="1"/>
                <w:color w:val="auto"/>
              </w:rPr>
            </w:pPr>
          </w:p>
        </w:tc>
      </w:tr>
      <w:tr>
        <w:trPr>
          <w:trHeight w:val="216"/>
        </w:trPr>
        <w:tc>
          <w:tcPr>
            <w:tcW w:w="2000" w:type="dxa"/>
            <w:vAlign w:val="bottom"/>
          </w:tcPr>
          <w:p>
            <w:pPr>
              <w:jc w:val="right"/>
              <w:ind w:right="693"/>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Form of 7.30% FNT note due August 15, 2011.**</w:t>
            </w:r>
          </w:p>
        </w:tc>
        <w:tc>
          <w:tcPr>
            <w:tcW w:w="0" w:type="dxa"/>
            <w:vAlign w:val="bottom"/>
          </w:tcPr>
          <w:p>
            <w:pPr>
              <w:spacing w:after="0"/>
              <w:rPr>
                <w:sz w:val="1"/>
                <w:szCs w:val="1"/>
                <w:color w:val="auto"/>
              </w:rPr>
            </w:pPr>
          </w:p>
        </w:tc>
      </w:tr>
      <w:tr>
        <w:trPr>
          <w:trHeight w:val="216"/>
        </w:trPr>
        <w:tc>
          <w:tcPr>
            <w:tcW w:w="2000" w:type="dxa"/>
            <w:vAlign w:val="bottom"/>
          </w:tcPr>
          <w:p>
            <w:pPr>
              <w:jc w:val="right"/>
              <w:ind w:right="693"/>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Form of 5.25% FNT note due March 15, 2013.**</w:t>
            </w:r>
          </w:p>
        </w:tc>
        <w:tc>
          <w:tcPr>
            <w:tcW w:w="0" w:type="dxa"/>
            <w:vAlign w:val="bottom"/>
          </w:tcPr>
          <w:p>
            <w:pPr>
              <w:spacing w:after="0"/>
              <w:rPr>
                <w:sz w:val="1"/>
                <w:szCs w:val="1"/>
                <w:color w:val="auto"/>
              </w:rPr>
            </w:pPr>
          </w:p>
        </w:tc>
      </w:tr>
      <w:tr>
        <w:trPr>
          <w:trHeight w:val="216"/>
        </w:trPr>
        <w:tc>
          <w:tcPr>
            <w:tcW w:w="2000" w:type="dxa"/>
            <w:vAlign w:val="bottom"/>
          </w:tcPr>
          <w:p>
            <w:pPr>
              <w:jc w:val="right"/>
              <w:ind w:right="693"/>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Separation Agreement, dated September 27, 2005 between FNF and the Registrant.**</w:t>
            </w:r>
          </w:p>
        </w:tc>
        <w:tc>
          <w:tcPr>
            <w:tcW w:w="0" w:type="dxa"/>
            <w:vAlign w:val="bottom"/>
          </w:tcPr>
          <w:p>
            <w:pPr>
              <w:spacing w:after="0"/>
              <w:rPr>
                <w:sz w:val="1"/>
                <w:szCs w:val="1"/>
                <w:color w:val="auto"/>
              </w:rPr>
            </w:pPr>
          </w:p>
        </w:tc>
      </w:tr>
      <w:tr>
        <w:trPr>
          <w:trHeight w:val="216"/>
        </w:trPr>
        <w:tc>
          <w:tcPr>
            <w:tcW w:w="2000" w:type="dxa"/>
            <w:vAlign w:val="bottom"/>
          </w:tcPr>
          <w:p>
            <w:pPr>
              <w:jc w:val="right"/>
              <w:ind w:right="693"/>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6"/>
              </w:rPr>
              <w:t>Amended and Restated Corporate Services Agreement, dated September 27, 2005 between FNF and the Registrant.*</w:t>
            </w:r>
          </w:p>
        </w:tc>
        <w:tc>
          <w:tcPr>
            <w:tcW w:w="0" w:type="dxa"/>
            <w:vAlign w:val="bottom"/>
          </w:tcPr>
          <w:p>
            <w:pPr>
              <w:spacing w:after="0"/>
              <w:rPr>
                <w:sz w:val="1"/>
                <w:szCs w:val="1"/>
                <w:color w:val="auto"/>
              </w:rPr>
            </w:pPr>
          </w:p>
        </w:tc>
      </w:tr>
      <w:tr>
        <w:trPr>
          <w:trHeight w:val="216"/>
        </w:trPr>
        <w:tc>
          <w:tcPr>
            <w:tcW w:w="2000" w:type="dxa"/>
            <w:vAlign w:val="bottom"/>
          </w:tcPr>
          <w:p>
            <w:pPr>
              <w:jc w:val="right"/>
              <w:ind w:right="693"/>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89"/>
              </w:rPr>
              <w:t>Amended and Restated Reverse Corporate Services Agreement, dated September 27, 2005 between FNF and the Registrant.*</w:t>
            </w:r>
          </w:p>
        </w:tc>
        <w:tc>
          <w:tcPr>
            <w:tcW w:w="0" w:type="dxa"/>
            <w:vAlign w:val="bottom"/>
          </w:tcPr>
          <w:p>
            <w:pPr>
              <w:spacing w:after="0"/>
              <w:rPr>
                <w:sz w:val="1"/>
                <w:szCs w:val="1"/>
                <w:color w:val="auto"/>
              </w:rPr>
            </w:pPr>
          </w:p>
        </w:tc>
      </w:tr>
      <w:tr>
        <w:trPr>
          <w:trHeight w:val="216"/>
        </w:trPr>
        <w:tc>
          <w:tcPr>
            <w:tcW w:w="2000" w:type="dxa"/>
            <w:vAlign w:val="bottom"/>
          </w:tcPr>
          <w:p>
            <w:pPr>
              <w:jc w:val="right"/>
              <w:ind w:right="693"/>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Tax Matters Agreement, dated September 27, 2005 between FNF and the Registrant.**</w:t>
            </w:r>
          </w:p>
        </w:tc>
        <w:tc>
          <w:tcPr>
            <w:tcW w:w="0" w:type="dxa"/>
            <w:vAlign w:val="bottom"/>
          </w:tcPr>
          <w:p>
            <w:pPr>
              <w:spacing w:after="0"/>
              <w:rPr>
                <w:sz w:val="1"/>
                <w:szCs w:val="1"/>
                <w:color w:val="auto"/>
              </w:rPr>
            </w:pPr>
          </w:p>
        </w:tc>
      </w:tr>
      <w:tr>
        <w:trPr>
          <w:trHeight w:val="216"/>
        </w:trPr>
        <w:tc>
          <w:tcPr>
            <w:tcW w:w="2000" w:type="dxa"/>
            <w:vAlign w:val="bottom"/>
          </w:tcPr>
          <w:p>
            <w:pPr>
              <w:jc w:val="right"/>
              <w:ind w:right="693"/>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Employee Matters Agreement, dated September 27, 2005 between FNF and the Registrant.**</w:t>
            </w:r>
          </w:p>
        </w:tc>
        <w:tc>
          <w:tcPr>
            <w:tcW w:w="0" w:type="dxa"/>
            <w:vAlign w:val="bottom"/>
          </w:tcPr>
          <w:p>
            <w:pPr>
              <w:spacing w:after="0"/>
              <w:rPr>
                <w:sz w:val="1"/>
                <w:szCs w:val="1"/>
                <w:color w:val="auto"/>
              </w:rPr>
            </w:pPr>
          </w:p>
        </w:tc>
      </w:tr>
      <w:tr>
        <w:trPr>
          <w:trHeight w:val="230"/>
        </w:trPr>
        <w:tc>
          <w:tcPr>
            <w:tcW w:w="2000" w:type="dxa"/>
            <w:vAlign w:val="bottom"/>
          </w:tcPr>
          <w:p>
            <w:pPr>
              <w:jc w:val="right"/>
              <w:ind w:right="693"/>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0"/>
                <w:szCs w:val="20"/>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Registration Rights Agreement, dated September 27, 2005 between FNF and the Registrant.**</w:t>
            </w:r>
          </w:p>
        </w:tc>
        <w:tc>
          <w:tcPr>
            <w:tcW w:w="0" w:type="dxa"/>
            <w:vAlign w:val="bottom"/>
          </w:tcPr>
          <w:p>
            <w:pPr>
              <w:spacing w:after="0"/>
              <w:rPr>
                <w:sz w:val="1"/>
                <w:szCs w:val="1"/>
                <w:color w:val="auto"/>
              </w:rPr>
            </w:pPr>
          </w:p>
        </w:tc>
      </w:tr>
      <w:tr>
        <w:trPr>
          <w:trHeight w:val="405"/>
        </w:trPr>
        <w:tc>
          <w:tcPr>
            <w:tcW w:w="2000" w:type="dxa"/>
            <w:vAlign w:val="bottom"/>
          </w:tcPr>
          <w:p>
            <w:pPr>
              <w:spacing w:after="0"/>
              <w:rPr>
                <w:sz w:val="24"/>
                <w:szCs w:val="24"/>
                <w:color w:val="auto"/>
              </w:rPr>
            </w:pPr>
          </w:p>
        </w:tc>
        <w:tc>
          <w:tcPr>
            <w:tcW w:w="9420" w:type="dxa"/>
            <w:vAlign w:val="bottom"/>
            <w:gridSpan w:val="2"/>
          </w:tcPr>
          <w:p>
            <w:pPr>
              <w:jc w:val="right"/>
              <w:ind w:right="549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6"/>
        </w:trPr>
        <w:tc>
          <w:tcPr>
            <w:tcW w:w="20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ind w:left="78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080" w:type="dxa"/>
            <w:vAlign w:val="bottom"/>
            <w:vMerge w:val="restart"/>
          </w:tcPr>
          <w:p>
            <w:pPr>
              <w:ind w:left="4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00" w:type="dxa"/>
            <w:vAlign w:val="bottom"/>
          </w:tcPr>
          <w:p>
            <w:pPr>
              <w:ind w:left="900"/>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Intellectual Property Cross License Agreement, dated September 27, 2005 between FNF and the Registrant.**</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Sublease Agreement dated September 27, 2005 between FNF and the Registrant.**</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Assignment, Assumption and Novation Agreement dated September 27, 2005 between FNF and the Registrant.**</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10.10</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0"/>
              </w:rPr>
              <w:t>Amended and Restated Corporate Services Agreement, dated February 1, 2006 between FIS and the Registrant, incorporated</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4"/>
              </w:rPr>
              <w:t>by reference to the Current Report on Form 8-K of Fidelity National Information Services, Inc. filed February 6, 2006 (the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“FIS 8-K”).</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10.11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Amended and Restated Reverse Corporate Services Agreement, dated February 1, 2006 between FIS and the Registrant,</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incorporated by reference to the FIS 8-K.</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Amended and Restated Starters Repository Access Agreement, dated February 1, 2006 between FIS and the Registrant,</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incorporated by reference to the FIS 8-K.</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10.13</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1"/>
              </w:rPr>
              <w:t>Amended and Restated Back Plant Repository Access Agreement, dated February 1, 2006 between FIS and the Registrant,</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incorporated by reference to the FIS 8-K.</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10.14</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9"/>
              </w:rPr>
              <w:t>Amended and Restated License and Services Agreement dated February 1, 2006 between FIS and the Registrant,</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incorporated by reference to the FIS 8-K.</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10.15</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0"/>
              </w:rPr>
              <w:t>Amended and Restated Lease Agreement, dated February 1, 2006 between FIS and the Registrant, incorporated by reference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to the FIS 8-K.</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10.16</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2"/>
              </w:rPr>
              <w:t>Amended and Restated Master Information Technology Services Agreement, dated February 1, 2006 between FIS and the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Registrant, incorporated by reference to the FIS 8-K.</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10.17</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2"/>
              </w:rPr>
              <w:t>Amended and Restated SoftPro Software License Agreement dated February 1, 2006 between Fidelity National Information</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Solutions, Inc. and the Registrant, incorporated by reference to the FIS 8-K.</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10.18</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4"/>
              </w:rPr>
              <w:t>7.30% Mirror Note due 2011 incorporated by reference to Exhibit 10.1 to the Registrant’s current report on Form 8-K (File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No. 1-32630) filed on January 24, 2006.**</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10.19</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5.25% Mirror Note due 2013.**</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10.20</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2"/>
              </w:rPr>
              <w:t>Tax Sharing Agreement dated June 17, 1998 among Chicago Title Corporation, Chicago Title and Trust Company, Chicago</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Title Insurance Company, Ticor Title Insurance Company and Security Union Title Insurance Company.***</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10.21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1"/>
              </w:rPr>
              <w:t>Tax Sharing Agreement dated May 13, 2004 among Chicago Title and Trust Company, Chicago Title Insurance Company of</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Oregon and FNF.***</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10.22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2"/>
              </w:rPr>
              <w:t>Tax Sharing Agreement dated August 20, 2004 among Chicago Title and Trust Company, Ticor Title Insurance Company of</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Florida and FNF.***</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10.23</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1"/>
              </w:rPr>
              <w:t>Tax Sharing Agreement dated January 31, 2005 among Alamo Title Holding Company, Alamo Title Insurance Company and</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FNF.***</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10.24</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5"/>
              </w:rPr>
              <w:t>Tax Allocation Agreement dated December 13, 1999 among Fidelity National Title Insurance Company (as successor in</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interest by merger with Fidelity National Title Insurance Company of New York), Nations Title Insurance Company of New</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York, Inc., and FNF.***</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10.25</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Issuing Agency Contract dated as of July 22, 2004 between Chicago Title Insurance Company and LSI Title Company.***</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10.26</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2"/>
              </w:rPr>
              <w:t>Issuing Agency Contract dated as of July 22, 2004 between Chicago Title Insurance Company and LSI Title Agency, Inc.***</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10.27</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7"/>
              </w:rPr>
              <w:t>Issuing Agency Contract dated as of July 22, 2004 between Chicago Title Insurance Company and Lender’s Service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Title Agency, Inc.***</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10.28</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2"/>
              </w:rPr>
              <w:t>Issuing Agency Contract dated as of August 9, 2004 between Chicago Title Insurance Company and LSI Alabama, LLC.***</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10.29</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1"/>
              </w:rPr>
              <w:t>Issuing Agency Contract dated as of February 8, 2005 between Chicago Title Insurance Company and LSI Title Company of</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Oregon, LLC.***</w:t>
            </w:r>
          </w:p>
        </w:tc>
        <w:tc>
          <w:tcPr>
            <w:tcW w:w="0" w:type="dxa"/>
            <w:vAlign w:val="bottom"/>
          </w:tcPr>
          <w:p>
            <w:pPr>
              <w:spacing w:after="0"/>
              <w:rPr>
                <w:sz w:val="1"/>
                <w:szCs w:val="1"/>
                <w:color w:val="auto"/>
              </w:rPr>
            </w:pPr>
          </w:p>
        </w:tc>
      </w:tr>
      <w:tr>
        <w:trPr>
          <w:trHeight w:val="405"/>
        </w:trPr>
        <w:tc>
          <w:tcPr>
            <w:tcW w:w="2000" w:type="dxa"/>
            <w:vAlign w:val="bottom"/>
          </w:tcPr>
          <w:p>
            <w:pPr>
              <w:spacing w:after="0"/>
              <w:rPr>
                <w:sz w:val="24"/>
                <w:szCs w:val="24"/>
                <w:color w:val="auto"/>
              </w:rPr>
            </w:pPr>
          </w:p>
        </w:tc>
        <w:tc>
          <w:tcPr>
            <w:tcW w:w="9420" w:type="dxa"/>
            <w:vAlign w:val="bottom"/>
            <w:gridSpan w:val="2"/>
          </w:tcPr>
          <w:p>
            <w:pPr>
              <w:jc w:val="right"/>
              <w:ind w:right="549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6"/>
        </w:trPr>
        <w:tc>
          <w:tcPr>
            <w:tcW w:w="20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jc w:val="right"/>
              <w:ind w:right="692"/>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080" w:type="dxa"/>
            <w:vAlign w:val="bottom"/>
            <w:vMerge w:val="restart"/>
          </w:tcPr>
          <w:p>
            <w:pPr>
              <w:ind w:left="4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10.30</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6"/>
              </w:rPr>
              <w:t>Issuing Agency Contract dated as of September 28, 2004 between Fidelity National Title Insurance Company and LSI</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Title Company.***</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10.31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6"/>
              </w:rPr>
              <w:t>Issuing Agency Contract dated as of September 28, 2004 between Fidelity National Title Insurance Company and LSI</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Title Agency, Inc.***</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10.32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2"/>
              </w:rPr>
              <w:t>Issuing Agency Contract dated as of September 28, 2004 between Fidelity National Title Insurance Company and Lender’s</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Service Title Agency, Inc.***</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10.33</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6"/>
              </w:rPr>
              <w:t>Issuing Agency Contract dated as of September 28, 2004 between Fidelity National Title Insurance Company and LSI</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Alabama, LLC.***</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10.34</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8"/>
              </w:rPr>
              <w:t>Issuing Agency Contract dated as of February 24, 2005 between Fidelity National Title Insurance Company and LSI</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Title Company of Oregon, LLC.***</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10.35</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6"/>
              </w:rPr>
              <w:t>Transitional Cost Sharing Agreement dated as of April 14, 2005 by and among Chicago Title Insurance Company, FIS</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Management Services, LLC, Lender’s Service Title Agency, Inc., LSI Alabama, LLC, LSI Maryland, Inc., LSI Title Agency,</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Inc., LSI Title Company, and LSI Title Company of Oregon, LLC.***</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10.36</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1"/>
              </w:rPr>
              <w:t>Agreement for Sale of Title Plants dated January 4, 2005 between Ticor Title Company of Oregon and LSI Title Company of</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Oregon, LLC.***</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10.37</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0"/>
              </w:rPr>
              <w:t>Agreement For Sale of Plant Index and For Use of Computerized Title Plant Services dated as of December 20, 2004 between</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Chicago Title Insurance Company and LSI Title Agency, Inc.***</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10.38</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2"/>
              </w:rPr>
              <w:t>Title Plant Maintenance Agreement dated as of March 4, 2005 among Property Insight, LLC, Security Union Title Insurance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Company, Chicago Title Insurance Company and Ticor Title Insurance Company.***</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10.39</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6"/>
              </w:rPr>
              <w:t>Amended and Restated Master Title Plant Access Agreement, dated as of February 1, 2006, between Rocky Mountain</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Support Services, Inc. and Property Insight, LLC, incorporated by reference to the FIS 8-K.</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10.40</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6"/>
              </w:rPr>
              <w:t>Title Plant Management Agreement dated as of May 17, 2005 between Property Insight, LLC and Ticor Title Insurance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Company of Florida.***</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10.41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Master Loan Agreement, dated December 28, 2000 among Chicago Title Insurance Company, Fidelity National</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Title Insurance Company, Ticor Title Insurance Company, Alamo Title Insurance Company, Security Union Title Insurance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Company and FNF.***</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10.42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7"/>
              </w:rPr>
              <w:t>Master Loan Agreement dated February 10, 1999 among Chicago Title and Trust Company, Chicago Title Insurance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Company, Security Union Title Insurance Company and Ticor Title Insurance Company.***</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10.43</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5"/>
              </w:rPr>
              <w:t>Amended and Restated OTS and OTS Gold Software License Agreement dated as of February 1, 2006 between Rocky</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Mountain Support Services, Inc. and Fidelity National Tax Service, Inc., incorporated by reference to the FIS 8-K.</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10.44</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0"/>
              </w:rPr>
              <w:t>Amended and Restated SIMON Software License Agreement dated as of February 1, 2006 between Rocky Mountain Support</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Services, Inc. and Fidelity National Tax Service, Inc., incorporated by reference to the FIS 8-K.</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10.45</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1"/>
              </w:rPr>
              <w:t>Amended and Restated TEAM Software License Agreement dated as of February 1, 2006 between Rocky Mountain Support</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Services, Inc. and Fidelity National Tax Service, Inc., incorporated by reference to the FIS 8-K.</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10.46</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89"/>
              </w:rPr>
              <w:t>Amended and Restated Cross Conveyance and Joint Ownership Agreement dated February 1, 2006 between Rocky Mountain</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Support Services, Inc. and LSI Title Company, incorporated by reference to the FIS 8-K.</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10.47</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0"/>
              </w:rPr>
              <w:t>Amended and Restated eLenderSolutions Software Development and Property Allocation Agreement dated as of February 1,</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5"/>
              </w:rPr>
              <w:t>2006 between Rocky Mountain Support Services, Inc. and LSI Title Company, incorporated by reference to the FIS 8-K.</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10.48</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2"/>
              </w:rPr>
              <w:t>Amended and Restated Titlepoint Software Development and Property Allocation Agreement dated as of February 1, 2006</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7"/>
              </w:rPr>
              <w:t>between Rocky Mountain Support Services, Inc. and Property Insight, LLC, incorporated by reference to the FIS 8-K.</w:t>
            </w:r>
          </w:p>
        </w:tc>
        <w:tc>
          <w:tcPr>
            <w:tcW w:w="0" w:type="dxa"/>
            <w:vAlign w:val="bottom"/>
          </w:tcPr>
          <w:p>
            <w:pPr>
              <w:spacing w:after="0"/>
              <w:rPr>
                <w:sz w:val="1"/>
                <w:szCs w:val="1"/>
                <w:color w:val="auto"/>
              </w:rPr>
            </w:pPr>
          </w:p>
        </w:tc>
      </w:tr>
      <w:tr>
        <w:trPr>
          <w:trHeight w:val="405"/>
        </w:trPr>
        <w:tc>
          <w:tcPr>
            <w:tcW w:w="2000" w:type="dxa"/>
            <w:vAlign w:val="bottom"/>
          </w:tcPr>
          <w:p>
            <w:pPr>
              <w:spacing w:after="0"/>
              <w:rPr>
                <w:sz w:val="24"/>
                <w:szCs w:val="24"/>
                <w:color w:val="auto"/>
              </w:rPr>
            </w:pPr>
          </w:p>
        </w:tc>
        <w:tc>
          <w:tcPr>
            <w:tcW w:w="9420" w:type="dxa"/>
            <w:vAlign w:val="bottom"/>
            <w:gridSpan w:val="2"/>
          </w:tcPr>
          <w:p>
            <w:pPr>
              <w:jc w:val="right"/>
              <w:ind w:right="549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6"/>
        </w:trPr>
        <w:tc>
          <w:tcPr>
            <w:tcW w:w="20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ind w:left="78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080" w:type="dxa"/>
            <w:vAlign w:val="bottom"/>
            <w:vMerge w:val="restart"/>
          </w:tcPr>
          <w:p>
            <w:pPr>
              <w:ind w:left="4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00" w:type="dxa"/>
            <w:vAlign w:val="bottom"/>
          </w:tcPr>
          <w:p>
            <w:pPr>
              <w:ind w:left="900"/>
              <w:spacing w:after="0"/>
              <w:rPr>
                <w:sz w:val="20"/>
                <w:szCs w:val="20"/>
                <w:color w:val="auto"/>
              </w:rPr>
            </w:pPr>
            <w:r>
              <w:rPr>
                <w:rFonts w:ascii="Arial" w:cs="Arial" w:eastAsia="Arial" w:hAnsi="Arial"/>
                <w:sz w:val="18"/>
                <w:szCs w:val="18"/>
                <w:color w:val="auto"/>
              </w:rPr>
              <w:t>10.49</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Fidelity National Title Group, Inc. 2005 Omnibus Incentive Plan.†</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10.50</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Fidelity National Title Group, Inc. Employee Stock Purchase Plan.†</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10.51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0"/>
              </w:rPr>
              <w:t>Form of Restricted Stock Grant Agreement, incorporated by reference to the Registrant’s Registration Statement on Form S-1</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(File No. 333-126402) filed on September 15, 2005.</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10.52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5"/>
              </w:rPr>
              <w:t>Credit Agreement, dated October 17, 2005 between the Registrant, Bank of America, N.A., as Administrative Agent and</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6"/>
              </w:rPr>
              <w:t>Swing Line Lender, and certain agents and other lenders party thereto, incorporated by reference to Exhibit 10-1 to the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Registrant’s current report on Form 8-K (File No. 1-32630) filed on October 21, 2005.</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10.53</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4"/>
              </w:rPr>
              <w:t>Amended and Restated Title Plant Master Services Agreement, dated as of February 1, 2006, between Rocky Mountain</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Support Services, Inc. and Property Insight, LLC, incorporated by reference to the FIS 8-K.</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Consents of KPMG LLP, Independent Registered Public Accounting Firm.*</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Certification by Chief Executive Officer of Periodic Financial Reports pursuant to Section 906 of the Sarbanes-Oxley Act of</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2002, 18 U.S.C. Section 1350.*</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Certification by Chief Financial Officer of Periodic Financial Reports pursuant to Section 906 of the Sarbanes-Oxley Act of</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2002, 18 U.S.C. Section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Filed herewith</w:t>
      </w:r>
    </w:p>
    <w:p>
      <w:pPr>
        <w:spacing w:after="0" w:line="63" w:lineRule="exact"/>
        <w:rPr>
          <w:sz w:val="20"/>
          <w:szCs w:val="20"/>
          <w:color w:val="auto"/>
        </w:rPr>
      </w:pPr>
    </w:p>
    <w:p>
      <w:pPr>
        <w:ind w:left="460" w:hanging="330"/>
        <w:spacing w:after="0"/>
        <w:tabs>
          <w:tab w:leader="none" w:pos="4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S-4 (File No. 333-129310) filed on October 28, 2005.</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to the Registrant’s Registration Statement on Form S-1 (File No. 333-126402) filed on September 26, 2005</w:t>
      </w:r>
    </w:p>
    <w:p>
      <w:pPr>
        <w:spacing w:after="0" w:line="6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 Incorporated by reference to the Registrant’s Quarterly Report on Form 10-Q for the quarter ended September 30, 2005 (File No. 1-32630)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80"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report to be signed on its behalf by the undersigned, thereunto duly authorized.</w:t>
      </w:r>
    </w:p>
    <w:p>
      <w:pPr>
        <w:spacing w:after="0" w:line="387"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IDELITY</w:t>
      </w:r>
      <w:r>
        <w:rPr>
          <w:rFonts w:ascii="Arial" w:cs="Arial" w:eastAsia="Arial" w:hAnsi="Arial"/>
          <w:sz w:val="18"/>
          <w:szCs w:val="18"/>
          <w:color w:val="auto"/>
        </w:rPr>
        <w:t xml:space="preserve"> N</w:t>
      </w:r>
      <w:r>
        <w:rPr>
          <w:rFonts w:ascii="Arial" w:cs="Arial" w:eastAsia="Arial" w:hAnsi="Arial"/>
          <w:sz w:val="12"/>
          <w:szCs w:val="12"/>
          <w:color w:val="auto"/>
        </w:rPr>
        <w:t>ATIONAL</w:t>
      </w:r>
      <w:r>
        <w:rPr>
          <w:rFonts w:ascii="Arial" w:cs="Arial" w:eastAsia="Arial" w:hAnsi="Arial"/>
          <w:sz w:val="18"/>
          <w:szCs w:val="18"/>
          <w:color w:val="auto"/>
        </w:rPr>
        <w:t xml:space="preserve"> T</w:t>
      </w:r>
      <w:r>
        <w:rPr>
          <w:rFonts w:ascii="Arial" w:cs="Arial" w:eastAsia="Arial" w:hAnsi="Arial"/>
          <w:sz w:val="12"/>
          <w:szCs w:val="12"/>
          <w:color w:val="auto"/>
        </w:rPr>
        <w:t>ITLE</w:t>
      </w:r>
      <w:r>
        <w:rPr>
          <w:rFonts w:ascii="Arial" w:cs="Arial" w:eastAsia="Arial" w:hAnsi="Arial"/>
          <w:sz w:val="18"/>
          <w:szCs w:val="18"/>
          <w:color w:val="auto"/>
        </w:rPr>
        <w:t xml:space="preserve"> G</w:t>
      </w:r>
      <w:r>
        <w:rPr>
          <w:rFonts w:ascii="Arial" w:cs="Arial" w:eastAsia="Arial" w:hAnsi="Arial"/>
          <w:sz w:val="12"/>
          <w:szCs w:val="12"/>
          <w:color w:val="auto"/>
        </w:rPr>
        <w:t>ROUP</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1440" w:type="dxa"/>
            <w:vAlign w:val="bottom"/>
            <w:gridSpan w:val="2"/>
          </w:tcPr>
          <w:p>
            <w:pPr>
              <w:spacing w:after="0"/>
              <w:rPr>
                <w:sz w:val="20"/>
                <w:szCs w:val="20"/>
                <w:color w:val="auto"/>
              </w:rPr>
            </w:pPr>
            <w:r>
              <w:rPr>
                <w:rFonts w:ascii="Arial" w:cs="Arial" w:eastAsia="Arial" w:hAnsi="Arial"/>
                <w:sz w:val="18"/>
                <w:szCs w:val="18"/>
                <w:color w:val="auto"/>
              </w:rPr>
              <w:t>By:</w:t>
            </w:r>
          </w:p>
        </w:tc>
        <w:tc>
          <w:tcPr>
            <w:tcW w:w="5440" w:type="dxa"/>
            <w:vAlign w:val="bottom"/>
          </w:tcPr>
          <w:p>
            <w:pPr>
              <w:ind w:left="1180"/>
              <w:spacing w:after="0"/>
              <w:rPr>
                <w:sz w:val="20"/>
                <w:szCs w:val="20"/>
                <w:color w:val="auto"/>
              </w:rPr>
            </w:pPr>
            <w:r>
              <w:rPr>
                <w:rFonts w:ascii="Arial" w:cs="Arial" w:eastAsia="Arial" w:hAnsi="Arial"/>
                <w:sz w:val="18"/>
                <w:szCs w:val="18"/>
                <w:color w:val="auto"/>
              </w:rPr>
              <w:t>/s/ RAYMOND R. QUIRK</w:t>
            </w:r>
          </w:p>
        </w:tc>
      </w:tr>
      <w:tr>
        <w:trPr>
          <w:trHeight w:val="41"/>
        </w:trPr>
        <w:tc>
          <w:tcPr>
            <w:tcW w:w="4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r>
      <w:tr>
        <w:trPr>
          <w:trHeight w:val="209"/>
        </w:trPr>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40" w:type="dxa"/>
            <w:vAlign w:val="bottom"/>
          </w:tcPr>
          <w:p>
            <w:pPr>
              <w:ind w:left="1320"/>
              <w:spacing w:after="0"/>
              <w:rPr>
                <w:sz w:val="20"/>
                <w:szCs w:val="20"/>
                <w:color w:val="auto"/>
              </w:rPr>
            </w:pPr>
            <w:r>
              <w:rPr>
                <w:rFonts w:ascii="Arial" w:cs="Arial" w:eastAsia="Arial" w:hAnsi="Arial"/>
                <w:sz w:val="18"/>
                <w:szCs w:val="18"/>
                <w:color w:val="auto"/>
              </w:rPr>
              <w:t>Raymond R. Quirk</w:t>
            </w:r>
          </w:p>
        </w:tc>
      </w:tr>
      <w:tr>
        <w:trPr>
          <w:trHeight w:val="230"/>
        </w:trPr>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440" w:type="dxa"/>
            <w:vAlign w:val="bottom"/>
          </w:tcPr>
          <w:p>
            <w:pPr>
              <w:ind w:left="118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2006</w:t>
      </w:r>
    </w:p>
    <w:p>
      <w:pPr>
        <w:spacing w:after="0" w:line="117" w:lineRule="exact"/>
        <w:rPr>
          <w:sz w:val="20"/>
          <w:szCs w:val="20"/>
          <w:color w:val="auto"/>
        </w:rPr>
      </w:pPr>
    </w:p>
    <w:p>
      <w:pPr>
        <w:ind w:right="700"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4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439"/>
        </w:trPr>
        <w:tc>
          <w:tcPr>
            <w:tcW w:w="5400" w:type="dxa"/>
            <w:vAlign w:val="bottom"/>
          </w:tcPr>
          <w:p>
            <w:pPr>
              <w:jc w:val="center"/>
              <w:spacing w:after="0"/>
              <w:rPr>
                <w:sz w:val="20"/>
                <w:szCs w:val="20"/>
                <w:color w:val="auto"/>
              </w:rPr>
            </w:pPr>
            <w:r>
              <w:rPr>
                <w:rFonts w:ascii="Arial" w:cs="Arial" w:eastAsia="Arial" w:hAnsi="Arial"/>
                <w:sz w:val="18"/>
                <w:szCs w:val="18"/>
                <w:color w:val="auto"/>
                <w:w w:val="98"/>
              </w:rPr>
              <w:t>/s/ W</w:t>
            </w:r>
            <w:r>
              <w:rPr>
                <w:rFonts w:ascii="Arial" w:cs="Arial" w:eastAsia="Arial" w:hAnsi="Arial"/>
                <w:sz w:val="12"/>
                <w:szCs w:val="12"/>
                <w:color w:val="auto"/>
                <w:w w:val="98"/>
              </w:rPr>
              <w:t>ILLIAM</w:t>
            </w:r>
            <w:r>
              <w:rPr>
                <w:rFonts w:ascii="Arial" w:cs="Arial" w:eastAsia="Arial" w:hAnsi="Arial"/>
                <w:sz w:val="18"/>
                <w:szCs w:val="18"/>
                <w:color w:val="auto"/>
                <w:w w:val="98"/>
              </w:rPr>
              <w:t xml:space="preserve"> P. F</w:t>
            </w:r>
            <w:r>
              <w:rPr>
                <w:rFonts w:ascii="Arial" w:cs="Arial" w:eastAsia="Arial" w:hAnsi="Arial"/>
                <w:sz w:val="12"/>
                <w:szCs w:val="12"/>
                <w:color w:val="auto"/>
                <w:w w:val="98"/>
              </w:rPr>
              <w:t>OLEY</w:t>
            </w:r>
            <w:r>
              <w:rPr>
                <w:rFonts w:ascii="Arial" w:cs="Arial" w:eastAsia="Arial" w:hAnsi="Arial"/>
                <w:sz w:val="18"/>
                <w:szCs w:val="18"/>
                <w:color w:val="auto"/>
                <w:w w:val="98"/>
              </w:rPr>
              <w:t>, II</w:t>
            </w:r>
          </w:p>
        </w:tc>
        <w:tc>
          <w:tcPr>
            <w:tcW w:w="3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15, 2006</w:t>
            </w:r>
          </w:p>
        </w:tc>
        <w:tc>
          <w:tcPr>
            <w:tcW w:w="0" w:type="dxa"/>
            <w:vAlign w:val="bottom"/>
          </w:tcPr>
          <w:p>
            <w:pPr>
              <w:spacing w:after="0"/>
              <w:rPr>
                <w:sz w:val="1"/>
                <w:szCs w:val="1"/>
                <w:color w:val="auto"/>
              </w:rPr>
            </w:pPr>
          </w:p>
        </w:tc>
      </w:tr>
      <w:tr>
        <w:trPr>
          <w:trHeight w:val="95"/>
        </w:trPr>
        <w:tc>
          <w:tcPr>
            <w:tcW w:w="5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400" w:type="dxa"/>
            <w:vAlign w:val="bottom"/>
          </w:tcPr>
          <w:p>
            <w:pPr>
              <w:jc w:val="center"/>
              <w:spacing w:after="0"/>
              <w:rPr>
                <w:sz w:val="20"/>
                <w:szCs w:val="20"/>
                <w:color w:val="auto"/>
              </w:rPr>
            </w:pPr>
            <w:r>
              <w:rPr>
                <w:rFonts w:ascii="Arial" w:cs="Arial" w:eastAsia="Arial" w:hAnsi="Arial"/>
                <w:sz w:val="18"/>
                <w:szCs w:val="18"/>
                <w:color w:val="auto"/>
                <w:w w:val="93"/>
              </w:rPr>
              <w:t>William P. Foley, II</w:t>
            </w: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jc w:val="center"/>
              <w:spacing w:after="0"/>
              <w:rPr>
                <w:sz w:val="20"/>
                <w:szCs w:val="20"/>
                <w:color w:val="auto"/>
              </w:rPr>
            </w:pPr>
            <w:r>
              <w:rPr>
                <w:rFonts w:ascii="Arial" w:cs="Arial" w:eastAsia="Arial" w:hAnsi="Arial"/>
                <w:sz w:val="18"/>
                <w:szCs w:val="18"/>
                <w:color w:val="auto"/>
                <w:w w:val="96"/>
              </w:rPr>
              <w:t>/s/ F</w:t>
            </w:r>
            <w:r>
              <w:rPr>
                <w:rFonts w:ascii="Arial" w:cs="Arial" w:eastAsia="Arial" w:hAnsi="Arial"/>
                <w:sz w:val="12"/>
                <w:szCs w:val="12"/>
                <w:color w:val="auto"/>
                <w:w w:val="96"/>
              </w:rPr>
              <w:t>RANK</w:t>
            </w:r>
            <w:r>
              <w:rPr>
                <w:rFonts w:ascii="Arial" w:cs="Arial" w:eastAsia="Arial" w:hAnsi="Arial"/>
                <w:sz w:val="18"/>
                <w:szCs w:val="18"/>
                <w:color w:val="auto"/>
                <w:w w:val="96"/>
              </w:rPr>
              <w:t xml:space="preserve"> P. W</w:t>
            </w:r>
            <w:r>
              <w:rPr>
                <w:rFonts w:ascii="Arial" w:cs="Arial" w:eastAsia="Arial" w:hAnsi="Arial"/>
                <w:sz w:val="12"/>
                <w:szCs w:val="12"/>
                <w:color w:val="auto"/>
                <w:w w:val="96"/>
              </w:rPr>
              <w:t>ILLEY</w:t>
            </w:r>
          </w:p>
        </w:tc>
        <w:tc>
          <w:tcPr>
            <w:tcW w:w="3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Vice Chairman and Director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15, 2006</w:t>
            </w:r>
          </w:p>
        </w:tc>
        <w:tc>
          <w:tcPr>
            <w:tcW w:w="0" w:type="dxa"/>
            <w:vAlign w:val="bottom"/>
          </w:tcPr>
          <w:p>
            <w:pPr>
              <w:spacing w:after="0"/>
              <w:rPr>
                <w:sz w:val="1"/>
                <w:szCs w:val="1"/>
                <w:color w:val="auto"/>
              </w:rPr>
            </w:pPr>
          </w:p>
        </w:tc>
      </w:tr>
      <w:tr>
        <w:trPr>
          <w:trHeight w:val="95"/>
        </w:trPr>
        <w:tc>
          <w:tcPr>
            <w:tcW w:w="5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400" w:type="dxa"/>
            <w:vAlign w:val="bottom"/>
          </w:tcPr>
          <w:p>
            <w:pPr>
              <w:jc w:val="center"/>
              <w:spacing w:after="0"/>
              <w:rPr>
                <w:sz w:val="20"/>
                <w:szCs w:val="20"/>
                <w:color w:val="auto"/>
              </w:rPr>
            </w:pPr>
            <w:r>
              <w:rPr>
                <w:rFonts w:ascii="Arial" w:cs="Arial" w:eastAsia="Arial" w:hAnsi="Arial"/>
                <w:sz w:val="18"/>
                <w:szCs w:val="18"/>
                <w:color w:val="auto"/>
                <w:w w:val="92"/>
              </w:rPr>
              <w:t>Frank P. Willey</w:t>
            </w: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jc w:val="center"/>
              <w:spacing w:after="0"/>
              <w:rPr>
                <w:sz w:val="20"/>
                <w:szCs w:val="20"/>
                <w:color w:val="auto"/>
              </w:rPr>
            </w:pPr>
            <w:r>
              <w:rPr>
                <w:rFonts w:ascii="Arial" w:cs="Arial" w:eastAsia="Arial" w:hAnsi="Arial"/>
                <w:sz w:val="18"/>
                <w:szCs w:val="18"/>
                <w:color w:val="auto"/>
                <w:w w:val="97"/>
              </w:rPr>
              <w:t>/s/ R</w:t>
            </w:r>
            <w:r>
              <w:rPr>
                <w:rFonts w:ascii="Arial" w:cs="Arial" w:eastAsia="Arial" w:hAnsi="Arial"/>
                <w:sz w:val="12"/>
                <w:szCs w:val="12"/>
                <w:color w:val="auto"/>
                <w:w w:val="97"/>
              </w:rPr>
              <w:t>AYMOND</w:t>
            </w:r>
            <w:r>
              <w:rPr>
                <w:rFonts w:ascii="Arial" w:cs="Arial" w:eastAsia="Arial" w:hAnsi="Arial"/>
                <w:sz w:val="18"/>
                <w:szCs w:val="18"/>
                <w:color w:val="auto"/>
                <w:w w:val="97"/>
              </w:rPr>
              <w:t xml:space="preserve"> R. Q</w:t>
            </w:r>
            <w:r>
              <w:rPr>
                <w:rFonts w:ascii="Arial" w:cs="Arial" w:eastAsia="Arial" w:hAnsi="Arial"/>
                <w:sz w:val="12"/>
                <w:szCs w:val="12"/>
                <w:color w:val="auto"/>
                <w:w w:val="97"/>
              </w:rPr>
              <w:t>UIRK</w:t>
            </w:r>
          </w:p>
        </w:tc>
        <w:tc>
          <w:tcPr>
            <w:tcW w:w="3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4"/>
              </w:rPr>
              <w:t>Chief Executive Officer (Principal Executive Officer)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15, 2006</w:t>
            </w:r>
          </w:p>
        </w:tc>
        <w:tc>
          <w:tcPr>
            <w:tcW w:w="0" w:type="dxa"/>
            <w:vAlign w:val="bottom"/>
          </w:tcPr>
          <w:p>
            <w:pPr>
              <w:spacing w:after="0"/>
              <w:rPr>
                <w:sz w:val="1"/>
                <w:szCs w:val="1"/>
                <w:color w:val="auto"/>
              </w:rPr>
            </w:pPr>
          </w:p>
        </w:tc>
      </w:tr>
      <w:tr>
        <w:trPr>
          <w:trHeight w:val="95"/>
        </w:trPr>
        <w:tc>
          <w:tcPr>
            <w:tcW w:w="5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400" w:type="dxa"/>
            <w:vAlign w:val="bottom"/>
          </w:tcPr>
          <w:p>
            <w:pPr>
              <w:jc w:val="center"/>
              <w:spacing w:after="0"/>
              <w:rPr>
                <w:sz w:val="20"/>
                <w:szCs w:val="20"/>
                <w:color w:val="auto"/>
              </w:rPr>
            </w:pPr>
            <w:r>
              <w:rPr>
                <w:rFonts w:ascii="Arial" w:cs="Arial" w:eastAsia="Arial" w:hAnsi="Arial"/>
                <w:sz w:val="18"/>
                <w:szCs w:val="18"/>
                <w:color w:val="auto"/>
                <w:w w:val="91"/>
              </w:rPr>
              <w:t>Raymond R. Quirk</w:t>
            </w: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400" w:type="dxa"/>
            <w:vAlign w:val="bottom"/>
          </w:tcPr>
          <w:p>
            <w:pPr>
              <w:jc w:val="center"/>
              <w:spacing w:after="0"/>
              <w:rPr>
                <w:sz w:val="20"/>
                <w:szCs w:val="20"/>
                <w:color w:val="auto"/>
              </w:rPr>
            </w:pPr>
            <w:r>
              <w:rPr>
                <w:rFonts w:ascii="Arial" w:cs="Arial" w:eastAsia="Arial" w:hAnsi="Arial"/>
                <w:sz w:val="18"/>
                <w:szCs w:val="18"/>
                <w:color w:val="auto"/>
                <w:w w:val="96"/>
              </w:rPr>
              <w:t>/s/ A</w:t>
            </w:r>
            <w:r>
              <w:rPr>
                <w:rFonts w:ascii="Arial" w:cs="Arial" w:eastAsia="Arial" w:hAnsi="Arial"/>
                <w:sz w:val="12"/>
                <w:szCs w:val="12"/>
                <w:color w:val="auto"/>
                <w:w w:val="96"/>
              </w:rPr>
              <w:t>NTHONY</w:t>
            </w:r>
            <w:r>
              <w:rPr>
                <w:rFonts w:ascii="Arial" w:cs="Arial" w:eastAsia="Arial" w:hAnsi="Arial"/>
                <w:sz w:val="18"/>
                <w:szCs w:val="18"/>
                <w:color w:val="auto"/>
                <w:w w:val="96"/>
              </w:rPr>
              <w:t xml:space="preserve"> J. P</w:t>
            </w:r>
            <w:r>
              <w:rPr>
                <w:rFonts w:ascii="Arial" w:cs="Arial" w:eastAsia="Arial" w:hAnsi="Arial"/>
                <w:sz w:val="12"/>
                <w:szCs w:val="12"/>
                <w:color w:val="auto"/>
                <w:w w:val="96"/>
              </w:rPr>
              <w:t>ARK</w:t>
            </w:r>
          </w:p>
        </w:tc>
        <w:tc>
          <w:tcPr>
            <w:tcW w:w="3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3"/>
              </w:rPr>
              <w:t>Chief Financial Officer (Principal Financial and</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15, 2006</w:t>
            </w:r>
          </w:p>
        </w:tc>
        <w:tc>
          <w:tcPr>
            <w:tcW w:w="0" w:type="dxa"/>
            <w:vAlign w:val="bottom"/>
          </w:tcPr>
          <w:p>
            <w:pPr>
              <w:spacing w:after="0"/>
              <w:rPr>
                <w:sz w:val="1"/>
                <w:szCs w:val="1"/>
                <w:color w:val="auto"/>
              </w:rPr>
            </w:pPr>
          </w:p>
        </w:tc>
      </w:tr>
      <w:tr>
        <w:trPr>
          <w:trHeight w:val="109"/>
        </w:trPr>
        <w:tc>
          <w:tcPr>
            <w:tcW w:w="54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100" w:type="dxa"/>
            <w:vAlign w:val="bottom"/>
            <w:vMerge w:val="restart"/>
          </w:tcPr>
          <w:p>
            <w:pPr>
              <w:jc w:val="center"/>
              <w:spacing w:after="0"/>
              <w:rPr>
                <w:sz w:val="20"/>
                <w:szCs w:val="20"/>
                <w:color w:val="auto"/>
              </w:rPr>
            </w:pPr>
            <w:r>
              <w:rPr>
                <w:rFonts w:ascii="Arial" w:cs="Arial" w:eastAsia="Arial" w:hAnsi="Arial"/>
                <w:sz w:val="18"/>
                <w:szCs w:val="18"/>
                <w:color w:val="auto"/>
                <w:w w:val="95"/>
              </w:rPr>
              <w:t>Accounting Officer)</w:t>
            </w: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400" w:type="dxa"/>
            <w:vAlign w:val="bottom"/>
            <w:vMerge w:val="restart"/>
          </w:tcPr>
          <w:p>
            <w:pPr>
              <w:jc w:val="center"/>
              <w:spacing w:after="0"/>
              <w:rPr>
                <w:sz w:val="20"/>
                <w:szCs w:val="20"/>
                <w:color w:val="auto"/>
              </w:rPr>
            </w:pPr>
            <w:r>
              <w:rPr>
                <w:rFonts w:ascii="Arial" w:cs="Arial" w:eastAsia="Arial" w:hAnsi="Arial"/>
                <w:sz w:val="18"/>
                <w:szCs w:val="18"/>
                <w:color w:val="auto"/>
                <w:w w:val="91"/>
              </w:rPr>
              <w:t>Anthony J. Park</w:t>
            </w:r>
          </w:p>
        </w:tc>
        <w:tc>
          <w:tcPr>
            <w:tcW w:w="340" w:type="dxa"/>
            <w:vAlign w:val="bottom"/>
          </w:tcPr>
          <w:p>
            <w:pPr>
              <w:spacing w:after="0"/>
              <w:rPr>
                <w:sz w:val="8"/>
                <w:szCs w:val="8"/>
                <w:color w:val="auto"/>
              </w:rPr>
            </w:pPr>
          </w:p>
        </w:tc>
        <w:tc>
          <w:tcPr>
            <w:tcW w:w="41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4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5400" w:type="dxa"/>
            <w:vAlign w:val="bottom"/>
          </w:tcPr>
          <w:p>
            <w:pPr>
              <w:jc w:val="center"/>
              <w:spacing w:after="0"/>
              <w:rPr>
                <w:sz w:val="20"/>
                <w:szCs w:val="20"/>
                <w:color w:val="auto"/>
              </w:rPr>
            </w:pPr>
            <w:r>
              <w:rPr>
                <w:rFonts w:ascii="Arial" w:cs="Arial" w:eastAsia="Arial" w:hAnsi="Arial"/>
                <w:sz w:val="18"/>
                <w:szCs w:val="18"/>
                <w:color w:val="auto"/>
                <w:w w:val="98"/>
              </w:rPr>
              <w:t>/s/ W</w:t>
            </w:r>
            <w:r>
              <w:rPr>
                <w:rFonts w:ascii="Arial" w:cs="Arial" w:eastAsia="Arial" w:hAnsi="Arial"/>
                <w:sz w:val="12"/>
                <w:szCs w:val="12"/>
                <w:color w:val="auto"/>
                <w:w w:val="98"/>
              </w:rPr>
              <w:t>ILLIAM</w:t>
            </w:r>
            <w:r>
              <w:rPr>
                <w:rFonts w:ascii="Arial" w:cs="Arial" w:eastAsia="Arial" w:hAnsi="Arial"/>
                <w:sz w:val="18"/>
                <w:szCs w:val="18"/>
                <w:color w:val="auto"/>
                <w:w w:val="98"/>
              </w:rPr>
              <w:t xml:space="preserve"> G. B</w:t>
            </w:r>
            <w:r>
              <w:rPr>
                <w:rFonts w:ascii="Arial" w:cs="Arial" w:eastAsia="Arial" w:hAnsi="Arial"/>
                <w:sz w:val="12"/>
                <w:szCs w:val="12"/>
                <w:color w:val="auto"/>
                <w:w w:val="98"/>
              </w:rPr>
              <w:t>ONE</w:t>
            </w:r>
          </w:p>
        </w:tc>
        <w:tc>
          <w:tcPr>
            <w:tcW w:w="3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15, 2006</w:t>
            </w:r>
          </w:p>
        </w:tc>
        <w:tc>
          <w:tcPr>
            <w:tcW w:w="0" w:type="dxa"/>
            <w:vAlign w:val="bottom"/>
          </w:tcPr>
          <w:p>
            <w:pPr>
              <w:spacing w:after="0"/>
              <w:rPr>
                <w:sz w:val="1"/>
                <w:szCs w:val="1"/>
                <w:color w:val="auto"/>
              </w:rPr>
            </w:pPr>
          </w:p>
        </w:tc>
      </w:tr>
      <w:tr>
        <w:trPr>
          <w:trHeight w:val="95"/>
        </w:trPr>
        <w:tc>
          <w:tcPr>
            <w:tcW w:w="5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400" w:type="dxa"/>
            <w:vAlign w:val="bottom"/>
          </w:tcPr>
          <w:p>
            <w:pPr>
              <w:jc w:val="center"/>
              <w:spacing w:after="0"/>
              <w:rPr>
                <w:sz w:val="20"/>
                <w:szCs w:val="20"/>
                <w:color w:val="auto"/>
              </w:rPr>
            </w:pPr>
            <w:r>
              <w:rPr>
                <w:rFonts w:ascii="Arial" w:cs="Arial" w:eastAsia="Arial" w:hAnsi="Arial"/>
                <w:sz w:val="18"/>
                <w:szCs w:val="18"/>
                <w:color w:val="auto"/>
                <w:w w:val="96"/>
              </w:rPr>
              <w:t>William G. Bone</w:t>
            </w: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jc w:val="center"/>
              <w:spacing w:after="0"/>
              <w:rPr>
                <w:sz w:val="20"/>
                <w:szCs w:val="20"/>
                <w:color w:val="auto"/>
              </w:rPr>
            </w:pPr>
            <w:r>
              <w:rPr>
                <w:rFonts w:ascii="Arial" w:cs="Arial" w:eastAsia="Arial" w:hAnsi="Arial"/>
                <w:sz w:val="18"/>
                <w:szCs w:val="18"/>
                <w:color w:val="auto"/>
                <w:w w:val="98"/>
              </w:rPr>
              <w:t>/s/ W</w:t>
            </w:r>
            <w:r>
              <w:rPr>
                <w:rFonts w:ascii="Arial" w:cs="Arial" w:eastAsia="Arial" w:hAnsi="Arial"/>
                <w:sz w:val="12"/>
                <w:szCs w:val="12"/>
                <w:color w:val="auto"/>
                <w:w w:val="98"/>
              </w:rPr>
              <w:t>ILLIE</w:t>
            </w:r>
            <w:r>
              <w:rPr>
                <w:rFonts w:ascii="Arial" w:cs="Arial" w:eastAsia="Arial" w:hAnsi="Arial"/>
                <w:sz w:val="18"/>
                <w:szCs w:val="18"/>
                <w:color w:val="auto"/>
                <w:w w:val="98"/>
              </w:rPr>
              <w:t xml:space="preserve"> D. D</w:t>
            </w:r>
            <w:r>
              <w:rPr>
                <w:rFonts w:ascii="Arial" w:cs="Arial" w:eastAsia="Arial" w:hAnsi="Arial"/>
                <w:sz w:val="12"/>
                <w:szCs w:val="12"/>
                <w:color w:val="auto"/>
                <w:w w:val="98"/>
              </w:rPr>
              <w:t>AVIS</w:t>
            </w:r>
          </w:p>
        </w:tc>
        <w:tc>
          <w:tcPr>
            <w:tcW w:w="3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15, 2006</w:t>
            </w:r>
          </w:p>
        </w:tc>
        <w:tc>
          <w:tcPr>
            <w:tcW w:w="0" w:type="dxa"/>
            <w:vAlign w:val="bottom"/>
          </w:tcPr>
          <w:p>
            <w:pPr>
              <w:spacing w:after="0"/>
              <w:rPr>
                <w:sz w:val="1"/>
                <w:szCs w:val="1"/>
                <w:color w:val="auto"/>
              </w:rPr>
            </w:pPr>
          </w:p>
        </w:tc>
      </w:tr>
      <w:tr>
        <w:trPr>
          <w:trHeight w:val="95"/>
        </w:trPr>
        <w:tc>
          <w:tcPr>
            <w:tcW w:w="5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400" w:type="dxa"/>
            <w:vAlign w:val="bottom"/>
          </w:tcPr>
          <w:p>
            <w:pPr>
              <w:jc w:val="center"/>
              <w:spacing w:after="0"/>
              <w:rPr>
                <w:sz w:val="20"/>
                <w:szCs w:val="20"/>
                <w:color w:val="auto"/>
              </w:rPr>
            </w:pPr>
            <w:r>
              <w:rPr>
                <w:rFonts w:ascii="Arial" w:cs="Arial" w:eastAsia="Arial" w:hAnsi="Arial"/>
                <w:sz w:val="18"/>
                <w:szCs w:val="18"/>
                <w:color w:val="auto"/>
                <w:w w:val="96"/>
              </w:rPr>
              <w:t>Willie D. Davis</w:t>
            </w: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jc w:val="center"/>
              <w:spacing w:after="0"/>
              <w:rPr>
                <w:sz w:val="20"/>
                <w:szCs w:val="20"/>
                <w:color w:val="auto"/>
              </w:rPr>
            </w:pPr>
            <w:r>
              <w:rPr>
                <w:rFonts w:ascii="Arial" w:cs="Arial" w:eastAsia="Arial" w:hAnsi="Arial"/>
                <w:sz w:val="18"/>
                <w:szCs w:val="18"/>
                <w:color w:val="auto"/>
                <w:w w:val="93"/>
              </w:rPr>
              <w:t>/s/ J</w:t>
            </w:r>
            <w:r>
              <w:rPr>
                <w:rFonts w:ascii="Arial" w:cs="Arial" w:eastAsia="Arial" w:hAnsi="Arial"/>
                <w:sz w:val="12"/>
                <w:szCs w:val="12"/>
                <w:color w:val="auto"/>
                <w:w w:val="93"/>
              </w:rPr>
              <w:t>OHN</w:t>
            </w:r>
            <w:r>
              <w:rPr>
                <w:rFonts w:ascii="Arial" w:cs="Arial" w:eastAsia="Arial" w:hAnsi="Arial"/>
                <w:sz w:val="18"/>
                <w:szCs w:val="18"/>
                <w:color w:val="auto"/>
                <w:w w:val="93"/>
              </w:rPr>
              <w:t xml:space="preserve"> F. F</w:t>
            </w:r>
            <w:r>
              <w:rPr>
                <w:rFonts w:ascii="Arial" w:cs="Arial" w:eastAsia="Arial" w:hAnsi="Arial"/>
                <w:sz w:val="12"/>
                <w:szCs w:val="12"/>
                <w:color w:val="auto"/>
                <w:w w:val="93"/>
              </w:rPr>
              <w:t>ARRELL</w:t>
            </w:r>
            <w:r>
              <w:rPr>
                <w:rFonts w:ascii="Arial" w:cs="Arial" w:eastAsia="Arial" w:hAnsi="Arial"/>
                <w:sz w:val="18"/>
                <w:szCs w:val="18"/>
                <w:color w:val="auto"/>
                <w:w w:val="93"/>
              </w:rPr>
              <w:t>, J</w:t>
            </w:r>
            <w:r>
              <w:rPr>
                <w:rFonts w:ascii="Arial" w:cs="Arial" w:eastAsia="Arial" w:hAnsi="Arial"/>
                <w:sz w:val="12"/>
                <w:szCs w:val="12"/>
                <w:color w:val="auto"/>
                <w:w w:val="93"/>
              </w:rPr>
              <w:t>R</w:t>
            </w:r>
            <w:r>
              <w:rPr>
                <w:rFonts w:ascii="Arial" w:cs="Arial" w:eastAsia="Arial" w:hAnsi="Arial"/>
                <w:sz w:val="18"/>
                <w:szCs w:val="18"/>
                <w:color w:val="auto"/>
                <w:w w:val="93"/>
              </w:rPr>
              <w:t>.</w:t>
            </w:r>
          </w:p>
        </w:tc>
        <w:tc>
          <w:tcPr>
            <w:tcW w:w="3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15, 2006</w:t>
            </w:r>
          </w:p>
        </w:tc>
        <w:tc>
          <w:tcPr>
            <w:tcW w:w="0" w:type="dxa"/>
            <w:vAlign w:val="bottom"/>
          </w:tcPr>
          <w:p>
            <w:pPr>
              <w:spacing w:after="0"/>
              <w:rPr>
                <w:sz w:val="1"/>
                <w:szCs w:val="1"/>
                <w:color w:val="auto"/>
              </w:rPr>
            </w:pPr>
          </w:p>
        </w:tc>
      </w:tr>
      <w:tr>
        <w:trPr>
          <w:trHeight w:val="95"/>
        </w:trPr>
        <w:tc>
          <w:tcPr>
            <w:tcW w:w="5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400" w:type="dxa"/>
            <w:vAlign w:val="bottom"/>
          </w:tcPr>
          <w:p>
            <w:pPr>
              <w:jc w:val="center"/>
              <w:spacing w:after="0"/>
              <w:rPr>
                <w:sz w:val="20"/>
                <w:szCs w:val="20"/>
                <w:color w:val="auto"/>
              </w:rPr>
            </w:pPr>
            <w:r>
              <w:rPr>
                <w:rFonts w:ascii="Arial" w:cs="Arial" w:eastAsia="Arial" w:hAnsi="Arial"/>
                <w:sz w:val="18"/>
                <w:szCs w:val="18"/>
                <w:color w:val="auto"/>
                <w:w w:val="88"/>
              </w:rPr>
              <w:t>John F. Farrell, Jr.</w:t>
            </w: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jc w:val="center"/>
              <w:spacing w:after="0"/>
              <w:rPr>
                <w:sz w:val="20"/>
                <w:szCs w:val="20"/>
                <w:color w:val="auto"/>
              </w:rPr>
            </w:pPr>
            <w:r>
              <w:rPr>
                <w:rFonts w:ascii="Arial" w:cs="Arial" w:eastAsia="Arial" w:hAnsi="Arial"/>
                <w:sz w:val="18"/>
                <w:szCs w:val="18"/>
                <w:color w:val="auto"/>
                <w:w w:val="95"/>
              </w:rPr>
              <w:t>/s/ P</w:t>
            </w:r>
            <w:r>
              <w:rPr>
                <w:rFonts w:ascii="Arial" w:cs="Arial" w:eastAsia="Arial" w:hAnsi="Arial"/>
                <w:sz w:val="12"/>
                <w:szCs w:val="12"/>
                <w:color w:val="auto"/>
                <w:w w:val="95"/>
              </w:rPr>
              <w:t>HILIP</w:t>
            </w:r>
            <w:r>
              <w:rPr>
                <w:rFonts w:ascii="Arial" w:cs="Arial" w:eastAsia="Arial" w:hAnsi="Arial"/>
                <w:sz w:val="18"/>
                <w:szCs w:val="18"/>
                <w:color w:val="auto"/>
                <w:w w:val="95"/>
              </w:rPr>
              <w:t xml:space="preserve"> G. H</w:t>
            </w:r>
            <w:r>
              <w:rPr>
                <w:rFonts w:ascii="Arial" w:cs="Arial" w:eastAsia="Arial" w:hAnsi="Arial"/>
                <w:sz w:val="12"/>
                <w:szCs w:val="12"/>
                <w:color w:val="auto"/>
                <w:w w:val="95"/>
              </w:rPr>
              <w:t>EASLEY</w:t>
            </w:r>
          </w:p>
        </w:tc>
        <w:tc>
          <w:tcPr>
            <w:tcW w:w="3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15, 2006</w:t>
            </w:r>
          </w:p>
        </w:tc>
        <w:tc>
          <w:tcPr>
            <w:tcW w:w="0" w:type="dxa"/>
            <w:vAlign w:val="bottom"/>
          </w:tcPr>
          <w:p>
            <w:pPr>
              <w:spacing w:after="0"/>
              <w:rPr>
                <w:sz w:val="1"/>
                <w:szCs w:val="1"/>
                <w:color w:val="auto"/>
              </w:rPr>
            </w:pPr>
          </w:p>
        </w:tc>
      </w:tr>
      <w:tr>
        <w:trPr>
          <w:trHeight w:val="95"/>
        </w:trPr>
        <w:tc>
          <w:tcPr>
            <w:tcW w:w="5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400" w:type="dxa"/>
            <w:vAlign w:val="bottom"/>
          </w:tcPr>
          <w:p>
            <w:pPr>
              <w:jc w:val="center"/>
              <w:spacing w:after="0"/>
              <w:rPr>
                <w:sz w:val="20"/>
                <w:szCs w:val="20"/>
                <w:color w:val="auto"/>
              </w:rPr>
            </w:pPr>
            <w:r>
              <w:rPr>
                <w:rFonts w:ascii="Arial" w:cs="Arial" w:eastAsia="Arial" w:hAnsi="Arial"/>
                <w:sz w:val="18"/>
                <w:szCs w:val="18"/>
                <w:color w:val="auto"/>
                <w:w w:val="92"/>
              </w:rPr>
              <w:t>Philip G. Heasley</w:t>
            </w: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jc w:val="center"/>
              <w:spacing w:after="0"/>
              <w:rPr>
                <w:sz w:val="20"/>
                <w:szCs w:val="20"/>
                <w:color w:val="auto"/>
              </w:rPr>
            </w:pPr>
            <w:r>
              <w:rPr>
                <w:rFonts w:ascii="Arial" w:cs="Arial" w:eastAsia="Arial" w:hAnsi="Arial"/>
                <w:sz w:val="18"/>
                <w:szCs w:val="18"/>
                <w:color w:val="auto"/>
                <w:w w:val="99"/>
              </w:rPr>
              <w:t>/s/ W</w:t>
            </w:r>
            <w:r>
              <w:rPr>
                <w:rFonts w:ascii="Arial" w:cs="Arial" w:eastAsia="Arial" w:hAnsi="Arial"/>
                <w:sz w:val="12"/>
                <w:szCs w:val="12"/>
                <w:color w:val="auto"/>
                <w:w w:val="99"/>
              </w:rPr>
              <w:t>ILLIAM</w:t>
            </w:r>
            <w:r>
              <w:rPr>
                <w:rFonts w:ascii="Arial" w:cs="Arial" w:eastAsia="Arial" w:hAnsi="Arial"/>
                <w:sz w:val="18"/>
                <w:szCs w:val="18"/>
                <w:color w:val="auto"/>
                <w:w w:val="99"/>
              </w:rPr>
              <w:t xml:space="preserve"> A. I</w:t>
            </w:r>
            <w:r>
              <w:rPr>
                <w:rFonts w:ascii="Arial" w:cs="Arial" w:eastAsia="Arial" w:hAnsi="Arial"/>
                <w:sz w:val="12"/>
                <w:szCs w:val="12"/>
                <w:color w:val="auto"/>
                <w:w w:val="99"/>
              </w:rPr>
              <w:t>MPARATO</w:t>
            </w:r>
          </w:p>
        </w:tc>
        <w:tc>
          <w:tcPr>
            <w:tcW w:w="3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15, 2006</w:t>
            </w:r>
          </w:p>
        </w:tc>
        <w:tc>
          <w:tcPr>
            <w:tcW w:w="0" w:type="dxa"/>
            <w:vAlign w:val="bottom"/>
          </w:tcPr>
          <w:p>
            <w:pPr>
              <w:spacing w:after="0"/>
              <w:rPr>
                <w:sz w:val="1"/>
                <w:szCs w:val="1"/>
                <w:color w:val="auto"/>
              </w:rPr>
            </w:pPr>
          </w:p>
        </w:tc>
      </w:tr>
      <w:tr>
        <w:trPr>
          <w:trHeight w:val="95"/>
        </w:trPr>
        <w:tc>
          <w:tcPr>
            <w:tcW w:w="5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400" w:type="dxa"/>
            <w:vAlign w:val="bottom"/>
          </w:tcPr>
          <w:p>
            <w:pPr>
              <w:jc w:val="center"/>
              <w:spacing w:after="0"/>
              <w:rPr>
                <w:sz w:val="20"/>
                <w:szCs w:val="20"/>
                <w:color w:val="auto"/>
              </w:rPr>
            </w:pPr>
            <w:r>
              <w:rPr>
                <w:rFonts w:ascii="Arial" w:cs="Arial" w:eastAsia="Arial" w:hAnsi="Arial"/>
                <w:sz w:val="18"/>
                <w:szCs w:val="18"/>
                <w:color w:val="auto"/>
                <w:w w:val="96"/>
              </w:rPr>
              <w:t>William A. Imparato</w:t>
            </w: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jc w:val="center"/>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ONALD</w:t>
            </w:r>
            <w:r>
              <w:rPr>
                <w:rFonts w:ascii="Arial" w:cs="Arial" w:eastAsia="Arial" w:hAnsi="Arial"/>
                <w:sz w:val="18"/>
                <w:szCs w:val="18"/>
                <w:color w:val="auto"/>
              </w:rPr>
              <w:t xml:space="preserve"> M. K</w:t>
            </w:r>
            <w:r>
              <w:rPr>
                <w:rFonts w:ascii="Arial" w:cs="Arial" w:eastAsia="Arial" w:hAnsi="Arial"/>
                <w:sz w:val="12"/>
                <w:szCs w:val="12"/>
                <w:color w:val="auto"/>
              </w:rPr>
              <w:t>OLL</w:t>
            </w:r>
          </w:p>
        </w:tc>
        <w:tc>
          <w:tcPr>
            <w:tcW w:w="3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15, 2006</w:t>
            </w:r>
          </w:p>
        </w:tc>
        <w:tc>
          <w:tcPr>
            <w:tcW w:w="0" w:type="dxa"/>
            <w:vAlign w:val="bottom"/>
          </w:tcPr>
          <w:p>
            <w:pPr>
              <w:spacing w:after="0"/>
              <w:rPr>
                <w:sz w:val="1"/>
                <w:szCs w:val="1"/>
                <w:color w:val="auto"/>
              </w:rPr>
            </w:pPr>
          </w:p>
        </w:tc>
      </w:tr>
      <w:tr>
        <w:trPr>
          <w:trHeight w:val="95"/>
        </w:trPr>
        <w:tc>
          <w:tcPr>
            <w:tcW w:w="5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400" w:type="dxa"/>
            <w:vAlign w:val="bottom"/>
          </w:tcPr>
          <w:p>
            <w:pPr>
              <w:jc w:val="center"/>
              <w:spacing w:after="0"/>
              <w:rPr>
                <w:sz w:val="20"/>
                <w:szCs w:val="20"/>
                <w:color w:val="auto"/>
              </w:rPr>
            </w:pPr>
            <w:r>
              <w:rPr>
                <w:rFonts w:ascii="Arial" w:cs="Arial" w:eastAsia="Arial" w:hAnsi="Arial"/>
                <w:sz w:val="18"/>
                <w:szCs w:val="18"/>
                <w:color w:val="auto"/>
                <w:w w:val="99"/>
              </w:rPr>
              <w:t>Donald M. Koll</w:t>
            </w: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jc w:val="cente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ENERAL</w:t>
            </w:r>
            <w:r>
              <w:rPr>
                <w:rFonts w:ascii="Arial" w:cs="Arial" w:eastAsia="Arial" w:hAnsi="Arial"/>
                <w:sz w:val="18"/>
                <w:szCs w:val="18"/>
                <w:color w:val="auto"/>
              </w:rPr>
              <w:t xml:space="preserve"> W</w:t>
            </w:r>
            <w:r>
              <w:rPr>
                <w:rFonts w:ascii="Arial" w:cs="Arial" w:eastAsia="Arial" w:hAnsi="Arial"/>
                <w:sz w:val="12"/>
                <w:szCs w:val="12"/>
                <w:color w:val="auto"/>
              </w:rPr>
              <w:t>ILLIAM</w:t>
            </w:r>
            <w:r>
              <w:rPr>
                <w:rFonts w:ascii="Arial" w:cs="Arial" w:eastAsia="Arial" w:hAnsi="Arial"/>
                <w:sz w:val="18"/>
                <w:szCs w:val="18"/>
                <w:color w:val="auto"/>
              </w:rPr>
              <w:t xml:space="preserve"> L</w:t>
            </w:r>
            <w:r>
              <w:rPr>
                <w:rFonts w:ascii="Arial" w:cs="Arial" w:eastAsia="Arial" w:hAnsi="Arial"/>
                <w:sz w:val="12"/>
                <w:szCs w:val="12"/>
                <w:color w:val="auto"/>
              </w:rPr>
              <w:t>YON</w:t>
            </w:r>
          </w:p>
        </w:tc>
        <w:tc>
          <w:tcPr>
            <w:tcW w:w="3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15, 2006</w:t>
            </w:r>
          </w:p>
        </w:tc>
        <w:tc>
          <w:tcPr>
            <w:tcW w:w="0" w:type="dxa"/>
            <w:vAlign w:val="bottom"/>
          </w:tcPr>
          <w:p>
            <w:pPr>
              <w:spacing w:after="0"/>
              <w:rPr>
                <w:sz w:val="1"/>
                <w:szCs w:val="1"/>
                <w:color w:val="auto"/>
              </w:rPr>
            </w:pPr>
          </w:p>
        </w:tc>
      </w:tr>
      <w:tr>
        <w:trPr>
          <w:trHeight w:val="95"/>
        </w:trPr>
        <w:tc>
          <w:tcPr>
            <w:tcW w:w="5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400" w:type="dxa"/>
            <w:vAlign w:val="bottom"/>
          </w:tcPr>
          <w:p>
            <w:pPr>
              <w:jc w:val="center"/>
              <w:spacing w:after="0"/>
              <w:rPr>
                <w:sz w:val="20"/>
                <w:szCs w:val="20"/>
                <w:color w:val="auto"/>
              </w:rPr>
            </w:pPr>
            <w:r>
              <w:rPr>
                <w:rFonts w:ascii="Arial" w:cs="Arial" w:eastAsia="Arial" w:hAnsi="Arial"/>
                <w:sz w:val="18"/>
                <w:szCs w:val="18"/>
                <w:color w:val="auto"/>
                <w:w w:val="93"/>
              </w:rPr>
              <w:t>General William Lyon</w:t>
            </w: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Title Group, Inc.:</w:t>
      </w:r>
    </w:p>
    <w:p>
      <w:pPr>
        <w:spacing w:after="0" w:line="103"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Under date of March 13, 2006, we reported on the Consolidated and Combined Balance Sheets of Fidelity National Title Group, Inc. and subsidiaries as of December 31, 2005 and 2004, and the related Consolidated and Combined Statements of Earnings and Comprehensive Earnings, Stockholders’ Equity and Cash Flows for each of the years in the three-year period ended December 31, 2005, which are included in the Annual Report on Form 10-K. In connection with our audits of the aforementioned Consolidated and Combined Financial Statements, we also audited the related financial statement schedules as listed under Item 15(a)2. These financial statement schedules are the responsibility of the Company’s management. Our responsibility is to express an opinion on these financial statement schedules based on our audits.</w:t>
      </w:r>
    </w:p>
    <w:p>
      <w:pPr>
        <w:spacing w:after="0" w:line="85"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In our opinion, such financial statement schedules, when considered in relation to the basic Consolidated and Combined Financial Statements taken as a whole, present fairly, in all material respects, the information set forth therein.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13, 2006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6100" w:type="dxa"/>
            <w:vAlign w:val="bottom"/>
          </w:tcPr>
          <w:p>
            <w:pPr>
              <w:jc w:val="center"/>
              <w:ind w:left="1110"/>
              <w:spacing w:after="0"/>
              <w:rPr>
                <w:sz w:val="20"/>
                <w:szCs w:val="20"/>
                <w:color w:val="auto"/>
              </w:rPr>
            </w:pPr>
            <w:r>
              <w:rPr>
                <w:rFonts w:ascii="Arial" w:cs="Arial" w:eastAsia="Arial" w:hAnsi="Arial"/>
                <w:sz w:val="18"/>
                <w:szCs w:val="18"/>
                <w:b w:val="1"/>
                <w:bCs w:val="1"/>
                <w:color w:val="auto"/>
              </w:rPr>
              <w:t>FIDELITY NATIONAL TITLE GROUP, INC.</w:t>
            </w: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2060" w:type="dxa"/>
            <w:vAlign w:val="bottom"/>
          </w:tcPr>
          <w:p>
            <w:pPr>
              <w:spacing w:after="0"/>
              <w:rPr>
                <w:sz w:val="20"/>
                <w:szCs w:val="20"/>
                <w:color w:val="auto"/>
              </w:rPr>
            </w:pPr>
          </w:p>
        </w:tc>
        <w:tc>
          <w:tcPr>
            <w:tcW w:w="610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(Parent Company)</w:t>
            </w: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2060" w:type="dxa"/>
            <w:vAlign w:val="bottom"/>
          </w:tcPr>
          <w:p>
            <w:pPr>
              <w:spacing w:after="0"/>
              <w:rPr>
                <w:sz w:val="24"/>
                <w:szCs w:val="24"/>
                <w:color w:val="auto"/>
              </w:rPr>
            </w:pPr>
          </w:p>
        </w:tc>
        <w:tc>
          <w:tcPr>
            <w:tcW w:w="6100" w:type="dxa"/>
            <w:vAlign w:val="bottom"/>
          </w:tcPr>
          <w:p>
            <w:pPr>
              <w:jc w:val="center"/>
              <w:ind w:left="1110"/>
              <w:spacing w:after="0"/>
              <w:rPr>
                <w:sz w:val="20"/>
                <w:szCs w:val="20"/>
                <w:color w:val="auto"/>
              </w:rPr>
            </w:pPr>
            <w:r>
              <w:rPr>
                <w:rFonts w:ascii="Arial" w:cs="Arial" w:eastAsia="Arial" w:hAnsi="Arial"/>
                <w:sz w:val="18"/>
                <w:szCs w:val="18"/>
                <w:b w:val="1"/>
                <w:bCs w:val="1"/>
                <w:color w:val="auto"/>
                <w:w w:val="98"/>
              </w:rPr>
              <w:t>BALANCE SHEETS</w:t>
            </w: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2060" w:type="dxa"/>
            <w:vAlign w:val="bottom"/>
          </w:tcPr>
          <w:p>
            <w:pPr>
              <w:spacing w:after="0"/>
              <w:rPr>
                <w:sz w:val="23"/>
                <w:szCs w:val="23"/>
                <w:color w:val="auto"/>
              </w:rPr>
            </w:pPr>
          </w:p>
        </w:tc>
        <w:tc>
          <w:tcPr>
            <w:tcW w:w="6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98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1"/>
              </w:rPr>
              <w:t>December 31, 2005</w:t>
            </w:r>
          </w:p>
        </w:tc>
      </w:tr>
      <w:tr>
        <w:trPr>
          <w:trHeight w:val="133"/>
        </w:trPr>
        <w:tc>
          <w:tcPr>
            <w:tcW w:w="206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tcPr>
          <w:p>
            <w:pPr>
              <w:jc w:val="center"/>
              <w:ind w:right="192"/>
              <w:spacing w:after="0" w:line="133" w:lineRule="exact"/>
              <w:rPr>
                <w:sz w:val="20"/>
                <w:szCs w:val="20"/>
                <w:color w:val="auto"/>
              </w:rPr>
            </w:pPr>
            <w:r>
              <w:rPr>
                <w:rFonts w:ascii="Arial" w:cs="Arial" w:eastAsia="Arial" w:hAnsi="Arial"/>
                <w:sz w:val="14"/>
                <w:szCs w:val="14"/>
                <w:b w:val="1"/>
                <w:bCs w:val="1"/>
                <w:color w:val="auto"/>
                <w:w w:val="91"/>
              </w:rPr>
              <w:t>(In thousands,</w:t>
            </w:r>
          </w:p>
        </w:tc>
        <w:tc>
          <w:tcPr>
            <w:tcW w:w="1180" w:type="dxa"/>
            <w:vAlign w:val="bottom"/>
          </w:tcPr>
          <w:p>
            <w:pPr>
              <w:spacing w:after="0"/>
              <w:rPr>
                <w:sz w:val="11"/>
                <w:szCs w:val="11"/>
                <w:color w:val="auto"/>
              </w:rPr>
            </w:pPr>
          </w:p>
        </w:tc>
      </w:tr>
      <w:tr>
        <w:trPr>
          <w:trHeight w:val="171"/>
        </w:trPr>
        <w:tc>
          <w:tcPr>
            <w:tcW w:w="206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8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1"/>
              </w:rPr>
              <w:t>except share data)</w:t>
            </w:r>
          </w:p>
        </w:tc>
      </w:tr>
      <w:tr>
        <w:trPr>
          <w:trHeight w:val="216"/>
        </w:trPr>
        <w:tc>
          <w:tcPr>
            <w:tcW w:w="2060" w:type="dxa"/>
            <w:vAlign w:val="bottom"/>
            <w:shd w:val="clear" w:color="auto" w:fill="CCEEFF"/>
          </w:tcPr>
          <w:p>
            <w:pPr>
              <w:spacing w:after="0"/>
              <w:rPr>
                <w:sz w:val="18"/>
                <w:szCs w:val="18"/>
                <w:color w:val="auto"/>
              </w:rPr>
            </w:pPr>
          </w:p>
        </w:tc>
        <w:tc>
          <w:tcPr>
            <w:tcW w:w="6100" w:type="dxa"/>
            <w:vAlign w:val="bottom"/>
            <w:shd w:val="clear" w:color="auto" w:fill="CCEEFF"/>
          </w:tcPr>
          <w:p>
            <w:pPr>
              <w:jc w:val="center"/>
              <w:ind w:left="1110"/>
              <w:spacing w:after="0"/>
              <w:rPr>
                <w:sz w:val="20"/>
                <w:szCs w:val="20"/>
                <w:color w:val="auto"/>
              </w:rPr>
            </w:pPr>
            <w:r>
              <w:rPr>
                <w:rFonts w:ascii="Arial" w:cs="Arial" w:eastAsia="Arial" w:hAnsi="Arial"/>
                <w:sz w:val="18"/>
                <w:szCs w:val="18"/>
                <w:b w:val="1"/>
                <w:bCs w:val="1"/>
                <w:color w:val="auto"/>
                <w:w w:val="91"/>
              </w:rPr>
              <w:t>ASSETS</w:t>
            </w: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Cash</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980" w:type="dxa"/>
            <w:vAlign w:val="bottom"/>
            <w:gridSpan w:val="2"/>
          </w:tcPr>
          <w:p>
            <w:pPr>
              <w:jc w:val="right"/>
              <w:ind w:right="1180"/>
              <w:spacing w:after="0"/>
              <w:rPr>
                <w:sz w:val="20"/>
                <w:szCs w:val="20"/>
                <w:color w:val="auto"/>
              </w:rPr>
            </w:pPr>
            <w:r>
              <w:rPr>
                <w:rFonts w:ascii="Arial" w:cs="Arial" w:eastAsia="Arial" w:hAnsi="Arial"/>
                <w:sz w:val="18"/>
                <w:szCs w:val="18"/>
                <w:color w:val="auto"/>
              </w:rPr>
              <w:t>12,147</w:t>
            </w: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 available for sale, at fair value</w:t>
            </w:r>
          </w:p>
        </w:tc>
        <w:tc>
          <w:tcPr>
            <w:tcW w:w="28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16,650</w:t>
            </w: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Accounts receivable from subsidiaries*</w:t>
            </w:r>
          </w:p>
        </w:tc>
        <w:tc>
          <w:tcPr>
            <w:tcW w:w="280" w:type="dxa"/>
            <w:vAlign w:val="bottom"/>
          </w:tcPr>
          <w:p>
            <w:pPr>
              <w:spacing w:after="0"/>
              <w:rPr>
                <w:sz w:val="18"/>
                <w:szCs w:val="18"/>
                <w:color w:val="auto"/>
              </w:rPr>
            </w:pPr>
          </w:p>
        </w:tc>
        <w:tc>
          <w:tcPr>
            <w:tcW w:w="2980" w:type="dxa"/>
            <w:vAlign w:val="bottom"/>
            <w:gridSpan w:val="2"/>
          </w:tcPr>
          <w:p>
            <w:pPr>
              <w:jc w:val="right"/>
              <w:ind w:right="1180"/>
              <w:spacing w:after="0"/>
              <w:rPr>
                <w:sz w:val="20"/>
                <w:szCs w:val="20"/>
                <w:color w:val="auto"/>
              </w:rPr>
            </w:pPr>
            <w:r>
              <w:rPr>
                <w:rFonts w:ascii="Arial" w:cs="Arial" w:eastAsia="Arial" w:hAnsi="Arial"/>
                <w:sz w:val="18"/>
                <w:szCs w:val="18"/>
                <w:color w:val="auto"/>
              </w:rPr>
              <w:t>92,198</w:t>
            </w: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from FNF</w:t>
            </w:r>
          </w:p>
        </w:tc>
        <w:tc>
          <w:tcPr>
            <w:tcW w:w="28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32,689</w:t>
            </w: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Investment in subsidiaries*</w:t>
            </w: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3,021,127</w:t>
            </w:r>
          </w:p>
        </w:tc>
        <w:tc>
          <w:tcPr>
            <w:tcW w:w="1180" w:type="dxa"/>
            <w:vAlign w:val="bottom"/>
          </w:tcPr>
          <w:p>
            <w:pPr>
              <w:spacing w:after="0"/>
              <w:rPr>
                <w:sz w:val="18"/>
                <w:szCs w:val="18"/>
                <w:color w:val="auto"/>
              </w:rPr>
            </w:pP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180" w:type="dxa"/>
            <w:vAlign w:val="bottom"/>
            <w:shd w:val="clear" w:color="auto" w:fill="CCEEFF"/>
          </w:tcPr>
          <w:p>
            <w:pPr>
              <w:spacing w:after="0"/>
              <w:rPr>
                <w:sz w:val="18"/>
                <w:szCs w:val="18"/>
                <w:color w:val="auto"/>
              </w:rPr>
            </w:pPr>
          </w:p>
        </w:tc>
      </w:tr>
      <w:tr>
        <w:trPr>
          <w:trHeight w:val="223"/>
        </w:trPr>
        <w:tc>
          <w:tcPr>
            <w:tcW w:w="206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3,176,984</w:t>
            </w:r>
          </w:p>
        </w:tc>
        <w:tc>
          <w:tcPr>
            <w:tcW w:w="1180" w:type="dxa"/>
            <w:vAlign w:val="bottom"/>
          </w:tcPr>
          <w:p>
            <w:pPr>
              <w:spacing w:after="0"/>
              <w:rPr>
                <w:sz w:val="19"/>
                <w:szCs w:val="19"/>
                <w:color w:val="auto"/>
              </w:rPr>
            </w:pPr>
          </w:p>
        </w:tc>
      </w:tr>
      <w:tr>
        <w:trPr>
          <w:trHeight w:val="21"/>
        </w:trPr>
        <w:tc>
          <w:tcPr>
            <w:tcW w:w="20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3"/>
        </w:trPr>
        <w:tc>
          <w:tcPr>
            <w:tcW w:w="206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2060" w:type="dxa"/>
            <w:vAlign w:val="bottom"/>
            <w:shd w:val="clear" w:color="auto" w:fill="CCEEFF"/>
          </w:tcPr>
          <w:p>
            <w:pPr>
              <w:spacing w:after="0"/>
              <w:rPr>
                <w:sz w:val="18"/>
                <w:szCs w:val="18"/>
                <w:color w:val="auto"/>
              </w:rPr>
            </w:pPr>
          </w:p>
        </w:tc>
        <w:tc>
          <w:tcPr>
            <w:tcW w:w="6100" w:type="dxa"/>
            <w:vAlign w:val="bottom"/>
            <w:shd w:val="clear" w:color="auto" w:fill="CCEEFF"/>
          </w:tcPr>
          <w:p>
            <w:pPr>
              <w:jc w:val="center"/>
              <w:ind w:left="113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Accounts payable and accrued liabilities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9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23,020</w:t>
            </w:r>
          </w:p>
        </w:tc>
      </w:tr>
      <w:tr>
        <w:trPr>
          <w:trHeight w:val="216"/>
        </w:trPr>
        <w:tc>
          <w:tcPr>
            <w:tcW w:w="8160" w:type="dxa"/>
            <w:vAlign w:val="bottom"/>
            <w:gridSpan w:val="2"/>
          </w:tcPr>
          <w:p>
            <w:pPr>
              <w:ind w:left="320"/>
              <w:spacing w:after="0"/>
              <w:rPr>
                <w:sz w:val="20"/>
                <w:szCs w:val="20"/>
                <w:color w:val="auto"/>
              </w:rPr>
            </w:pPr>
            <w:r>
              <w:rPr>
                <w:rFonts w:ascii="Arial" w:cs="Arial" w:eastAsia="Arial" w:hAnsi="Arial"/>
                <w:sz w:val="18"/>
                <w:szCs w:val="18"/>
                <w:color w:val="auto"/>
              </w:rPr>
              <w:t>Notes payable</w:t>
            </w: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598,088</w:t>
            </w:r>
          </w:p>
        </w:tc>
        <w:tc>
          <w:tcPr>
            <w:tcW w:w="1180" w:type="dxa"/>
            <w:vAlign w:val="bottom"/>
          </w:tcPr>
          <w:p>
            <w:pPr>
              <w:spacing w:after="0"/>
              <w:rPr>
                <w:sz w:val="18"/>
                <w:szCs w:val="18"/>
                <w:color w:val="auto"/>
              </w:rPr>
            </w:pPr>
          </w:p>
        </w:tc>
      </w:tr>
      <w:tr>
        <w:trPr>
          <w:trHeight w:val="216"/>
        </w:trPr>
        <w:tc>
          <w:tcPr>
            <w:tcW w:w="8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75,839</w:t>
            </w:r>
          </w:p>
        </w:tc>
      </w:tr>
      <w:tr>
        <w:trPr>
          <w:trHeight w:val="216"/>
        </w:trPr>
        <w:tc>
          <w:tcPr>
            <w:tcW w:w="2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696,947</w:t>
            </w:r>
          </w:p>
        </w:tc>
        <w:tc>
          <w:tcPr>
            <w:tcW w:w="1180" w:type="dxa"/>
            <w:vAlign w:val="bottom"/>
          </w:tcPr>
          <w:p>
            <w:pPr>
              <w:spacing w:after="0"/>
              <w:rPr>
                <w:sz w:val="18"/>
                <w:szCs w:val="18"/>
                <w:color w:val="auto"/>
              </w:rPr>
            </w:pP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2"/>
        </w:trPr>
        <w:tc>
          <w:tcPr>
            <w:tcW w:w="8160" w:type="dxa"/>
            <w:vAlign w:val="bottom"/>
            <w:gridSpan w:val="2"/>
          </w:tcPr>
          <w:p>
            <w:pPr>
              <w:ind w:left="320"/>
              <w:spacing w:after="0" w:line="201" w:lineRule="exact"/>
              <w:rPr>
                <w:sz w:val="20"/>
                <w:szCs w:val="20"/>
                <w:color w:val="auto"/>
              </w:rPr>
            </w:pPr>
            <w:r>
              <w:rPr>
                <w:rFonts w:ascii="Arial" w:cs="Arial" w:eastAsia="Arial" w:hAnsi="Arial"/>
                <w:sz w:val="18"/>
                <w:szCs w:val="18"/>
                <w:color w:val="auto"/>
                <w:w w:val="95"/>
              </w:rPr>
              <w:t>Common stock, Class A, $0.0001 par value; authorized, 300,000,000 shares as of December 31, 2005;</w:t>
            </w: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8160" w:type="dxa"/>
            <w:vAlign w:val="bottom"/>
            <w:gridSpan w:val="2"/>
          </w:tcPr>
          <w:p>
            <w:pPr>
              <w:ind w:left="460"/>
              <w:spacing w:after="0"/>
              <w:rPr>
                <w:sz w:val="20"/>
                <w:szCs w:val="20"/>
                <w:color w:val="auto"/>
              </w:rPr>
            </w:pPr>
            <w:r>
              <w:rPr>
                <w:rFonts w:ascii="Arial" w:cs="Arial" w:eastAsia="Arial" w:hAnsi="Arial"/>
                <w:sz w:val="18"/>
                <w:szCs w:val="18"/>
                <w:color w:val="auto"/>
              </w:rPr>
              <w:t>issued, 31,147,357 shares as of December 31, 2005</w:t>
            </w:r>
          </w:p>
        </w:tc>
        <w:tc>
          <w:tcPr>
            <w:tcW w:w="280" w:type="dxa"/>
            <w:vAlign w:val="bottom"/>
          </w:tcPr>
          <w:p>
            <w:pPr>
              <w:spacing w:after="0"/>
              <w:rPr>
                <w:sz w:val="20"/>
                <w:szCs w:val="20"/>
                <w:color w:val="auto"/>
              </w:rPr>
            </w:pPr>
          </w:p>
        </w:tc>
        <w:tc>
          <w:tcPr>
            <w:tcW w:w="2980" w:type="dxa"/>
            <w:vAlign w:val="bottom"/>
            <w:gridSpan w:val="2"/>
          </w:tcPr>
          <w:p>
            <w:pPr>
              <w:jc w:val="right"/>
              <w:ind w:right="1180"/>
              <w:spacing w:after="0"/>
              <w:rPr>
                <w:sz w:val="20"/>
                <w:szCs w:val="20"/>
                <w:color w:val="auto"/>
              </w:rPr>
            </w:pPr>
            <w:r>
              <w:rPr>
                <w:rFonts w:ascii="Arial" w:cs="Arial" w:eastAsia="Arial" w:hAnsi="Arial"/>
                <w:sz w:val="18"/>
                <w:szCs w:val="18"/>
                <w:color w:val="auto"/>
              </w:rPr>
              <w:t>3</w:t>
            </w:r>
          </w:p>
        </w:tc>
      </w:tr>
      <w:tr>
        <w:trPr>
          <w:trHeight w:val="202"/>
        </w:trPr>
        <w:tc>
          <w:tcPr>
            <w:tcW w:w="81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5"/>
              </w:rPr>
              <w:t>Common stock, Class B, $0.0001 par value; authorized, 300,000,000 shares as of December 31, 2005;</w:t>
            </w:r>
          </w:p>
        </w:tc>
        <w:tc>
          <w:tcPr>
            <w:tcW w:w="2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8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issued, 143,172,183 shares as of December 31, 2005</w:t>
            </w:r>
          </w:p>
        </w:tc>
        <w:tc>
          <w:tcPr>
            <w:tcW w:w="28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180" w:type="dxa"/>
            <w:vAlign w:val="bottom"/>
            <w:shd w:val="clear" w:color="auto" w:fill="CCEEFF"/>
          </w:tcPr>
          <w:p>
            <w:pPr>
              <w:spacing w:after="0"/>
              <w:rPr>
                <w:sz w:val="20"/>
                <w:szCs w:val="20"/>
                <w:color w:val="auto"/>
              </w:rPr>
            </w:pPr>
          </w:p>
        </w:tc>
      </w:tr>
      <w:tr>
        <w:trPr>
          <w:trHeight w:val="216"/>
        </w:trPr>
        <w:tc>
          <w:tcPr>
            <w:tcW w:w="8160" w:type="dxa"/>
            <w:vAlign w:val="bottom"/>
            <w:gridSpan w:val="2"/>
          </w:tcPr>
          <w:p>
            <w:pPr>
              <w:ind w:left="32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2,492,312</w:t>
            </w:r>
          </w:p>
        </w:tc>
        <w:tc>
          <w:tcPr>
            <w:tcW w:w="1180" w:type="dxa"/>
            <w:vAlign w:val="bottom"/>
          </w:tcPr>
          <w:p>
            <w:pPr>
              <w:spacing w:after="0"/>
              <w:rPr>
                <w:sz w:val="18"/>
                <w:szCs w:val="18"/>
                <w:color w:val="auto"/>
              </w:rPr>
            </w:pPr>
          </w:p>
        </w:tc>
      </w:tr>
      <w:tr>
        <w:trPr>
          <w:trHeight w:val="216"/>
        </w:trPr>
        <w:tc>
          <w:tcPr>
            <w:tcW w:w="8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82,771</w:t>
            </w:r>
          </w:p>
        </w:tc>
      </w:tr>
      <w:tr>
        <w:trPr>
          <w:trHeight w:val="216"/>
        </w:trPr>
        <w:tc>
          <w:tcPr>
            <w:tcW w:w="2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2,575,100</w:t>
            </w:r>
          </w:p>
        </w:tc>
        <w:tc>
          <w:tcPr>
            <w:tcW w:w="1180" w:type="dxa"/>
            <w:vAlign w:val="bottom"/>
          </w:tcPr>
          <w:p>
            <w:pPr>
              <w:spacing w:after="0"/>
              <w:rPr>
                <w:sz w:val="18"/>
                <w:szCs w:val="18"/>
                <w:color w:val="auto"/>
              </w:rPr>
            </w:pPr>
          </w:p>
        </w:tc>
      </w:tr>
      <w:tr>
        <w:trPr>
          <w:trHeight w:val="216"/>
        </w:trPr>
        <w:tc>
          <w:tcPr>
            <w:tcW w:w="8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(78,892)</w:t>
            </w:r>
          </w:p>
        </w:tc>
      </w:tr>
      <w:tr>
        <w:trPr>
          <w:trHeight w:val="216"/>
        </w:trPr>
        <w:tc>
          <w:tcPr>
            <w:tcW w:w="8160" w:type="dxa"/>
            <w:vAlign w:val="bottom"/>
            <w:gridSpan w:val="2"/>
          </w:tcPr>
          <w:p>
            <w:pPr>
              <w:ind w:left="320"/>
              <w:spacing w:after="0"/>
              <w:rPr>
                <w:sz w:val="20"/>
                <w:szCs w:val="20"/>
                <w:color w:val="auto"/>
              </w:rPr>
            </w:pPr>
            <w:r>
              <w:rPr>
                <w:rFonts w:ascii="Arial" w:cs="Arial" w:eastAsia="Arial" w:hAnsi="Arial"/>
                <w:sz w:val="18"/>
                <w:szCs w:val="18"/>
                <w:color w:val="auto"/>
              </w:rPr>
              <w:t>Unearned compensation</w:t>
            </w:r>
          </w:p>
        </w:tc>
        <w:tc>
          <w:tcPr>
            <w:tcW w:w="280" w:type="dxa"/>
            <w:vAlign w:val="bottom"/>
          </w:tcPr>
          <w:p>
            <w:pPr>
              <w:spacing w:after="0"/>
              <w:rPr>
                <w:sz w:val="18"/>
                <w:szCs w:val="18"/>
                <w:color w:val="auto"/>
              </w:rPr>
            </w:pPr>
          </w:p>
        </w:tc>
        <w:tc>
          <w:tcPr>
            <w:tcW w:w="2980" w:type="dxa"/>
            <w:vAlign w:val="bottom"/>
            <w:gridSpan w:val="2"/>
          </w:tcPr>
          <w:p>
            <w:pPr>
              <w:jc w:val="right"/>
              <w:ind w:right="1120"/>
              <w:spacing w:after="0"/>
              <w:rPr>
                <w:sz w:val="20"/>
                <w:szCs w:val="20"/>
                <w:color w:val="auto"/>
              </w:rPr>
            </w:pPr>
            <w:r>
              <w:rPr>
                <w:rFonts w:ascii="Arial" w:cs="Arial" w:eastAsia="Arial" w:hAnsi="Arial"/>
                <w:sz w:val="18"/>
                <w:szCs w:val="18"/>
                <w:color w:val="auto"/>
              </w:rPr>
              <w:t>(16,171)</w:t>
            </w:r>
          </w:p>
        </w:tc>
      </w:tr>
      <w:tr>
        <w:trPr>
          <w:trHeight w:val="216"/>
        </w:trPr>
        <w:tc>
          <w:tcPr>
            <w:tcW w:w="206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2,480,037</w:t>
            </w:r>
          </w:p>
        </w:tc>
        <w:tc>
          <w:tcPr>
            <w:tcW w:w="1180" w:type="dxa"/>
            <w:vAlign w:val="bottom"/>
            <w:shd w:val="clear" w:color="auto" w:fill="CCEEFF"/>
          </w:tcPr>
          <w:p>
            <w:pPr>
              <w:spacing w:after="0"/>
              <w:rPr>
                <w:sz w:val="18"/>
                <w:szCs w:val="18"/>
                <w:color w:val="auto"/>
              </w:rPr>
            </w:pPr>
          </w:p>
        </w:tc>
      </w:tr>
      <w:tr>
        <w:trPr>
          <w:trHeight w:val="223"/>
        </w:trPr>
        <w:tc>
          <w:tcPr>
            <w:tcW w:w="206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3,176,984</w:t>
            </w:r>
          </w:p>
        </w:tc>
        <w:tc>
          <w:tcPr>
            <w:tcW w:w="1180" w:type="dxa"/>
            <w:vAlign w:val="bottom"/>
          </w:tcPr>
          <w:p>
            <w:pPr>
              <w:spacing w:after="0"/>
              <w:rPr>
                <w:sz w:val="19"/>
                <w:szCs w:val="19"/>
                <w:color w:val="auto"/>
              </w:rPr>
            </w:pPr>
          </w:p>
        </w:tc>
      </w:tr>
      <w:tr>
        <w:trPr>
          <w:trHeight w:val="21"/>
        </w:trPr>
        <w:tc>
          <w:tcPr>
            <w:tcW w:w="20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15"/>
        </w:trPr>
        <w:tc>
          <w:tcPr>
            <w:tcW w:w="2060" w:type="dxa"/>
            <w:vAlign w:val="bottom"/>
            <w:tcBorders>
              <w:bottom w:val="single" w:sz="8" w:color="auto"/>
            </w:tcBorders>
          </w:tcPr>
          <w:p>
            <w:pPr>
              <w:spacing w:after="0"/>
              <w:rPr>
                <w:sz w:val="10"/>
                <w:szCs w:val="10"/>
                <w:color w:val="auto"/>
              </w:rPr>
            </w:pPr>
          </w:p>
        </w:tc>
        <w:tc>
          <w:tcPr>
            <w:tcW w:w="6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180" w:type="dxa"/>
            <w:vAlign w:val="bottom"/>
          </w:tcPr>
          <w:p>
            <w:pPr>
              <w:spacing w:after="0"/>
              <w:rPr>
                <w:sz w:val="10"/>
                <w:szCs w:val="10"/>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These amounts are eliminated in the consolidation of Fidelity National Title Group, Inc.</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See Notes to Financial Statements —</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Registered Independent Public Accounting Firm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EARNINGS AND RETAINED EARNINGS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40" w:type="dxa"/>
            <w:vAlign w:val="bottom"/>
            <w:gridSpan w:val="3"/>
          </w:tcPr>
          <w:p>
            <w:pPr>
              <w:jc w:val="center"/>
              <w:ind w:right="2080"/>
              <w:spacing w:after="0"/>
              <w:rPr>
                <w:sz w:val="20"/>
                <w:szCs w:val="20"/>
                <w:color w:val="auto"/>
              </w:rPr>
            </w:pPr>
            <w:r>
              <w:rPr>
                <w:rFonts w:ascii="Arial" w:cs="Arial" w:eastAsia="Arial" w:hAnsi="Arial"/>
                <w:sz w:val="14"/>
                <w:szCs w:val="14"/>
                <w:b w:val="1"/>
                <w:bCs w:val="1"/>
                <w:color w:val="auto"/>
                <w:w w:val="94"/>
              </w:rPr>
              <w:t>For the Period from October 1, 2005</w:t>
            </w:r>
          </w:p>
        </w:tc>
      </w:t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4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w w:val="92"/>
              </w:rPr>
              <w:t>through December 31, 2005</w:t>
            </w:r>
          </w:p>
        </w:tc>
      </w:tr>
      <w:tr>
        <w:trPr>
          <w:trHeight w:val="133"/>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500" w:type="dxa"/>
            <w:vAlign w:val="bottom"/>
            <w:tcBorders>
              <w:top w:val="single" w:sz="8" w:color="auto"/>
            </w:tcBorders>
          </w:tcPr>
          <w:p>
            <w:pPr>
              <w:jc w:val="center"/>
              <w:ind w:right="53"/>
              <w:spacing w:after="0" w:line="133" w:lineRule="exact"/>
              <w:rPr>
                <w:sz w:val="20"/>
                <w:szCs w:val="20"/>
                <w:color w:val="auto"/>
              </w:rPr>
            </w:pPr>
            <w:r>
              <w:rPr>
                <w:rFonts w:ascii="Arial" w:cs="Arial" w:eastAsia="Arial" w:hAnsi="Arial"/>
                <w:sz w:val="14"/>
                <w:szCs w:val="14"/>
                <w:b w:val="1"/>
                <w:bCs w:val="1"/>
                <w:color w:val="auto"/>
                <w:w w:val="91"/>
              </w:rPr>
              <w:t>(In thousands, except per share</w:t>
            </w:r>
          </w:p>
        </w:tc>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40" w:type="dxa"/>
            <w:vAlign w:val="bottom"/>
            <w:gridSpan w:val="3"/>
          </w:tcPr>
          <w:p>
            <w:pPr>
              <w:jc w:val="center"/>
              <w:ind w:right="2080"/>
              <w:spacing w:after="0"/>
              <w:rPr>
                <w:sz w:val="20"/>
                <w:szCs w:val="20"/>
                <w:color w:val="auto"/>
              </w:rPr>
            </w:pPr>
            <w:r>
              <w:rPr>
                <w:rFonts w:ascii="Arial" w:cs="Arial" w:eastAsia="Arial" w:hAnsi="Arial"/>
                <w:sz w:val="14"/>
                <w:szCs w:val="14"/>
                <w:b w:val="1"/>
                <w:bCs w:val="1"/>
                <w:color w:val="auto"/>
                <w:w w:val="95"/>
              </w:rPr>
              <w:t>data)</w:t>
            </w: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tcPr>
          <w:p>
            <w:pPr>
              <w:ind w:left="300"/>
              <w:spacing w:after="0"/>
              <w:rPr>
                <w:sz w:val="20"/>
                <w:szCs w:val="20"/>
                <w:color w:val="auto"/>
              </w:rPr>
            </w:pPr>
            <w:r>
              <w:rPr>
                <w:rFonts w:ascii="Arial" w:cs="Arial" w:eastAsia="Arial" w:hAnsi="Arial"/>
                <w:sz w:val="18"/>
                <w:szCs w:val="18"/>
                <w:color w:val="auto"/>
              </w:rPr>
              <w:t>Interest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19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300"/>
              <w:spacing w:after="0"/>
              <w:rPr>
                <w:sz w:val="20"/>
                <w:szCs w:val="20"/>
                <w:color w:val="auto"/>
              </w:rPr>
            </w:pPr>
            <w:r>
              <w:rPr>
                <w:rFonts w:ascii="Arial" w:cs="Arial" w:eastAsia="Arial" w:hAnsi="Arial"/>
                <w:sz w:val="18"/>
                <w:szCs w:val="18"/>
                <w:color w:val="auto"/>
              </w:rPr>
              <w:t>Personnel expenses</w:t>
            </w:r>
          </w:p>
        </w:tc>
        <w:tc>
          <w:tcPr>
            <w:tcW w:w="16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3,508</w:t>
            </w: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Other operating expenses</w:t>
            </w:r>
          </w:p>
        </w:tc>
        <w:tc>
          <w:tcPr>
            <w:tcW w:w="16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tcPr>
          <w:p>
            <w:pPr>
              <w:ind w:left="30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9,299</w:t>
            </w:r>
          </w:p>
        </w:tc>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16,878</w:t>
            </w:r>
          </w:p>
        </w:tc>
        <w:tc>
          <w:tcPr>
            <w:tcW w:w="1920" w:type="dxa"/>
            <w:vAlign w:val="bottom"/>
            <w:shd w:val="clear" w:color="auto" w:fill="CCEEFF"/>
          </w:tcPr>
          <w:p>
            <w:pPr>
              <w:spacing w:after="0"/>
              <w:rPr>
                <w:sz w:val="18"/>
                <w:szCs w:val="18"/>
                <w:color w:val="auto"/>
              </w:rPr>
            </w:pPr>
          </w:p>
        </w:tc>
      </w:tr>
      <w:tr>
        <w:trPr>
          <w:trHeight w:val="223"/>
        </w:trPr>
        <w:tc>
          <w:tcPr>
            <w:tcW w:w="6820" w:type="dxa"/>
            <w:vAlign w:val="bottom"/>
            <w:gridSpan w:val="3"/>
          </w:tcPr>
          <w:p>
            <w:pPr>
              <w:spacing w:after="0"/>
              <w:rPr>
                <w:sz w:val="20"/>
                <w:szCs w:val="20"/>
                <w:color w:val="auto"/>
              </w:rPr>
            </w:pPr>
            <w:r>
              <w:rPr>
                <w:rFonts w:ascii="Arial" w:cs="Arial" w:eastAsia="Arial" w:hAnsi="Arial"/>
                <w:sz w:val="18"/>
                <w:szCs w:val="18"/>
                <w:color w:val="auto"/>
              </w:rPr>
              <w:t>Loss before income tax benefit and equity in earnings of Subsidiaries</w:t>
            </w:r>
          </w:p>
        </w:tc>
        <w:tc>
          <w:tcPr>
            <w:tcW w:w="160" w:type="dxa"/>
            <w:vAlign w:val="bottom"/>
            <w:tcBorders>
              <w:top w:val="single" w:sz="8" w:color="auto"/>
            </w:tcBorders>
          </w:tcPr>
          <w:p>
            <w:pPr>
              <w:spacing w:after="0"/>
              <w:rPr>
                <w:sz w:val="19"/>
                <w:szCs w:val="19"/>
                <w:color w:val="auto"/>
              </w:rPr>
            </w:pP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(16,777)</w:t>
            </w:r>
          </w:p>
        </w:tc>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23"/>
        </w:trPr>
        <w:tc>
          <w:tcPr>
            <w:tcW w:w="6820" w:type="dxa"/>
            <w:vAlign w:val="bottom"/>
            <w:gridSpan w:val="3"/>
          </w:tcPr>
          <w:p>
            <w:pPr>
              <w:spacing w:after="0"/>
              <w:rPr>
                <w:sz w:val="20"/>
                <w:szCs w:val="20"/>
                <w:color w:val="auto"/>
              </w:rPr>
            </w:pPr>
            <w:r>
              <w:rPr>
                <w:rFonts w:ascii="Arial" w:cs="Arial" w:eastAsia="Arial" w:hAnsi="Arial"/>
                <w:sz w:val="18"/>
                <w:szCs w:val="18"/>
                <w:color w:val="auto"/>
              </w:rPr>
              <w:t>Loss before equity in earnings of subsidiaries</w:t>
            </w:r>
          </w:p>
        </w:tc>
        <w:tc>
          <w:tcPr>
            <w:tcW w:w="16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(10,453)</w:t>
            </w:r>
          </w:p>
        </w:tc>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earnings of subsidiaries*</w:t>
            </w:r>
          </w:p>
        </w:tc>
        <w:tc>
          <w:tcPr>
            <w:tcW w:w="16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136,783</w:t>
            </w:r>
          </w:p>
        </w:tc>
        <w:tc>
          <w:tcPr>
            <w:tcW w:w="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23"/>
        </w:trPr>
        <w:tc>
          <w:tcPr>
            <w:tcW w:w="6820" w:type="dxa"/>
            <w:vAlign w:val="bottom"/>
            <w:gridSpan w:val="3"/>
          </w:tcPr>
          <w:p>
            <w:pPr>
              <w:spacing w:after="0"/>
              <w:rPr>
                <w:sz w:val="20"/>
                <w:szCs w:val="20"/>
                <w:color w:val="auto"/>
              </w:rPr>
            </w:pPr>
            <w:r>
              <w:rPr>
                <w:rFonts w:ascii="Arial" w:cs="Arial" w:eastAsia="Arial" w:hAnsi="Arial"/>
                <w:sz w:val="18"/>
                <w:szCs w:val="18"/>
                <w:color w:val="auto"/>
              </w:rPr>
              <w:t>Earnings before minority interest</w:t>
            </w:r>
          </w:p>
        </w:tc>
        <w:tc>
          <w:tcPr>
            <w:tcW w:w="16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126,330</w:t>
            </w:r>
          </w:p>
        </w:tc>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6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jc w:val="right"/>
              <w:ind w:right="1880"/>
              <w:spacing w:after="0"/>
              <w:rPr>
                <w:sz w:val="20"/>
                <w:szCs w:val="20"/>
                <w:color w:val="auto"/>
              </w:rPr>
            </w:pPr>
            <w:r>
              <w:rPr>
                <w:rFonts w:ascii="Arial" w:cs="Arial" w:eastAsia="Arial" w:hAnsi="Arial"/>
                <w:sz w:val="18"/>
                <w:szCs w:val="18"/>
                <w:color w:val="auto"/>
              </w:rPr>
              <w:t>(20)</w:t>
            </w:r>
          </w:p>
        </w:tc>
      </w:tr>
      <w:tr>
        <w:trPr>
          <w:trHeight w:val="223"/>
        </w:trPr>
        <w:tc>
          <w:tcPr>
            <w:tcW w:w="6820" w:type="dxa"/>
            <w:vAlign w:val="bottom"/>
            <w:gridSpan w:val="3"/>
          </w:tcPr>
          <w:p>
            <w:pPr>
              <w:spacing w:after="0"/>
              <w:rPr>
                <w:sz w:val="20"/>
                <w:szCs w:val="20"/>
                <w:color w:val="auto"/>
              </w:rPr>
            </w:pPr>
            <w:r>
              <w:rPr>
                <w:rFonts w:ascii="Arial" w:cs="Arial" w:eastAsia="Arial" w:hAnsi="Arial"/>
                <w:sz w:val="18"/>
                <w:szCs w:val="18"/>
                <w:color w:val="auto"/>
              </w:rPr>
              <w:t>Net earnings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126,350</w:t>
            </w:r>
          </w:p>
        </w:tc>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earnings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Weighted average shares outstanding, basic basis</w:t>
            </w:r>
          </w:p>
        </w:tc>
        <w:tc>
          <w:tcPr>
            <w:tcW w:w="16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173,463</w:t>
            </w: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earnings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Weighted average shares outstanding, diluted basis</w:t>
            </w:r>
          </w:p>
        </w:tc>
        <w:tc>
          <w:tcPr>
            <w:tcW w:w="16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173,575</w:t>
            </w: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 beginning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40" w:type="dxa"/>
            <w:vAlign w:val="bottom"/>
            <w:gridSpan w:val="3"/>
            <w:shd w:val="clear" w:color="auto" w:fill="CCEEFF"/>
          </w:tcPr>
          <w:p>
            <w:pPr>
              <w:jc w:val="right"/>
              <w:ind w:right="19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800" w:type="dxa"/>
            <w:vAlign w:val="bottom"/>
            <w:gridSpan w:val="2"/>
          </w:tcPr>
          <w:p>
            <w:pPr>
              <w:ind w:left="300"/>
              <w:spacing w:after="0"/>
              <w:rPr>
                <w:sz w:val="20"/>
                <w:szCs w:val="20"/>
                <w:color w:val="auto"/>
              </w:rPr>
            </w:pPr>
            <w:r>
              <w:rPr>
                <w:rFonts w:ascii="Arial" w:cs="Arial" w:eastAsia="Arial" w:hAnsi="Arial"/>
                <w:sz w:val="18"/>
                <w:szCs w:val="18"/>
                <w:color w:val="auto"/>
              </w:rPr>
              <w:t>Dividends declared</w:t>
            </w:r>
          </w:p>
        </w:tc>
        <w:tc>
          <w:tcPr>
            <w:tcW w:w="160" w:type="dxa"/>
            <w:vAlign w:val="bottom"/>
          </w:tcPr>
          <w:p>
            <w:pPr>
              <w:spacing w:after="0"/>
              <w:rPr>
                <w:sz w:val="18"/>
                <w:szCs w:val="18"/>
                <w:color w:val="auto"/>
              </w:rPr>
            </w:pPr>
          </w:p>
        </w:tc>
        <w:tc>
          <w:tcPr>
            <w:tcW w:w="4440" w:type="dxa"/>
            <w:vAlign w:val="bottom"/>
            <w:gridSpan w:val="3"/>
          </w:tcPr>
          <w:p>
            <w:pPr>
              <w:jc w:val="right"/>
              <w:ind w:right="1880"/>
              <w:spacing w:after="0"/>
              <w:rPr>
                <w:sz w:val="20"/>
                <w:szCs w:val="20"/>
                <w:color w:val="auto"/>
              </w:rPr>
            </w:pPr>
            <w:r>
              <w:rPr>
                <w:rFonts w:ascii="Arial" w:cs="Arial" w:eastAsia="Arial" w:hAnsi="Arial"/>
                <w:sz w:val="18"/>
                <w:szCs w:val="18"/>
                <w:color w:val="auto"/>
              </w:rPr>
              <w:t>(43,579)</w:t>
            </w: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Net earnings</w:t>
            </w:r>
          </w:p>
        </w:tc>
        <w:tc>
          <w:tcPr>
            <w:tcW w:w="16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126,350</w:t>
            </w:r>
          </w:p>
        </w:tc>
        <w:tc>
          <w:tcPr>
            <w:tcW w:w="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23"/>
        </w:trPr>
        <w:tc>
          <w:tcPr>
            <w:tcW w:w="6820" w:type="dxa"/>
            <w:vAlign w:val="bottom"/>
            <w:gridSpan w:val="3"/>
          </w:tcPr>
          <w:p>
            <w:pPr>
              <w:spacing w:after="0"/>
              <w:rPr>
                <w:sz w:val="20"/>
                <w:szCs w:val="20"/>
                <w:color w:val="auto"/>
              </w:rPr>
            </w:pPr>
            <w:r>
              <w:rPr>
                <w:rFonts w:ascii="Arial" w:cs="Arial" w:eastAsia="Arial" w:hAnsi="Arial"/>
                <w:sz w:val="18"/>
                <w:szCs w:val="18"/>
                <w:color w:val="auto"/>
              </w:rPr>
              <w:t>Retained earnings, 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82,771</w:t>
            </w:r>
          </w:p>
        </w:tc>
        <w:tc>
          <w:tcPr>
            <w:tcW w:w="20" w:type="dxa"/>
            <w:vAlign w:val="bottom"/>
            <w:tcBorders>
              <w:bottom w:val="single" w:sz="8" w:color="auto"/>
            </w:tcBorders>
          </w:tcPr>
          <w:p>
            <w:pPr>
              <w:spacing w:after="0"/>
              <w:rPr>
                <w:sz w:val="19"/>
                <w:szCs w:val="19"/>
                <w:color w:val="auto"/>
              </w:rPr>
            </w:pPr>
          </w:p>
        </w:tc>
        <w:tc>
          <w:tcPr>
            <w:tcW w:w="19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4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These amounts are eliminated in the consolidation of Fidelity National Title Group, Inc.</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See Notes to Financial Statements —</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Registered Independent Public Accounting Firm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rPr>
              <w:t>FIDELITY NATIONAL TITLE GROUP, INC.</w:t>
            </w:r>
          </w:p>
        </w:tc>
      </w:tr>
      <w:tr>
        <w:trPr>
          <w:trHeight w:val="234"/>
        </w:trPr>
        <w:tc>
          <w:tcPr>
            <w:tcW w:w="20" w:type="dxa"/>
            <w:vAlign w:val="bottom"/>
          </w:tcPr>
          <w:p>
            <w:pPr>
              <w:spacing w:after="0"/>
              <w:rPr>
                <w:sz w:val="20"/>
                <w:szCs w:val="20"/>
                <w:color w:val="auto"/>
              </w:rPr>
            </w:pPr>
          </w:p>
        </w:tc>
        <w:tc>
          <w:tcPr>
            <w:tcW w:w="6600" w:type="dxa"/>
            <w:vAlign w:val="bottom"/>
          </w:tcPr>
          <w:p>
            <w:pPr>
              <w:jc w:val="center"/>
              <w:ind w:left="4690"/>
              <w:spacing w:after="0"/>
              <w:rPr>
                <w:sz w:val="20"/>
                <w:szCs w:val="20"/>
                <w:color w:val="auto"/>
              </w:rPr>
            </w:pPr>
            <w:r>
              <w:rPr>
                <w:rFonts w:ascii="Arial" w:cs="Arial" w:eastAsia="Arial" w:hAnsi="Arial"/>
                <w:sz w:val="18"/>
                <w:szCs w:val="18"/>
                <w:b w:val="1"/>
                <w:bCs w:val="1"/>
                <w:color w:val="auto"/>
                <w:w w:val="91"/>
              </w:rPr>
              <w:t>(Parent Company)</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1140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8"/>
              </w:rPr>
              <w:t>STATEMENTS OF CASH FLOWS</w:t>
            </w:r>
          </w:p>
        </w:tc>
      </w:tr>
      <w:tr>
        <w:trPr>
          <w:trHeight w:val="355"/>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60" w:type="dxa"/>
            <w:vAlign w:val="bottom"/>
            <w:gridSpan w:val="2"/>
          </w:tcPr>
          <w:p>
            <w:pPr>
              <w:jc w:val="center"/>
              <w:ind w:right="2060"/>
              <w:spacing w:after="0"/>
              <w:rPr>
                <w:sz w:val="20"/>
                <w:szCs w:val="20"/>
                <w:color w:val="auto"/>
              </w:rPr>
            </w:pPr>
            <w:r>
              <w:rPr>
                <w:rFonts w:ascii="Arial" w:cs="Arial" w:eastAsia="Arial" w:hAnsi="Arial"/>
                <w:sz w:val="14"/>
                <w:szCs w:val="14"/>
                <w:b w:val="1"/>
                <w:bCs w:val="1"/>
                <w:color w:val="auto"/>
                <w:w w:val="94"/>
              </w:rPr>
              <w:t>For the Period from October 1, 2005</w:t>
            </w:r>
          </w:p>
        </w:tc>
      </w:t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60" w:type="dxa"/>
            <w:vAlign w:val="bottom"/>
            <w:gridSpan w:val="2"/>
          </w:tcPr>
          <w:p>
            <w:pPr>
              <w:jc w:val="center"/>
              <w:ind w:right="2080"/>
              <w:spacing w:after="0"/>
              <w:rPr>
                <w:sz w:val="20"/>
                <w:szCs w:val="20"/>
                <w:color w:val="auto"/>
              </w:rPr>
            </w:pPr>
            <w:r>
              <w:rPr>
                <w:rFonts w:ascii="Arial" w:cs="Arial" w:eastAsia="Arial" w:hAnsi="Arial"/>
                <w:sz w:val="14"/>
                <w:szCs w:val="14"/>
                <w:b w:val="1"/>
                <w:bCs w:val="1"/>
                <w:color w:val="auto"/>
                <w:w w:val="92"/>
              </w:rPr>
              <w:t>through December 31, 2005</w:t>
            </w:r>
          </w:p>
        </w:tc>
      </w:tr>
      <w:tr>
        <w:trPr>
          <w:trHeight w:val="156"/>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194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00"/>
              <w:spacing w:after="0"/>
              <w:rPr>
                <w:sz w:val="20"/>
                <w:szCs w:val="20"/>
                <w:color w:val="auto"/>
              </w:rPr>
            </w:pPr>
            <w:r>
              <w:rPr>
                <w:rFonts w:ascii="Arial" w:cs="Arial" w:eastAsia="Arial" w:hAnsi="Arial"/>
                <w:sz w:val="18"/>
                <w:szCs w:val="18"/>
                <w:color w:val="auto"/>
              </w:rPr>
              <w:t>Net earnings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60" w:type="dxa"/>
            <w:vAlign w:val="bottom"/>
            <w:gridSpan w:val="2"/>
          </w:tcPr>
          <w:p>
            <w:pPr>
              <w:jc w:val="right"/>
              <w:ind w:right="1940"/>
              <w:spacing w:after="0"/>
              <w:rPr>
                <w:sz w:val="20"/>
                <w:szCs w:val="20"/>
                <w:color w:val="auto"/>
              </w:rPr>
            </w:pPr>
            <w:r>
              <w:rPr>
                <w:rFonts w:ascii="Arial" w:cs="Arial" w:eastAsia="Arial" w:hAnsi="Arial"/>
                <w:sz w:val="18"/>
                <w:szCs w:val="18"/>
                <w:color w:val="auto"/>
              </w:rPr>
              <w:t>126,350</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6"/>
              </w:rPr>
              <w:t>Adjustments to reconcile net earnings to net cash provided by operating activities: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620"/>
              <w:spacing w:after="0"/>
              <w:rPr>
                <w:sz w:val="20"/>
                <w:szCs w:val="20"/>
                <w:color w:val="auto"/>
              </w:rPr>
            </w:pPr>
            <w:r>
              <w:rPr>
                <w:rFonts w:ascii="Arial" w:cs="Arial" w:eastAsia="Arial" w:hAnsi="Arial"/>
                <w:sz w:val="18"/>
                <w:szCs w:val="18"/>
                <w:color w:val="auto"/>
              </w:rPr>
              <w:t>Equity in earnings of subsidiaries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60" w:type="dxa"/>
            <w:vAlign w:val="bottom"/>
            <w:gridSpan w:val="2"/>
          </w:tcPr>
          <w:p>
            <w:pPr>
              <w:jc w:val="right"/>
              <w:ind w:right="1880"/>
              <w:spacing w:after="0"/>
              <w:rPr>
                <w:sz w:val="20"/>
                <w:szCs w:val="20"/>
                <w:color w:val="auto"/>
              </w:rPr>
            </w:pPr>
            <w:r>
              <w:rPr>
                <w:rFonts w:ascii="Arial" w:cs="Arial" w:eastAsia="Arial" w:hAnsi="Arial"/>
                <w:sz w:val="18"/>
                <w:szCs w:val="18"/>
                <w:color w:val="auto"/>
              </w:rPr>
              <w:t>(136,783)</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Stock-based compensation cost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jc w:val="right"/>
              <w:ind w:right="1940"/>
              <w:spacing w:after="0"/>
              <w:rPr>
                <w:sz w:val="20"/>
                <w:szCs w:val="20"/>
                <w:color w:val="auto"/>
              </w:rPr>
            </w:pPr>
            <w:r>
              <w:rPr>
                <w:rFonts w:ascii="Arial" w:cs="Arial" w:eastAsia="Arial" w:hAnsi="Arial"/>
                <w:sz w:val="18"/>
                <w:szCs w:val="18"/>
                <w:color w:val="auto"/>
              </w:rPr>
              <w:t>7,382</w:t>
            </w:r>
          </w:p>
        </w:tc>
      </w:tr>
      <w:tr>
        <w:trPr>
          <w:trHeight w:val="216"/>
        </w:trPr>
        <w:tc>
          <w:tcPr>
            <w:tcW w:w="20" w:type="dxa"/>
            <w:vAlign w:val="bottom"/>
          </w:tcPr>
          <w:p>
            <w:pPr>
              <w:spacing w:after="0"/>
              <w:rPr>
                <w:sz w:val="18"/>
                <w:szCs w:val="18"/>
                <w:color w:val="auto"/>
              </w:rPr>
            </w:pPr>
          </w:p>
        </w:tc>
        <w:tc>
          <w:tcPr>
            <w:tcW w:w="6600" w:type="dxa"/>
            <w:vAlign w:val="bottom"/>
          </w:tcPr>
          <w:p>
            <w:pPr>
              <w:ind w:left="620"/>
              <w:spacing w:after="0"/>
              <w:rPr>
                <w:sz w:val="20"/>
                <w:szCs w:val="20"/>
                <w:color w:val="auto"/>
              </w:rPr>
            </w:pPr>
            <w:r>
              <w:rPr>
                <w:rFonts w:ascii="Arial" w:cs="Arial" w:eastAsia="Arial" w:hAnsi="Arial"/>
                <w:sz w:val="18"/>
                <w:szCs w:val="18"/>
                <w:color w:val="auto"/>
              </w:rPr>
              <w:t>Net increase in income taxes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60" w:type="dxa"/>
            <w:vAlign w:val="bottom"/>
            <w:gridSpan w:val="2"/>
          </w:tcPr>
          <w:p>
            <w:pPr>
              <w:jc w:val="right"/>
              <w:ind w:right="1940"/>
              <w:spacing w:after="0"/>
              <w:rPr>
                <w:sz w:val="20"/>
                <w:szCs w:val="20"/>
                <w:color w:val="auto"/>
              </w:rPr>
            </w:pPr>
            <w:r>
              <w:rPr>
                <w:rFonts w:ascii="Arial" w:cs="Arial" w:eastAsia="Arial" w:hAnsi="Arial"/>
                <w:sz w:val="18"/>
                <w:szCs w:val="18"/>
                <w:color w:val="auto"/>
              </w:rPr>
              <w:t>73,281</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increase in prepaid expenses and other 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jc w:val="right"/>
              <w:ind w:right="1880"/>
              <w:spacing w:after="0"/>
              <w:rPr>
                <w:sz w:val="20"/>
                <w:szCs w:val="20"/>
                <w:color w:val="auto"/>
              </w:rPr>
            </w:pPr>
            <w:r>
              <w:rPr>
                <w:rFonts w:ascii="Arial" w:cs="Arial" w:eastAsia="Arial" w:hAnsi="Arial"/>
                <w:sz w:val="18"/>
                <w:szCs w:val="18"/>
                <w:color w:val="auto"/>
              </w:rPr>
              <w:t>(1,197)</w:t>
            </w:r>
          </w:p>
        </w:tc>
      </w:tr>
      <w:tr>
        <w:trPr>
          <w:trHeight w:val="216"/>
        </w:trPr>
        <w:tc>
          <w:tcPr>
            <w:tcW w:w="20" w:type="dxa"/>
            <w:vAlign w:val="bottom"/>
          </w:tcPr>
          <w:p>
            <w:pPr>
              <w:spacing w:after="0"/>
              <w:rPr>
                <w:sz w:val="18"/>
                <w:szCs w:val="18"/>
                <w:color w:val="auto"/>
              </w:rPr>
            </w:pPr>
          </w:p>
        </w:tc>
        <w:tc>
          <w:tcPr>
            <w:tcW w:w="6600" w:type="dxa"/>
            <w:vAlign w:val="bottom"/>
          </w:tcPr>
          <w:p>
            <w:pPr>
              <w:ind w:left="620"/>
              <w:spacing w:after="0"/>
              <w:rPr>
                <w:sz w:val="20"/>
                <w:szCs w:val="20"/>
                <w:color w:val="auto"/>
              </w:rPr>
            </w:pPr>
            <w:r>
              <w:rPr>
                <w:rFonts w:ascii="Arial" w:cs="Arial" w:eastAsia="Arial" w:hAnsi="Arial"/>
                <w:sz w:val="18"/>
                <w:szCs w:val="18"/>
                <w:color w:val="auto"/>
              </w:rPr>
              <w:t>Net increase in accounts payable and accrued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60" w:type="dxa"/>
            <w:vAlign w:val="bottom"/>
            <w:gridSpan w:val="2"/>
          </w:tcPr>
          <w:p>
            <w:pPr>
              <w:jc w:val="right"/>
              <w:ind w:right="1940"/>
              <w:spacing w:after="0"/>
              <w:rPr>
                <w:sz w:val="20"/>
                <w:szCs w:val="20"/>
                <w:color w:val="auto"/>
              </w:rPr>
            </w:pPr>
            <w:r>
              <w:rPr>
                <w:rFonts w:ascii="Arial" w:cs="Arial" w:eastAsia="Arial" w:hAnsi="Arial"/>
                <w:sz w:val="18"/>
                <w:szCs w:val="18"/>
                <w:color w:val="auto"/>
              </w:rPr>
              <w:t>23,055</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520" w:type="dxa"/>
            <w:vAlign w:val="bottom"/>
            <w:shd w:val="clear" w:color="auto" w:fill="000000"/>
          </w:tcPr>
          <w:p>
            <w:pPr>
              <w:spacing w:after="0"/>
              <w:rPr>
                <w:sz w:val="2"/>
                <w:szCs w:val="2"/>
                <w:color w:val="auto"/>
              </w:rPr>
            </w:pPr>
          </w:p>
        </w:tc>
        <w:tc>
          <w:tcPr>
            <w:tcW w:w="19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jc w:val="right"/>
              <w:ind w:right="1940"/>
              <w:spacing w:after="0"/>
              <w:rPr>
                <w:sz w:val="20"/>
                <w:szCs w:val="20"/>
                <w:color w:val="auto"/>
              </w:rPr>
            </w:pPr>
            <w:r>
              <w:rPr>
                <w:rFonts w:ascii="Arial" w:cs="Arial" w:eastAsia="Arial" w:hAnsi="Arial"/>
                <w:sz w:val="18"/>
                <w:szCs w:val="18"/>
                <w:color w:val="auto"/>
              </w:rPr>
              <w:t>92,088</w:t>
            </w: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520" w:type="dxa"/>
            <w:vAlign w:val="bottom"/>
            <w:tcBorders>
              <w:top w:val="single" w:sz="8" w:color="auto"/>
            </w:tcBorders>
          </w:tcPr>
          <w:p>
            <w:pPr>
              <w:spacing w:after="0"/>
              <w:rPr>
                <w:sz w:val="19"/>
                <w:szCs w:val="19"/>
                <w:color w:val="auto"/>
              </w:rPr>
            </w:pPr>
          </w:p>
        </w:tc>
        <w:tc>
          <w:tcPr>
            <w:tcW w:w="19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purchases from short-term investing activities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jc w:val="right"/>
              <w:ind w:right="1880"/>
              <w:spacing w:after="0"/>
              <w:rPr>
                <w:sz w:val="20"/>
                <w:szCs w:val="20"/>
                <w:color w:val="auto"/>
              </w:rPr>
            </w:pPr>
            <w:r>
              <w:rPr>
                <w:rFonts w:ascii="Arial" w:cs="Arial" w:eastAsia="Arial" w:hAnsi="Arial"/>
                <w:sz w:val="18"/>
                <w:szCs w:val="18"/>
                <w:color w:val="auto"/>
              </w:rPr>
              <w:t>(16,650)</w:t>
            </w:r>
          </w:p>
        </w:tc>
      </w:tr>
      <w:tr>
        <w:trPr>
          <w:trHeight w:val="230"/>
        </w:trPr>
        <w:tc>
          <w:tcPr>
            <w:tcW w:w="20" w:type="dxa"/>
            <w:vAlign w:val="bottom"/>
          </w:tcPr>
          <w:p>
            <w:pPr>
              <w:spacing w:after="0"/>
              <w:rPr>
                <w:sz w:val="20"/>
                <w:szCs w:val="20"/>
                <w:color w:val="auto"/>
              </w:rPr>
            </w:pPr>
          </w:p>
        </w:tc>
        <w:tc>
          <w:tcPr>
            <w:tcW w:w="6600" w:type="dxa"/>
            <w:vAlign w:val="bottom"/>
          </w:tcPr>
          <w:p>
            <w:pPr>
              <w:ind w:left="94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(16,650)</w:t>
            </w:r>
          </w:p>
        </w:tc>
        <w:tc>
          <w:tcPr>
            <w:tcW w:w="19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00"/>
              <w:spacing w:after="0"/>
              <w:rPr>
                <w:sz w:val="20"/>
                <w:szCs w:val="20"/>
                <w:color w:val="auto"/>
              </w:rPr>
            </w:pPr>
            <w:r>
              <w:rPr>
                <w:rFonts w:ascii="Arial" w:cs="Arial" w:eastAsia="Arial" w:hAnsi="Arial"/>
                <w:sz w:val="18"/>
                <w:szCs w:val="18"/>
                <w:color w:val="auto"/>
              </w:rPr>
              <w:t>Borrowings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60" w:type="dxa"/>
            <w:vAlign w:val="bottom"/>
            <w:gridSpan w:val="2"/>
          </w:tcPr>
          <w:p>
            <w:pPr>
              <w:jc w:val="right"/>
              <w:ind w:right="1940"/>
              <w:spacing w:after="0"/>
              <w:rPr>
                <w:sz w:val="20"/>
                <w:szCs w:val="20"/>
                <w:color w:val="auto"/>
              </w:rPr>
            </w:pPr>
            <w:r>
              <w:rPr>
                <w:rFonts w:ascii="Arial" w:cs="Arial" w:eastAsia="Arial" w:hAnsi="Arial"/>
                <w:sz w:val="18"/>
                <w:szCs w:val="18"/>
                <w:color w:val="auto"/>
              </w:rPr>
              <w:t>150,000</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Debt service payments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jc w:val="right"/>
              <w:ind w:right="1880"/>
              <w:spacing w:after="0"/>
              <w:rPr>
                <w:sz w:val="20"/>
                <w:szCs w:val="20"/>
                <w:color w:val="auto"/>
              </w:rPr>
            </w:pPr>
            <w:r>
              <w:rPr>
                <w:rFonts w:ascii="Arial" w:cs="Arial" w:eastAsia="Arial" w:hAnsi="Arial"/>
                <w:sz w:val="18"/>
                <w:szCs w:val="18"/>
                <w:color w:val="auto"/>
              </w:rPr>
              <w:t>(51,010)</w:t>
            </w:r>
          </w:p>
        </w:tc>
      </w:tr>
      <w:tr>
        <w:trPr>
          <w:trHeight w:val="216"/>
        </w:trPr>
        <w:tc>
          <w:tcPr>
            <w:tcW w:w="20" w:type="dxa"/>
            <w:vAlign w:val="bottom"/>
          </w:tcPr>
          <w:p>
            <w:pPr>
              <w:spacing w:after="0"/>
              <w:rPr>
                <w:sz w:val="18"/>
                <w:szCs w:val="18"/>
                <w:color w:val="auto"/>
              </w:rPr>
            </w:pPr>
          </w:p>
        </w:tc>
        <w:tc>
          <w:tcPr>
            <w:tcW w:w="6600" w:type="dxa"/>
            <w:vAlign w:val="bottom"/>
          </w:tcPr>
          <w:p>
            <w:pPr>
              <w:ind w:left="30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60" w:type="dxa"/>
            <w:vAlign w:val="bottom"/>
            <w:gridSpan w:val="2"/>
          </w:tcPr>
          <w:p>
            <w:pPr>
              <w:jc w:val="right"/>
              <w:ind w:right="1880"/>
              <w:spacing w:after="0"/>
              <w:rPr>
                <w:sz w:val="20"/>
                <w:szCs w:val="20"/>
                <w:color w:val="auto"/>
              </w:rPr>
            </w:pPr>
            <w:r>
              <w:rPr>
                <w:rFonts w:ascii="Arial" w:cs="Arial" w:eastAsia="Arial" w:hAnsi="Arial"/>
                <w:sz w:val="18"/>
                <w:szCs w:val="18"/>
                <w:color w:val="auto"/>
              </w:rPr>
              <w:t>(43,580)</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borrowings and dividends from subsidiaries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jc w:val="right"/>
              <w:ind w:right="1880"/>
              <w:spacing w:after="0"/>
              <w:rPr>
                <w:sz w:val="20"/>
                <w:szCs w:val="20"/>
                <w:color w:val="auto"/>
              </w:rPr>
            </w:pPr>
            <w:r>
              <w:rPr>
                <w:rFonts w:ascii="Arial" w:cs="Arial" w:eastAsia="Arial" w:hAnsi="Arial"/>
                <w:sz w:val="18"/>
                <w:szCs w:val="18"/>
                <w:color w:val="auto"/>
              </w:rPr>
              <w:t>(118,701)</w:t>
            </w:r>
          </w:p>
        </w:tc>
      </w:tr>
      <w:tr>
        <w:trPr>
          <w:trHeight w:val="230"/>
        </w:trPr>
        <w:tc>
          <w:tcPr>
            <w:tcW w:w="20" w:type="dxa"/>
            <w:vAlign w:val="bottom"/>
          </w:tcPr>
          <w:p>
            <w:pPr>
              <w:spacing w:after="0"/>
              <w:rPr>
                <w:sz w:val="20"/>
                <w:szCs w:val="20"/>
                <w:color w:val="auto"/>
              </w:rPr>
            </w:pPr>
          </w:p>
        </w:tc>
        <w:tc>
          <w:tcPr>
            <w:tcW w:w="6600" w:type="dxa"/>
            <w:vAlign w:val="bottom"/>
          </w:tcPr>
          <w:p>
            <w:pPr>
              <w:ind w:left="94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(63,291)</w:t>
            </w:r>
          </w:p>
        </w:tc>
        <w:tc>
          <w:tcPr>
            <w:tcW w:w="19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jc w:val="right"/>
              <w:ind w:right="1940"/>
              <w:spacing w:after="0"/>
              <w:rPr>
                <w:sz w:val="20"/>
                <w:szCs w:val="20"/>
                <w:color w:val="auto"/>
              </w:rPr>
            </w:pPr>
            <w:r>
              <w:rPr>
                <w:rFonts w:ascii="Arial" w:cs="Arial" w:eastAsia="Arial" w:hAnsi="Arial"/>
                <w:sz w:val="18"/>
                <w:szCs w:val="18"/>
                <w:color w:val="auto"/>
              </w:rPr>
              <w:t>12,147</w:t>
            </w:r>
          </w:p>
        </w:tc>
      </w:tr>
      <w:tr>
        <w:trPr>
          <w:trHeight w:val="216"/>
        </w:trPr>
        <w:tc>
          <w:tcPr>
            <w:tcW w:w="20" w:type="dxa"/>
            <w:vAlign w:val="bottom"/>
          </w:tcPr>
          <w:p>
            <w:pPr>
              <w:spacing w:after="0"/>
              <w:rPr>
                <w:sz w:val="18"/>
                <w:szCs w:val="18"/>
                <w:color w:val="auto"/>
              </w:rPr>
            </w:pPr>
          </w:p>
        </w:tc>
        <w:tc>
          <w:tcPr>
            <w:tcW w:w="6600" w:type="dxa"/>
            <w:vAlign w:val="bottom"/>
          </w:tcPr>
          <w:p>
            <w:pPr>
              <w:ind w:left="300"/>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60" w:type="dxa"/>
            <w:vAlign w:val="bottom"/>
            <w:gridSpan w:val="2"/>
          </w:tcPr>
          <w:p>
            <w:pPr>
              <w:jc w:val="right"/>
              <w:ind w:right="194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520" w:type="dxa"/>
            <w:vAlign w:val="bottom"/>
            <w:shd w:val="clear" w:color="auto" w:fill="000000"/>
          </w:tcPr>
          <w:p>
            <w:pPr>
              <w:spacing w:after="0"/>
              <w:rPr>
                <w:sz w:val="2"/>
                <w:szCs w:val="2"/>
                <w:color w:val="auto"/>
              </w:rPr>
            </w:pPr>
          </w:p>
        </w:tc>
        <w:tc>
          <w:tcPr>
            <w:tcW w:w="19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 and cash equivalents at end of year</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60" w:type="dxa"/>
            <w:vAlign w:val="bottom"/>
            <w:gridSpan w:val="2"/>
            <w:shd w:val="clear" w:color="auto" w:fill="CCEEFF"/>
          </w:tcPr>
          <w:p>
            <w:pPr>
              <w:jc w:val="right"/>
              <w:ind w:right="1940"/>
              <w:spacing w:after="0"/>
              <w:rPr>
                <w:sz w:val="20"/>
                <w:szCs w:val="20"/>
                <w:color w:val="auto"/>
              </w:rPr>
            </w:pPr>
            <w:r>
              <w:rPr>
                <w:rFonts w:ascii="Arial" w:cs="Arial" w:eastAsia="Arial" w:hAnsi="Arial"/>
                <w:sz w:val="18"/>
                <w:szCs w:val="18"/>
                <w:color w:val="auto"/>
              </w:rPr>
              <w:t>12,147</w:t>
            </w:r>
          </w:p>
        </w:tc>
      </w:tr>
      <w:tr>
        <w:trPr>
          <w:trHeight w:val="21"/>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 —</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Registered Independent Public Accounting Firm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TITLE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w:t>
      </w:r>
    </w:p>
    <w:p>
      <w:pPr>
        <w:spacing w:after="0" w:line="45"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320" w:firstLine="270"/>
        <w:spacing w:after="0" w:line="264" w:lineRule="auto"/>
        <w:rPr>
          <w:sz w:val="20"/>
          <w:szCs w:val="20"/>
          <w:color w:val="auto"/>
        </w:rPr>
      </w:pPr>
      <w:r>
        <w:rPr>
          <w:rFonts w:ascii="Arial" w:cs="Arial" w:eastAsia="Arial" w:hAnsi="Arial"/>
          <w:sz w:val="18"/>
          <w:szCs w:val="18"/>
          <w:color w:val="auto"/>
        </w:rPr>
        <w:t>Fidelity National Title Group, Inc. (the “Company”) transacts substantially all of its business through its subsidiaries. The Parent Company Financial Statements should be read in connection with the aforementioned Consolidated and Combined Financial Statements and Notes thereto included elsewhere herein.</w:t>
      </w:r>
    </w:p>
    <w:p>
      <w:pPr>
        <w:sectPr>
          <w:pgSz w:w="11900" w:h="16838" w:orient="portrait"/>
          <w:cols w:equalWidth="0" w:num="1">
            <w:col w:w="11420"/>
          </w:cols>
          <w:pgMar w:left="240" w:top="419" w:right="239" w:bottom="1440" w:gutter="0" w:footer="0" w:header="0"/>
        </w:sectPr>
      </w:pPr>
    </w:p>
    <w:p>
      <w:pPr>
        <w:spacing w:after="0" w:line="177"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Notes payable consist of the following:</w:t>
      </w:r>
    </w:p>
    <w:p>
      <w:pPr>
        <w:spacing w:after="0" w:line="200" w:lineRule="exact"/>
        <w:rPr>
          <w:sz w:val="20"/>
          <w:szCs w:val="20"/>
          <w:color w:val="auto"/>
        </w:rPr>
      </w:pPr>
    </w:p>
    <w:p>
      <w:pPr>
        <w:spacing w:after="0" w:line="25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Unsecured notes due to FNF, net of discount, interest payable semi-annually at 7.3%, due August 2011 Unsecured notes due to FNF, net of discount, interest payable semi-annually at 5.25%, due March 2013 Syndicated credit agreement, unsecured, interest due monthly at LIBOR plus 0.50% (4.87%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274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right="2120" w:firstLine="135"/>
        <w:spacing w:after="0" w:line="290" w:lineRule="auto"/>
        <w:rPr>
          <w:sz w:val="20"/>
          <w:szCs w:val="20"/>
          <w:color w:val="auto"/>
        </w:rPr>
      </w:pPr>
      <w:r>
        <w:rPr>
          <w:rFonts w:ascii="Arial" w:cs="Arial" w:eastAsia="Arial" w:hAnsi="Arial"/>
          <w:sz w:val="17"/>
          <w:szCs w:val="17"/>
          <w:color w:val="auto"/>
        </w:rPr>
        <w:t>December 31, 2005), unused portion of $300,000 at December 31, 2005 Other promissory notes with various interest rates and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4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Principal maturities at December 31, 2005, are as follows (dollars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2005</w:t>
            </w:r>
          </w:p>
        </w:tc>
      </w:tr>
      <w:tr>
        <w:trPr>
          <w:trHeight w:val="141"/>
        </w:trPr>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tcPr>
          <w:p>
            <w:pPr>
              <w:jc w:val="center"/>
              <w:ind w:right="115"/>
              <w:spacing w:after="0" w:line="141" w:lineRule="exact"/>
              <w:rPr>
                <w:sz w:val="20"/>
                <w:szCs w:val="20"/>
                <w:color w:val="auto"/>
              </w:rPr>
            </w:pPr>
            <w:r>
              <w:rPr>
                <w:rFonts w:ascii="Arial" w:cs="Arial" w:eastAsia="Arial" w:hAnsi="Arial"/>
                <w:sz w:val="14"/>
                <w:szCs w:val="14"/>
                <w:b w:val="1"/>
                <w:bCs w:val="1"/>
                <w:color w:val="auto"/>
                <w:w w:val="91"/>
              </w:rPr>
              <w:t>(Dollars in thousands)</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249,337</w:t>
            </w: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248,463</w:t>
            </w:r>
          </w:p>
        </w:tc>
      </w:tr>
      <w:tr>
        <w:trPr>
          <w:trHeight w:val="418"/>
        </w:trPr>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100,000</w:t>
            </w:r>
          </w:p>
        </w:tc>
      </w:tr>
      <w:tr>
        <w:trPr>
          <w:trHeight w:val="230"/>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288</w:t>
            </w:r>
          </w:p>
        </w:tc>
      </w:tr>
      <w:tr>
        <w:trPr>
          <w:trHeight w:val="223"/>
        </w:trPr>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598,088</w:t>
            </w:r>
          </w:p>
        </w:tc>
      </w:tr>
      <w:tr>
        <w:trPr>
          <w:trHeight w:val="21"/>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59" w:lineRule="exact"/>
        <w:rPr>
          <w:sz w:val="20"/>
          <w:szCs w:val="20"/>
          <w:color w:val="auto"/>
        </w:rPr>
      </w:pPr>
    </w:p>
    <w:p>
      <w:pPr>
        <w:sectPr>
          <w:pgSz w:w="11900" w:h="16838" w:orient="portrait"/>
          <w:cols w:equalWidth="0" w:num="2">
            <w:col w:w="7460" w:space="580"/>
            <w:col w:w="338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288</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2007</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2009</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100,000</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497,800</w:t>
            </w:r>
          </w:p>
        </w:tc>
      </w:tr>
      <w:tr>
        <w:trPr>
          <w:trHeight w:val="27"/>
        </w:trPr>
        <w:tc>
          <w:tcPr>
            <w:tcW w:w="90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9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598,088</w:t>
            </w:r>
          </w:p>
        </w:tc>
      </w:tr>
      <w:tr>
        <w:trPr>
          <w:trHeight w:val="21"/>
        </w:trPr>
        <w:tc>
          <w:tcPr>
            <w:tcW w:w="90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C.</w:t>
            </w:r>
          </w:p>
        </w:tc>
        <w:tc>
          <w:tcPr>
            <w:tcW w:w="6100" w:type="dxa"/>
            <w:vAlign w:val="bottom"/>
          </w:tcPr>
          <w:p>
            <w:pPr>
              <w:ind w:left="320"/>
              <w:spacing w:after="0"/>
              <w:rPr>
                <w:sz w:val="20"/>
                <w:szCs w:val="20"/>
                <w:color w:val="auto"/>
              </w:rPr>
            </w:pPr>
            <w:r>
              <w:rPr>
                <w:rFonts w:ascii="Arial" w:cs="Arial" w:eastAsia="Arial" w:hAnsi="Arial"/>
                <w:sz w:val="18"/>
                <w:szCs w:val="18"/>
                <w:b w:val="1"/>
                <w:bCs w:val="1"/>
                <w:color w:val="auto"/>
              </w:rPr>
              <w:t>Supplemental Cash Flow Information</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0"/>
        </w:trPr>
        <w:tc>
          <w:tcPr>
            <w:tcW w:w="260" w:type="dxa"/>
            <w:vAlign w:val="bottom"/>
          </w:tcPr>
          <w:p>
            <w:pPr>
              <w:spacing w:after="0"/>
              <w:rPr>
                <w:sz w:val="23"/>
                <w:szCs w:val="23"/>
                <w:color w:val="auto"/>
              </w:rPr>
            </w:pPr>
          </w:p>
        </w:tc>
        <w:tc>
          <w:tcPr>
            <w:tcW w:w="6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 2005</w:t>
            </w:r>
          </w:p>
        </w:tc>
      </w:tr>
      <w:tr>
        <w:trPr>
          <w:trHeight w:val="156"/>
        </w:trPr>
        <w:tc>
          <w:tcPr>
            <w:tcW w:w="26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100" w:type="dxa"/>
            <w:vAlign w:val="bottom"/>
            <w:tcBorders>
              <w:top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(Dollars in thousands)</w:t>
            </w:r>
          </w:p>
        </w:tc>
        <w:tc>
          <w:tcPr>
            <w:tcW w:w="1660" w:type="dxa"/>
            <w:vAlign w:val="bottom"/>
          </w:tcPr>
          <w:p>
            <w:pPr>
              <w:spacing w:after="0"/>
              <w:rPr>
                <w:sz w:val="13"/>
                <w:szCs w:val="13"/>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during the year:</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Interest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5,833</w:t>
            </w:r>
          </w:p>
        </w:tc>
        <w:tc>
          <w:tcPr>
            <w:tcW w:w="1660" w:type="dxa"/>
            <w:vAlign w:val="bottom"/>
          </w:tcPr>
          <w:p>
            <w:pPr>
              <w:spacing w:after="0"/>
              <w:rPr>
                <w:sz w:val="18"/>
                <w:szCs w:val="18"/>
                <w:color w:val="auto"/>
              </w:rPr>
            </w:pPr>
          </w:p>
        </w:tc>
      </w:tr>
      <w:tr>
        <w:trPr>
          <w:trHeight w:val="216"/>
        </w:trPr>
        <w:tc>
          <w:tcPr>
            <w:tcW w:w="260" w:type="dxa"/>
            <w:vAlign w:val="bottom"/>
            <w:shd w:val="clear" w:color="auto" w:fill="CCEEFF"/>
          </w:tcPr>
          <w:p>
            <w:pPr>
              <w:spacing w:after="0"/>
              <w:rPr>
                <w:sz w:val="18"/>
                <w:szCs w:val="18"/>
                <w:color w:val="auto"/>
              </w:rPr>
            </w:pPr>
          </w:p>
        </w:tc>
        <w:tc>
          <w:tcPr>
            <w:tcW w:w="6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Non-cash investing and financing activities: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30"/>
        </w:trPr>
        <w:tc>
          <w:tcPr>
            <w:tcW w:w="260" w:type="dxa"/>
            <w:vAlign w:val="bottom"/>
          </w:tcPr>
          <w:p>
            <w:pPr>
              <w:spacing w:after="0"/>
              <w:rPr>
                <w:sz w:val="20"/>
                <w:szCs w:val="20"/>
                <w:color w:val="auto"/>
              </w:rPr>
            </w:pPr>
          </w:p>
        </w:tc>
        <w:tc>
          <w:tcPr>
            <w:tcW w:w="6100" w:type="dxa"/>
            <w:vAlign w:val="bottom"/>
          </w:tcPr>
          <w:p>
            <w:pPr>
              <w:ind w:left="80"/>
              <w:spacing w:after="0"/>
              <w:rPr>
                <w:sz w:val="20"/>
                <w:szCs w:val="20"/>
                <w:color w:val="auto"/>
              </w:rPr>
            </w:pPr>
            <w:r>
              <w:rPr>
                <w:rFonts w:ascii="Arial" w:cs="Arial" w:eastAsia="Arial" w:hAnsi="Arial"/>
                <w:sz w:val="18"/>
                <w:szCs w:val="18"/>
                <w:color w:val="auto"/>
              </w:rPr>
              <w:t>Non-cash contributions of capital, primarily stock option allocation</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6,526</w:t>
            </w:r>
          </w:p>
        </w:tc>
        <w:tc>
          <w:tcPr>
            <w:tcW w:w="1660" w:type="dxa"/>
            <w:vAlign w:val="bottom"/>
          </w:tcPr>
          <w:p>
            <w:pPr>
              <w:spacing w:after="0"/>
              <w:rPr>
                <w:sz w:val="20"/>
                <w:szCs w:val="20"/>
                <w:color w:val="auto"/>
              </w:rPr>
            </w:pPr>
          </w:p>
        </w:tc>
      </w:tr>
    </w:tbl>
    <w:p>
      <w:pPr>
        <w:spacing w:after="0" w:line="183" w:lineRule="exact"/>
        <w:rPr>
          <w:sz w:val="20"/>
          <w:szCs w:val="20"/>
          <w:color w:val="auto"/>
        </w:rPr>
      </w:pPr>
    </w:p>
    <w:p>
      <w:pPr>
        <w:ind w:left="580" w:hanging="572"/>
        <w:spacing w:after="0"/>
        <w:tabs>
          <w:tab w:leader="none" w:pos="5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Cash Dividends Received</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 has received cash dividends from subsidiaries and affiliates of $124.5 million in 2005.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18" w:name="page119"/>
    <w:bookmarkEnd w:id="1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b w:val="1"/>
                <w:bCs w:val="1"/>
                <w:color w:val="auto"/>
                <w:w w:val="98"/>
              </w:rPr>
              <w:t>SCHEDULE V</w:t>
            </w:r>
          </w:p>
        </w:tc>
        <w:tc>
          <w:tcPr>
            <w:tcW w:w="0" w:type="dxa"/>
            <w:vAlign w:val="bottom"/>
          </w:tcPr>
          <w:p>
            <w:pPr>
              <w:spacing w:after="0"/>
              <w:rPr>
                <w:sz w:val="1"/>
                <w:szCs w:val="1"/>
                <w:color w:val="auto"/>
              </w:rPr>
            </w:pPr>
          </w:p>
        </w:tc>
      </w:tr>
      <w:tr>
        <w:trPr>
          <w:trHeight w:val="540"/>
        </w:trPr>
        <w:tc>
          <w:tcPr>
            <w:tcW w:w="2780" w:type="dxa"/>
            <w:vAlign w:val="bottom"/>
          </w:tcPr>
          <w:p>
            <w:pPr>
              <w:spacing w:after="0"/>
              <w:rPr>
                <w:sz w:val="24"/>
                <w:szCs w:val="24"/>
                <w:color w:val="auto"/>
              </w:rPr>
            </w:pPr>
          </w:p>
        </w:tc>
        <w:tc>
          <w:tcPr>
            <w:tcW w:w="5640" w:type="dxa"/>
            <w:vAlign w:val="bottom"/>
            <w:gridSpan w:val="9"/>
          </w:tcPr>
          <w:p>
            <w:pPr>
              <w:jc w:val="center"/>
              <w:ind w:left="150"/>
              <w:spacing w:after="0"/>
              <w:rPr>
                <w:sz w:val="20"/>
                <w:szCs w:val="20"/>
                <w:color w:val="auto"/>
              </w:rPr>
            </w:pPr>
            <w:r>
              <w:rPr>
                <w:rFonts w:ascii="Arial" w:cs="Arial" w:eastAsia="Arial" w:hAnsi="Arial"/>
                <w:sz w:val="18"/>
                <w:szCs w:val="18"/>
                <w:b w:val="1"/>
                <w:bCs w:val="1"/>
                <w:color w:val="auto"/>
              </w:rPr>
              <w:t>FIDELITY NATIONAL TITLE GROUP, INC. AND SUBSIDIARIES</w:t>
            </w: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rPr>
              <w:t>VALUATION AND QUALIFYING ACCOUNTS</w:t>
            </w: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w w:val="89"/>
              </w:rPr>
              <w:t>Years Ended December 31, 2005, 2004 and 2003</w:t>
            </w: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78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Column A</w:t>
            </w:r>
          </w:p>
        </w:tc>
        <w:tc>
          <w:tcPr>
            <w:tcW w:w="6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Column B</w:t>
            </w:r>
          </w:p>
        </w:tc>
        <w:tc>
          <w:tcPr>
            <w:tcW w:w="5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Column C</w:t>
            </w:r>
          </w:p>
        </w:tc>
        <w:tc>
          <w:tcPr>
            <w:tcW w:w="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Column D</w:t>
            </w:r>
          </w:p>
        </w:tc>
        <w:tc>
          <w:tcPr>
            <w:tcW w:w="640" w:type="dxa"/>
            <w:vAlign w:val="bottom"/>
          </w:tcPr>
          <w:p>
            <w:pPr>
              <w:spacing w:after="0"/>
              <w:rPr>
                <w:sz w:val="24"/>
                <w:szCs w:val="2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Column E</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1"/>
              </w:rPr>
              <w:t>Balance at</w:t>
            </w:r>
          </w:p>
        </w:tc>
        <w:tc>
          <w:tcPr>
            <w:tcW w:w="9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Additions</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920" w:type="dxa"/>
            <w:vAlign w:val="bottom"/>
          </w:tcPr>
          <w:p>
            <w:pPr>
              <w:ind w:left="140"/>
              <w:spacing w:after="0" w:line="133" w:lineRule="exact"/>
              <w:rPr>
                <w:sz w:val="20"/>
                <w:szCs w:val="20"/>
                <w:color w:val="auto"/>
              </w:rPr>
            </w:pPr>
            <w:r>
              <w:rPr>
                <w:rFonts w:ascii="Arial" w:cs="Arial" w:eastAsia="Arial" w:hAnsi="Arial"/>
                <w:sz w:val="14"/>
                <w:szCs w:val="14"/>
                <w:b w:val="1"/>
                <w:bCs w:val="1"/>
                <w:color w:val="auto"/>
              </w:rPr>
              <w:t>Charge to</w:t>
            </w:r>
          </w:p>
        </w:tc>
        <w:tc>
          <w:tcPr>
            <w:tcW w:w="480" w:type="dxa"/>
            <w:vAlign w:val="bottom"/>
          </w:tcPr>
          <w:p>
            <w:pPr>
              <w:spacing w:after="0"/>
              <w:rPr>
                <w:sz w:val="11"/>
                <w:szCs w:val="11"/>
                <w:color w:val="auto"/>
              </w:rPr>
            </w:pPr>
          </w:p>
        </w:tc>
        <w:tc>
          <w:tcPr>
            <w:tcW w:w="190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Other</w:t>
            </w:r>
          </w:p>
        </w:tc>
        <w:tc>
          <w:tcPr>
            <w:tcW w:w="162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w w:val="90"/>
              </w:rPr>
              <w:t>Deduction</w:t>
            </w: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Beginning</w:t>
            </w:r>
          </w:p>
        </w:tc>
        <w:tc>
          <w:tcPr>
            <w:tcW w:w="9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Costs and</w:t>
            </w:r>
          </w:p>
        </w:tc>
        <w:tc>
          <w:tcPr>
            <w:tcW w:w="48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278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 Period</w:t>
            </w:r>
          </w:p>
        </w:tc>
        <w:tc>
          <w:tcPr>
            <w:tcW w:w="580" w:type="dxa"/>
            <w:vAlign w:val="bottom"/>
          </w:tcPr>
          <w:p>
            <w:pPr>
              <w:spacing w:after="0"/>
              <w:rPr>
                <w:sz w:val="14"/>
                <w:szCs w:val="1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Expenses</w:t>
            </w:r>
          </w:p>
        </w:tc>
        <w:tc>
          <w:tcPr>
            <w:tcW w:w="480" w:type="dxa"/>
            <w:vAlign w:val="bottom"/>
          </w:tcPr>
          <w:p>
            <w:pPr>
              <w:spacing w:after="0"/>
              <w:rPr>
                <w:sz w:val="14"/>
                <w:szCs w:val="14"/>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(Described)</w:t>
            </w:r>
          </w:p>
        </w:tc>
        <w:tc>
          <w:tcPr>
            <w:tcW w:w="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0"/>
              </w:rPr>
              <w:t>(Described)</w:t>
            </w:r>
          </w:p>
        </w:tc>
        <w:tc>
          <w:tcPr>
            <w:tcW w:w="64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(Dollars in thousands)</w:t>
            </w:r>
          </w:p>
        </w:tc>
        <w:tc>
          <w:tcPr>
            <w:tcW w:w="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260"/>
              <w:spacing w:after="0"/>
              <w:rPr>
                <w:sz w:val="20"/>
                <w:szCs w:val="20"/>
                <w:color w:val="auto"/>
              </w:rPr>
            </w:pPr>
            <w:r>
              <w:rPr>
                <w:rFonts w:ascii="Arial" w:cs="Arial" w:eastAsia="Arial" w:hAnsi="Arial"/>
                <w:sz w:val="18"/>
                <w:szCs w:val="18"/>
                <w:color w:val="auto"/>
              </w:rPr>
              <w:t>Reserve for claim losses</w:t>
            </w:r>
          </w:p>
        </w:tc>
        <w:tc>
          <w:tcPr>
            <w:tcW w:w="2340" w:type="dxa"/>
            <w:vAlign w:val="bottom"/>
            <w:gridSpan w:val="4"/>
          </w:tcPr>
          <w:p>
            <w:pPr>
              <w:jc w:val="right"/>
              <w:ind w:right="580"/>
              <w:spacing w:after="0"/>
              <w:rPr>
                <w:sz w:val="20"/>
                <w:szCs w:val="20"/>
                <w:color w:val="auto"/>
              </w:rPr>
            </w:pPr>
            <w:r>
              <w:rPr>
                <w:rFonts w:ascii="Arial" w:cs="Arial" w:eastAsia="Arial" w:hAnsi="Arial"/>
                <w:sz w:val="18"/>
                <w:szCs w:val="18"/>
                <w:color w:val="auto"/>
              </w:rPr>
              <w:t>980,746</w:t>
            </w:r>
          </w:p>
        </w:tc>
        <w:tc>
          <w:tcPr>
            <w:tcW w:w="920" w:type="dxa"/>
            <w:vAlign w:val="bottom"/>
          </w:tcPr>
          <w:p>
            <w:pPr>
              <w:jc w:val="right"/>
              <w:spacing w:after="0"/>
              <w:rPr>
                <w:sz w:val="20"/>
                <w:szCs w:val="20"/>
                <w:color w:val="auto"/>
              </w:rPr>
            </w:pPr>
            <w:r>
              <w:rPr>
                <w:rFonts w:ascii="Arial" w:cs="Arial" w:eastAsia="Arial" w:hAnsi="Arial"/>
                <w:sz w:val="18"/>
                <w:szCs w:val="18"/>
                <w:color w:val="auto"/>
              </w:rPr>
              <w:t>354,710</w:t>
            </w:r>
          </w:p>
        </w:tc>
        <w:tc>
          <w:tcPr>
            <w:tcW w:w="2180" w:type="dxa"/>
            <w:vAlign w:val="bottom"/>
            <w:gridSpan w:val="3"/>
          </w:tcPr>
          <w:p>
            <w:pPr>
              <w:jc w:val="right"/>
              <w:ind w:right="420"/>
              <w:spacing w:after="0"/>
              <w:rPr>
                <w:sz w:val="20"/>
                <w:szCs w:val="20"/>
                <w:color w:val="auto"/>
              </w:rPr>
            </w:pPr>
            <w:r>
              <w:rPr>
                <w:rFonts w:ascii="Arial" w:cs="Arial" w:eastAsia="Arial" w:hAnsi="Arial"/>
                <w:sz w:val="18"/>
                <w:szCs w:val="18"/>
                <w:color w:val="auto"/>
              </w:rPr>
              <w:t>1,000(3)</w:t>
            </w:r>
          </w:p>
        </w:tc>
        <w:tc>
          <w:tcPr>
            <w:tcW w:w="200" w:type="dxa"/>
            <w:vAlign w:val="bottom"/>
          </w:tcPr>
          <w:p>
            <w:pPr>
              <w:spacing w:after="0"/>
              <w:rPr>
                <w:sz w:val="18"/>
                <w:szCs w:val="18"/>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272,599(1)</w:t>
            </w:r>
          </w:p>
        </w:tc>
        <w:tc>
          <w:tcPr>
            <w:tcW w:w="1060" w:type="dxa"/>
            <w:vAlign w:val="bottom"/>
          </w:tcPr>
          <w:p>
            <w:pPr>
              <w:jc w:val="right"/>
              <w:spacing w:after="0"/>
              <w:rPr>
                <w:sz w:val="20"/>
                <w:szCs w:val="20"/>
                <w:color w:val="auto"/>
              </w:rPr>
            </w:pPr>
            <w:r>
              <w:rPr>
                <w:rFonts w:ascii="Arial" w:cs="Arial" w:eastAsia="Arial" w:hAnsi="Arial"/>
                <w:sz w:val="18"/>
                <w:szCs w:val="18"/>
                <w:color w:val="auto"/>
              </w:rPr>
              <w:t>1,063,857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Allowance on trade receivables</w:t>
            </w:r>
          </w:p>
        </w:tc>
        <w:tc>
          <w:tcPr>
            <w:tcW w:w="234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11,792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48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3,085(2)</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13,583</w:t>
            </w:r>
          </w:p>
        </w:tc>
        <w:tc>
          <w:tcPr>
            <w:tcW w:w="0" w:type="dxa"/>
            <w:vAlign w:val="bottom"/>
          </w:tcPr>
          <w:p>
            <w:pPr>
              <w:spacing w:after="0"/>
              <w:rPr>
                <w:sz w:val="1"/>
                <w:szCs w:val="1"/>
                <w:color w:val="auto"/>
              </w:rPr>
            </w:pPr>
          </w:p>
        </w:tc>
      </w:tr>
      <w:tr>
        <w:trPr>
          <w:trHeight w:val="216"/>
        </w:trPr>
        <w:tc>
          <w:tcPr>
            <w:tcW w:w="2780" w:type="dxa"/>
            <w:vAlign w:val="bottom"/>
          </w:tcPr>
          <w:p>
            <w:pPr>
              <w:ind w:left="260"/>
              <w:spacing w:after="0"/>
              <w:rPr>
                <w:sz w:val="20"/>
                <w:szCs w:val="20"/>
                <w:color w:val="auto"/>
              </w:rPr>
            </w:pPr>
            <w:r>
              <w:rPr>
                <w:rFonts w:ascii="Arial" w:cs="Arial" w:eastAsia="Arial" w:hAnsi="Arial"/>
                <w:sz w:val="18"/>
                <w:szCs w:val="18"/>
                <w:color w:val="auto"/>
              </w:rPr>
              <w:t>Allowance on notes receivable</w:t>
            </w:r>
          </w:p>
        </w:tc>
        <w:tc>
          <w:tcPr>
            <w:tcW w:w="2340" w:type="dxa"/>
            <w:vAlign w:val="bottom"/>
            <w:gridSpan w:val="4"/>
          </w:tcPr>
          <w:p>
            <w:pPr>
              <w:jc w:val="right"/>
              <w:ind w:right="580"/>
              <w:spacing w:after="0"/>
              <w:rPr>
                <w:sz w:val="20"/>
                <w:szCs w:val="20"/>
                <w:color w:val="auto"/>
              </w:rPr>
            </w:pPr>
            <w:r>
              <w:rPr>
                <w:rFonts w:ascii="Arial" w:cs="Arial" w:eastAsia="Arial" w:hAnsi="Arial"/>
                <w:sz w:val="18"/>
                <w:szCs w:val="18"/>
                <w:color w:val="auto"/>
              </w:rPr>
              <w:t>1,740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90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274(2)</w:t>
            </w:r>
          </w:p>
        </w:tc>
        <w:tc>
          <w:tcPr>
            <w:tcW w:w="1060" w:type="dxa"/>
            <w:vAlign w:val="bottom"/>
          </w:tcPr>
          <w:p>
            <w:pPr>
              <w:jc w:val="right"/>
              <w:spacing w:after="0"/>
              <w:rPr>
                <w:sz w:val="20"/>
                <w:szCs w:val="20"/>
                <w:color w:val="auto"/>
              </w:rPr>
            </w:pPr>
            <w:r>
              <w:rPr>
                <w:rFonts w:ascii="Arial" w:cs="Arial" w:eastAsia="Arial" w:hAnsi="Arial"/>
                <w:sz w:val="18"/>
                <w:szCs w:val="18"/>
                <w:color w:val="auto"/>
              </w:rPr>
              <w:t>1,466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2004:</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260"/>
              <w:spacing w:after="0"/>
              <w:rPr>
                <w:sz w:val="20"/>
                <w:szCs w:val="20"/>
                <w:color w:val="auto"/>
              </w:rPr>
            </w:pPr>
            <w:r>
              <w:rPr>
                <w:rFonts w:ascii="Arial" w:cs="Arial" w:eastAsia="Arial" w:hAnsi="Arial"/>
                <w:sz w:val="18"/>
                <w:szCs w:val="18"/>
                <w:color w:val="auto"/>
              </w:rPr>
              <w:t>Reserve for claim losses</w:t>
            </w:r>
          </w:p>
        </w:tc>
        <w:tc>
          <w:tcPr>
            <w:tcW w:w="2340" w:type="dxa"/>
            <w:vAlign w:val="bottom"/>
            <w:gridSpan w:val="4"/>
          </w:tcPr>
          <w:p>
            <w:pPr>
              <w:jc w:val="right"/>
              <w:ind w:right="580"/>
              <w:spacing w:after="0"/>
              <w:rPr>
                <w:sz w:val="20"/>
                <w:szCs w:val="20"/>
                <w:color w:val="auto"/>
              </w:rPr>
            </w:pPr>
            <w:r>
              <w:rPr>
                <w:rFonts w:ascii="Arial" w:cs="Arial" w:eastAsia="Arial" w:hAnsi="Arial"/>
                <w:sz w:val="18"/>
                <w:szCs w:val="18"/>
                <w:color w:val="auto"/>
              </w:rPr>
              <w:t>932,439</w:t>
            </w:r>
          </w:p>
        </w:tc>
        <w:tc>
          <w:tcPr>
            <w:tcW w:w="920" w:type="dxa"/>
            <w:vAlign w:val="bottom"/>
          </w:tcPr>
          <w:p>
            <w:pPr>
              <w:jc w:val="right"/>
              <w:spacing w:after="0"/>
              <w:rPr>
                <w:sz w:val="20"/>
                <w:szCs w:val="20"/>
                <w:color w:val="auto"/>
              </w:rPr>
            </w:pPr>
            <w:r>
              <w:rPr>
                <w:rFonts w:ascii="Arial" w:cs="Arial" w:eastAsia="Arial" w:hAnsi="Arial"/>
                <w:sz w:val="18"/>
                <w:szCs w:val="18"/>
                <w:color w:val="auto"/>
              </w:rPr>
              <w:t>259,402</w:t>
            </w:r>
          </w:p>
        </w:tc>
        <w:tc>
          <w:tcPr>
            <w:tcW w:w="2180" w:type="dxa"/>
            <w:vAlign w:val="bottom"/>
            <w:gridSpan w:val="3"/>
          </w:tcPr>
          <w:p>
            <w:pPr>
              <w:jc w:val="right"/>
              <w:ind w:right="420"/>
              <w:spacing w:after="0"/>
              <w:rPr>
                <w:sz w:val="20"/>
                <w:szCs w:val="20"/>
                <w:color w:val="auto"/>
              </w:rPr>
            </w:pPr>
            <w:r>
              <w:rPr>
                <w:rFonts w:ascii="Arial" w:cs="Arial" w:eastAsia="Arial" w:hAnsi="Arial"/>
                <w:sz w:val="18"/>
                <w:szCs w:val="18"/>
                <w:color w:val="auto"/>
              </w:rPr>
              <w:t>38,597(3)</w:t>
            </w:r>
          </w:p>
        </w:tc>
        <w:tc>
          <w:tcPr>
            <w:tcW w:w="200" w:type="dxa"/>
            <w:vAlign w:val="bottom"/>
          </w:tcPr>
          <w:p>
            <w:pPr>
              <w:spacing w:after="0"/>
              <w:rPr>
                <w:sz w:val="18"/>
                <w:szCs w:val="18"/>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249,692(1)</w:t>
            </w:r>
          </w:p>
        </w:tc>
        <w:tc>
          <w:tcPr>
            <w:tcW w:w="1060" w:type="dxa"/>
            <w:vAlign w:val="bottom"/>
          </w:tcPr>
          <w:p>
            <w:pPr>
              <w:jc w:val="right"/>
              <w:spacing w:after="0"/>
              <w:rPr>
                <w:sz w:val="20"/>
                <w:szCs w:val="20"/>
                <w:color w:val="auto"/>
              </w:rPr>
            </w:pPr>
            <w:r>
              <w:rPr>
                <w:rFonts w:ascii="Arial" w:cs="Arial" w:eastAsia="Arial" w:hAnsi="Arial"/>
                <w:sz w:val="18"/>
                <w:szCs w:val="18"/>
                <w:color w:val="auto"/>
              </w:rPr>
              <w:t>980,746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Allowance on trade receivables</w:t>
            </w:r>
          </w:p>
        </w:tc>
        <w:tc>
          <w:tcPr>
            <w:tcW w:w="234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12,833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8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1,269(2)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260"/>
              <w:spacing w:after="0"/>
              <w:rPr>
                <w:sz w:val="20"/>
                <w:szCs w:val="20"/>
                <w:color w:val="auto"/>
              </w:rPr>
            </w:pPr>
            <w:r>
              <w:rPr>
                <w:rFonts w:ascii="Arial" w:cs="Arial" w:eastAsia="Arial" w:hAnsi="Arial"/>
                <w:sz w:val="18"/>
                <w:szCs w:val="18"/>
                <w:color w:val="auto"/>
              </w:rPr>
              <w:t>Allowance on notes receivable</w:t>
            </w:r>
          </w:p>
        </w:tc>
        <w:tc>
          <w:tcPr>
            <w:tcW w:w="2340" w:type="dxa"/>
            <w:vAlign w:val="bottom"/>
            <w:gridSpan w:val="4"/>
          </w:tcPr>
          <w:p>
            <w:pPr>
              <w:jc w:val="right"/>
              <w:ind w:right="580"/>
              <w:spacing w:after="0"/>
              <w:rPr>
                <w:sz w:val="20"/>
                <w:szCs w:val="20"/>
                <w:color w:val="auto"/>
              </w:rPr>
            </w:pPr>
            <w:r>
              <w:rPr>
                <w:rFonts w:ascii="Arial" w:cs="Arial" w:eastAsia="Arial" w:hAnsi="Arial"/>
                <w:sz w:val="18"/>
                <w:szCs w:val="18"/>
                <w:color w:val="auto"/>
              </w:rPr>
              <w:t>1,555</w:t>
            </w:r>
          </w:p>
        </w:tc>
        <w:tc>
          <w:tcPr>
            <w:tcW w:w="920" w:type="dxa"/>
            <w:vAlign w:val="bottom"/>
          </w:tcPr>
          <w:p>
            <w:pPr>
              <w:jc w:val="right"/>
              <w:spacing w:after="0"/>
              <w:rPr>
                <w:sz w:val="20"/>
                <w:szCs w:val="20"/>
                <w:color w:val="auto"/>
              </w:rPr>
            </w:pPr>
            <w:r>
              <w:rPr>
                <w:rFonts w:ascii="Arial" w:cs="Arial" w:eastAsia="Arial" w:hAnsi="Arial"/>
                <w:sz w:val="18"/>
                <w:szCs w:val="18"/>
                <w:color w:val="auto"/>
              </w:rPr>
              <w:t>185</w:t>
            </w:r>
          </w:p>
        </w:tc>
        <w:tc>
          <w:tcPr>
            <w:tcW w:w="480" w:type="dxa"/>
            <w:vAlign w:val="bottom"/>
          </w:tcPr>
          <w:p>
            <w:pPr>
              <w:spacing w:after="0"/>
              <w:rPr>
                <w:sz w:val="18"/>
                <w:szCs w:val="18"/>
                <w:color w:val="auto"/>
              </w:rPr>
            </w:pPr>
          </w:p>
        </w:tc>
        <w:tc>
          <w:tcPr>
            <w:tcW w:w="190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1,740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2003:</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260"/>
              <w:spacing w:after="0"/>
              <w:rPr>
                <w:sz w:val="20"/>
                <w:szCs w:val="20"/>
                <w:color w:val="auto"/>
              </w:rPr>
            </w:pPr>
            <w:r>
              <w:rPr>
                <w:rFonts w:ascii="Arial" w:cs="Arial" w:eastAsia="Arial" w:hAnsi="Arial"/>
                <w:sz w:val="18"/>
                <w:szCs w:val="18"/>
                <w:color w:val="auto"/>
              </w:rPr>
              <w:t>Reserve for claim losses</w:t>
            </w:r>
          </w:p>
        </w:tc>
        <w:tc>
          <w:tcPr>
            <w:tcW w:w="2340" w:type="dxa"/>
            <w:vAlign w:val="bottom"/>
            <w:gridSpan w:val="4"/>
          </w:tcPr>
          <w:p>
            <w:pPr>
              <w:jc w:val="right"/>
              <w:ind w:right="580"/>
              <w:spacing w:after="0"/>
              <w:rPr>
                <w:sz w:val="20"/>
                <w:szCs w:val="20"/>
                <w:color w:val="auto"/>
              </w:rPr>
            </w:pPr>
            <w:r>
              <w:rPr>
                <w:rFonts w:ascii="Arial" w:cs="Arial" w:eastAsia="Arial" w:hAnsi="Arial"/>
                <w:sz w:val="18"/>
                <w:szCs w:val="18"/>
                <w:color w:val="auto"/>
              </w:rPr>
              <w:t>887,973</w:t>
            </w:r>
          </w:p>
        </w:tc>
        <w:tc>
          <w:tcPr>
            <w:tcW w:w="920" w:type="dxa"/>
            <w:vAlign w:val="bottom"/>
          </w:tcPr>
          <w:p>
            <w:pPr>
              <w:jc w:val="right"/>
              <w:spacing w:after="0"/>
              <w:rPr>
                <w:sz w:val="20"/>
                <w:szCs w:val="20"/>
                <w:color w:val="auto"/>
              </w:rPr>
            </w:pPr>
            <w:r>
              <w:rPr>
                <w:rFonts w:ascii="Arial" w:cs="Arial" w:eastAsia="Arial" w:hAnsi="Arial"/>
                <w:sz w:val="18"/>
                <w:szCs w:val="18"/>
                <w:color w:val="auto"/>
              </w:rPr>
              <w:t>248,834</w:t>
            </w:r>
          </w:p>
        </w:tc>
        <w:tc>
          <w:tcPr>
            <w:tcW w:w="2180" w:type="dxa"/>
            <w:vAlign w:val="bottom"/>
            <w:gridSpan w:val="3"/>
          </w:tcPr>
          <w:p>
            <w:pPr>
              <w:jc w:val="right"/>
              <w:ind w:right="420"/>
              <w:spacing w:after="0"/>
              <w:rPr>
                <w:sz w:val="20"/>
                <w:szCs w:val="20"/>
                <w:color w:val="auto"/>
              </w:rPr>
            </w:pPr>
            <w:r>
              <w:rPr>
                <w:rFonts w:ascii="Arial" w:cs="Arial" w:eastAsia="Arial" w:hAnsi="Arial"/>
                <w:sz w:val="18"/>
                <w:szCs w:val="18"/>
                <w:color w:val="auto"/>
              </w:rPr>
              <w:t>4,203(3)</w:t>
            </w:r>
          </w:p>
        </w:tc>
        <w:tc>
          <w:tcPr>
            <w:tcW w:w="200" w:type="dxa"/>
            <w:vAlign w:val="bottom"/>
          </w:tcPr>
          <w:p>
            <w:pPr>
              <w:spacing w:after="0"/>
              <w:rPr>
                <w:sz w:val="18"/>
                <w:szCs w:val="18"/>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208,571(1)</w:t>
            </w:r>
          </w:p>
        </w:tc>
        <w:tc>
          <w:tcPr>
            <w:tcW w:w="1060" w:type="dxa"/>
            <w:vAlign w:val="bottom"/>
          </w:tcPr>
          <w:p>
            <w:pPr>
              <w:jc w:val="right"/>
              <w:spacing w:after="0"/>
              <w:rPr>
                <w:sz w:val="20"/>
                <w:szCs w:val="20"/>
                <w:color w:val="auto"/>
              </w:rPr>
            </w:pPr>
            <w:r>
              <w:rPr>
                <w:rFonts w:ascii="Arial" w:cs="Arial" w:eastAsia="Arial" w:hAnsi="Arial"/>
                <w:sz w:val="18"/>
                <w:szCs w:val="18"/>
                <w:color w:val="auto"/>
              </w:rPr>
              <w:t>932,439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Allowance on trade receivables</w:t>
            </w:r>
          </w:p>
        </w:tc>
        <w:tc>
          <w:tcPr>
            <w:tcW w:w="234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10,148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2,229(2)</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12,833</w:t>
            </w:r>
          </w:p>
        </w:tc>
        <w:tc>
          <w:tcPr>
            <w:tcW w:w="0" w:type="dxa"/>
            <w:vAlign w:val="bottom"/>
          </w:tcPr>
          <w:p>
            <w:pPr>
              <w:spacing w:after="0"/>
              <w:rPr>
                <w:sz w:val="1"/>
                <w:szCs w:val="1"/>
                <w:color w:val="auto"/>
              </w:rPr>
            </w:pPr>
          </w:p>
        </w:tc>
      </w:tr>
      <w:tr>
        <w:trPr>
          <w:trHeight w:val="230"/>
        </w:trPr>
        <w:tc>
          <w:tcPr>
            <w:tcW w:w="2780" w:type="dxa"/>
            <w:vAlign w:val="bottom"/>
          </w:tcPr>
          <w:p>
            <w:pPr>
              <w:ind w:left="260"/>
              <w:spacing w:after="0"/>
              <w:rPr>
                <w:sz w:val="20"/>
                <w:szCs w:val="20"/>
                <w:color w:val="auto"/>
              </w:rPr>
            </w:pPr>
            <w:r>
              <w:rPr>
                <w:rFonts w:ascii="Arial" w:cs="Arial" w:eastAsia="Arial" w:hAnsi="Arial"/>
                <w:sz w:val="18"/>
                <w:szCs w:val="18"/>
                <w:color w:val="auto"/>
              </w:rPr>
              <w:t>Allowance on notes receivable</w:t>
            </w:r>
          </w:p>
        </w:tc>
        <w:tc>
          <w:tcPr>
            <w:tcW w:w="2340" w:type="dxa"/>
            <w:vAlign w:val="bottom"/>
            <w:gridSpan w:val="4"/>
          </w:tcPr>
          <w:p>
            <w:pPr>
              <w:jc w:val="right"/>
              <w:ind w:right="580"/>
              <w:spacing w:after="0"/>
              <w:rPr>
                <w:sz w:val="20"/>
                <w:szCs w:val="20"/>
                <w:color w:val="auto"/>
              </w:rPr>
            </w:pPr>
            <w:r>
              <w:rPr>
                <w:rFonts w:ascii="Arial" w:cs="Arial" w:eastAsia="Arial" w:hAnsi="Arial"/>
                <w:sz w:val="18"/>
                <w:szCs w:val="18"/>
                <w:color w:val="auto"/>
              </w:rPr>
              <w:t>1,001</w:t>
            </w:r>
          </w:p>
        </w:tc>
        <w:tc>
          <w:tcPr>
            <w:tcW w:w="920" w:type="dxa"/>
            <w:vAlign w:val="bottom"/>
          </w:tcPr>
          <w:p>
            <w:pPr>
              <w:jc w:val="right"/>
              <w:spacing w:after="0"/>
              <w:rPr>
                <w:sz w:val="20"/>
                <w:szCs w:val="20"/>
                <w:color w:val="auto"/>
              </w:rPr>
            </w:pPr>
            <w:r>
              <w:rPr>
                <w:rFonts w:ascii="Arial" w:cs="Arial" w:eastAsia="Arial" w:hAnsi="Arial"/>
                <w:sz w:val="18"/>
                <w:szCs w:val="18"/>
                <w:color w:val="auto"/>
              </w:rPr>
              <w:t>554</w:t>
            </w:r>
          </w:p>
        </w:tc>
        <w:tc>
          <w:tcPr>
            <w:tcW w:w="480" w:type="dxa"/>
            <w:vAlign w:val="bottom"/>
          </w:tcPr>
          <w:p>
            <w:pPr>
              <w:spacing w:after="0"/>
              <w:rPr>
                <w:sz w:val="20"/>
                <w:szCs w:val="20"/>
                <w:color w:val="auto"/>
              </w:rPr>
            </w:pPr>
          </w:p>
        </w:tc>
        <w:tc>
          <w:tcPr>
            <w:tcW w:w="190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1,555</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036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payments of claim losses, net of recoupments.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uncollectible accounts written-off and change in reserve due to reevaluation of specific items</w:t>
      </w:r>
    </w:p>
    <w:p>
      <w:pPr>
        <w:spacing w:after="0" w:line="76" w:lineRule="exact"/>
        <w:rPr>
          <w:rFonts w:ascii="Arial" w:cs="Arial" w:eastAsia="Arial" w:hAnsi="Arial"/>
          <w:sz w:val="18"/>
          <w:szCs w:val="18"/>
          <w:color w:val="auto"/>
        </w:rPr>
      </w:pPr>
    </w:p>
    <w:p>
      <w:pPr>
        <w:ind w:left="460" w:right="360" w:hanging="452"/>
        <w:spacing w:after="0" w:line="277"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reserve for claim losses assumed in connection with the Company’s acquisitions of Service Link, APTIC, and ANFI in 2005, 2004, and 2003,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Registered Independent Public Accounting Firm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80" w:type="dxa"/>
            <w:vAlign w:val="bottom"/>
          </w:tcPr>
          <w:p>
            <w:pPr>
              <w:ind w:left="26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47"/>
        </w:trPr>
        <w:tc>
          <w:tcPr>
            <w:tcW w:w="2000" w:type="dxa"/>
            <w:vAlign w:val="bottom"/>
          </w:tcPr>
          <w:p>
            <w:pPr>
              <w:jc w:val="right"/>
              <w:ind w:right="691"/>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1"/>
                <w:szCs w:val="21"/>
                <w:color w:val="auto"/>
              </w:rPr>
            </w:pPr>
          </w:p>
        </w:tc>
        <w:tc>
          <w:tcPr>
            <w:tcW w:w="9080" w:type="dxa"/>
            <w:vAlign w:val="bottom"/>
            <w:vMerge w:val="restart"/>
          </w:tcPr>
          <w:p>
            <w:pPr>
              <w:ind w:left="4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00" w:type="dxa"/>
            <w:vAlign w:val="bottom"/>
          </w:tcPr>
          <w:p>
            <w:pPr>
              <w:jc w:val="right"/>
              <w:ind w:right="691"/>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1"/>
              </w:rPr>
              <w:t>Amended and Restated Certificate of Incorporation, incorporated by reference to the Registrant’s current report on Form 8-K</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(File No. 1-32630) filed on October 19, 2005, as Exhibit 3.1.</w:t>
            </w:r>
          </w:p>
        </w:tc>
        <w:tc>
          <w:tcPr>
            <w:tcW w:w="0" w:type="dxa"/>
            <w:vAlign w:val="bottom"/>
          </w:tcPr>
          <w:p>
            <w:pPr>
              <w:spacing w:after="0"/>
              <w:rPr>
                <w:sz w:val="1"/>
                <w:szCs w:val="1"/>
                <w:color w:val="auto"/>
              </w:rPr>
            </w:pPr>
          </w:p>
        </w:tc>
      </w:tr>
      <w:tr>
        <w:trPr>
          <w:trHeight w:val="216"/>
        </w:trPr>
        <w:tc>
          <w:tcPr>
            <w:tcW w:w="2000" w:type="dxa"/>
            <w:vAlign w:val="bottom"/>
          </w:tcPr>
          <w:p>
            <w:pPr>
              <w:jc w:val="right"/>
              <w:ind w:right="691"/>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Amended and Restated Bylaws of the Registrant.†</w:t>
            </w:r>
          </w:p>
        </w:tc>
        <w:tc>
          <w:tcPr>
            <w:tcW w:w="0" w:type="dxa"/>
            <w:vAlign w:val="bottom"/>
          </w:tcPr>
          <w:p>
            <w:pPr>
              <w:spacing w:after="0"/>
              <w:rPr>
                <w:sz w:val="1"/>
                <w:szCs w:val="1"/>
                <w:color w:val="auto"/>
              </w:rPr>
            </w:pPr>
          </w:p>
        </w:tc>
      </w:tr>
      <w:tr>
        <w:trPr>
          <w:trHeight w:val="216"/>
        </w:trPr>
        <w:tc>
          <w:tcPr>
            <w:tcW w:w="2000" w:type="dxa"/>
            <w:vAlign w:val="bottom"/>
          </w:tcPr>
          <w:p>
            <w:pPr>
              <w:jc w:val="right"/>
              <w:ind w:right="691"/>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Indenture between the Registrant and The Bank of New York Trust Company, N.A. relating to the FNT notes.*</w:t>
            </w:r>
          </w:p>
        </w:tc>
        <w:tc>
          <w:tcPr>
            <w:tcW w:w="0" w:type="dxa"/>
            <w:vAlign w:val="bottom"/>
          </w:tcPr>
          <w:p>
            <w:pPr>
              <w:spacing w:after="0"/>
              <w:rPr>
                <w:sz w:val="1"/>
                <w:szCs w:val="1"/>
                <w:color w:val="auto"/>
              </w:rPr>
            </w:pPr>
          </w:p>
        </w:tc>
      </w:tr>
      <w:tr>
        <w:trPr>
          <w:trHeight w:val="216"/>
        </w:trPr>
        <w:tc>
          <w:tcPr>
            <w:tcW w:w="2000" w:type="dxa"/>
            <w:vAlign w:val="bottom"/>
          </w:tcPr>
          <w:p>
            <w:pPr>
              <w:jc w:val="right"/>
              <w:ind w:right="691"/>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0"/>
              </w:rPr>
              <w:t>Supplemental Indenture, dated as of January 6, 2006, between the Registrant and the Bank of New York Trust Company, N.A.</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incorporated by reference to Exhibit 4.1 to the Registrant’s current report on Form 8-K (File No. 1-32630) filed on</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January 24, 2006.</w:t>
            </w:r>
          </w:p>
        </w:tc>
        <w:tc>
          <w:tcPr>
            <w:tcW w:w="0" w:type="dxa"/>
            <w:vAlign w:val="bottom"/>
          </w:tcPr>
          <w:p>
            <w:pPr>
              <w:spacing w:after="0"/>
              <w:rPr>
                <w:sz w:val="1"/>
                <w:szCs w:val="1"/>
                <w:color w:val="auto"/>
              </w:rPr>
            </w:pPr>
          </w:p>
        </w:tc>
      </w:tr>
      <w:tr>
        <w:trPr>
          <w:trHeight w:val="216"/>
        </w:trPr>
        <w:tc>
          <w:tcPr>
            <w:tcW w:w="2000" w:type="dxa"/>
            <w:vAlign w:val="bottom"/>
          </w:tcPr>
          <w:p>
            <w:pPr>
              <w:jc w:val="right"/>
              <w:ind w:right="691"/>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Form of 7.30% FNT note due August 15, 2011.**</w:t>
            </w:r>
          </w:p>
        </w:tc>
        <w:tc>
          <w:tcPr>
            <w:tcW w:w="0" w:type="dxa"/>
            <w:vAlign w:val="bottom"/>
          </w:tcPr>
          <w:p>
            <w:pPr>
              <w:spacing w:after="0"/>
              <w:rPr>
                <w:sz w:val="1"/>
                <w:szCs w:val="1"/>
                <w:color w:val="auto"/>
              </w:rPr>
            </w:pPr>
          </w:p>
        </w:tc>
      </w:tr>
      <w:tr>
        <w:trPr>
          <w:trHeight w:val="216"/>
        </w:trPr>
        <w:tc>
          <w:tcPr>
            <w:tcW w:w="2000" w:type="dxa"/>
            <w:vAlign w:val="bottom"/>
          </w:tcPr>
          <w:p>
            <w:pPr>
              <w:jc w:val="right"/>
              <w:ind w:right="691"/>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Form of 5.25% FNT note due March 15, 2013.**</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Separation Agreement, dated September 27, 2005 between FNF and the Registrant.**</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8"/>
              </w:rPr>
              <w:t>Amended and Restated Corporate Services Agreement, dated February 1, 2006 between FNF and the Registrant.*</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1"/>
              </w:rPr>
              <w:t>Amended and Restated Reverse Corporate Services Agreement, dated February 1, 2006 between FNF and the Registrant.*</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Tax Matters Agreement, dated September 27, 2005 between FNF and the Registrant.**</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Employee Matters Agreement, dated September 27, 2005 between FNF and the Registrant.**</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Registration Rights Agreement, dated September 27, 2005 between FNF and the Registrant.**</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Intellectual Property Cross License Agreement, dated September 27, 2005 between FNF and the Registrant.**</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Sublease Agreement dated September 27, 2005 between FNF and the Registrant.**</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Assignment, Assumption and Novation Agreement dated September 27, 2005 between FNF and the Registrant.**</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10.10</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0"/>
              </w:rPr>
              <w:t>Amended and Restated Corporate Services Agreement, dated February 1, 2006 between FIS and the Registrant, incorporated</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4"/>
              </w:rPr>
              <w:t>by reference to the Current Report on Form 8-K of Fidelity National Information Services, Inc. filed February 6, 2006 (the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“FIS 8-K”).</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10.11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Amended and Restated Reverse Corporate Services Agreement, dated February 1, 2006 between FIS and the Registrant,</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incorporated by reference to the FIS 8-K.</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Amended and Restated Starters Repository Access Agreement, dated February 1, 2006 between FIS and the Registrant,</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incorporated by reference to the FIS 8-K.</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10.13</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1"/>
              </w:rPr>
              <w:t>Amended and Restated Back Plant Repository Access Agreement, dated February 1, 2006 between FIS and the Registrant,</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incorporated by reference to the FIS 8-K.</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10.14</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9"/>
              </w:rPr>
              <w:t>Amended and Restated License and Services Agreement dated February 1, 2006 between FIS and the Registrant,</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incorporated by reference to the FIS 8-K.</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10.15</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0"/>
              </w:rPr>
              <w:t>Amended and Restated Lease Agreement, dated February 1, 2006 between FIS and the Registrant, incorporated by reference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to the FIS 8-K.</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10.16</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2"/>
              </w:rPr>
              <w:t>Amended and Restated Master Information Technology Services Agreement, dated February 1, 2006 between FIS and the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Registrant, incorporated by reference to the FIS 8-K.</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10.17</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2"/>
              </w:rPr>
              <w:t>Amended and Restated SoftPro Software License Agreement dated February 1, 2006 between Fidelity National Information</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Solutions, Inc. and the Registrant, incorporated by reference to the FIS 8-K.</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10.18</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4"/>
              </w:rPr>
              <w:t>7.30% Mirror Note due 2011 incorporated by reference to Exhibit 10.1 to the Registrant’s current report on Form 8-K (File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No. 1-32630) filed on January 24, 2006.**</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10.19</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5.25% Mirror Note due 2013.**</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10.20</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2"/>
              </w:rPr>
              <w:t>Tax Sharing Agreement dated June 17, 1998 among Chicago Title Corporation, Chicago Title and Trust Company, Chicago</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Title Insurance Company, Ticor Title Insurance Company and Security Union Title Insurance Company.***</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10.21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1"/>
              </w:rPr>
              <w:t>Tax Sharing Agreement dated May 13, 2004 among Chicago Title and Trust Company, Chicago Title Insurance Company of</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Oregon and FNF.***</w:t>
            </w:r>
          </w:p>
        </w:tc>
        <w:tc>
          <w:tcPr>
            <w:tcW w:w="0" w:type="dxa"/>
            <w:vAlign w:val="bottom"/>
          </w:tcPr>
          <w:p>
            <w:pPr>
              <w:spacing w:after="0"/>
              <w:rPr>
                <w:sz w:val="1"/>
                <w:szCs w:val="1"/>
                <w:color w:val="auto"/>
              </w:rPr>
            </w:pPr>
          </w:p>
        </w:tc>
      </w:tr>
      <w:tr>
        <w:trPr>
          <w:trHeight w:val="226"/>
        </w:trPr>
        <w:tc>
          <w:tcPr>
            <w:tcW w:w="20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jc w:val="right"/>
              <w:ind w:right="691"/>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080" w:type="dxa"/>
            <w:vAlign w:val="bottom"/>
            <w:vMerge w:val="restart"/>
          </w:tcPr>
          <w:p>
            <w:pPr>
              <w:ind w:left="4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00" w:type="dxa"/>
            <w:vAlign w:val="bottom"/>
          </w:tcPr>
          <w:p>
            <w:pPr>
              <w:jc w:val="right"/>
              <w:ind w:right="591"/>
              <w:spacing w:after="0"/>
              <w:rPr>
                <w:sz w:val="20"/>
                <w:szCs w:val="20"/>
                <w:color w:val="auto"/>
              </w:rPr>
            </w:pPr>
            <w:r>
              <w:rPr>
                <w:rFonts w:ascii="Arial" w:cs="Arial" w:eastAsia="Arial" w:hAnsi="Arial"/>
                <w:sz w:val="18"/>
                <w:szCs w:val="18"/>
                <w:color w:val="auto"/>
              </w:rPr>
              <w:t>10.22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2"/>
              </w:rPr>
              <w:t>Tax Sharing Agreement dated August 20, 2004 among Chicago Title and Trust Company, Ticor Title Insurance Company of</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Florida and FNF.***</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1"/>
              <w:spacing w:after="0"/>
              <w:rPr>
                <w:sz w:val="20"/>
                <w:szCs w:val="20"/>
                <w:color w:val="auto"/>
              </w:rPr>
            </w:pPr>
            <w:r>
              <w:rPr>
                <w:rFonts w:ascii="Arial" w:cs="Arial" w:eastAsia="Arial" w:hAnsi="Arial"/>
                <w:sz w:val="18"/>
                <w:szCs w:val="18"/>
                <w:color w:val="auto"/>
              </w:rPr>
              <w:t>10.23</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1"/>
              </w:rPr>
              <w:t>Tax Sharing Agreement dated January 31, 2005 among Alamo Title Holding Company, Alamo Title Insurance Company and</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FNF.***</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1"/>
              <w:spacing w:after="0"/>
              <w:rPr>
                <w:sz w:val="20"/>
                <w:szCs w:val="20"/>
                <w:color w:val="auto"/>
              </w:rPr>
            </w:pPr>
            <w:r>
              <w:rPr>
                <w:rFonts w:ascii="Arial" w:cs="Arial" w:eastAsia="Arial" w:hAnsi="Arial"/>
                <w:sz w:val="18"/>
                <w:szCs w:val="18"/>
                <w:color w:val="auto"/>
              </w:rPr>
              <w:t>10.24</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5"/>
              </w:rPr>
              <w:t>Tax Allocation Agreement dated December 13, 1999 among Fidelity National Title Insurance Company (as successor in</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interest by merger with Fidelity National Title Insurance Company of New York), Nations Title Insurance Company of New</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York, Inc., and FNF.***</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1"/>
              <w:spacing w:after="0"/>
              <w:rPr>
                <w:sz w:val="20"/>
                <w:szCs w:val="20"/>
                <w:color w:val="auto"/>
              </w:rPr>
            </w:pPr>
            <w:r>
              <w:rPr>
                <w:rFonts w:ascii="Arial" w:cs="Arial" w:eastAsia="Arial" w:hAnsi="Arial"/>
                <w:sz w:val="18"/>
                <w:szCs w:val="18"/>
                <w:color w:val="auto"/>
              </w:rPr>
              <w:t>10.25</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Issuing Agency Contract dated as of July 22, 2004 between Chicago Title Insurance Company and LSI Title Company.***</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1"/>
              <w:spacing w:after="0"/>
              <w:rPr>
                <w:sz w:val="20"/>
                <w:szCs w:val="20"/>
                <w:color w:val="auto"/>
              </w:rPr>
            </w:pPr>
            <w:r>
              <w:rPr>
                <w:rFonts w:ascii="Arial" w:cs="Arial" w:eastAsia="Arial" w:hAnsi="Arial"/>
                <w:sz w:val="18"/>
                <w:szCs w:val="18"/>
                <w:color w:val="auto"/>
              </w:rPr>
              <w:t>10.26</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2"/>
              </w:rPr>
              <w:t>Issuing Agency Contract dated as of July 22, 2004 between Chicago Title Insurance Company and LSI Title Agency, Inc.***</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1"/>
              <w:spacing w:after="0"/>
              <w:rPr>
                <w:sz w:val="20"/>
                <w:szCs w:val="20"/>
                <w:color w:val="auto"/>
              </w:rPr>
            </w:pPr>
            <w:r>
              <w:rPr>
                <w:rFonts w:ascii="Arial" w:cs="Arial" w:eastAsia="Arial" w:hAnsi="Arial"/>
                <w:sz w:val="18"/>
                <w:szCs w:val="18"/>
                <w:color w:val="auto"/>
              </w:rPr>
              <w:t>10.27</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7"/>
              </w:rPr>
              <w:t>Issuing Agency Contract dated as of July 22, 2004 between Chicago Title Insurance Company and Lender’s Service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Title Agency, Inc.***</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1"/>
              <w:spacing w:after="0"/>
              <w:rPr>
                <w:sz w:val="20"/>
                <w:szCs w:val="20"/>
                <w:color w:val="auto"/>
              </w:rPr>
            </w:pPr>
            <w:r>
              <w:rPr>
                <w:rFonts w:ascii="Arial" w:cs="Arial" w:eastAsia="Arial" w:hAnsi="Arial"/>
                <w:sz w:val="18"/>
                <w:szCs w:val="18"/>
                <w:color w:val="auto"/>
              </w:rPr>
              <w:t>10.28</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2"/>
              </w:rPr>
              <w:t>Issuing Agency Contract dated as of August 9, 2004 between Chicago Title Insurance Company and LSI Alabama, LLC.***</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1"/>
              <w:spacing w:after="0"/>
              <w:rPr>
                <w:sz w:val="20"/>
                <w:szCs w:val="20"/>
                <w:color w:val="auto"/>
              </w:rPr>
            </w:pPr>
            <w:r>
              <w:rPr>
                <w:rFonts w:ascii="Arial" w:cs="Arial" w:eastAsia="Arial" w:hAnsi="Arial"/>
                <w:sz w:val="18"/>
                <w:szCs w:val="18"/>
                <w:color w:val="auto"/>
              </w:rPr>
              <w:t>10.29</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1"/>
              </w:rPr>
              <w:t>Issuing Agency Contract dated as of February 8, 2005 between Chicago Title Insurance Company and LSI Title Company of</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Oregon, LLC.***</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1"/>
              <w:spacing w:after="0"/>
              <w:rPr>
                <w:sz w:val="20"/>
                <w:szCs w:val="20"/>
                <w:color w:val="auto"/>
              </w:rPr>
            </w:pPr>
            <w:r>
              <w:rPr>
                <w:rFonts w:ascii="Arial" w:cs="Arial" w:eastAsia="Arial" w:hAnsi="Arial"/>
                <w:sz w:val="18"/>
                <w:szCs w:val="18"/>
                <w:color w:val="auto"/>
              </w:rPr>
              <w:t>10.30</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6"/>
              </w:rPr>
              <w:t>Issuing Agency Contract dated as of September 28, 2004 between Fidelity National Title Insurance Company and LSI</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Title Company.***</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1"/>
              <w:spacing w:after="0"/>
              <w:rPr>
                <w:sz w:val="20"/>
                <w:szCs w:val="20"/>
                <w:color w:val="auto"/>
              </w:rPr>
            </w:pPr>
            <w:r>
              <w:rPr>
                <w:rFonts w:ascii="Arial" w:cs="Arial" w:eastAsia="Arial" w:hAnsi="Arial"/>
                <w:sz w:val="18"/>
                <w:szCs w:val="18"/>
                <w:color w:val="auto"/>
              </w:rPr>
              <w:t>10.31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6"/>
              </w:rPr>
              <w:t>Issuing Agency Contract dated as of September 28, 2004 between Fidelity National Title Insurance Company and LSI</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Title Agency, Inc.***</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1"/>
              <w:spacing w:after="0"/>
              <w:rPr>
                <w:sz w:val="20"/>
                <w:szCs w:val="20"/>
                <w:color w:val="auto"/>
              </w:rPr>
            </w:pPr>
            <w:r>
              <w:rPr>
                <w:rFonts w:ascii="Arial" w:cs="Arial" w:eastAsia="Arial" w:hAnsi="Arial"/>
                <w:sz w:val="18"/>
                <w:szCs w:val="18"/>
                <w:color w:val="auto"/>
              </w:rPr>
              <w:t>10.32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2"/>
              </w:rPr>
              <w:t>Issuing Agency Contract dated as of September 28, 2004 between Fidelity National Title Insurance Company and Lender’s</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Service Title Agency, Inc.***</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1"/>
              <w:spacing w:after="0"/>
              <w:rPr>
                <w:sz w:val="20"/>
                <w:szCs w:val="20"/>
                <w:color w:val="auto"/>
              </w:rPr>
            </w:pPr>
            <w:r>
              <w:rPr>
                <w:rFonts w:ascii="Arial" w:cs="Arial" w:eastAsia="Arial" w:hAnsi="Arial"/>
                <w:sz w:val="18"/>
                <w:szCs w:val="18"/>
                <w:color w:val="auto"/>
              </w:rPr>
              <w:t>10.33</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6"/>
              </w:rPr>
              <w:t>Issuing Agency Contract dated as of September 28, 2004 between Fidelity National Title Insurance Company and LSI</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Alabama, LLC.***</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1"/>
              <w:spacing w:after="0"/>
              <w:rPr>
                <w:sz w:val="20"/>
                <w:szCs w:val="20"/>
                <w:color w:val="auto"/>
              </w:rPr>
            </w:pPr>
            <w:r>
              <w:rPr>
                <w:rFonts w:ascii="Arial" w:cs="Arial" w:eastAsia="Arial" w:hAnsi="Arial"/>
                <w:sz w:val="18"/>
                <w:szCs w:val="18"/>
                <w:color w:val="auto"/>
              </w:rPr>
              <w:t>10.34</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8"/>
              </w:rPr>
              <w:t>Issuing Agency Contract dated as of February 24, 2005 between Fidelity National Title Insurance Company and LSI</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Title Company of Oregon, LLC.***</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1"/>
              <w:spacing w:after="0"/>
              <w:rPr>
                <w:sz w:val="20"/>
                <w:szCs w:val="20"/>
                <w:color w:val="auto"/>
              </w:rPr>
            </w:pPr>
            <w:r>
              <w:rPr>
                <w:rFonts w:ascii="Arial" w:cs="Arial" w:eastAsia="Arial" w:hAnsi="Arial"/>
                <w:sz w:val="18"/>
                <w:szCs w:val="18"/>
                <w:color w:val="auto"/>
              </w:rPr>
              <w:t>10.35</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6"/>
              </w:rPr>
              <w:t>Transitional Cost Sharing Agreement dated as of April 14, 2005 by and among Chicago Title Insurance Company, FIS</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Management Services, LLC, Lender’s Service Title Agency, Inc., LSI Alabama, LLC, LSI Maryland, Inc., LSI Title Agency,</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Inc., LSI Title Company, and LSI Title Company of Oregon, LLC.***</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1"/>
              <w:spacing w:after="0"/>
              <w:rPr>
                <w:sz w:val="20"/>
                <w:szCs w:val="20"/>
                <w:color w:val="auto"/>
              </w:rPr>
            </w:pPr>
            <w:r>
              <w:rPr>
                <w:rFonts w:ascii="Arial" w:cs="Arial" w:eastAsia="Arial" w:hAnsi="Arial"/>
                <w:sz w:val="18"/>
                <w:szCs w:val="18"/>
                <w:color w:val="auto"/>
              </w:rPr>
              <w:t>10.36</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1"/>
              </w:rPr>
              <w:t>Agreement for Sale of Title Plants dated January 4, 2005 between Ticor Title Company of Oregon and LSI Title Company of</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Oregon, LLC.***</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1"/>
              <w:spacing w:after="0"/>
              <w:rPr>
                <w:sz w:val="20"/>
                <w:szCs w:val="20"/>
                <w:color w:val="auto"/>
              </w:rPr>
            </w:pPr>
            <w:r>
              <w:rPr>
                <w:rFonts w:ascii="Arial" w:cs="Arial" w:eastAsia="Arial" w:hAnsi="Arial"/>
                <w:sz w:val="18"/>
                <w:szCs w:val="18"/>
                <w:color w:val="auto"/>
              </w:rPr>
              <w:t>10.37</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0"/>
              </w:rPr>
              <w:t>Agreement For Sale of Plant Index and For Use of Computerized Title Plant Services dated as of December 20, 2004 between</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Chicago Title Insurance Company and LSI Title Agency, Inc.***</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1"/>
              <w:spacing w:after="0"/>
              <w:rPr>
                <w:sz w:val="20"/>
                <w:szCs w:val="20"/>
                <w:color w:val="auto"/>
              </w:rPr>
            </w:pPr>
            <w:r>
              <w:rPr>
                <w:rFonts w:ascii="Arial" w:cs="Arial" w:eastAsia="Arial" w:hAnsi="Arial"/>
                <w:sz w:val="18"/>
                <w:szCs w:val="18"/>
                <w:color w:val="auto"/>
              </w:rPr>
              <w:t>10.38</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2"/>
              </w:rPr>
              <w:t>Title Plant Maintenance Agreement dated as of March 4, 2005 among Property Insight, LLC, Security Union Title Insurance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Company, Chicago Title Insurance Company and Ticor Title Insurance Company.***</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1"/>
              <w:spacing w:after="0"/>
              <w:rPr>
                <w:sz w:val="20"/>
                <w:szCs w:val="20"/>
                <w:color w:val="auto"/>
              </w:rPr>
            </w:pPr>
            <w:r>
              <w:rPr>
                <w:rFonts w:ascii="Arial" w:cs="Arial" w:eastAsia="Arial" w:hAnsi="Arial"/>
                <w:sz w:val="18"/>
                <w:szCs w:val="18"/>
                <w:color w:val="auto"/>
              </w:rPr>
              <w:t>10.39</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6"/>
              </w:rPr>
              <w:t>Amended and Restated Master Title Plant Access Agreement, dated as of February 1, 2006, between Rocky Mountain</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Support Services, Inc. and Property Insight, LLC, incorporated by reference to the FIS 8-K.</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1"/>
              <w:spacing w:after="0"/>
              <w:rPr>
                <w:sz w:val="20"/>
                <w:szCs w:val="20"/>
                <w:color w:val="auto"/>
              </w:rPr>
            </w:pPr>
            <w:r>
              <w:rPr>
                <w:rFonts w:ascii="Arial" w:cs="Arial" w:eastAsia="Arial" w:hAnsi="Arial"/>
                <w:sz w:val="18"/>
                <w:szCs w:val="18"/>
                <w:color w:val="auto"/>
              </w:rPr>
              <w:t>10.40</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6"/>
              </w:rPr>
              <w:t>Title Plant Management Agreement dated as of May 17, 2005 between Property Insight, LLC and Ticor Title Insurance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Company of Florida.***</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1"/>
              <w:spacing w:after="0"/>
              <w:rPr>
                <w:sz w:val="20"/>
                <w:szCs w:val="20"/>
                <w:color w:val="auto"/>
              </w:rPr>
            </w:pPr>
            <w:r>
              <w:rPr>
                <w:rFonts w:ascii="Arial" w:cs="Arial" w:eastAsia="Arial" w:hAnsi="Arial"/>
                <w:sz w:val="18"/>
                <w:szCs w:val="18"/>
                <w:color w:val="auto"/>
              </w:rPr>
              <w:t>10.41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Master Loan Agreement, dated December 28, 2000 among Chicago Title Insurance Company, Fidelity National</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Title Insurance Company, Ticor Title Insurance Company, Alamo Title Insurance Company, Security Union Title Insurance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Company and FNF.***</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1"/>
              <w:spacing w:after="0"/>
              <w:rPr>
                <w:sz w:val="20"/>
                <w:szCs w:val="20"/>
                <w:color w:val="auto"/>
              </w:rPr>
            </w:pPr>
            <w:r>
              <w:rPr>
                <w:rFonts w:ascii="Arial" w:cs="Arial" w:eastAsia="Arial" w:hAnsi="Arial"/>
                <w:sz w:val="18"/>
                <w:szCs w:val="18"/>
                <w:color w:val="auto"/>
              </w:rPr>
              <w:t>10.42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7"/>
              </w:rPr>
              <w:t>Master Loan Agreement dated February 10, 1999 among Chicago Title and Trust Company, Chicago Title Insurance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Company, Security Union Title Insurance Company and Ticor Title Insurance Company.***</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1"/>
              <w:spacing w:after="0"/>
              <w:rPr>
                <w:sz w:val="20"/>
                <w:szCs w:val="20"/>
                <w:color w:val="auto"/>
              </w:rPr>
            </w:pPr>
            <w:r>
              <w:rPr>
                <w:rFonts w:ascii="Arial" w:cs="Arial" w:eastAsia="Arial" w:hAnsi="Arial"/>
                <w:sz w:val="18"/>
                <w:szCs w:val="18"/>
                <w:color w:val="auto"/>
              </w:rPr>
              <w:t>10.43</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5"/>
              </w:rPr>
              <w:t>Amended and Restated OTS and OTS Gold Software License Agreement dated as of February 1, 2006 between Rocky</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Mountain Support Services, Inc. and Fidelity National Tax Service, Inc., incorporated by reference to the FIS 8-K.</w:t>
            </w:r>
          </w:p>
        </w:tc>
        <w:tc>
          <w:tcPr>
            <w:tcW w:w="0" w:type="dxa"/>
            <w:vAlign w:val="bottom"/>
          </w:tcPr>
          <w:p>
            <w:pPr>
              <w:spacing w:after="0"/>
              <w:rPr>
                <w:sz w:val="1"/>
                <w:szCs w:val="1"/>
                <w:color w:val="auto"/>
              </w:rPr>
            </w:pPr>
          </w:p>
        </w:tc>
      </w:tr>
      <w:tr>
        <w:trPr>
          <w:trHeight w:val="226"/>
        </w:trPr>
        <w:tc>
          <w:tcPr>
            <w:tcW w:w="20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ind w:left="78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080" w:type="dxa"/>
            <w:vAlign w:val="bottom"/>
            <w:vMerge w:val="restart"/>
          </w:tcPr>
          <w:p>
            <w:pPr>
              <w:ind w:left="4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00" w:type="dxa"/>
            <w:vAlign w:val="bottom"/>
          </w:tcPr>
          <w:p>
            <w:pPr>
              <w:ind w:left="900"/>
              <w:spacing w:after="0"/>
              <w:rPr>
                <w:sz w:val="20"/>
                <w:szCs w:val="20"/>
                <w:color w:val="auto"/>
              </w:rPr>
            </w:pPr>
            <w:r>
              <w:rPr>
                <w:rFonts w:ascii="Arial" w:cs="Arial" w:eastAsia="Arial" w:hAnsi="Arial"/>
                <w:sz w:val="18"/>
                <w:szCs w:val="18"/>
                <w:color w:val="auto"/>
              </w:rPr>
              <w:t>10.44</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0"/>
              </w:rPr>
              <w:t>Amended and Restated SIMON Software License Agreement dated as of February 1, 2006 between Rocky Mountain Support</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Services, Inc. and Fidelity National Tax Service, Inc., incorporated by reference to the FIS 8-K.</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10.45</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1"/>
              </w:rPr>
              <w:t>Amended and Restated TEAM Software License Agreement dated as of February 1, 2006 between Rocky Mountain Support</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Services, Inc. and Fidelity National Tax Service, Inc., incorporated by reference to the FIS 8-K.</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10.46</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89"/>
              </w:rPr>
              <w:t>Amended and Restated Cross Conveyance and Joint Ownership Agreement dated February 1, 2006 between Rocky Mountain</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Support Services, Inc. and LSI Title Company, incorporated by reference to the FIS 8-K.</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10.47</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0"/>
              </w:rPr>
              <w:t>Amended and Restated eLenderSolutions Software Development and Property Allocation Agreement dated as of February 1,</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5"/>
              </w:rPr>
              <w:t>2006 between Rocky Mountain Support Services, Inc. and LSI Title Company, incorporated by reference to the FIS 8-K.</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10.48</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2"/>
              </w:rPr>
              <w:t>Amended and Restated Titlepoint Software Development and Property Allocation Agreement dated as of February 1, 2006</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7"/>
              </w:rPr>
              <w:t>between Rocky Mountain Support Services, Inc. and Property Insight, LLC, incorporated by reference to the FIS 8-K.</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10.49</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Fidelity National Title Group, Inc. 2005 Omnibus Incentive Plan.†</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10.50</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Fidelity National Title Group, Inc. Employee Stock Purchase Plan.†</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10.51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0"/>
              </w:rPr>
              <w:t>Form of Restricted Stock Grant Agreement, incorporated by reference to the Registrant’s Registration Statement on Form S-1</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(File No. 333-126402) filed on September 15, 2005.</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10.52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5"/>
              </w:rPr>
              <w:t>Credit Agreement, dated October 17, 2005 between the Registrant, Bank of America, N.A., as Administrative Agent and</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6"/>
              </w:rPr>
              <w:t>Swing Line Lender, and certain agents and other lenders party thereto, incorporated by reference to Exhibit 10-1 to the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Registrant’s current report on Form 8-K (File No. 1-32630) filed on October 21, 2005.</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10.53</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4"/>
              </w:rPr>
              <w:t>Amended and Restated Title Plant Master Services Agreement, dated as of February 1, 2006, between Rocky Mountain</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Support Services, Inc. and Property Insight, LLC, incorporated by reference to the FIS 8-K.</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Consents of KPMG LLP, Independent Registered Public Accounting Firm.*</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Certification by Chief Executive Officer of Periodic Financial Reports pursuant to Section 906 of the Sarbanes-Oxley Act of</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2002, 18 U.S.C. Section 1350.*</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Certification by Chief Financial Officer of Periodic Financial Reports pursuant to Section 906 of the Sarbanes-Oxley Act of</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2002, 18 U.S.C. Section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Filed herewith</w:t>
      </w:r>
    </w:p>
    <w:p>
      <w:pPr>
        <w:spacing w:after="0" w:line="63" w:lineRule="exact"/>
        <w:rPr>
          <w:sz w:val="20"/>
          <w:szCs w:val="20"/>
          <w:color w:val="auto"/>
        </w:rPr>
      </w:pPr>
    </w:p>
    <w:p>
      <w:pPr>
        <w:ind w:left="460" w:hanging="330"/>
        <w:spacing w:after="0"/>
        <w:tabs>
          <w:tab w:leader="none" w:pos="4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S-4 (File No. 333-129310) filed on October 28, 2005.</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Incorporated by reference to the Registrant’s Registration Statement on Form S-1 (File No. 333-126402) filed on September 26, 2005</w:t>
      </w:r>
    </w:p>
    <w:p>
      <w:pPr>
        <w:spacing w:after="0" w:line="6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 Incorporated by reference to the Registrant’s Quarterly Report on Form 10-Q for the quarter ended September 30, 2005 (File No. 1-32630)</w:t>
      </w:r>
    </w:p>
    <w:p>
      <w:pPr>
        <w:sectPr>
          <w:pgSz w:w="11900" w:h="16838" w:orient="portrait"/>
          <w:cols w:equalWidth="0" w:num="1">
            <w:col w:w="11420"/>
          </w:cols>
          <w:pgMar w:left="240" w:top="419" w:right="239" w:bottom="1440" w:gutter="0" w:footer="0" w:header="0"/>
        </w:sectPr>
      </w:pPr>
    </w:p>
    <w:bookmarkStart w:id="122" w:name="page123"/>
    <w:bookmarkEnd w:id="122"/>
    <w:p>
      <w:pPr>
        <w:jc w:val="right"/>
        <w:ind w:right="1779"/>
        <w:spacing w:after="0"/>
        <w:rPr>
          <w:sz w:val="20"/>
          <w:szCs w:val="20"/>
          <w:color w:val="auto"/>
        </w:rPr>
      </w:pPr>
      <w:r>
        <w:rPr>
          <w:rFonts w:ascii="Courier New" w:cs="Courier New" w:eastAsia="Courier New" w:hAnsi="Courier New"/>
          <w:sz w:val="18"/>
          <w:szCs w:val="18"/>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8"/>
          <w:szCs w:val="18"/>
          <w:color w:val="auto"/>
        </w:rPr>
        <w:t>INDENTURE</w:t>
      </w:r>
    </w:p>
    <w:p>
      <w:pPr>
        <w:spacing w:after="0" w:line="201" w:lineRule="exact"/>
        <w:rPr>
          <w:sz w:val="20"/>
          <w:szCs w:val="20"/>
          <w:color w:val="auto"/>
        </w:rPr>
      </w:pPr>
    </w:p>
    <w:p>
      <w:pPr>
        <w:ind w:left="3120"/>
        <w:spacing w:after="0"/>
        <w:rPr>
          <w:sz w:val="20"/>
          <w:szCs w:val="20"/>
          <w:color w:val="auto"/>
        </w:rPr>
      </w:pPr>
      <w:r>
        <w:rPr>
          <w:rFonts w:ascii="Courier New" w:cs="Courier New" w:eastAsia="Courier New" w:hAnsi="Courier New"/>
          <w:sz w:val="18"/>
          <w:szCs w:val="18"/>
          <w:color w:val="auto"/>
        </w:rPr>
        <w:t>Dated as of</w:t>
      </w:r>
    </w:p>
    <w:p>
      <w:pPr>
        <w:spacing w:after="0" w:line="201"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December 8, 2005</w:t>
      </w:r>
    </w:p>
    <w:p>
      <w:pPr>
        <w:spacing w:after="0" w:line="201" w:lineRule="exact"/>
        <w:rPr>
          <w:sz w:val="20"/>
          <w:szCs w:val="20"/>
          <w:color w:val="auto"/>
        </w:rPr>
      </w:pPr>
    </w:p>
    <w:p>
      <w:pPr>
        <w:ind w:left="3340"/>
        <w:spacing w:after="0"/>
        <w:rPr>
          <w:sz w:val="20"/>
          <w:szCs w:val="20"/>
          <w:color w:val="auto"/>
        </w:rPr>
      </w:pPr>
      <w:r>
        <w:rPr>
          <w:rFonts w:ascii="Courier New" w:cs="Courier New" w:eastAsia="Courier New" w:hAnsi="Courier New"/>
          <w:sz w:val="18"/>
          <w:szCs w:val="18"/>
          <w:color w:val="auto"/>
        </w:rPr>
        <w:t>between</w:t>
      </w:r>
    </w:p>
    <w:p>
      <w:pPr>
        <w:spacing w:after="0" w:line="201"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8"/>
          <w:szCs w:val="18"/>
          <w:color w:val="auto"/>
        </w:rPr>
        <w:t>Fidelity National Title Group, Inc.</w:t>
      </w:r>
    </w:p>
    <w:p>
      <w:pPr>
        <w:spacing w:after="0" w:line="201"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The Bank of New York Trust Company, N.A., as Trustee</w:t>
      </w:r>
    </w:p>
    <w:p>
      <w:pPr>
        <w:sectPr>
          <w:pgSz w:w="11900" w:h="16838" w:orient="portrait"/>
          <w:cols w:equalWidth="0" w:num="1">
            <w:col w:w="9019"/>
          </w:cols>
          <w:pgMar w:left="1440" w:top="541" w:right="1440" w:bottom="1440" w:gutter="0" w:footer="0" w:header="0"/>
        </w:sectPr>
      </w:pPr>
    </w:p>
    <w:bookmarkStart w:id="123" w:name="page124"/>
    <w:bookmarkEnd w:id="123"/>
    <w:p>
      <w:pPr>
        <w:ind w:left="402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99"/>
        <w:spacing w:after="0"/>
        <w:rPr>
          <w:sz w:val="20"/>
          <w:szCs w:val="20"/>
          <w:color w:val="auto"/>
        </w:rPr>
      </w:pPr>
      <w:r>
        <w:rPr>
          <w:rFonts w:ascii="Courier New" w:cs="Courier New" w:eastAsia="Courier New" w:hAnsi="Courier New"/>
          <w:sz w:val="18"/>
          <w:szCs w:val="18"/>
          <w:color w:val="auto"/>
        </w:rPr>
        <w:t>PAGE</w:t>
      </w:r>
    </w:p>
    <w:p>
      <w:pPr>
        <w:jc w:val="right"/>
        <w:ind w:right="19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560" w:val="left"/>
          <w:tab w:leader="dot" w:pos="9780" w:val="left"/>
        </w:tabs>
        <w:rPr>
          <w:sz w:val="20"/>
          <w:szCs w:val="20"/>
          <w:color w:val="auto"/>
        </w:rPr>
      </w:pPr>
      <w:r>
        <w:rPr>
          <w:rFonts w:ascii="Courier New" w:cs="Courier New" w:eastAsia="Courier New" w:hAnsi="Courier New"/>
          <w:sz w:val="18"/>
          <w:szCs w:val="18"/>
          <w:color w:val="auto"/>
        </w:rPr>
        <w:t>ARTICLE 1</w:t>
      </w:r>
      <w:r>
        <w:rPr>
          <w:sz w:val="20"/>
          <w:szCs w:val="20"/>
          <w:color w:val="auto"/>
        </w:rPr>
        <w:tab/>
      </w:r>
      <w:r>
        <w:rPr>
          <w:rFonts w:ascii="Courier New" w:cs="Courier New" w:eastAsia="Courier New" w:hAnsi="Courier New"/>
          <w:sz w:val="18"/>
          <w:szCs w:val="18"/>
          <w:color w:val="auto"/>
        </w:rPr>
        <w:t>DEFINITIONS AND OTHER PROVISIONS OF GENERAL APPLICATION</w:t>
      </w:r>
      <w:r>
        <w:rPr>
          <w:sz w:val="20"/>
          <w:szCs w:val="20"/>
          <w:color w:val="auto"/>
        </w:rPr>
        <w:tab/>
      </w:r>
      <w:r>
        <w:rPr>
          <w:rFonts w:ascii="Courier New" w:cs="Courier New" w:eastAsia="Courier New" w:hAnsi="Courier New"/>
          <w:sz w:val="18"/>
          <w:szCs w:val="18"/>
          <w:color w:val="auto"/>
        </w:rPr>
        <w:t>1</w:t>
      </w:r>
    </w:p>
    <w:p>
      <w:pPr>
        <w:spacing w:after="0" w:line="201" w:lineRule="exact"/>
        <w:rPr>
          <w:sz w:val="20"/>
          <w:szCs w:val="20"/>
          <w:color w:val="auto"/>
        </w:rPr>
      </w:pPr>
    </w:p>
    <w:p>
      <w:pPr>
        <w:ind w:left="420"/>
        <w:spacing w:after="0"/>
        <w:tabs>
          <w:tab w:leader="none" w:pos="1880" w:val="left"/>
          <w:tab w:leader="dot" w:pos="9780" w:val="left"/>
        </w:tabs>
        <w:rPr>
          <w:sz w:val="20"/>
          <w:szCs w:val="20"/>
          <w:color w:val="auto"/>
        </w:rPr>
      </w:pPr>
      <w:r>
        <w:rPr>
          <w:rFonts w:ascii="Courier New" w:cs="Courier New" w:eastAsia="Courier New" w:hAnsi="Courier New"/>
          <w:sz w:val="18"/>
          <w:szCs w:val="18"/>
          <w:color w:val="auto"/>
        </w:rPr>
        <w:t>Section 1.1.</w:t>
        <w:tab/>
        <w:t>Definitions</w:t>
      </w:r>
      <w:r>
        <w:rPr>
          <w:sz w:val="20"/>
          <w:szCs w:val="20"/>
          <w:color w:val="auto"/>
        </w:rPr>
        <w:tab/>
      </w:r>
      <w:r>
        <w:rPr>
          <w:rFonts w:ascii="Courier New" w:cs="Courier New" w:eastAsia="Courier New" w:hAnsi="Courier New"/>
          <w:sz w:val="18"/>
          <w:szCs w:val="18"/>
          <w:color w:val="auto"/>
        </w:rPr>
        <w:t>1</w:t>
      </w:r>
    </w:p>
    <w:p>
      <w:pPr>
        <w:spacing w:after="0" w:line="201" w:lineRule="exact"/>
        <w:rPr>
          <w:sz w:val="20"/>
          <w:szCs w:val="20"/>
          <w:color w:val="auto"/>
        </w:rPr>
      </w:pPr>
    </w:p>
    <w:p>
      <w:pPr>
        <w:ind w:left="420"/>
        <w:spacing w:after="0"/>
        <w:tabs>
          <w:tab w:leader="none" w:pos="1880" w:val="left"/>
          <w:tab w:leader="dot" w:pos="9780" w:val="left"/>
        </w:tabs>
        <w:rPr>
          <w:sz w:val="20"/>
          <w:szCs w:val="20"/>
          <w:color w:val="auto"/>
        </w:rPr>
      </w:pPr>
      <w:r>
        <w:rPr>
          <w:rFonts w:ascii="Courier New" w:cs="Courier New" w:eastAsia="Courier New" w:hAnsi="Courier New"/>
          <w:sz w:val="18"/>
          <w:szCs w:val="18"/>
          <w:color w:val="auto"/>
        </w:rPr>
        <w:t>Section 1.2.</w:t>
        <w:tab/>
        <w:t>Compliance Certificates and Opinions</w:t>
      </w:r>
      <w:r>
        <w:rPr>
          <w:sz w:val="20"/>
          <w:szCs w:val="20"/>
          <w:color w:val="auto"/>
        </w:rPr>
        <w:tab/>
      </w:r>
      <w:r>
        <w:rPr>
          <w:rFonts w:ascii="Courier New" w:cs="Courier New" w:eastAsia="Courier New" w:hAnsi="Courier New"/>
          <w:sz w:val="18"/>
          <w:szCs w:val="18"/>
          <w:color w:val="auto"/>
        </w:rPr>
        <w:t>8</w:t>
      </w:r>
    </w:p>
    <w:p>
      <w:pPr>
        <w:spacing w:after="0" w:line="201" w:lineRule="exact"/>
        <w:rPr>
          <w:sz w:val="20"/>
          <w:szCs w:val="20"/>
          <w:color w:val="auto"/>
        </w:rPr>
      </w:pPr>
    </w:p>
    <w:p>
      <w:pPr>
        <w:ind w:left="420"/>
        <w:spacing w:after="0"/>
        <w:tabs>
          <w:tab w:leader="none" w:pos="1880" w:val="left"/>
          <w:tab w:leader="dot" w:pos="9780" w:val="left"/>
        </w:tabs>
        <w:rPr>
          <w:sz w:val="20"/>
          <w:szCs w:val="20"/>
          <w:color w:val="auto"/>
        </w:rPr>
      </w:pPr>
      <w:r>
        <w:rPr>
          <w:rFonts w:ascii="Courier New" w:cs="Courier New" w:eastAsia="Courier New" w:hAnsi="Courier New"/>
          <w:sz w:val="18"/>
          <w:szCs w:val="18"/>
          <w:color w:val="auto"/>
        </w:rPr>
        <w:t>Section 1.3.</w:t>
        <w:tab/>
        <w:t>Form of Documents Delivered to Trustee</w:t>
      </w:r>
      <w:r>
        <w:rPr>
          <w:sz w:val="20"/>
          <w:szCs w:val="20"/>
          <w:color w:val="auto"/>
        </w:rPr>
        <w:tab/>
      </w:r>
      <w:r>
        <w:rPr>
          <w:rFonts w:ascii="Courier New" w:cs="Courier New" w:eastAsia="Courier New" w:hAnsi="Courier New"/>
          <w:sz w:val="18"/>
          <w:szCs w:val="18"/>
          <w:color w:val="auto"/>
        </w:rPr>
        <w:t>9</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1.4.</w:t>
        <w:tab/>
        <w:t>Acts of Holders</w:t>
      </w:r>
      <w:r>
        <w:rPr>
          <w:sz w:val="20"/>
          <w:szCs w:val="20"/>
          <w:color w:val="auto"/>
        </w:rPr>
        <w:tab/>
      </w:r>
      <w:r>
        <w:rPr>
          <w:rFonts w:ascii="Courier New" w:cs="Courier New" w:eastAsia="Courier New" w:hAnsi="Courier New"/>
          <w:sz w:val="18"/>
          <w:szCs w:val="18"/>
          <w:color w:val="auto"/>
        </w:rPr>
        <w:t>10</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1.5.</w:t>
        <w:tab/>
        <w:t>Notices, etc., to Trustee and Company</w:t>
      </w:r>
      <w:r>
        <w:rPr>
          <w:sz w:val="20"/>
          <w:szCs w:val="20"/>
          <w:color w:val="auto"/>
        </w:rPr>
        <w:tab/>
      </w:r>
      <w:r>
        <w:rPr>
          <w:rFonts w:ascii="Courier New" w:cs="Courier New" w:eastAsia="Courier New" w:hAnsi="Courier New"/>
          <w:sz w:val="18"/>
          <w:szCs w:val="18"/>
          <w:color w:val="auto"/>
        </w:rPr>
        <w:t>11</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1.6.</w:t>
        <w:tab/>
        <w:t>Notice to Holders; Waiver</w:t>
      </w:r>
      <w:r>
        <w:rPr>
          <w:sz w:val="20"/>
          <w:szCs w:val="20"/>
          <w:color w:val="auto"/>
        </w:rPr>
        <w:tab/>
      </w:r>
      <w:r>
        <w:rPr>
          <w:rFonts w:ascii="Courier New" w:cs="Courier New" w:eastAsia="Courier New" w:hAnsi="Courier New"/>
          <w:sz w:val="18"/>
          <w:szCs w:val="18"/>
          <w:color w:val="auto"/>
        </w:rPr>
        <w:t>11</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1.7.</w:t>
        <w:tab/>
        <w:t>Headings and Table of Contents</w:t>
      </w:r>
      <w:r>
        <w:rPr>
          <w:sz w:val="20"/>
          <w:szCs w:val="20"/>
          <w:color w:val="auto"/>
        </w:rPr>
        <w:tab/>
      </w:r>
      <w:r>
        <w:rPr>
          <w:rFonts w:ascii="Courier New" w:cs="Courier New" w:eastAsia="Courier New" w:hAnsi="Courier New"/>
          <w:sz w:val="18"/>
          <w:szCs w:val="18"/>
          <w:color w:val="auto"/>
        </w:rPr>
        <w:t>12</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1.8.</w:t>
        <w:tab/>
        <w:t>Successors and Assigns</w:t>
      </w:r>
      <w:r>
        <w:rPr>
          <w:sz w:val="20"/>
          <w:szCs w:val="20"/>
          <w:color w:val="auto"/>
        </w:rPr>
        <w:tab/>
      </w:r>
      <w:r>
        <w:rPr>
          <w:rFonts w:ascii="Courier New" w:cs="Courier New" w:eastAsia="Courier New" w:hAnsi="Courier New"/>
          <w:sz w:val="18"/>
          <w:szCs w:val="18"/>
          <w:color w:val="auto"/>
        </w:rPr>
        <w:t>12</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1.9.</w:t>
        <w:tab/>
        <w:t>Separability</w:t>
      </w:r>
      <w:r>
        <w:rPr>
          <w:sz w:val="20"/>
          <w:szCs w:val="20"/>
          <w:color w:val="auto"/>
        </w:rPr>
        <w:tab/>
      </w:r>
      <w:r>
        <w:rPr>
          <w:rFonts w:ascii="Courier New" w:cs="Courier New" w:eastAsia="Courier New" w:hAnsi="Courier New"/>
          <w:sz w:val="18"/>
          <w:szCs w:val="18"/>
          <w:color w:val="auto"/>
        </w:rPr>
        <w:t>12</w:t>
      </w:r>
    </w:p>
    <w:p>
      <w:pPr>
        <w:spacing w:after="0" w:line="201" w:lineRule="exact"/>
        <w:rPr>
          <w:sz w:val="20"/>
          <w:szCs w:val="20"/>
          <w:color w:val="auto"/>
        </w:rPr>
      </w:pPr>
    </w:p>
    <w:p>
      <w:pPr>
        <w:ind w:left="420"/>
        <w:spacing w:after="0"/>
        <w:tabs>
          <w:tab w:leader="dot" w:pos="9680" w:val="left"/>
        </w:tabs>
        <w:rPr>
          <w:sz w:val="20"/>
          <w:szCs w:val="20"/>
          <w:color w:val="auto"/>
        </w:rPr>
      </w:pPr>
      <w:r>
        <w:rPr>
          <w:rFonts w:ascii="Courier New" w:cs="Courier New" w:eastAsia="Courier New" w:hAnsi="Courier New"/>
          <w:sz w:val="18"/>
          <w:szCs w:val="18"/>
          <w:color w:val="auto"/>
        </w:rPr>
        <w:t>Section 1.10. Benefits of Indenture</w:t>
      </w:r>
      <w:r>
        <w:rPr>
          <w:sz w:val="20"/>
          <w:szCs w:val="20"/>
          <w:color w:val="auto"/>
        </w:rPr>
        <w:tab/>
      </w:r>
      <w:r>
        <w:rPr>
          <w:rFonts w:ascii="Courier New" w:cs="Courier New" w:eastAsia="Courier New" w:hAnsi="Courier New"/>
          <w:sz w:val="18"/>
          <w:szCs w:val="18"/>
          <w:color w:val="auto"/>
        </w:rPr>
        <w:t>12</w:t>
      </w:r>
    </w:p>
    <w:p>
      <w:pPr>
        <w:spacing w:after="0" w:line="201" w:lineRule="exact"/>
        <w:rPr>
          <w:sz w:val="20"/>
          <w:szCs w:val="20"/>
          <w:color w:val="auto"/>
        </w:rPr>
      </w:pPr>
    </w:p>
    <w:p>
      <w:pPr>
        <w:ind w:left="420"/>
        <w:spacing w:after="0"/>
        <w:tabs>
          <w:tab w:leader="dot" w:pos="9680" w:val="left"/>
        </w:tabs>
        <w:rPr>
          <w:sz w:val="20"/>
          <w:szCs w:val="20"/>
          <w:color w:val="auto"/>
        </w:rPr>
      </w:pPr>
      <w:r>
        <w:rPr>
          <w:rFonts w:ascii="Courier New" w:cs="Courier New" w:eastAsia="Courier New" w:hAnsi="Courier New"/>
          <w:sz w:val="18"/>
          <w:szCs w:val="18"/>
          <w:color w:val="auto"/>
        </w:rPr>
        <w:t>Section 1.11. Governing Law</w:t>
      </w:r>
      <w:r>
        <w:rPr>
          <w:sz w:val="20"/>
          <w:szCs w:val="20"/>
          <w:color w:val="auto"/>
        </w:rPr>
        <w:tab/>
      </w:r>
      <w:r>
        <w:rPr>
          <w:rFonts w:ascii="Courier New" w:cs="Courier New" w:eastAsia="Courier New" w:hAnsi="Courier New"/>
          <w:sz w:val="18"/>
          <w:szCs w:val="18"/>
          <w:color w:val="auto"/>
        </w:rPr>
        <w:t>12</w:t>
      </w:r>
    </w:p>
    <w:p>
      <w:pPr>
        <w:spacing w:after="0" w:line="201" w:lineRule="exact"/>
        <w:rPr>
          <w:sz w:val="20"/>
          <w:szCs w:val="20"/>
          <w:color w:val="auto"/>
        </w:rPr>
      </w:pPr>
    </w:p>
    <w:p>
      <w:pPr>
        <w:ind w:left="420"/>
        <w:spacing w:after="0"/>
        <w:tabs>
          <w:tab w:leader="dot" w:pos="9680" w:val="left"/>
        </w:tabs>
        <w:rPr>
          <w:sz w:val="20"/>
          <w:szCs w:val="20"/>
          <w:color w:val="auto"/>
        </w:rPr>
      </w:pPr>
      <w:r>
        <w:rPr>
          <w:rFonts w:ascii="Courier New" w:cs="Courier New" w:eastAsia="Courier New" w:hAnsi="Courier New"/>
          <w:sz w:val="18"/>
          <w:szCs w:val="18"/>
          <w:color w:val="auto"/>
        </w:rPr>
        <w:t>Section 1.12. Legal Holidays</w:t>
      </w:r>
      <w:r>
        <w:rPr>
          <w:sz w:val="20"/>
          <w:szCs w:val="20"/>
          <w:color w:val="auto"/>
        </w:rPr>
        <w:tab/>
      </w:r>
      <w:r>
        <w:rPr>
          <w:rFonts w:ascii="Courier New" w:cs="Courier New" w:eastAsia="Courier New" w:hAnsi="Courier New"/>
          <w:sz w:val="18"/>
          <w:szCs w:val="18"/>
          <w:color w:val="auto"/>
        </w:rPr>
        <w:t>12</w:t>
      </w:r>
    </w:p>
    <w:p>
      <w:pPr>
        <w:spacing w:after="0" w:line="201" w:lineRule="exact"/>
        <w:rPr>
          <w:sz w:val="20"/>
          <w:szCs w:val="20"/>
          <w:color w:val="auto"/>
        </w:rPr>
      </w:pPr>
    </w:p>
    <w:p>
      <w:pPr>
        <w:ind w:left="420"/>
        <w:spacing w:after="0"/>
        <w:tabs>
          <w:tab w:leader="dot" w:pos="9680" w:val="left"/>
        </w:tabs>
        <w:rPr>
          <w:sz w:val="20"/>
          <w:szCs w:val="20"/>
          <w:color w:val="auto"/>
        </w:rPr>
      </w:pPr>
      <w:r>
        <w:rPr>
          <w:rFonts w:ascii="Courier New" w:cs="Courier New" w:eastAsia="Courier New" w:hAnsi="Courier New"/>
          <w:sz w:val="18"/>
          <w:szCs w:val="18"/>
          <w:color w:val="auto"/>
        </w:rPr>
        <w:t>Section 1.13. Force Majeure</w:t>
      </w:r>
      <w:r>
        <w:rPr>
          <w:sz w:val="20"/>
          <w:szCs w:val="20"/>
          <w:color w:val="auto"/>
        </w:rPr>
        <w:tab/>
      </w: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ARTICLE 2</w:t>
      </w:r>
      <w:r>
        <w:rPr>
          <w:sz w:val="20"/>
          <w:szCs w:val="20"/>
          <w:color w:val="auto"/>
        </w:rPr>
        <w:tab/>
      </w:r>
      <w:r>
        <w:rPr>
          <w:rFonts w:ascii="Courier New" w:cs="Courier New" w:eastAsia="Courier New" w:hAnsi="Courier New"/>
          <w:sz w:val="18"/>
          <w:szCs w:val="18"/>
          <w:color w:val="auto"/>
        </w:rPr>
        <w:t>SECURITY FORMS</w:t>
      </w:r>
      <w:r>
        <w:rPr>
          <w:sz w:val="20"/>
          <w:szCs w:val="20"/>
          <w:color w:val="auto"/>
        </w:rPr>
        <w:tab/>
      </w:r>
      <w:r>
        <w:rPr>
          <w:rFonts w:ascii="Courier New" w:cs="Courier New" w:eastAsia="Courier New" w:hAnsi="Courier New"/>
          <w:sz w:val="18"/>
          <w:szCs w:val="18"/>
          <w:color w:val="auto"/>
        </w:rPr>
        <w:t>13</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2.1.</w:t>
        <w:tab/>
        <w:t>Forms Generally</w:t>
      </w:r>
      <w:r>
        <w:rPr>
          <w:sz w:val="20"/>
          <w:szCs w:val="20"/>
          <w:color w:val="auto"/>
        </w:rPr>
        <w:tab/>
      </w:r>
      <w:r>
        <w:rPr>
          <w:rFonts w:ascii="Courier New" w:cs="Courier New" w:eastAsia="Courier New" w:hAnsi="Courier New"/>
          <w:sz w:val="18"/>
          <w:szCs w:val="18"/>
          <w:color w:val="auto"/>
        </w:rPr>
        <w:t>13</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2.2.</w:t>
        <w:tab/>
        <w:t>Form of Trustee's Certificate of Authentication</w:t>
      </w:r>
      <w:r>
        <w:rPr>
          <w:sz w:val="20"/>
          <w:szCs w:val="20"/>
          <w:color w:val="auto"/>
        </w:rPr>
        <w:tab/>
      </w:r>
      <w:r>
        <w:rPr>
          <w:rFonts w:ascii="Courier New" w:cs="Courier New" w:eastAsia="Courier New" w:hAnsi="Courier New"/>
          <w:sz w:val="18"/>
          <w:szCs w:val="18"/>
          <w:color w:val="auto"/>
        </w:rPr>
        <w:t>14</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2.3.</w:t>
        <w:tab/>
        <w:t>Securities in Global Form</w:t>
      </w:r>
      <w:r>
        <w:rPr>
          <w:sz w:val="20"/>
          <w:szCs w:val="20"/>
          <w:color w:val="auto"/>
        </w:rPr>
        <w:tab/>
      </w:r>
      <w:r>
        <w:rPr>
          <w:rFonts w:ascii="Courier New" w:cs="Courier New" w:eastAsia="Courier New" w:hAnsi="Courier New"/>
          <w:sz w:val="18"/>
          <w:szCs w:val="18"/>
          <w:color w:val="auto"/>
        </w:rPr>
        <w:t>14</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2.4.</w:t>
        <w:tab/>
        <w:t>Form of Legend for Securities in Global Form</w:t>
      </w:r>
      <w:r>
        <w:rPr>
          <w:sz w:val="20"/>
          <w:szCs w:val="20"/>
          <w:color w:val="auto"/>
        </w:rPr>
        <w:tab/>
      </w: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ARTICLE 3</w:t>
      </w:r>
      <w:r>
        <w:rPr>
          <w:sz w:val="20"/>
          <w:szCs w:val="20"/>
          <w:color w:val="auto"/>
        </w:rPr>
        <w:tab/>
      </w:r>
      <w:r>
        <w:rPr>
          <w:rFonts w:ascii="Courier New" w:cs="Courier New" w:eastAsia="Courier New" w:hAnsi="Courier New"/>
          <w:sz w:val="18"/>
          <w:szCs w:val="18"/>
          <w:color w:val="auto"/>
        </w:rPr>
        <w:t>THE SECURITIES</w:t>
      </w:r>
      <w:r>
        <w:rPr>
          <w:sz w:val="20"/>
          <w:szCs w:val="20"/>
          <w:color w:val="auto"/>
        </w:rPr>
        <w:tab/>
      </w:r>
      <w:r>
        <w:rPr>
          <w:rFonts w:ascii="Courier New" w:cs="Courier New" w:eastAsia="Courier New" w:hAnsi="Courier New"/>
          <w:sz w:val="18"/>
          <w:szCs w:val="18"/>
          <w:color w:val="auto"/>
        </w:rPr>
        <w:t>15</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3.1.</w:t>
        <w:tab/>
        <w:t>Amount Unlimited; Issuable in Series</w:t>
      </w:r>
      <w:r>
        <w:rPr>
          <w:sz w:val="20"/>
          <w:szCs w:val="20"/>
          <w:color w:val="auto"/>
        </w:rPr>
        <w:tab/>
      </w:r>
      <w:r>
        <w:rPr>
          <w:rFonts w:ascii="Courier New" w:cs="Courier New" w:eastAsia="Courier New" w:hAnsi="Courier New"/>
          <w:sz w:val="18"/>
          <w:szCs w:val="18"/>
          <w:color w:val="auto"/>
        </w:rPr>
        <w:t>15</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3.2.</w:t>
        <w:tab/>
        <w:t>Denominations</w:t>
      </w:r>
      <w:r>
        <w:rPr>
          <w:sz w:val="20"/>
          <w:szCs w:val="20"/>
          <w:color w:val="auto"/>
        </w:rPr>
        <w:tab/>
      </w:r>
      <w:r>
        <w:rPr>
          <w:rFonts w:ascii="Courier New" w:cs="Courier New" w:eastAsia="Courier New" w:hAnsi="Courier New"/>
          <w:sz w:val="18"/>
          <w:szCs w:val="18"/>
          <w:color w:val="auto"/>
        </w:rPr>
        <w:t>18</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3.3.</w:t>
        <w:tab/>
        <w:t>Execution, Authentication, Delivery and Dating</w:t>
      </w:r>
      <w:r>
        <w:rPr>
          <w:sz w:val="20"/>
          <w:szCs w:val="20"/>
          <w:color w:val="auto"/>
        </w:rPr>
        <w:tab/>
      </w:r>
      <w:r>
        <w:rPr>
          <w:rFonts w:ascii="Courier New" w:cs="Courier New" w:eastAsia="Courier New" w:hAnsi="Courier New"/>
          <w:sz w:val="18"/>
          <w:szCs w:val="18"/>
          <w:color w:val="auto"/>
        </w:rPr>
        <w:t>18</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3.4.</w:t>
        <w:tab/>
        <w:t>Temporary Securities</w:t>
      </w:r>
      <w:r>
        <w:rPr>
          <w:sz w:val="20"/>
          <w:szCs w:val="20"/>
          <w:color w:val="auto"/>
        </w:rPr>
        <w:tab/>
      </w:r>
      <w:r>
        <w:rPr>
          <w:rFonts w:ascii="Courier New" w:cs="Courier New" w:eastAsia="Courier New" w:hAnsi="Courier New"/>
          <w:sz w:val="18"/>
          <w:szCs w:val="18"/>
          <w:color w:val="auto"/>
        </w:rPr>
        <w:t>20</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3.5.</w:t>
        <w:tab/>
        <w:t>Registration, Transfer and Exchange</w:t>
      </w:r>
      <w:r>
        <w:rPr>
          <w:sz w:val="20"/>
          <w:szCs w:val="20"/>
          <w:color w:val="auto"/>
        </w:rPr>
        <w:tab/>
      </w:r>
      <w:r>
        <w:rPr>
          <w:rFonts w:ascii="Courier New" w:cs="Courier New" w:eastAsia="Courier New" w:hAnsi="Courier New"/>
          <w:sz w:val="18"/>
          <w:szCs w:val="18"/>
          <w:color w:val="auto"/>
        </w:rPr>
        <w:t>21</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3.6.</w:t>
        <w:tab/>
        <w:t>Replacement Securities</w:t>
      </w:r>
      <w:r>
        <w:rPr>
          <w:sz w:val="20"/>
          <w:szCs w:val="20"/>
          <w:color w:val="auto"/>
        </w:rPr>
        <w:tab/>
      </w:r>
      <w:r>
        <w:rPr>
          <w:rFonts w:ascii="Courier New" w:cs="Courier New" w:eastAsia="Courier New" w:hAnsi="Courier New"/>
          <w:sz w:val="18"/>
          <w:szCs w:val="18"/>
          <w:color w:val="auto"/>
        </w:rPr>
        <w:t>24</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3.7.</w:t>
        <w:tab/>
        <w:t>Payment of Interest; Interest Rights Preserved</w:t>
      </w:r>
      <w:r>
        <w:rPr>
          <w:sz w:val="20"/>
          <w:szCs w:val="20"/>
          <w:color w:val="auto"/>
        </w:rPr>
        <w:tab/>
      </w:r>
      <w:r>
        <w:rPr>
          <w:rFonts w:ascii="Courier New" w:cs="Courier New" w:eastAsia="Courier New" w:hAnsi="Courier New"/>
          <w:sz w:val="18"/>
          <w:szCs w:val="18"/>
          <w:color w:val="auto"/>
        </w:rPr>
        <w:t>25</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3.8.</w:t>
        <w:tab/>
        <w:t>Persons Deemed Owners</w:t>
      </w:r>
      <w:r>
        <w:rPr>
          <w:sz w:val="20"/>
          <w:szCs w:val="20"/>
          <w:color w:val="auto"/>
        </w:rPr>
        <w:tab/>
      </w:r>
      <w:r>
        <w:rPr>
          <w:rFonts w:ascii="Courier New" w:cs="Courier New" w:eastAsia="Courier New" w:hAnsi="Courier New"/>
          <w:sz w:val="18"/>
          <w:szCs w:val="18"/>
          <w:color w:val="auto"/>
        </w:rPr>
        <w:t>27</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3.9.</w:t>
        <w:tab/>
        <w:t>Cancellation</w:t>
      </w:r>
      <w:r>
        <w:rPr>
          <w:sz w:val="20"/>
          <w:szCs w:val="20"/>
          <w:color w:val="auto"/>
        </w:rPr>
        <w:tab/>
      </w: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124" w:name="page125"/>
    <w:bookmarkEnd w:id="124"/>
    <w:p>
      <w:pPr>
        <w:ind w:left="420"/>
        <w:spacing w:after="0"/>
        <w:tabs>
          <w:tab w:leader="dot" w:pos="9680" w:val="left"/>
        </w:tabs>
        <w:rPr>
          <w:sz w:val="20"/>
          <w:szCs w:val="20"/>
          <w:color w:val="auto"/>
        </w:rPr>
      </w:pPr>
      <w:r>
        <w:rPr>
          <w:rFonts w:ascii="Courier New" w:cs="Courier New" w:eastAsia="Courier New" w:hAnsi="Courier New"/>
          <w:sz w:val="18"/>
          <w:szCs w:val="18"/>
          <w:color w:val="auto"/>
        </w:rPr>
        <w:t>Section 3.10. Computation of Interest</w:t>
      </w:r>
      <w:r>
        <w:rPr>
          <w:sz w:val="20"/>
          <w:szCs w:val="20"/>
          <w:color w:val="auto"/>
        </w:rPr>
        <w:tab/>
      </w:r>
      <w:r>
        <w:rPr>
          <w:rFonts w:ascii="Courier New" w:cs="Courier New" w:eastAsia="Courier New" w:hAnsi="Courier New"/>
          <w:sz w:val="18"/>
          <w:szCs w:val="18"/>
          <w:color w:val="auto"/>
        </w:rPr>
        <w:t>27</w:t>
      </w:r>
    </w:p>
    <w:p>
      <w:pPr>
        <w:spacing w:after="0" w:line="201" w:lineRule="exact"/>
        <w:rPr>
          <w:sz w:val="20"/>
          <w:szCs w:val="20"/>
          <w:color w:val="auto"/>
        </w:rPr>
      </w:pPr>
    </w:p>
    <w:p>
      <w:pPr>
        <w:ind w:left="420"/>
        <w:spacing w:after="0"/>
        <w:tabs>
          <w:tab w:leader="dot" w:pos="9680" w:val="left"/>
        </w:tabs>
        <w:rPr>
          <w:sz w:val="20"/>
          <w:szCs w:val="20"/>
          <w:color w:val="auto"/>
        </w:rPr>
      </w:pPr>
      <w:r>
        <w:rPr>
          <w:rFonts w:ascii="Courier New" w:cs="Courier New" w:eastAsia="Courier New" w:hAnsi="Courier New"/>
          <w:sz w:val="18"/>
          <w:szCs w:val="18"/>
          <w:color w:val="auto"/>
        </w:rPr>
        <w:t>Section 3.11. CUSIP Numbers</w:t>
      </w:r>
      <w:r>
        <w:rPr>
          <w:sz w:val="20"/>
          <w:szCs w:val="20"/>
          <w:color w:val="auto"/>
        </w:rPr>
        <w:tab/>
      </w:r>
      <w:r>
        <w:rPr>
          <w:rFonts w:ascii="Courier New" w:cs="Courier New" w:eastAsia="Courier New" w:hAnsi="Courier New"/>
          <w:sz w:val="18"/>
          <w:szCs w:val="18"/>
          <w:color w:val="auto"/>
        </w:rPr>
        <w:t>28</w:t>
      </w:r>
    </w:p>
    <w:p>
      <w:pPr>
        <w:spacing w:after="0" w:line="201" w:lineRule="exact"/>
        <w:rPr>
          <w:sz w:val="20"/>
          <w:szCs w:val="20"/>
          <w:color w:val="auto"/>
        </w:rPr>
      </w:pPr>
    </w:p>
    <w:p>
      <w:pPr>
        <w:ind w:left="420"/>
        <w:spacing w:after="0"/>
        <w:tabs>
          <w:tab w:leader="dot" w:pos="9680" w:val="left"/>
        </w:tabs>
        <w:rPr>
          <w:sz w:val="20"/>
          <w:szCs w:val="20"/>
          <w:color w:val="auto"/>
        </w:rPr>
      </w:pPr>
      <w:r>
        <w:rPr>
          <w:rFonts w:ascii="Courier New" w:cs="Courier New" w:eastAsia="Courier New" w:hAnsi="Courier New"/>
          <w:sz w:val="18"/>
          <w:szCs w:val="18"/>
          <w:color w:val="auto"/>
        </w:rPr>
        <w:t>Section 3.12. Currency of Payment in Respect of Securities</w:t>
      </w:r>
      <w:r>
        <w:rPr>
          <w:sz w:val="20"/>
          <w:szCs w:val="20"/>
          <w:color w:val="auto"/>
        </w:rPr>
        <w:tab/>
      </w: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ARTICLE 4</w:t>
      </w:r>
      <w:r>
        <w:rPr>
          <w:sz w:val="20"/>
          <w:szCs w:val="20"/>
          <w:color w:val="auto"/>
        </w:rPr>
        <w:tab/>
      </w:r>
      <w:r>
        <w:rPr>
          <w:rFonts w:ascii="Courier New" w:cs="Courier New" w:eastAsia="Courier New" w:hAnsi="Courier New"/>
          <w:sz w:val="18"/>
          <w:szCs w:val="18"/>
          <w:color w:val="auto"/>
        </w:rPr>
        <w:t>SATISFACTION, DISCHARGE AND DEFEASANCE</w:t>
      </w:r>
      <w:r>
        <w:rPr>
          <w:sz w:val="20"/>
          <w:szCs w:val="20"/>
          <w:color w:val="auto"/>
        </w:rPr>
        <w:tab/>
      </w:r>
      <w:r>
        <w:rPr>
          <w:rFonts w:ascii="Courier New" w:cs="Courier New" w:eastAsia="Courier New" w:hAnsi="Courier New"/>
          <w:sz w:val="18"/>
          <w:szCs w:val="18"/>
          <w:color w:val="auto"/>
        </w:rPr>
        <w:t>28</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4.1.</w:t>
        <w:tab/>
        <w:t>Termination of Company's Obligations Under the Indenture</w:t>
      </w:r>
      <w:r>
        <w:rPr>
          <w:sz w:val="20"/>
          <w:szCs w:val="20"/>
          <w:color w:val="auto"/>
        </w:rPr>
        <w:tab/>
      </w:r>
      <w:r>
        <w:rPr>
          <w:rFonts w:ascii="Courier New" w:cs="Courier New" w:eastAsia="Courier New" w:hAnsi="Courier New"/>
          <w:sz w:val="18"/>
          <w:szCs w:val="18"/>
          <w:color w:val="auto"/>
        </w:rPr>
        <w:t>28</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4.2.</w:t>
        <w:tab/>
        <w:t>Application of Trust Funds</w:t>
      </w:r>
      <w:r>
        <w:rPr>
          <w:sz w:val="20"/>
          <w:szCs w:val="20"/>
          <w:color w:val="auto"/>
        </w:rPr>
        <w:tab/>
      </w:r>
      <w:r>
        <w:rPr>
          <w:rFonts w:ascii="Courier New" w:cs="Courier New" w:eastAsia="Courier New" w:hAnsi="Courier New"/>
          <w:sz w:val="18"/>
          <w:szCs w:val="18"/>
          <w:color w:val="auto"/>
        </w:rPr>
        <w:t>29</w:t>
      </w:r>
    </w:p>
    <w:p>
      <w:pPr>
        <w:spacing w:after="0" w:line="201" w:lineRule="exact"/>
        <w:rPr>
          <w:sz w:val="20"/>
          <w:szCs w:val="20"/>
          <w:color w:val="auto"/>
        </w:rPr>
      </w:pPr>
    </w:p>
    <w:p>
      <w:pPr>
        <w:ind w:left="420"/>
        <w:spacing w:after="0"/>
        <w:tabs>
          <w:tab w:leader="none" w:pos="1880" w:val="left"/>
        </w:tabs>
        <w:rPr>
          <w:sz w:val="20"/>
          <w:szCs w:val="20"/>
          <w:color w:val="auto"/>
        </w:rPr>
      </w:pPr>
      <w:r>
        <w:rPr>
          <w:rFonts w:ascii="Courier New" w:cs="Courier New" w:eastAsia="Courier New" w:hAnsi="Courier New"/>
          <w:sz w:val="18"/>
          <w:szCs w:val="18"/>
          <w:color w:val="auto"/>
        </w:rPr>
        <w:t>Section 4.3.</w:t>
      </w:r>
      <w:r>
        <w:rPr>
          <w:sz w:val="20"/>
          <w:szCs w:val="20"/>
          <w:color w:val="auto"/>
        </w:rPr>
        <w:tab/>
      </w:r>
      <w:r>
        <w:rPr>
          <w:rFonts w:ascii="Courier New" w:cs="Courier New" w:eastAsia="Courier New" w:hAnsi="Courier New"/>
          <w:sz w:val="16"/>
          <w:szCs w:val="16"/>
          <w:color w:val="auto"/>
        </w:rPr>
        <w:t>Applicability of Defeasance Provisions; Company's Option to Effect</w:t>
      </w:r>
    </w:p>
    <w:p>
      <w:pPr>
        <w:jc w:val="right"/>
        <w:ind w:right="299"/>
        <w:spacing w:after="0" w:line="238" w:lineRule="auto"/>
        <w:tabs>
          <w:tab w:leader="dot" w:pos="200" w:val="left"/>
        </w:tabs>
        <w:rPr>
          <w:sz w:val="20"/>
          <w:szCs w:val="20"/>
          <w:color w:val="auto"/>
        </w:rPr>
      </w:pPr>
      <w:r>
        <w:rPr>
          <w:rFonts w:ascii="Courier New" w:cs="Courier New" w:eastAsia="Courier New" w:hAnsi="Courier New"/>
          <w:sz w:val="18"/>
          <w:szCs w:val="18"/>
          <w:color w:val="auto"/>
        </w:rPr>
        <w:t>Defeasance or Covenant Defeasance</w:t>
      </w:r>
      <w:r>
        <w:rPr>
          <w:sz w:val="20"/>
          <w:szCs w:val="20"/>
          <w:color w:val="auto"/>
        </w:rPr>
        <w:tab/>
      </w:r>
      <w:r>
        <w:rPr>
          <w:rFonts w:ascii="Courier New" w:cs="Courier New" w:eastAsia="Courier New" w:hAnsi="Courier New"/>
          <w:sz w:val="18"/>
          <w:szCs w:val="18"/>
          <w:color w:val="auto"/>
        </w:rPr>
        <w:t>29</w:t>
      </w:r>
    </w:p>
    <w:p>
      <w:pPr>
        <w:spacing w:after="0" w:line="202"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4.4.</w:t>
        <w:tab/>
        <w:t>Defeasance</w:t>
      </w:r>
      <w:r>
        <w:rPr>
          <w:sz w:val="20"/>
          <w:szCs w:val="20"/>
          <w:color w:val="auto"/>
        </w:rPr>
        <w:tab/>
      </w:r>
      <w:r>
        <w:rPr>
          <w:rFonts w:ascii="Courier New" w:cs="Courier New" w:eastAsia="Courier New" w:hAnsi="Courier New"/>
          <w:sz w:val="18"/>
          <w:szCs w:val="18"/>
          <w:color w:val="auto"/>
        </w:rPr>
        <w:t>30</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4.5.</w:t>
        <w:tab/>
        <w:t>Covenant Defeasance</w:t>
      </w:r>
      <w:r>
        <w:rPr>
          <w:sz w:val="20"/>
          <w:szCs w:val="20"/>
          <w:color w:val="auto"/>
        </w:rPr>
        <w:tab/>
      </w:r>
      <w:r>
        <w:rPr>
          <w:rFonts w:ascii="Courier New" w:cs="Courier New" w:eastAsia="Courier New" w:hAnsi="Courier New"/>
          <w:sz w:val="18"/>
          <w:szCs w:val="18"/>
          <w:color w:val="auto"/>
        </w:rPr>
        <w:t>30</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4.6.</w:t>
        <w:tab/>
        <w:t>Conditions to Defeasance or Covenant Defeasance</w:t>
      </w:r>
      <w:r>
        <w:rPr>
          <w:sz w:val="20"/>
          <w:szCs w:val="20"/>
          <w:color w:val="auto"/>
        </w:rPr>
        <w:tab/>
      </w:r>
      <w:r>
        <w:rPr>
          <w:rFonts w:ascii="Courier New" w:cs="Courier New" w:eastAsia="Courier New" w:hAnsi="Courier New"/>
          <w:sz w:val="18"/>
          <w:szCs w:val="18"/>
          <w:color w:val="auto"/>
        </w:rPr>
        <w:t>31</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4.7.</w:t>
        <w:tab/>
        <w:t>Deposited Money and Government Obligations to Be Held in Trust</w:t>
      </w:r>
      <w:r>
        <w:rPr>
          <w:sz w:val="20"/>
          <w:szCs w:val="20"/>
          <w:color w:val="auto"/>
        </w:rPr>
        <w:tab/>
      </w:r>
      <w:r>
        <w:rPr>
          <w:rFonts w:ascii="Courier New" w:cs="Courier New" w:eastAsia="Courier New" w:hAnsi="Courier New"/>
          <w:sz w:val="18"/>
          <w:szCs w:val="18"/>
          <w:color w:val="auto"/>
        </w:rPr>
        <w:t>32</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4.8.</w:t>
        <w:tab/>
        <w:t>Repayment to Company</w:t>
      </w:r>
      <w:r>
        <w:rPr>
          <w:sz w:val="20"/>
          <w:szCs w:val="20"/>
          <w:color w:val="auto"/>
        </w:rPr>
        <w:tab/>
      </w:r>
      <w:r>
        <w:rPr>
          <w:rFonts w:ascii="Courier New" w:cs="Courier New" w:eastAsia="Courier New" w:hAnsi="Courier New"/>
          <w:sz w:val="18"/>
          <w:szCs w:val="18"/>
          <w:color w:val="auto"/>
        </w:rPr>
        <w:t>33</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4.9.</w:t>
        <w:tab/>
        <w:t>Indemnity for Government Obligations</w:t>
      </w:r>
      <w:r>
        <w:rPr>
          <w:sz w:val="20"/>
          <w:szCs w:val="20"/>
          <w:color w:val="auto"/>
        </w:rPr>
        <w:tab/>
      </w:r>
      <w:r>
        <w:rPr>
          <w:rFonts w:ascii="Courier New" w:cs="Courier New" w:eastAsia="Courier New" w:hAnsi="Courier New"/>
          <w:sz w:val="18"/>
          <w:szCs w:val="18"/>
          <w:color w:val="auto"/>
        </w:rPr>
        <w:t>33</w:t>
      </w:r>
    </w:p>
    <w:p>
      <w:pPr>
        <w:spacing w:after="0" w:line="201" w:lineRule="exact"/>
        <w:rPr>
          <w:sz w:val="20"/>
          <w:szCs w:val="20"/>
          <w:color w:val="auto"/>
        </w:rPr>
      </w:pPr>
    </w:p>
    <w:p>
      <w:pPr>
        <w:ind w:left="420"/>
        <w:spacing w:after="0"/>
        <w:tabs>
          <w:tab w:leader="dot" w:pos="9680" w:val="left"/>
        </w:tabs>
        <w:rPr>
          <w:sz w:val="20"/>
          <w:szCs w:val="20"/>
          <w:color w:val="auto"/>
        </w:rPr>
      </w:pPr>
      <w:r>
        <w:rPr>
          <w:rFonts w:ascii="Courier New" w:cs="Courier New" w:eastAsia="Courier New" w:hAnsi="Courier New"/>
          <w:sz w:val="18"/>
          <w:szCs w:val="18"/>
          <w:color w:val="auto"/>
        </w:rPr>
        <w:t>Section 4.10. Reinstatement</w:t>
      </w:r>
      <w:r>
        <w:rPr>
          <w:sz w:val="20"/>
          <w:szCs w:val="20"/>
          <w:color w:val="auto"/>
        </w:rPr>
        <w:tab/>
      </w:r>
      <w:r>
        <w:rPr>
          <w:rFonts w:ascii="Courier New" w:cs="Courier New" w:eastAsia="Courier New" w:hAnsi="Courier New"/>
          <w:sz w:val="18"/>
          <w:szCs w:val="18"/>
          <w:color w:val="auto"/>
        </w:rPr>
        <w:t>33</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ARTICLE 5</w:t>
      </w:r>
      <w:r>
        <w:rPr>
          <w:sz w:val="20"/>
          <w:szCs w:val="20"/>
          <w:color w:val="auto"/>
        </w:rPr>
        <w:tab/>
      </w:r>
      <w:r>
        <w:rPr>
          <w:rFonts w:ascii="Courier New" w:cs="Courier New" w:eastAsia="Courier New" w:hAnsi="Courier New"/>
          <w:sz w:val="18"/>
          <w:szCs w:val="18"/>
          <w:color w:val="auto"/>
        </w:rPr>
        <w:t>DEFAULTS AND REMEDIES</w:t>
      </w:r>
      <w:r>
        <w:rPr>
          <w:sz w:val="20"/>
          <w:szCs w:val="20"/>
          <w:color w:val="auto"/>
        </w:rPr>
        <w:tab/>
      </w:r>
      <w:r>
        <w:rPr>
          <w:rFonts w:ascii="Courier New" w:cs="Courier New" w:eastAsia="Courier New" w:hAnsi="Courier New"/>
          <w:sz w:val="18"/>
          <w:szCs w:val="18"/>
          <w:color w:val="auto"/>
        </w:rPr>
        <w:t>34</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5.1.</w:t>
        <w:tab/>
        <w:t>Events of Default</w:t>
      </w:r>
      <w:r>
        <w:rPr>
          <w:sz w:val="20"/>
          <w:szCs w:val="20"/>
          <w:color w:val="auto"/>
        </w:rPr>
        <w:tab/>
      </w:r>
      <w:r>
        <w:rPr>
          <w:rFonts w:ascii="Courier New" w:cs="Courier New" w:eastAsia="Courier New" w:hAnsi="Courier New"/>
          <w:sz w:val="18"/>
          <w:szCs w:val="18"/>
          <w:color w:val="auto"/>
        </w:rPr>
        <w:t>34</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5.2.</w:t>
        <w:tab/>
        <w:t>Acceleration; Rescission and Annulment</w:t>
      </w:r>
      <w:r>
        <w:rPr>
          <w:sz w:val="20"/>
          <w:szCs w:val="20"/>
          <w:color w:val="auto"/>
        </w:rPr>
        <w:tab/>
      </w:r>
      <w:r>
        <w:rPr>
          <w:rFonts w:ascii="Courier New" w:cs="Courier New" w:eastAsia="Courier New" w:hAnsi="Courier New"/>
          <w:sz w:val="18"/>
          <w:szCs w:val="18"/>
          <w:color w:val="auto"/>
        </w:rPr>
        <w:t>35</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5.3.</w:t>
        <w:tab/>
        <w:t>Collection of Indebtedness and Suits for Enforcement by Trustee</w:t>
      </w:r>
      <w:r>
        <w:rPr>
          <w:sz w:val="20"/>
          <w:szCs w:val="20"/>
          <w:color w:val="auto"/>
        </w:rPr>
        <w:tab/>
      </w:r>
      <w:r>
        <w:rPr>
          <w:rFonts w:ascii="Courier New" w:cs="Courier New" w:eastAsia="Courier New" w:hAnsi="Courier New"/>
          <w:sz w:val="18"/>
          <w:szCs w:val="18"/>
          <w:color w:val="auto"/>
        </w:rPr>
        <w:t>36</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5.4.</w:t>
        <w:tab/>
        <w:t>Trustee May File Proofs of Claim</w:t>
      </w:r>
      <w:r>
        <w:rPr>
          <w:sz w:val="20"/>
          <w:szCs w:val="20"/>
          <w:color w:val="auto"/>
        </w:rPr>
        <w:tab/>
      </w:r>
      <w:r>
        <w:rPr>
          <w:rFonts w:ascii="Courier New" w:cs="Courier New" w:eastAsia="Courier New" w:hAnsi="Courier New"/>
          <w:sz w:val="18"/>
          <w:szCs w:val="18"/>
          <w:color w:val="auto"/>
        </w:rPr>
        <w:t>36</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5.5.</w:t>
        <w:tab/>
        <w:t>Trustee May Enforce Claims Without Possession of Securities or Coupons</w:t>
      </w:r>
      <w:r>
        <w:rPr>
          <w:sz w:val="20"/>
          <w:szCs w:val="20"/>
          <w:color w:val="auto"/>
        </w:rPr>
        <w:tab/>
      </w:r>
      <w:r>
        <w:rPr>
          <w:rFonts w:ascii="Courier New" w:cs="Courier New" w:eastAsia="Courier New" w:hAnsi="Courier New"/>
          <w:sz w:val="18"/>
          <w:szCs w:val="18"/>
          <w:color w:val="auto"/>
        </w:rPr>
        <w:t>37</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5.6.</w:t>
        <w:tab/>
        <w:t>Delay or Omission Not Waiver</w:t>
      </w:r>
      <w:r>
        <w:rPr>
          <w:sz w:val="20"/>
          <w:szCs w:val="20"/>
          <w:color w:val="auto"/>
        </w:rPr>
        <w:tab/>
      </w:r>
      <w:r>
        <w:rPr>
          <w:rFonts w:ascii="Courier New" w:cs="Courier New" w:eastAsia="Courier New" w:hAnsi="Courier New"/>
          <w:sz w:val="18"/>
          <w:szCs w:val="18"/>
          <w:color w:val="auto"/>
        </w:rPr>
        <w:t>37</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5.7.</w:t>
        <w:tab/>
        <w:t>Waiver of Past Defaults</w:t>
      </w:r>
      <w:r>
        <w:rPr>
          <w:sz w:val="20"/>
          <w:szCs w:val="20"/>
          <w:color w:val="auto"/>
        </w:rPr>
        <w:tab/>
      </w:r>
      <w:r>
        <w:rPr>
          <w:rFonts w:ascii="Courier New" w:cs="Courier New" w:eastAsia="Courier New" w:hAnsi="Courier New"/>
          <w:sz w:val="18"/>
          <w:szCs w:val="18"/>
          <w:color w:val="auto"/>
        </w:rPr>
        <w:t>37</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5.8.</w:t>
        <w:tab/>
        <w:t>Control by Majority</w:t>
      </w:r>
      <w:r>
        <w:rPr>
          <w:sz w:val="20"/>
          <w:szCs w:val="20"/>
          <w:color w:val="auto"/>
        </w:rPr>
        <w:tab/>
      </w:r>
      <w:r>
        <w:rPr>
          <w:rFonts w:ascii="Courier New" w:cs="Courier New" w:eastAsia="Courier New" w:hAnsi="Courier New"/>
          <w:sz w:val="18"/>
          <w:szCs w:val="18"/>
          <w:color w:val="auto"/>
        </w:rPr>
        <w:t>38</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5.9.</w:t>
        <w:tab/>
        <w:t>Limitation on Suits by Holders</w:t>
      </w:r>
      <w:r>
        <w:rPr>
          <w:sz w:val="20"/>
          <w:szCs w:val="20"/>
          <w:color w:val="auto"/>
        </w:rPr>
        <w:tab/>
      </w:r>
      <w:r>
        <w:rPr>
          <w:rFonts w:ascii="Courier New" w:cs="Courier New" w:eastAsia="Courier New" w:hAnsi="Courier New"/>
          <w:sz w:val="18"/>
          <w:szCs w:val="18"/>
          <w:color w:val="auto"/>
        </w:rPr>
        <w:t>38</w:t>
      </w:r>
    </w:p>
    <w:p>
      <w:pPr>
        <w:spacing w:after="0" w:line="201" w:lineRule="exact"/>
        <w:rPr>
          <w:sz w:val="20"/>
          <w:szCs w:val="20"/>
          <w:color w:val="auto"/>
        </w:rPr>
      </w:pPr>
    </w:p>
    <w:p>
      <w:pPr>
        <w:ind w:left="420"/>
        <w:spacing w:after="0"/>
        <w:tabs>
          <w:tab w:leader="dot" w:pos="9680" w:val="left"/>
        </w:tabs>
        <w:rPr>
          <w:sz w:val="20"/>
          <w:szCs w:val="20"/>
          <w:color w:val="auto"/>
        </w:rPr>
      </w:pPr>
      <w:r>
        <w:rPr>
          <w:rFonts w:ascii="Courier New" w:cs="Courier New" w:eastAsia="Courier New" w:hAnsi="Courier New"/>
          <w:sz w:val="18"/>
          <w:szCs w:val="18"/>
          <w:color w:val="auto"/>
        </w:rPr>
        <w:t>Section 5.10. Rights of Holders to Receive Payment</w:t>
      </w:r>
      <w:r>
        <w:rPr>
          <w:sz w:val="20"/>
          <w:szCs w:val="20"/>
          <w:color w:val="auto"/>
        </w:rPr>
        <w:tab/>
      </w:r>
      <w:r>
        <w:rPr>
          <w:rFonts w:ascii="Courier New" w:cs="Courier New" w:eastAsia="Courier New" w:hAnsi="Courier New"/>
          <w:sz w:val="18"/>
          <w:szCs w:val="18"/>
          <w:color w:val="auto"/>
        </w:rPr>
        <w:t>39</w:t>
      </w:r>
    </w:p>
    <w:p>
      <w:pPr>
        <w:spacing w:after="0" w:line="201" w:lineRule="exact"/>
        <w:rPr>
          <w:sz w:val="20"/>
          <w:szCs w:val="20"/>
          <w:color w:val="auto"/>
        </w:rPr>
      </w:pPr>
    </w:p>
    <w:p>
      <w:pPr>
        <w:ind w:left="420"/>
        <w:spacing w:after="0"/>
        <w:tabs>
          <w:tab w:leader="dot" w:pos="9680" w:val="left"/>
        </w:tabs>
        <w:rPr>
          <w:sz w:val="20"/>
          <w:szCs w:val="20"/>
          <w:color w:val="auto"/>
        </w:rPr>
      </w:pPr>
      <w:r>
        <w:rPr>
          <w:rFonts w:ascii="Courier New" w:cs="Courier New" w:eastAsia="Courier New" w:hAnsi="Courier New"/>
          <w:sz w:val="18"/>
          <w:szCs w:val="18"/>
          <w:color w:val="auto"/>
        </w:rPr>
        <w:t>Section 5.11. Application of Money Collected</w:t>
      </w:r>
      <w:r>
        <w:rPr>
          <w:sz w:val="20"/>
          <w:szCs w:val="20"/>
          <w:color w:val="auto"/>
        </w:rPr>
        <w:tab/>
      </w:r>
      <w:r>
        <w:rPr>
          <w:rFonts w:ascii="Courier New" w:cs="Courier New" w:eastAsia="Courier New" w:hAnsi="Courier New"/>
          <w:sz w:val="18"/>
          <w:szCs w:val="18"/>
          <w:color w:val="auto"/>
        </w:rPr>
        <w:t>39</w:t>
      </w:r>
    </w:p>
    <w:p>
      <w:pPr>
        <w:spacing w:after="0" w:line="201" w:lineRule="exact"/>
        <w:rPr>
          <w:sz w:val="20"/>
          <w:szCs w:val="20"/>
          <w:color w:val="auto"/>
        </w:rPr>
      </w:pPr>
    </w:p>
    <w:p>
      <w:pPr>
        <w:ind w:left="420"/>
        <w:spacing w:after="0"/>
        <w:tabs>
          <w:tab w:leader="dot" w:pos="9680" w:val="left"/>
        </w:tabs>
        <w:rPr>
          <w:sz w:val="20"/>
          <w:szCs w:val="20"/>
          <w:color w:val="auto"/>
        </w:rPr>
      </w:pPr>
      <w:r>
        <w:rPr>
          <w:rFonts w:ascii="Courier New" w:cs="Courier New" w:eastAsia="Courier New" w:hAnsi="Courier New"/>
          <w:sz w:val="18"/>
          <w:szCs w:val="18"/>
          <w:color w:val="auto"/>
        </w:rPr>
        <w:t>Section 5.12. Restoration of Rights and Remedies</w:t>
      </w:r>
      <w:r>
        <w:rPr>
          <w:sz w:val="20"/>
          <w:szCs w:val="20"/>
          <w:color w:val="auto"/>
        </w:rPr>
        <w:tab/>
      </w:r>
      <w:r>
        <w:rPr>
          <w:rFonts w:ascii="Courier New" w:cs="Courier New" w:eastAsia="Courier New" w:hAnsi="Courier New"/>
          <w:sz w:val="18"/>
          <w:szCs w:val="18"/>
          <w:color w:val="auto"/>
        </w:rPr>
        <w:t>39</w:t>
      </w:r>
    </w:p>
    <w:p>
      <w:pPr>
        <w:spacing w:after="0" w:line="201" w:lineRule="exact"/>
        <w:rPr>
          <w:sz w:val="20"/>
          <w:szCs w:val="20"/>
          <w:color w:val="auto"/>
        </w:rPr>
      </w:pPr>
    </w:p>
    <w:p>
      <w:pPr>
        <w:ind w:left="420"/>
        <w:spacing w:after="0"/>
        <w:tabs>
          <w:tab w:leader="dot" w:pos="9680" w:val="left"/>
        </w:tabs>
        <w:rPr>
          <w:sz w:val="20"/>
          <w:szCs w:val="20"/>
          <w:color w:val="auto"/>
        </w:rPr>
      </w:pPr>
      <w:r>
        <w:rPr>
          <w:rFonts w:ascii="Courier New" w:cs="Courier New" w:eastAsia="Courier New" w:hAnsi="Courier New"/>
          <w:sz w:val="18"/>
          <w:szCs w:val="18"/>
          <w:color w:val="auto"/>
        </w:rPr>
        <w:t>Section 5.13. Rights and Remedies Cumulative</w:t>
      </w:r>
      <w:r>
        <w:rPr>
          <w:sz w:val="20"/>
          <w:szCs w:val="20"/>
          <w:color w:val="auto"/>
        </w:rPr>
        <w:tab/>
      </w:r>
      <w:r>
        <w:rPr>
          <w:rFonts w:ascii="Courier New" w:cs="Courier New" w:eastAsia="Courier New" w:hAnsi="Courier New"/>
          <w:sz w:val="18"/>
          <w:szCs w:val="18"/>
          <w:color w:val="auto"/>
        </w:rPr>
        <w:t>39</w:t>
      </w:r>
    </w:p>
    <w:p>
      <w:pPr>
        <w:spacing w:after="0" w:line="201" w:lineRule="exact"/>
        <w:rPr>
          <w:sz w:val="20"/>
          <w:szCs w:val="20"/>
          <w:color w:val="auto"/>
        </w:rPr>
      </w:pPr>
    </w:p>
    <w:p>
      <w:pPr>
        <w:ind w:left="420"/>
        <w:spacing w:after="0"/>
        <w:tabs>
          <w:tab w:leader="dot" w:pos="9680" w:val="left"/>
        </w:tabs>
        <w:rPr>
          <w:sz w:val="20"/>
          <w:szCs w:val="20"/>
          <w:color w:val="auto"/>
        </w:rPr>
      </w:pPr>
      <w:r>
        <w:rPr>
          <w:rFonts w:ascii="Courier New" w:cs="Courier New" w:eastAsia="Courier New" w:hAnsi="Courier New"/>
          <w:sz w:val="18"/>
          <w:szCs w:val="18"/>
          <w:color w:val="auto"/>
        </w:rPr>
        <w:t>Section 5.14. Waiver of Stay or Extension Laws</w:t>
      </w:r>
      <w:r>
        <w:rPr>
          <w:sz w:val="20"/>
          <w:szCs w:val="20"/>
          <w:color w:val="auto"/>
        </w:rPr>
        <w:tab/>
      </w:r>
      <w:r>
        <w:rPr>
          <w:rFonts w:ascii="Courier New" w:cs="Courier New" w:eastAsia="Courier New" w:hAnsi="Courier New"/>
          <w:sz w:val="18"/>
          <w:szCs w:val="18"/>
          <w:color w:val="auto"/>
        </w:rPr>
        <w:t>40</w:t>
      </w:r>
    </w:p>
    <w:p>
      <w:pPr>
        <w:spacing w:after="0" w:line="201" w:lineRule="exact"/>
        <w:rPr>
          <w:sz w:val="20"/>
          <w:szCs w:val="20"/>
          <w:color w:val="auto"/>
        </w:rPr>
      </w:pPr>
    </w:p>
    <w:p>
      <w:pPr>
        <w:ind w:left="420"/>
        <w:spacing w:after="0"/>
        <w:tabs>
          <w:tab w:leader="dot" w:pos="9680" w:val="left"/>
        </w:tabs>
        <w:rPr>
          <w:sz w:val="20"/>
          <w:szCs w:val="20"/>
          <w:color w:val="auto"/>
        </w:rPr>
      </w:pPr>
      <w:r>
        <w:rPr>
          <w:rFonts w:ascii="Courier New" w:cs="Courier New" w:eastAsia="Courier New" w:hAnsi="Courier New"/>
          <w:sz w:val="18"/>
          <w:szCs w:val="18"/>
          <w:color w:val="auto"/>
        </w:rPr>
        <w:t>Section 5.15. Undertaking for Costs</w:t>
      </w:r>
      <w:r>
        <w:rPr>
          <w:sz w:val="20"/>
          <w:szCs w:val="20"/>
          <w:color w:val="auto"/>
        </w:rPr>
        <w:tab/>
      </w:r>
      <w:r>
        <w:rPr>
          <w:rFonts w:ascii="Courier New" w:cs="Courier New" w:eastAsia="Courier New" w:hAnsi="Courier New"/>
          <w:sz w:val="18"/>
          <w:szCs w:val="18"/>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1122" w:right="1440" w:bottom="1440" w:gutter="0" w:footer="0" w:header="0"/>
        </w:sectPr>
      </w:pPr>
    </w:p>
    <w:bookmarkStart w:id="125" w:name="page126"/>
    <w:bookmarkEnd w:id="125"/>
    <w:p>
      <w:pPr>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ARTICLE 6</w:t>
      </w:r>
      <w:r>
        <w:rPr>
          <w:sz w:val="20"/>
          <w:szCs w:val="20"/>
          <w:color w:val="auto"/>
        </w:rPr>
        <w:tab/>
      </w:r>
      <w:r>
        <w:rPr>
          <w:rFonts w:ascii="Courier New" w:cs="Courier New" w:eastAsia="Courier New" w:hAnsi="Courier New"/>
          <w:sz w:val="18"/>
          <w:szCs w:val="18"/>
          <w:color w:val="auto"/>
        </w:rPr>
        <w:t>THE TRUSTEE</w:t>
      </w:r>
      <w:r>
        <w:rPr>
          <w:sz w:val="20"/>
          <w:szCs w:val="20"/>
          <w:color w:val="auto"/>
        </w:rPr>
        <w:tab/>
      </w:r>
      <w:r>
        <w:rPr>
          <w:rFonts w:ascii="Courier New" w:cs="Courier New" w:eastAsia="Courier New" w:hAnsi="Courier New"/>
          <w:sz w:val="18"/>
          <w:szCs w:val="18"/>
          <w:color w:val="auto"/>
        </w:rPr>
        <w:t>40</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6.1.</w:t>
        <w:tab/>
        <w:t>Certain Duties and Responsibilities of the Trustee</w:t>
      </w:r>
      <w:r>
        <w:rPr>
          <w:sz w:val="20"/>
          <w:szCs w:val="20"/>
          <w:color w:val="auto"/>
        </w:rPr>
        <w:tab/>
      </w:r>
      <w:r>
        <w:rPr>
          <w:rFonts w:ascii="Courier New" w:cs="Courier New" w:eastAsia="Courier New" w:hAnsi="Courier New"/>
          <w:sz w:val="18"/>
          <w:szCs w:val="18"/>
          <w:color w:val="auto"/>
        </w:rPr>
        <w:t>40</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6.2.</w:t>
        <w:tab/>
        <w:t>Rights of Trustee</w:t>
      </w:r>
      <w:r>
        <w:rPr>
          <w:sz w:val="20"/>
          <w:szCs w:val="20"/>
          <w:color w:val="auto"/>
        </w:rPr>
        <w:tab/>
      </w:r>
      <w:r>
        <w:rPr>
          <w:rFonts w:ascii="Courier New" w:cs="Courier New" w:eastAsia="Courier New" w:hAnsi="Courier New"/>
          <w:sz w:val="18"/>
          <w:szCs w:val="18"/>
          <w:color w:val="auto"/>
        </w:rPr>
        <w:t>40</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6.3.</w:t>
        <w:tab/>
        <w:t>Trustee May Hold Securities</w:t>
      </w:r>
      <w:r>
        <w:rPr>
          <w:sz w:val="20"/>
          <w:szCs w:val="20"/>
          <w:color w:val="auto"/>
        </w:rPr>
        <w:tab/>
      </w:r>
      <w:r>
        <w:rPr>
          <w:rFonts w:ascii="Courier New" w:cs="Courier New" w:eastAsia="Courier New" w:hAnsi="Courier New"/>
          <w:sz w:val="18"/>
          <w:szCs w:val="18"/>
          <w:color w:val="auto"/>
        </w:rPr>
        <w:t>42</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6.4.</w:t>
        <w:tab/>
        <w:t>Money Held in Trust</w:t>
      </w:r>
      <w:r>
        <w:rPr>
          <w:sz w:val="20"/>
          <w:szCs w:val="20"/>
          <w:color w:val="auto"/>
        </w:rPr>
        <w:tab/>
      </w:r>
      <w:r>
        <w:rPr>
          <w:rFonts w:ascii="Courier New" w:cs="Courier New" w:eastAsia="Courier New" w:hAnsi="Courier New"/>
          <w:sz w:val="18"/>
          <w:szCs w:val="18"/>
          <w:color w:val="auto"/>
        </w:rPr>
        <w:t>42</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6.5.</w:t>
        <w:tab/>
        <w:t>Trustee's Disclaimer</w:t>
      </w:r>
      <w:r>
        <w:rPr>
          <w:sz w:val="20"/>
          <w:szCs w:val="20"/>
          <w:color w:val="auto"/>
        </w:rPr>
        <w:tab/>
      </w:r>
      <w:r>
        <w:rPr>
          <w:rFonts w:ascii="Courier New" w:cs="Courier New" w:eastAsia="Courier New" w:hAnsi="Courier New"/>
          <w:sz w:val="18"/>
          <w:szCs w:val="18"/>
          <w:color w:val="auto"/>
        </w:rPr>
        <w:t>42</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6.6.</w:t>
        <w:tab/>
        <w:t>Notice of Defaults</w:t>
      </w:r>
      <w:r>
        <w:rPr>
          <w:sz w:val="20"/>
          <w:szCs w:val="20"/>
          <w:color w:val="auto"/>
        </w:rPr>
        <w:tab/>
      </w:r>
      <w:r>
        <w:rPr>
          <w:rFonts w:ascii="Courier New" w:cs="Courier New" w:eastAsia="Courier New" w:hAnsi="Courier New"/>
          <w:sz w:val="18"/>
          <w:szCs w:val="18"/>
          <w:color w:val="auto"/>
        </w:rPr>
        <w:t>42</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6.7.</w:t>
        <w:tab/>
        <w:t>Reports by Trustee to Holders</w:t>
      </w:r>
      <w:r>
        <w:rPr>
          <w:sz w:val="20"/>
          <w:szCs w:val="20"/>
          <w:color w:val="auto"/>
        </w:rPr>
        <w:tab/>
      </w:r>
      <w:r>
        <w:rPr>
          <w:rFonts w:ascii="Courier New" w:cs="Courier New" w:eastAsia="Courier New" w:hAnsi="Courier New"/>
          <w:sz w:val="18"/>
          <w:szCs w:val="18"/>
          <w:color w:val="auto"/>
        </w:rPr>
        <w:t>43</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6.8.</w:t>
        <w:tab/>
        <w:t>Securityholder Lists</w:t>
      </w:r>
      <w:r>
        <w:rPr>
          <w:sz w:val="20"/>
          <w:szCs w:val="20"/>
          <w:color w:val="auto"/>
        </w:rPr>
        <w:tab/>
      </w:r>
      <w:r>
        <w:rPr>
          <w:rFonts w:ascii="Courier New" w:cs="Courier New" w:eastAsia="Courier New" w:hAnsi="Courier New"/>
          <w:sz w:val="18"/>
          <w:szCs w:val="18"/>
          <w:color w:val="auto"/>
        </w:rPr>
        <w:t>43</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6.9.</w:t>
        <w:tab/>
        <w:t>Compensation and Indemnity</w:t>
      </w:r>
      <w:r>
        <w:rPr>
          <w:sz w:val="20"/>
          <w:szCs w:val="20"/>
          <w:color w:val="auto"/>
        </w:rPr>
        <w:tab/>
      </w:r>
      <w:r>
        <w:rPr>
          <w:rFonts w:ascii="Courier New" w:cs="Courier New" w:eastAsia="Courier New" w:hAnsi="Courier New"/>
          <w:sz w:val="18"/>
          <w:szCs w:val="18"/>
          <w:color w:val="auto"/>
        </w:rPr>
        <w:t>43</w:t>
      </w:r>
    </w:p>
    <w:p>
      <w:pPr>
        <w:spacing w:after="0" w:line="201" w:lineRule="exact"/>
        <w:rPr>
          <w:sz w:val="20"/>
          <w:szCs w:val="20"/>
          <w:color w:val="auto"/>
        </w:rPr>
      </w:pPr>
    </w:p>
    <w:p>
      <w:pPr>
        <w:ind w:left="420"/>
        <w:spacing w:after="0"/>
        <w:tabs>
          <w:tab w:leader="dot" w:pos="9680" w:val="left"/>
        </w:tabs>
        <w:rPr>
          <w:sz w:val="20"/>
          <w:szCs w:val="20"/>
          <w:color w:val="auto"/>
        </w:rPr>
      </w:pPr>
      <w:r>
        <w:rPr>
          <w:rFonts w:ascii="Courier New" w:cs="Courier New" w:eastAsia="Courier New" w:hAnsi="Courier New"/>
          <w:sz w:val="18"/>
          <w:szCs w:val="18"/>
          <w:color w:val="auto"/>
        </w:rPr>
        <w:t>Section 6.10. Replacement of Trustee</w:t>
      </w:r>
      <w:r>
        <w:rPr>
          <w:sz w:val="20"/>
          <w:szCs w:val="20"/>
          <w:color w:val="auto"/>
        </w:rPr>
        <w:tab/>
      </w:r>
      <w:r>
        <w:rPr>
          <w:rFonts w:ascii="Courier New" w:cs="Courier New" w:eastAsia="Courier New" w:hAnsi="Courier New"/>
          <w:sz w:val="18"/>
          <w:szCs w:val="18"/>
          <w:color w:val="auto"/>
        </w:rPr>
        <w:t>44</w:t>
      </w:r>
    </w:p>
    <w:p>
      <w:pPr>
        <w:spacing w:after="0" w:line="201" w:lineRule="exact"/>
        <w:rPr>
          <w:sz w:val="20"/>
          <w:szCs w:val="20"/>
          <w:color w:val="auto"/>
        </w:rPr>
      </w:pPr>
    </w:p>
    <w:p>
      <w:pPr>
        <w:ind w:left="420"/>
        <w:spacing w:after="0"/>
        <w:tabs>
          <w:tab w:leader="dot" w:pos="9680" w:val="left"/>
        </w:tabs>
        <w:rPr>
          <w:sz w:val="20"/>
          <w:szCs w:val="20"/>
          <w:color w:val="auto"/>
        </w:rPr>
      </w:pPr>
      <w:r>
        <w:rPr>
          <w:rFonts w:ascii="Courier New" w:cs="Courier New" w:eastAsia="Courier New" w:hAnsi="Courier New"/>
          <w:sz w:val="18"/>
          <w:szCs w:val="18"/>
          <w:color w:val="auto"/>
        </w:rPr>
        <w:t>Section 6.11. Acceptance of Appointment by Successor</w:t>
      </w:r>
      <w:r>
        <w:rPr>
          <w:sz w:val="20"/>
          <w:szCs w:val="20"/>
          <w:color w:val="auto"/>
        </w:rPr>
        <w:tab/>
      </w:r>
      <w:r>
        <w:rPr>
          <w:rFonts w:ascii="Courier New" w:cs="Courier New" w:eastAsia="Courier New" w:hAnsi="Courier New"/>
          <w:sz w:val="18"/>
          <w:szCs w:val="18"/>
          <w:color w:val="auto"/>
        </w:rPr>
        <w:t>45</w:t>
      </w:r>
    </w:p>
    <w:p>
      <w:pPr>
        <w:spacing w:after="0" w:line="201" w:lineRule="exact"/>
        <w:rPr>
          <w:sz w:val="20"/>
          <w:szCs w:val="20"/>
          <w:color w:val="auto"/>
        </w:rPr>
      </w:pPr>
    </w:p>
    <w:p>
      <w:pPr>
        <w:ind w:left="420"/>
        <w:spacing w:after="0"/>
        <w:tabs>
          <w:tab w:leader="dot" w:pos="9680" w:val="left"/>
        </w:tabs>
        <w:rPr>
          <w:sz w:val="20"/>
          <w:szCs w:val="20"/>
          <w:color w:val="auto"/>
        </w:rPr>
      </w:pPr>
      <w:r>
        <w:rPr>
          <w:rFonts w:ascii="Courier New" w:cs="Courier New" w:eastAsia="Courier New" w:hAnsi="Courier New"/>
          <w:sz w:val="18"/>
          <w:szCs w:val="18"/>
          <w:color w:val="auto"/>
        </w:rPr>
        <w:t>Section 6.12. Eligibility; Disqualification</w:t>
      </w:r>
      <w:r>
        <w:rPr>
          <w:sz w:val="20"/>
          <w:szCs w:val="20"/>
          <w:color w:val="auto"/>
        </w:rPr>
        <w:tab/>
      </w:r>
      <w:r>
        <w:rPr>
          <w:rFonts w:ascii="Courier New" w:cs="Courier New" w:eastAsia="Courier New" w:hAnsi="Courier New"/>
          <w:sz w:val="18"/>
          <w:szCs w:val="18"/>
          <w:color w:val="auto"/>
        </w:rPr>
        <w:t>47</w:t>
      </w:r>
    </w:p>
    <w:p>
      <w:pPr>
        <w:spacing w:after="0" w:line="201" w:lineRule="exact"/>
        <w:rPr>
          <w:sz w:val="20"/>
          <w:szCs w:val="20"/>
          <w:color w:val="auto"/>
        </w:rPr>
      </w:pPr>
    </w:p>
    <w:p>
      <w:pPr>
        <w:ind w:left="420"/>
        <w:spacing w:after="0"/>
        <w:tabs>
          <w:tab w:leader="dot" w:pos="9680" w:val="left"/>
        </w:tabs>
        <w:rPr>
          <w:sz w:val="20"/>
          <w:szCs w:val="20"/>
          <w:color w:val="auto"/>
        </w:rPr>
      </w:pPr>
      <w:r>
        <w:rPr>
          <w:rFonts w:ascii="Courier New" w:cs="Courier New" w:eastAsia="Courier New" w:hAnsi="Courier New"/>
          <w:sz w:val="18"/>
          <w:szCs w:val="18"/>
          <w:color w:val="auto"/>
        </w:rPr>
        <w:t>Section 6.13. Merger, Conversion, Consolidation or Succession to Business</w:t>
      </w:r>
      <w:r>
        <w:rPr>
          <w:sz w:val="20"/>
          <w:szCs w:val="20"/>
          <w:color w:val="auto"/>
        </w:rPr>
        <w:tab/>
      </w:r>
      <w:r>
        <w:rPr>
          <w:rFonts w:ascii="Courier New" w:cs="Courier New" w:eastAsia="Courier New" w:hAnsi="Courier New"/>
          <w:sz w:val="18"/>
          <w:szCs w:val="18"/>
          <w:color w:val="auto"/>
        </w:rPr>
        <w:t>47</w:t>
      </w:r>
    </w:p>
    <w:p>
      <w:pPr>
        <w:spacing w:after="0" w:line="201" w:lineRule="exact"/>
        <w:rPr>
          <w:sz w:val="20"/>
          <w:szCs w:val="20"/>
          <w:color w:val="auto"/>
        </w:rPr>
      </w:pPr>
    </w:p>
    <w:p>
      <w:pPr>
        <w:ind w:left="420"/>
        <w:spacing w:after="0"/>
        <w:tabs>
          <w:tab w:leader="dot" w:pos="9680" w:val="left"/>
        </w:tabs>
        <w:rPr>
          <w:sz w:val="20"/>
          <w:szCs w:val="20"/>
          <w:color w:val="auto"/>
        </w:rPr>
      </w:pPr>
      <w:r>
        <w:rPr>
          <w:rFonts w:ascii="Courier New" w:cs="Courier New" w:eastAsia="Courier New" w:hAnsi="Courier New"/>
          <w:sz w:val="18"/>
          <w:szCs w:val="18"/>
          <w:color w:val="auto"/>
        </w:rPr>
        <w:t>Section 6.14. Appointment of Authenticating Agent</w:t>
      </w:r>
      <w:r>
        <w:rPr>
          <w:sz w:val="20"/>
          <w:szCs w:val="20"/>
          <w:color w:val="auto"/>
        </w:rPr>
        <w:tab/>
      </w: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ARTICLE 7</w:t>
      </w:r>
      <w:r>
        <w:rPr>
          <w:sz w:val="20"/>
          <w:szCs w:val="20"/>
          <w:color w:val="auto"/>
        </w:rPr>
        <w:tab/>
      </w:r>
      <w:r>
        <w:rPr>
          <w:rFonts w:ascii="Courier New" w:cs="Courier New" w:eastAsia="Courier New" w:hAnsi="Courier New"/>
          <w:sz w:val="18"/>
          <w:szCs w:val="18"/>
          <w:color w:val="auto"/>
        </w:rPr>
        <w:t>CONSOLIDATION, MERGER OR SALE BY THE COMPANY</w:t>
      </w:r>
      <w:r>
        <w:rPr>
          <w:sz w:val="20"/>
          <w:szCs w:val="20"/>
          <w:color w:val="auto"/>
        </w:rPr>
        <w:tab/>
      </w:r>
      <w:r>
        <w:rPr>
          <w:rFonts w:ascii="Courier New" w:cs="Courier New" w:eastAsia="Courier New" w:hAnsi="Courier New"/>
          <w:sz w:val="18"/>
          <w:szCs w:val="18"/>
          <w:color w:val="auto"/>
        </w:rPr>
        <w:t>49</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7.1.</w:t>
        <w:tab/>
        <w:t>Consolidation, Merger or Sale of Assets Permitted</w:t>
      </w:r>
      <w:r>
        <w:rPr>
          <w:sz w:val="20"/>
          <w:szCs w:val="20"/>
          <w:color w:val="auto"/>
        </w:rPr>
        <w:tab/>
      </w:r>
      <w:r>
        <w:rPr>
          <w:rFonts w:ascii="Courier New" w:cs="Courier New" w:eastAsia="Courier New" w:hAnsi="Courier New"/>
          <w:sz w:val="18"/>
          <w:szCs w:val="18"/>
          <w:color w:val="auto"/>
        </w:rPr>
        <w:t>49</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7.2.</w:t>
        <w:tab/>
        <w:t>Successor Person Substituted for Company</w:t>
      </w:r>
      <w:r>
        <w:rPr>
          <w:sz w:val="20"/>
          <w:szCs w:val="20"/>
          <w:color w:val="auto"/>
        </w:rPr>
        <w:tab/>
      </w:r>
      <w:r>
        <w:rPr>
          <w:rFonts w:ascii="Courier New" w:cs="Courier New" w:eastAsia="Courier New" w:hAnsi="Courier New"/>
          <w:sz w:val="18"/>
          <w:szCs w:val="18"/>
          <w:color w:val="auto"/>
        </w:rPr>
        <w:t>49</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ARTICLE 8</w:t>
      </w:r>
      <w:r>
        <w:rPr>
          <w:sz w:val="20"/>
          <w:szCs w:val="20"/>
          <w:color w:val="auto"/>
        </w:rPr>
        <w:tab/>
      </w:r>
      <w:r>
        <w:rPr>
          <w:rFonts w:ascii="Courier New" w:cs="Courier New" w:eastAsia="Courier New" w:hAnsi="Courier New"/>
          <w:sz w:val="18"/>
          <w:szCs w:val="18"/>
          <w:color w:val="auto"/>
        </w:rPr>
        <w:t>SUPPLEMENTAL INDENTURES</w:t>
      </w:r>
      <w:r>
        <w:rPr>
          <w:sz w:val="20"/>
          <w:szCs w:val="20"/>
          <w:color w:val="auto"/>
        </w:rPr>
        <w:tab/>
      </w:r>
      <w:r>
        <w:rPr>
          <w:rFonts w:ascii="Courier New" w:cs="Courier New" w:eastAsia="Courier New" w:hAnsi="Courier New"/>
          <w:sz w:val="18"/>
          <w:szCs w:val="18"/>
          <w:color w:val="auto"/>
        </w:rPr>
        <w:t>49</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8.1.</w:t>
        <w:tab/>
        <w:t>Supplemental Indentures Without Consent of Holders</w:t>
      </w:r>
      <w:r>
        <w:rPr>
          <w:sz w:val="20"/>
          <w:szCs w:val="20"/>
          <w:color w:val="auto"/>
        </w:rPr>
        <w:tab/>
      </w:r>
      <w:r>
        <w:rPr>
          <w:rFonts w:ascii="Courier New" w:cs="Courier New" w:eastAsia="Courier New" w:hAnsi="Courier New"/>
          <w:sz w:val="18"/>
          <w:szCs w:val="18"/>
          <w:color w:val="auto"/>
        </w:rPr>
        <w:t>49</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8.2.</w:t>
        <w:tab/>
        <w:t>Supplemental Indentures With Consent of Holders</w:t>
      </w:r>
      <w:r>
        <w:rPr>
          <w:sz w:val="20"/>
          <w:szCs w:val="20"/>
          <w:color w:val="auto"/>
        </w:rPr>
        <w:tab/>
      </w:r>
      <w:r>
        <w:rPr>
          <w:rFonts w:ascii="Courier New" w:cs="Courier New" w:eastAsia="Courier New" w:hAnsi="Courier New"/>
          <w:sz w:val="18"/>
          <w:szCs w:val="18"/>
          <w:color w:val="auto"/>
        </w:rPr>
        <w:t>51</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8.3.</w:t>
        <w:tab/>
        <w:t>Compliance with Trust Indenture Act</w:t>
      </w:r>
      <w:r>
        <w:rPr>
          <w:sz w:val="20"/>
          <w:szCs w:val="20"/>
          <w:color w:val="auto"/>
        </w:rPr>
        <w:tab/>
      </w:r>
      <w:r>
        <w:rPr>
          <w:rFonts w:ascii="Courier New" w:cs="Courier New" w:eastAsia="Courier New" w:hAnsi="Courier New"/>
          <w:sz w:val="18"/>
          <w:szCs w:val="18"/>
          <w:color w:val="auto"/>
        </w:rPr>
        <w:t>52</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8.4.</w:t>
        <w:tab/>
        <w:t>Execution of Supplemental Indentures</w:t>
      </w:r>
      <w:r>
        <w:rPr>
          <w:sz w:val="20"/>
          <w:szCs w:val="20"/>
          <w:color w:val="auto"/>
        </w:rPr>
        <w:tab/>
      </w:r>
      <w:r>
        <w:rPr>
          <w:rFonts w:ascii="Courier New" w:cs="Courier New" w:eastAsia="Courier New" w:hAnsi="Courier New"/>
          <w:sz w:val="18"/>
          <w:szCs w:val="18"/>
          <w:color w:val="auto"/>
        </w:rPr>
        <w:t>52</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8.5.</w:t>
        <w:tab/>
        <w:t>Effect of Supplemental Indentures</w:t>
      </w:r>
      <w:r>
        <w:rPr>
          <w:sz w:val="20"/>
          <w:szCs w:val="20"/>
          <w:color w:val="auto"/>
        </w:rPr>
        <w:tab/>
      </w:r>
      <w:r>
        <w:rPr>
          <w:rFonts w:ascii="Courier New" w:cs="Courier New" w:eastAsia="Courier New" w:hAnsi="Courier New"/>
          <w:sz w:val="18"/>
          <w:szCs w:val="18"/>
          <w:color w:val="auto"/>
        </w:rPr>
        <w:t>52</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8.6.</w:t>
        <w:tab/>
        <w:t>Reference in Securities to Supplemental Indentures</w:t>
      </w:r>
      <w:r>
        <w:rPr>
          <w:sz w:val="20"/>
          <w:szCs w:val="20"/>
          <w:color w:val="auto"/>
        </w:rPr>
        <w:tab/>
      </w:r>
      <w:r>
        <w:rPr>
          <w:rFonts w:ascii="Courier New" w:cs="Courier New" w:eastAsia="Courier New" w:hAnsi="Courier New"/>
          <w:sz w:val="18"/>
          <w:szCs w:val="18"/>
          <w:color w:val="auto"/>
        </w:rPr>
        <w:t>52</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ARTICLE 9</w:t>
      </w:r>
      <w:r>
        <w:rPr>
          <w:sz w:val="20"/>
          <w:szCs w:val="20"/>
          <w:color w:val="auto"/>
        </w:rPr>
        <w:tab/>
      </w:r>
      <w:r>
        <w:rPr>
          <w:rFonts w:ascii="Courier New" w:cs="Courier New" w:eastAsia="Courier New" w:hAnsi="Courier New"/>
          <w:sz w:val="18"/>
          <w:szCs w:val="18"/>
          <w:color w:val="auto"/>
        </w:rPr>
        <w:t>COVENANTS</w:t>
      </w:r>
      <w:r>
        <w:rPr>
          <w:sz w:val="20"/>
          <w:szCs w:val="20"/>
          <w:color w:val="auto"/>
        </w:rPr>
        <w:tab/>
      </w:r>
      <w:r>
        <w:rPr>
          <w:rFonts w:ascii="Courier New" w:cs="Courier New" w:eastAsia="Courier New" w:hAnsi="Courier New"/>
          <w:sz w:val="18"/>
          <w:szCs w:val="18"/>
          <w:color w:val="auto"/>
        </w:rPr>
        <w:t>52</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9.1.</w:t>
        <w:tab/>
        <w:t>Payment of Principal, Premium, if any, and Interest</w:t>
      </w:r>
      <w:r>
        <w:rPr>
          <w:sz w:val="20"/>
          <w:szCs w:val="20"/>
          <w:color w:val="auto"/>
        </w:rPr>
        <w:tab/>
      </w:r>
      <w:r>
        <w:rPr>
          <w:rFonts w:ascii="Courier New" w:cs="Courier New" w:eastAsia="Courier New" w:hAnsi="Courier New"/>
          <w:sz w:val="18"/>
          <w:szCs w:val="18"/>
          <w:color w:val="auto"/>
        </w:rPr>
        <w:t>52</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9.2.</w:t>
        <w:tab/>
        <w:t>Maintenance of Office or Agency</w:t>
      </w:r>
      <w:r>
        <w:rPr>
          <w:sz w:val="20"/>
          <w:szCs w:val="20"/>
          <w:color w:val="auto"/>
        </w:rPr>
        <w:tab/>
      </w:r>
      <w:r>
        <w:rPr>
          <w:rFonts w:ascii="Courier New" w:cs="Courier New" w:eastAsia="Courier New" w:hAnsi="Courier New"/>
          <w:sz w:val="18"/>
          <w:szCs w:val="18"/>
          <w:color w:val="auto"/>
        </w:rPr>
        <w:t>53</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9.3.</w:t>
        <w:tab/>
        <w:t>Money for Securities Payments to Be Held in Trust; Unclaimed Money</w:t>
      </w:r>
      <w:r>
        <w:rPr>
          <w:sz w:val="20"/>
          <w:szCs w:val="20"/>
          <w:color w:val="auto"/>
        </w:rPr>
        <w:tab/>
      </w:r>
      <w:r>
        <w:rPr>
          <w:rFonts w:ascii="Courier New" w:cs="Courier New" w:eastAsia="Courier New" w:hAnsi="Courier New"/>
          <w:sz w:val="18"/>
          <w:szCs w:val="18"/>
          <w:color w:val="auto"/>
        </w:rPr>
        <w:t>54</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9.4.</w:t>
        <w:tab/>
        <w:t>Corporate Existence</w:t>
      </w:r>
      <w:r>
        <w:rPr>
          <w:sz w:val="20"/>
          <w:szCs w:val="20"/>
          <w:color w:val="auto"/>
        </w:rPr>
        <w:tab/>
      </w:r>
      <w:r>
        <w:rPr>
          <w:rFonts w:ascii="Courier New" w:cs="Courier New" w:eastAsia="Courier New" w:hAnsi="Courier New"/>
          <w:sz w:val="18"/>
          <w:szCs w:val="18"/>
          <w:color w:val="auto"/>
        </w:rPr>
        <w:t>55</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9.5.</w:t>
        <w:tab/>
        <w:t>[Intentionally omitted]</w:t>
      </w:r>
      <w:r>
        <w:rPr>
          <w:sz w:val="20"/>
          <w:szCs w:val="20"/>
          <w:color w:val="auto"/>
        </w:rPr>
        <w:tab/>
      </w:r>
      <w:r>
        <w:rPr>
          <w:rFonts w:ascii="Courier New" w:cs="Courier New" w:eastAsia="Courier New" w:hAnsi="Courier New"/>
          <w:sz w:val="18"/>
          <w:szCs w:val="18"/>
          <w:color w:val="auto"/>
        </w:rPr>
        <w:t>55</w:t>
      </w:r>
    </w:p>
    <w:p>
      <w:pPr>
        <w:spacing w:after="0" w:line="201" w:lineRule="exact"/>
        <w:rPr>
          <w:sz w:val="20"/>
          <w:szCs w:val="20"/>
          <w:color w:val="auto"/>
        </w:rPr>
      </w:pPr>
    </w:p>
    <w:p>
      <w:pPr>
        <w:ind w:left="420"/>
        <w:spacing w:after="0"/>
        <w:tabs>
          <w:tab w:leader="none" w:pos="1880" w:val="left"/>
          <w:tab w:leader="dot" w:pos="9680" w:val="left"/>
        </w:tabs>
        <w:rPr>
          <w:sz w:val="20"/>
          <w:szCs w:val="20"/>
          <w:color w:val="auto"/>
        </w:rPr>
      </w:pPr>
      <w:r>
        <w:rPr>
          <w:rFonts w:ascii="Courier New" w:cs="Courier New" w:eastAsia="Courier New" w:hAnsi="Courier New"/>
          <w:sz w:val="18"/>
          <w:szCs w:val="18"/>
          <w:color w:val="auto"/>
        </w:rPr>
        <w:t>Section 9.6.</w:t>
        <w:tab/>
        <w:t>Reports by the Company</w:t>
      </w:r>
      <w:r>
        <w:rPr>
          <w:sz w:val="20"/>
          <w:szCs w:val="20"/>
          <w:color w:val="auto"/>
        </w:rPr>
        <w:tab/>
      </w:r>
      <w:r>
        <w:rPr>
          <w:rFonts w:ascii="Courier New" w:cs="Courier New" w:eastAsia="Courier New" w:hAnsi="Courier New"/>
          <w:sz w:val="18"/>
          <w:szCs w:val="18"/>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1325" w:right="1440" w:bottom="564" w:gutter="0" w:footer="0" w:header="0"/>
        </w:sectPr>
      </w:pPr>
    </w:p>
    <w:bookmarkStart w:id="126" w:name="page127"/>
    <w:bookmarkEnd w:id="126"/>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Section 9.7.</w:t>
            </w:r>
          </w:p>
        </w:tc>
        <w:tc>
          <w:tcPr>
            <w:tcW w:w="78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Annual Review Certificate.................................................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56</w:t>
            </w:r>
          </w:p>
        </w:tc>
      </w:tr>
      <w:tr>
        <w:trPr>
          <w:trHeight w:val="405"/>
        </w:trPr>
        <w:tc>
          <w:tcPr>
            <w:tcW w:w="18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Section 9.8.</w:t>
            </w:r>
          </w:p>
        </w:tc>
        <w:tc>
          <w:tcPr>
            <w:tcW w:w="78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Limitation on Liens.......................................................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56</w:t>
            </w:r>
          </w:p>
        </w:tc>
      </w:tr>
      <w:tr>
        <w:trPr>
          <w:trHeight w:val="405"/>
        </w:trPr>
        <w:tc>
          <w:tcPr>
            <w:tcW w:w="18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Section 9.9.</w:t>
            </w:r>
          </w:p>
        </w:tc>
        <w:tc>
          <w:tcPr>
            <w:tcW w:w="78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[Intentionally omitted]...................................................</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57</w:t>
            </w:r>
          </w:p>
        </w:tc>
      </w:tr>
      <w:tr>
        <w:trPr>
          <w:trHeight w:val="405"/>
        </w:trPr>
        <w:tc>
          <w:tcPr>
            <w:tcW w:w="9700" w:type="dxa"/>
            <w:vAlign w:val="bottom"/>
            <w:gridSpan w:val="4"/>
          </w:tcPr>
          <w:p>
            <w:pPr>
              <w:ind w:left="420"/>
              <w:spacing w:after="0"/>
              <w:rPr>
                <w:sz w:val="20"/>
                <w:szCs w:val="20"/>
                <w:color w:val="auto"/>
              </w:rPr>
            </w:pPr>
            <w:r>
              <w:rPr>
                <w:rFonts w:ascii="Courier New" w:cs="Courier New" w:eastAsia="Courier New" w:hAnsi="Courier New"/>
                <w:sz w:val="18"/>
                <w:szCs w:val="18"/>
                <w:color w:val="auto"/>
                <w:w w:val="97"/>
              </w:rPr>
              <w:t>Section 9.10. Taxes.....................................................................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57</w:t>
            </w:r>
          </w:p>
        </w:tc>
      </w:tr>
      <w:tr>
        <w:trPr>
          <w:trHeight w:val="405"/>
        </w:trPr>
        <w:tc>
          <w:tcPr>
            <w:tcW w:w="9700" w:type="dxa"/>
            <w:vAlign w:val="bottom"/>
            <w:gridSpan w:val="4"/>
          </w:tcPr>
          <w:p>
            <w:pPr>
              <w:ind w:left="420"/>
              <w:spacing w:after="0"/>
              <w:rPr>
                <w:sz w:val="20"/>
                <w:szCs w:val="20"/>
                <w:color w:val="auto"/>
              </w:rPr>
            </w:pPr>
            <w:r>
              <w:rPr>
                <w:rFonts w:ascii="Courier New" w:cs="Courier New" w:eastAsia="Courier New" w:hAnsi="Courier New"/>
                <w:sz w:val="18"/>
                <w:szCs w:val="18"/>
                <w:color w:val="auto"/>
                <w:w w:val="97"/>
              </w:rPr>
              <w:t>Section 9.11. Additional Amounts........................................................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57</w:t>
            </w:r>
          </w:p>
        </w:tc>
      </w:tr>
      <w:tr>
        <w:trPr>
          <w:trHeight w:val="405"/>
        </w:trPr>
        <w:tc>
          <w:tcPr>
            <w:tcW w:w="9700" w:type="dxa"/>
            <w:vAlign w:val="bottom"/>
            <w:gridSpan w:val="4"/>
          </w:tcPr>
          <w:p>
            <w:pPr>
              <w:ind w:left="420"/>
              <w:spacing w:after="0"/>
              <w:rPr>
                <w:sz w:val="20"/>
                <w:szCs w:val="20"/>
                <w:color w:val="auto"/>
              </w:rPr>
            </w:pPr>
            <w:r>
              <w:rPr>
                <w:rFonts w:ascii="Courier New" w:cs="Courier New" w:eastAsia="Courier New" w:hAnsi="Courier New"/>
                <w:sz w:val="18"/>
                <w:szCs w:val="18"/>
                <w:color w:val="auto"/>
                <w:w w:val="97"/>
              </w:rPr>
              <w:t>Section 9.12. Calculation of Original Issue Discount....................................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58</w:t>
            </w:r>
          </w:p>
        </w:tc>
      </w:tr>
      <w:tr>
        <w:trPr>
          <w:trHeight w:val="608"/>
        </w:trPr>
        <w:tc>
          <w:tcPr>
            <w:tcW w:w="1080" w:type="dxa"/>
            <w:vAlign w:val="bottom"/>
          </w:tcPr>
          <w:p>
            <w:pPr>
              <w:spacing w:after="0"/>
              <w:rPr>
                <w:sz w:val="20"/>
                <w:szCs w:val="20"/>
                <w:color w:val="auto"/>
              </w:rPr>
            </w:pPr>
            <w:r>
              <w:rPr>
                <w:rFonts w:ascii="Courier New" w:cs="Courier New" w:eastAsia="Courier New" w:hAnsi="Courier New"/>
                <w:sz w:val="18"/>
                <w:szCs w:val="18"/>
                <w:color w:val="auto"/>
                <w:w w:val="98"/>
              </w:rPr>
              <w:t>ARTICLE 10</w:t>
            </w:r>
          </w:p>
        </w:tc>
        <w:tc>
          <w:tcPr>
            <w:tcW w:w="86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REDEMPTION...................................................................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58</w:t>
            </w:r>
          </w:p>
        </w:tc>
      </w:tr>
      <w:tr>
        <w:trPr>
          <w:trHeight w:val="405"/>
        </w:trPr>
        <w:tc>
          <w:tcPr>
            <w:tcW w:w="9700" w:type="dxa"/>
            <w:vAlign w:val="bottom"/>
            <w:gridSpan w:val="4"/>
          </w:tcPr>
          <w:p>
            <w:pPr>
              <w:ind w:left="420"/>
              <w:spacing w:after="0"/>
              <w:rPr>
                <w:sz w:val="20"/>
                <w:szCs w:val="20"/>
                <w:color w:val="auto"/>
              </w:rPr>
            </w:pPr>
            <w:r>
              <w:rPr>
                <w:rFonts w:ascii="Courier New" w:cs="Courier New" w:eastAsia="Courier New" w:hAnsi="Courier New"/>
                <w:sz w:val="18"/>
                <w:szCs w:val="18"/>
                <w:color w:val="auto"/>
                <w:w w:val="97"/>
              </w:rPr>
              <w:t>Section 10.1. Applicability of Article..................................................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58</w:t>
            </w:r>
          </w:p>
        </w:tc>
      </w:tr>
      <w:tr>
        <w:trPr>
          <w:trHeight w:val="405"/>
        </w:trPr>
        <w:tc>
          <w:tcPr>
            <w:tcW w:w="9700" w:type="dxa"/>
            <w:vAlign w:val="bottom"/>
            <w:gridSpan w:val="4"/>
          </w:tcPr>
          <w:p>
            <w:pPr>
              <w:ind w:left="420"/>
              <w:spacing w:after="0"/>
              <w:rPr>
                <w:sz w:val="20"/>
                <w:szCs w:val="20"/>
                <w:color w:val="auto"/>
              </w:rPr>
            </w:pPr>
            <w:r>
              <w:rPr>
                <w:rFonts w:ascii="Courier New" w:cs="Courier New" w:eastAsia="Courier New" w:hAnsi="Courier New"/>
                <w:sz w:val="18"/>
                <w:szCs w:val="18"/>
                <w:color w:val="auto"/>
                <w:w w:val="97"/>
              </w:rPr>
              <w:t>Section 10.2. Election to Redeem; Notice to Trustee.....................................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58</w:t>
            </w:r>
          </w:p>
        </w:tc>
      </w:tr>
      <w:tr>
        <w:trPr>
          <w:trHeight w:val="405"/>
        </w:trPr>
        <w:tc>
          <w:tcPr>
            <w:tcW w:w="9700" w:type="dxa"/>
            <w:vAlign w:val="bottom"/>
            <w:gridSpan w:val="4"/>
          </w:tcPr>
          <w:p>
            <w:pPr>
              <w:ind w:left="420"/>
              <w:spacing w:after="0"/>
              <w:rPr>
                <w:sz w:val="20"/>
                <w:szCs w:val="20"/>
                <w:color w:val="auto"/>
              </w:rPr>
            </w:pPr>
            <w:r>
              <w:rPr>
                <w:rFonts w:ascii="Courier New" w:cs="Courier New" w:eastAsia="Courier New" w:hAnsi="Courier New"/>
                <w:sz w:val="18"/>
                <w:szCs w:val="18"/>
                <w:color w:val="auto"/>
                <w:w w:val="97"/>
              </w:rPr>
              <w:t>Section 10.3. Selection of Securities to Be Redeemed....................................</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58</w:t>
            </w:r>
          </w:p>
        </w:tc>
      </w:tr>
      <w:tr>
        <w:trPr>
          <w:trHeight w:val="405"/>
        </w:trPr>
        <w:tc>
          <w:tcPr>
            <w:tcW w:w="9700" w:type="dxa"/>
            <w:vAlign w:val="bottom"/>
            <w:gridSpan w:val="4"/>
          </w:tcPr>
          <w:p>
            <w:pPr>
              <w:ind w:left="420"/>
              <w:spacing w:after="0"/>
              <w:rPr>
                <w:sz w:val="20"/>
                <w:szCs w:val="20"/>
                <w:color w:val="auto"/>
              </w:rPr>
            </w:pPr>
            <w:r>
              <w:rPr>
                <w:rFonts w:ascii="Courier New" w:cs="Courier New" w:eastAsia="Courier New" w:hAnsi="Courier New"/>
                <w:sz w:val="18"/>
                <w:szCs w:val="18"/>
                <w:color w:val="auto"/>
                <w:w w:val="97"/>
              </w:rPr>
              <w:t>Section 10.4. Notice of Redemption......................................................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59</w:t>
            </w:r>
          </w:p>
        </w:tc>
      </w:tr>
      <w:tr>
        <w:trPr>
          <w:trHeight w:val="405"/>
        </w:trPr>
        <w:tc>
          <w:tcPr>
            <w:tcW w:w="9700" w:type="dxa"/>
            <w:vAlign w:val="bottom"/>
            <w:gridSpan w:val="4"/>
          </w:tcPr>
          <w:p>
            <w:pPr>
              <w:ind w:left="420"/>
              <w:spacing w:after="0"/>
              <w:rPr>
                <w:sz w:val="20"/>
                <w:szCs w:val="20"/>
                <w:color w:val="auto"/>
              </w:rPr>
            </w:pPr>
            <w:r>
              <w:rPr>
                <w:rFonts w:ascii="Courier New" w:cs="Courier New" w:eastAsia="Courier New" w:hAnsi="Courier New"/>
                <w:sz w:val="18"/>
                <w:szCs w:val="18"/>
                <w:color w:val="auto"/>
                <w:w w:val="97"/>
              </w:rPr>
              <w:t>Section 10.5. Deposit of Redemption Price...............................................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60</w:t>
            </w:r>
          </w:p>
        </w:tc>
      </w:tr>
      <w:tr>
        <w:trPr>
          <w:trHeight w:val="405"/>
        </w:trPr>
        <w:tc>
          <w:tcPr>
            <w:tcW w:w="9700" w:type="dxa"/>
            <w:vAlign w:val="bottom"/>
            <w:gridSpan w:val="4"/>
          </w:tcPr>
          <w:p>
            <w:pPr>
              <w:ind w:left="420"/>
              <w:spacing w:after="0"/>
              <w:rPr>
                <w:sz w:val="20"/>
                <w:szCs w:val="20"/>
                <w:color w:val="auto"/>
              </w:rPr>
            </w:pPr>
            <w:r>
              <w:rPr>
                <w:rFonts w:ascii="Courier New" w:cs="Courier New" w:eastAsia="Courier New" w:hAnsi="Courier New"/>
                <w:sz w:val="18"/>
                <w:szCs w:val="18"/>
                <w:color w:val="auto"/>
                <w:w w:val="97"/>
              </w:rPr>
              <w:t>Section 10.6. Securities Payable on Redemption Date.....................................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60</w:t>
            </w:r>
          </w:p>
        </w:tc>
      </w:tr>
      <w:tr>
        <w:trPr>
          <w:trHeight w:val="405"/>
        </w:trPr>
        <w:tc>
          <w:tcPr>
            <w:tcW w:w="9700" w:type="dxa"/>
            <w:vAlign w:val="bottom"/>
            <w:gridSpan w:val="4"/>
          </w:tcPr>
          <w:p>
            <w:pPr>
              <w:ind w:left="420"/>
              <w:spacing w:after="0"/>
              <w:rPr>
                <w:sz w:val="20"/>
                <w:szCs w:val="20"/>
                <w:color w:val="auto"/>
              </w:rPr>
            </w:pPr>
            <w:r>
              <w:rPr>
                <w:rFonts w:ascii="Courier New" w:cs="Courier New" w:eastAsia="Courier New" w:hAnsi="Courier New"/>
                <w:sz w:val="18"/>
                <w:szCs w:val="18"/>
                <w:color w:val="auto"/>
                <w:w w:val="97"/>
              </w:rPr>
              <w:t>Section 10.7. Securities Redeemed in Part...............................................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61</w:t>
            </w:r>
          </w:p>
        </w:tc>
      </w:tr>
      <w:tr>
        <w:trPr>
          <w:trHeight w:val="608"/>
        </w:trPr>
        <w:tc>
          <w:tcPr>
            <w:tcW w:w="1080" w:type="dxa"/>
            <w:vAlign w:val="bottom"/>
          </w:tcPr>
          <w:p>
            <w:pPr>
              <w:spacing w:after="0"/>
              <w:rPr>
                <w:sz w:val="20"/>
                <w:szCs w:val="20"/>
                <w:color w:val="auto"/>
              </w:rPr>
            </w:pPr>
            <w:r>
              <w:rPr>
                <w:rFonts w:ascii="Courier New" w:cs="Courier New" w:eastAsia="Courier New" w:hAnsi="Courier New"/>
                <w:sz w:val="18"/>
                <w:szCs w:val="18"/>
                <w:color w:val="auto"/>
                <w:w w:val="98"/>
              </w:rPr>
              <w:t>ARTICLE 11</w:t>
            </w:r>
          </w:p>
        </w:tc>
        <w:tc>
          <w:tcPr>
            <w:tcW w:w="86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SINKING FUNDS................................................................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61</w:t>
            </w:r>
          </w:p>
        </w:tc>
      </w:tr>
      <w:tr>
        <w:trPr>
          <w:trHeight w:val="405"/>
        </w:trPr>
        <w:tc>
          <w:tcPr>
            <w:tcW w:w="9700" w:type="dxa"/>
            <w:vAlign w:val="bottom"/>
            <w:gridSpan w:val="4"/>
          </w:tcPr>
          <w:p>
            <w:pPr>
              <w:ind w:left="420"/>
              <w:spacing w:after="0"/>
              <w:rPr>
                <w:sz w:val="20"/>
                <w:szCs w:val="20"/>
                <w:color w:val="auto"/>
              </w:rPr>
            </w:pPr>
            <w:r>
              <w:rPr>
                <w:rFonts w:ascii="Courier New" w:cs="Courier New" w:eastAsia="Courier New" w:hAnsi="Courier New"/>
                <w:sz w:val="18"/>
                <w:szCs w:val="18"/>
                <w:color w:val="auto"/>
                <w:w w:val="97"/>
              </w:rPr>
              <w:t>Section 11.1. Applicability of Article..................................................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61</w:t>
            </w:r>
          </w:p>
        </w:tc>
      </w:tr>
      <w:tr>
        <w:trPr>
          <w:trHeight w:val="405"/>
        </w:trPr>
        <w:tc>
          <w:tcPr>
            <w:tcW w:w="9700" w:type="dxa"/>
            <w:vAlign w:val="bottom"/>
            <w:gridSpan w:val="4"/>
          </w:tcPr>
          <w:p>
            <w:pPr>
              <w:ind w:left="420"/>
              <w:spacing w:after="0"/>
              <w:rPr>
                <w:sz w:val="20"/>
                <w:szCs w:val="20"/>
                <w:color w:val="auto"/>
              </w:rPr>
            </w:pPr>
            <w:r>
              <w:rPr>
                <w:rFonts w:ascii="Courier New" w:cs="Courier New" w:eastAsia="Courier New" w:hAnsi="Courier New"/>
                <w:sz w:val="18"/>
                <w:szCs w:val="18"/>
                <w:color w:val="auto"/>
                <w:w w:val="97"/>
              </w:rPr>
              <w:t>Section 11.2. Satisfaction of Sinking Fund Payments with Securities.....................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61</w:t>
            </w:r>
          </w:p>
        </w:tc>
      </w:tr>
      <w:tr>
        <w:trPr>
          <w:trHeight w:val="405"/>
        </w:trPr>
        <w:tc>
          <w:tcPr>
            <w:tcW w:w="9700" w:type="dxa"/>
            <w:vAlign w:val="bottom"/>
            <w:gridSpan w:val="4"/>
          </w:tcPr>
          <w:p>
            <w:pPr>
              <w:ind w:left="420"/>
              <w:spacing w:after="0"/>
              <w:rPr>
                <w:sz w:val="20"/>
                <w:szCs w:val="20"/>
                <w:color w:val="auto"/>
              </w:rPr>
            </w:pPr>
            <w:r>
              <w:rPr>
                <w:rFonts w:ascii="Courier New" w:cs="Courier New" w:eastAsia="Courier New" w:hAnsi="Courier New"/>
                <w:sz w:val="18"/>
                <w:szCs w:val="18"/>
                <w:color w:val="auto"/>
                <w:w w:val="97"/>
              </w:rPr>
              <w:t>Section 11.3. Redemption of Securities for Sinking Fund.................................</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62</w:t>
            </w:r>
          </w:p>
        </w:tc>
      </w:tr>
      <w:tr>
        <w:trPr>
          <w:trHeight w:val="810"/>
        </w:trPr>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60" w:type="dxa"/>
            <w:vAlign w:val="bottom"/>
            <w:gridSpan w:val="2"/>
          </w:tcPr>
          <w:p>
            <w:pPr>
              <w:jc w:val="right"/>
              <w:ind w:right="4232"/>
              <w:spacing w:after="0"/>
              <w:rPr>
                <w:sz w:val="20"/>
                <w:szCs w:val="20"/>
                <w:color w:val="auto"/>
              </w:rPr>
            </w:pPr>
            <w:r>
              <w:rPr>
                <w:rFonts w:ascii="Courier New" w:cs="Courier New" w:eastAsia="Courier New" w:hAnsi="Courier New"/>
                <w:sz w:val="18"/>
                <w:szCs w:val="18"/>
                <w:color w:val="auto"/>
              </w:rPr>
              <w:t>CROSS-REFERENCE TABLE</w:t>
            </w:r>
          </w:p>
        </w:tc>
        <w:tc>
          <w:tcPr>
            <w:tcW w:w="220" w:type="dxa"/>
            <w:vAlign w:val="bottom"/>
          </w:tcPr>
          <w:p>
            <w:pPr>
              <w:spacing w:after="0"/>
              <w:rPr>
                <w:sz w:val="24"/>
                <w:szCs w:val="24"/>
                <w:color w:val="auto"/>
              </w:rPr>
            </w:pPr>
          </w:p>
        </w:tc>
      </w:tr>
      <w:tr>
        <w:trPr>
          <w:trHeight w:val="405"/>
        </w:trPr>
        <w:tc>
          <w:tcPr>
            <w:tcW w:w="1080" w:type="dxa"/>
            <w:vAlign w:val="bottom"/>
          </w:tcPr>
          <w:p>
            <w:pPr>
              <w:spacing w:after="0"/>
              <w:rPr>
                <w:sz w:val="24"/>
                <w:szCs w:val="24"/>
                <w:color w:val="auto"/>
              </w:rPr>
            </w:pPr>
          </w:p>
        </w:tc>
        <w:tc>
          <w:tcPr>
            <w:tcW w:w="8620" w:type="dxa"/>
            <w:vAlign w:val="bottom"/>
            <w:gridSpan w:val="3"/>
          </w:tcPr>
          <w:p>
            <w:pPr>
              <w:jc w:val="right"/>
              <w:ind w:right="2132"/>
              <w:spacing w:after="0"/>
              <w:rPr>
                <w:sz w:val="20"/>
                <w:szCs w:val="20"/>
                <w:color w:val="auto"/>
              </w:rPr>
            </w:pPr>
            <w:r>
              <w:rPr>
                <w:rFonts w:ascii="Courier New" w:cs="Courier New" w:eastAsia="Courier New" w:hAnsi="Courier New"/>
                <w:sz w:val="18"/>
                <w:szCs w:val="18"/>
                <w:color w:val="auto"/>
                <w:w w:val="98"/>
              </w:rPr>
              <w:t>TRUST INDENTURE ACT SECTION INDENTURE SECTION SECTION 310(a)</w:t>
            </w:r>
          </w:p>
        </w:tc>
        <w:tc>
          <w:tcPr>
            <w:tcW w:w="220" w:type="dxa"/>
            <w:vAlign w:val="bottom"/>
          </w:tcPr>
          <w:p>
            <w:pPr>
              <w:spacing w:after="0"/>
              <w:rPr>
                <w:sz w:val="24"/>
                <w:szCs w:val="24"/>
                <w:color w:val="auto"/>
              </w:rPr>
            </w:pPr>
          </w:p>
        </w:tc>
      </w:tr>
      <w:tr>
        <w:trPr>
          <w:trHeight w:val="203"/>
        </w:trPr>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(1).............................</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6.10, 6.12 (a)</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(2).......................................</w:t>
            </w:r>
          </w:p>
        </w:tc>
        <w:tc>
          <w:tcPr>
            <w:tcW w:w="4380" w:type="dxa"/>
            <w:vAlign w:val="bottom"/>
          </w:tcPr>
          <w:p>
            <w:pPr>
              <w:jc w:val="center"/>
              <w:ind w:right="1772"/>
              <w:spacing w:after="0" w:line="203" w:lineRule="exact"/>
              <w:rPr>
                <w:sz w:val="20"/>
                <w:szCs w:val="20"/>
                <w:color w:val="auto"/>
              </w:rPr>
            </w:pPr>
            <w:r>
              <w:rPr>
                <w:rFonts w:ascii="Courier New" w:cs="Courier New" w:eastAsia="Courier New" w:hAnsi="Courier New"/>
                <w:sz w:val="18"/>
                <w:szCs w:val="18"/>
                <w:color w:val="auto"/>
                <w:w w:val="97"/>
              </w:rPr>
              <w:t>6.12 (a)</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(3).......................................</w:t>
            </w:r>
          </w:p>
        </w:tc>
        <w:tc>
          <w:tcPr>
            <w:tcW w:w="4380" w:type="dxa"/>
            <w:vAlign w:val="bottom"/>
          </w:tcPr>
          <w:p>
            <w:pPr>
              <w:jc w:val="center"/>
              <w:ind w:right="1752"/>
              <w:spacing w:after="0" w:line="203" w:lineRule="exact"/>
              <w:rPr>
                <w:sz w:val="20"/>
                <w:szCs w:val="20"/>
                <w:color w:val="auto"/>
              </w:rPr>
            </w:pPr>
            <w:r>
              <w:rPr>
                <w:rFonts w:ascii="Courier New" w:cs="Courier New" w:eastAsia="Courier New" w:hAnsi="Courier New"/>
                <w:sz w:val="18"/>
                <w:szCs w:val="18"/>
                <w:color w:val="auto"/>
                <w:w w:val="97"/>
              </w:rPr>
              <w:t>NOT APPLICABLE (a)</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(4).......................................</w:t>
            </w:r>
          </w:p>
        </w:tc>
        <w:tc>
          <w:tcPr>
            <w:tcW w:w="4380" w:type="dxa"/>
            <w:vAlign w:val="bottom"/>
          </w:tcPr>
          <w:p>
            <w:pPr>
              <w:jc w:val="center"/>
              <w:ind w:right="1752"/>
              <w:spacing w:after="0" w:line="203" w:lineRule="exact"/>
              <w:rPr>
                <w:sz w:val="20"/>
                <w:szCs w:val="20"/>
                <w:color w:val="auto"/>
              </w:rPr>
            </w:pPr>
            <w:r>
              <w:rPr>
                <w:rFonts w:ascii="Courier New" w:cs="Courier New" w:eastAsia="Courier New" w:hAnsi="Courier New"/>
                <w:sz w:val="18"/>
                <w:szCs w:val="18"/>
                <w:color w:val="auto"/>
                <w:w w:val="97"/>
              </w:rPr>
              <w:t>NOT APPLICABLE (a)</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6"/>
              </w:rPr>
              <w:t>(5).......................................</w:t>
            </w:r>
          </w:p>
        </w:tc>
        <w:tc>
          <w:tcPr>
            <w:tcW w:w="4380" w:type="dxa"/>
            <w:vAlign w:val="bottom"/>
          </w:tcPr>
          <w:p>
            <w:pPr>
              <w:jc w:val="center"/>
              <w:ind w:right="1752"/>
              <w:spacing w:after="0" w:line="203" w:lineRule="exact"/>
              <w:rPr>
                <w:sz w:val="20"/>
                <w:szCs w:val="20"/>
                <w:color w:val="auto"/>
              </w:rPr>
            </w:pPr>
            <w:r>
              <w:rPr>
                <w:rFonts w:ascii="Courier New" w:cs="Courier New" w:eastAsia="Courier New" w:hAnsi="Courier New"/>
                <w:sz w:val="18"/>
                <w:szCs w:val="18"/>
                <w:color w:val="auto"/>
                <w:w w:val="97"/>
              </w:rPr>
              <w:t>6.12</w:t>
            </w:r>
          </w:p>
        </w:tc>
        <w:tc>
          <w:tcPr>
            <w:tcW w:w="220" w:type="dxa"/>
            <w:vAlign w:val="bottom"/>
          </w:tcPr>
          <w:p>
            <w:pPr>
              <w:spacing w:after="0"/>
              <w:rPr>
                <w:sz w:val="17"/>
                <w:szCs w:val="17"/>
                <w:color w:val="auto"/>
              </w:rPr>
            </w:pPr>
          </w:p>
        </w:tc>
      </w:tr>
      <w:tr>
        <w:trPr>
          <w:trHeight w:val="203"/>
        </w:trPr>
        <w:tc>
          <w:tcPr>
            <w:tcW w:w="5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(b)...........................................</w:t>
            </w:r>
          </w:p>
        </w:tc>
        <w:tc>
          <w:tcPr>
            <w:tcW w:w="4380" w:type="dxa"/>
            <w:vAlign w:val="bottom"/>
          </w:tcPr>
          <w:p>
            <w:pPr>
              <w:jc w:val="center"/>
              <w:ind w:right="1332"/>
              <w:spacing w:after="0" w:line="203" w:lineRule="exact"/>
              <w:rPr>
                <w:sz w:val="20"/>
                <w:szCs w:val="20"/>
                <w:color w:val="auto"/>
              </w:rPr>
            </w:pPr>
            <w:r>
              <w:rPr>
                <w:rFonts w:ascii="Courier New" w:cs="Courier New" w:eastAsia="Courier New" w:hAnsi="Courier New"/>
                <w:sz w:val="18"/>
                <w:szCs w:val="18"/>
                <w:color w:val="auto"/>
                <w:w w:val="96"/>
              </w:rPr>
              <w:t>6.10, 6.12 SECTION</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4"/>
              </w:rPr>
              <w:t>311(a)................................</w:t>
            </w:r>
          </w:p>
        </w:tc>
        <w:tc>
          <w:tcPr>
            <w:tcW w:w="43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6.3</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(b)...........................................</w:t>
            </w:r>
          </w:p>
        </w:tc>
        <w:tc>
          <w:tcPr>
            <w:tcW w:w="43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6.3 SECTION</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4"/>
              </w:rPr>
              <w:t>312(a)................................</w:t>
            </w:r>
          </w:p>
        </w:tc>
        <w:tc>
          <w:tcPr>
            <w:tcW w:w="43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6.8</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(b)...........................................</w:t>
            </w:r>
          </w:p>
        </w:tc>
        <w:tc>
          <w:tcPr>
            <w:tcW w:w="4380" w:type="dxa"/>
            <w:vAlign w:val="bottom"/>
          </w:tcPr>
          <w:p>
            <w:pPr>
              <w:jc w:val="center"/>
              <w:ind w:right="1332"/>
              <w:spacing w:after="0" w:line="203" w:lineRule="exact"/>
              <w:rPr>
                <w:sz w:val="20"/>
                <w:szCs w:val="20"/>
                <w:color w:val="auto"/>
              </w:rPr>
            </w:pPr>
            <w:r>
              <w:rPr>
                <w:rFonts w:ascii="Courier New" w:cs="Courier New" w:eastAsia="Courier New" w:hAnsi="Courier New"/>
                <w:sz w:val="18"/>
                <w:szCs w:val="18"/>
                <w:color w:val="auto"/>
                <w:w w:val="98"/>
              </w:rPr>
              <w:t>6.8</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(c)...........................................</w:t>
            </w:r>
          </w:p>
        </w:tc>
        <w:tc>
          <w:tcPr>
            <w:tcW w:w="43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6.8 SECTION</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4"/>
              </w:rPr>
              <w:t>313(a)................................</w:t>
            </w:r>
          </w:p>
        </w:tc>
        <w:tc>
          <w:tcPr>
            <w:tcW w:w="43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6.7</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(b)...........................................</w:t>
            </w:r>
          </w:p>
        </w:tc>
        <w:tc>
          <w:tcPr>
            <w:tcW w:w="4380" w:type="dxa"/>
            <w:vAlign w:val="bottom"/>
          </w:tcPr>
          <w:p>
            <w:pPr>
              <w:jc w:val="center"/>
              <w:ind w:right="1332"/>
              <w:spacing w:after="0" w:line="203" w:lineRule="exact"/>
              <w:rPr>
                <w:sz w:val="20"/>
                <w:szCs w:val="20"/>
                <w:color w:val="auto"/>
              </w:rPr>
            </w:pPr>
            <w:r>
              <w:rPr>
                <w:rFonts w:ascii="Courier New" w:cs="Courier New" w:eastAsia="Courier New" w:hAnsi="Courier New"/>
                <w:sz w:val="18"/>
                <w:szCs w:val="18"/>
                <w:color w:val="auto"/>
                <w:w w:val="98"/>
              </w:rPr>
              <w:t>6.7</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(c)...........................................</w:t>
            </w:r>
          </w:p>
        </w:tc>
        <w:tc>
          <w:tcPr>
            <w:tcW w:w="4380" w:type="dxa"/>
            <w:vAlign w:val="bottom"/>
          </w:tcPr>
          <w:p>
            <w:pPr>
              <w:jc w:val="center"/>
              <w:ind w:right="1332"/>
              <w:spacing w:after="0" w:line="203" w:lineRule="exact"/>
              <w:rPr>
                <w:sz w:val="20"/>
                <w:szCs w:val="20"/>
                <w:color w:val="auto"/>
              </w:rPr>
            </w:pPr>
            <w:r>
              <w:rPr>
                <w:rFonts w:ascii="Courier New" w:cs="Courier New" w:eastAsia="Courier New" w:hAnsi="Courier New"/>
                <w:sz w:val="18"/>
                <w:szCs w:val="18"/>
                <w:color w:val="auto"/>
                <w:w w:val="98"/>
              </w:rPr>
              <w:t>6.7</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7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86"/>
              </w:rPr>
              <w:t>(d)</w:t>
            </w:r>
          </w:p>
        </w:tc>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w:t>
            </w:r>
          </w:p>
        </w:tc>
        <w:tc>
          <w:tcPr>
            <w:tcW w:w="4380" w:type="dxa"/>
            <w:vAlign w:val="bottom"/>
          </w:tcPr>
          <w:p>
            <w:pPr>
              <w:jc w:val="center"/>
              <w:ind w:right="1332"/>
              <w:spacing w:after="0" w:line="203" w:lineRule="exact"/>
              <w:rPr>
                <w:sz w:val="20"/>
                <w:szCs w:val="20"/>
                <w:color w:val="auto"/>
              </w:rPr>
            </w:pPr>
            <w:r>
              <w:rPr>
                <w:rFonts w:ascii="Courier New" w:cs="Courier New" w:eastAsia="Courier New" w:hAnsi="Courier New"/>
                <w:sz w:val="18"/>
                <w:szCs w:val="18"/>
                <w:color w:val="auto"/>
                <w:w w:val="98"/>
              </w:rPr>
              <w:t>6.7 iv</w:t>
            </w:r>
          </w:p>
        </w:tc>
        <w:tc>
          <w:tcPr>
            <w:tcW w:w="220" w:type="dxa"/>
            <w:vAlign w:val="bottom"/>
          </w:tcPr>
          <w:p>
            <w:pPr>
              <w:spacing w:after="0"/>
              <w:rPr>
                <w:sz w:val="17"/>
                <w:szCs w:val="17"/>
                <w:color w:val="auto"/>
              </w:rPr>
            </w:pPr>
          </w:p>
        </w:tc>
      </w:tr>
      <w:tr>
        <w:trPr>
          <w:trHeight w:val="378"/>
        </w:trPr>
        <w:tc>
          <w:tcPr>
            <w:tcW w:w="1080" w:type="dxa"/>
            <w:vAlign w:val="bottom"/>
          </w:tcPr>
          <w:p>
            <w:pPr>
              <w:spacing w:after="0"/>
              <w:rPr>
                <w:sz w:val="24"/>
                <w:szCs w:val="24"/>
                <w:color w:val="auto"/>
              </w:rPr>
            </w:pPr>
          </w:p>
        </w:tc>
        <w:tc>
          <w:tcPr>
            <w:tcW w:w="42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4"/>
              </w:rPr>
              <w:t>SECTION 314(a)................................</w:t>
            </w:r>
          </w:p>
        </w:tc>
        <w:tc>
          <w:tcPr>
            <w:tcW w:w="4380" w:type="dxa"/>
            <w:vAlign w:val="bottom"/>
          </w:tcPr>
          <w:p>
            <w:pPr>
              <w:jc w:val="center"/>
              <w:ind w:right="1332"/>
              <w:spacing w:after="0"/>
              <w:rPr>
                <w:sz w:val="20"/>
                <w:szCs w:val="20"/>
                <w:color w:val="auto"/>
              </w:rPr>
            </w:pPr>
            <w:r>
              <w:rPr>
                <w:rFonts w:ascii="Courier New" w:cs="Courier New" w:eastAsia="Courier New" w:hAnsi="Courier New"/>
                <w:sz w:val="18"/>
                <w:szCs w:val="18"/>
                <w:color w:val="auto"/>
                <w:w w:val="97"/>
              </w:rPr>
              <w:t>9.6, 9.7</w:t>
            </w:r>
          </w:p>
        </w:tc>
        <w:tc>
          <w:tcPr>
            <w:tcW w:w="220" w:type="dxa"/>
            <w:vAlign w:val="bottom"/>
          </w:tcPr>
          <w:p>
            <w:pPr>
              <w:spacing w:after="0"/>
              <w:rPr>
                <w:sz w:val="24"/>
                <w:szCs w:val="24"/>
                <w:color w:val="auto"/>
              </w:rPr>
            </w:pPr>
          </w:p>
        </w:tc>
      </w:tr>
      <w:tr>
        <w:trPr>
          <w:trHeight w:val="203"/>
        </w:trPr>
        <w:tc>
          <w:tcPr>
            <w:tcW w:w="5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(b)...........................................</w:t>
            </w:r>
          </w:p>
        </w:tc>
        <w:tc>
          <w:tcPr>
            <w:tcW w:w="4380" w:type="dxa"/>
            <w:vAlign w:val="bottom"/>
          </w:tcPr>
          <w:p>
            <w:pPr>
              <w:jc w:val="center"/>
              <w:ind w:right="1332"/>
              <w:spacing w:after="0" w:line="203" w:lineRule="exact"/>
              <w:rPr>
                <w:sz w:val="20"/>
                <w:szCs w:val="20"/>
                <w:color w:val="auto"/>
              </w:rPr>
            </w:pPr>
            <w:r>
              <w:rPr>
                <w:rFonts w:ascii="Courier New" w:cs="Courier New" w:eastAsia="Courier New" w:hAnsi="Courier New"/>
                <w:sz w:val="18"/>
                <w:szCs w:val="18"/>
                <w:color w:val="auto"/>
                <w:w w:val="96"/>
              </w:rPr>
              <w:t>NOT APPLICABLE (c)</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(1).......................................</w:t>
            </w:r>
          </w:p>
        </w:tc>
        <w:tc>
          <w:tcPr>
            <w:tcW w:w="43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1.2 (c)</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(2).......................................</w:t>
            </w:r>
          </w:p>
        </w:tc>
        <w:tc>
          <w:tcPr>
            <w:tcW w:w="43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1.2 (c)</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(3).......................................</w:t>
            </w:r>
          </w:p>
        </w:tc>
        <w:tc>
          <w:tcPr>
            <w:tcW w:w="4380" w:type="dxa"/>
            <w:vAlign w:val="bottom"/>
          </w:tcPr>
          <w:p>
            <w:pPr>
              <w:jc w:val="center"/>
              <w:ind w:right="1752"/>
              <w:spacing w:after="0" w:line="203" w:lineRule="exact"/>
              <w:rPr>
                <w:sz w:val="20"/>
                <w:szCs w:val="20"/>
                <w:color w:val="auto"/>
              </w:rPr>
            </w:pPr>
            <w:r>
              <w:rPr>
                <w:rFonts w:ascii="Courier New" w:cs="Courier New" w:eastAsia="Courier New" w:hAnsi="Courier New"/>
                <w:sz w:val="18"/>
                <w:szCs w:val="18"/>
                <w:color w:val="auto"/>
                <w:w w:val="96"/>
              </w:rPr>
              <w:t>NOT APPLICABLE</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(d)...........................................</w:t>
            </w:r>
          </w:p>
        </w:tc>
        <w:tc>
          <w:tcPr>
            <w:tcW w:w="4380" w:type="dxa"/>
            <w:vAlign w:val="bottom"/>
          </w:tcPr>
          <w:p>
            <w:pPr>
              <w:jc w:val="center"/>
              <w:ind w:right="1332"/>
              <w:spacing w:after="0" w:line="203" w:lineRule="exact"/>
              <w:rPr>
                <w:sz w:val="20"/>
                <w:szCs w:val="20"/>
                <w:color w:val="auto"/>
              </w:rPr>
            </w:pPr>
            <w:r>
              <w:rPr>
                <w:rFonts w:ascii="Courier New" w:cs="Courier New" w:eastAsia="Courier New" w:hAnsi="Courier New"/>
                <w:sz w:val="18"/>
                <w:szCs w:val="18"/>
                <w:color w:val="auto"/>
                <w:w w:val="97"/>
              </w:rPr>
              <w:t>NOT APPLICABLE</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(e)...........................................</w:t>
            </w:r>
          </w:p>
        </w:tc>
        <w:tc>
          <w:tcPr>
            <w:tcW w:w="43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1.2 SECTION</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4"/>
              </w:rPr>
              <w:t>315(a)................................</w:t>
            </w:r>
          </w:p>
        </w:tc>
        <w:tc>
          <w:tcPr>
            <w:tcW w:w="43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6.1</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(b)...........................................</w:t>
            </w:r>
          </w:p>
        </w:tc>
        <w:tc>
          <w:tcPr>
            <w:tcW w:w="4380" w:type="dxa"/>
            <w:vAlign w:val="bottom"/>
          </w:tcPr>
          <w:p>
            <w:pPr>
              <w:jc w:val="center"/>
              <w:ind w:right="1332"/>
              <w:spacing w:after="0" w:line="203" w:lineRule="exact"/>
              <w:rPr>
                <w:sz w:val="20"/>
                <w:szCs w:val="20"/>
                <w:color w:val="auto"/>
              </w:rPr>
            </w:pPr>
            <w:r>
              <w:rPr>
                <w:rFonts w:ascii="Courier New" w:cs="Courier New" w:eastAsia="Courier New" w:hAnsi="Courier New"/>
                <w:sz w:val="18"/>
                <w:szCs w:val="18"/>
                <w:color w:val="auto"/>
                <w:w w:val="98"/>
              </w:rPr>
              <w:t>6.6</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(c)...........................................</w:t>
            </w:r>
          </w:p>
        </w:tc>
        <w:tc>
          <w:tcPr>
            <w:tcW w:w="4380" w:type="dxa"/>
            <w:vAlign w:val="bottom"/>
          </w:tcPr>
          <w:p>
            <w:pPr>
              <w:jc w:val="center"/>
              <w:ind w:right="1332"/>
              <w:spacing w:after="0" w:line="203" w:lineRule="exact"/>
              <w:rPr>
                <w:sz w:val="20"/>
                <w:szCs w:val="20"/>
                <w:color w:val="auto"/>
              </w:rPr>
            </w:pPr>
            <w:r>
              <w:rPr>
                <w:rFonts w:ascii="Courier New" w:cs="Courier New" w:eastAsia="Courier New" w:hAnsi="Courier New"/>
                <w:sz w:val="18"/>
                <w:szCs w:val="18"/>
                <w:color w:val="auto"/>
                <w:w w:val="98"/>
              </w:rPr>
              <w:t>6.1</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(d)...........................................</w:t>
            </w:r>
          </w:p>
        </w:tc>
        <w:tc>
          <w:tcPr>
            <w:tcW w:w="4380" w:type="dxa"/>
            <w:vAlign w:val="bottom"/>
          </w:tcPr>
          <w:p>
            <w:pPr>
              <w:jc w:val="center"/>
              <w:ind w:right="1332"/>
              <w:spacing w:after="0" w:line="203" w:lineRule="exact"/>
              <w:rPr>
                <w:sz w:val="20"/>
                <w:szCs w:val="20"/>
                <w:color w:val="auto"/>
              </w:rPr>
            </w:pPr>
            <w:r>
              <w:rPr>
                <w:rFonts w:ascii="Courier New" w:cs="Courier New" w:eastAsia="Courier New" w:hAnsi="Courier New"/>
                <w:sz w:val="18"/>
                <w:szCs w:val="18"/>
                <w:color w:val="auto"/>
                <w:w w:val="98"/>
              </w:rPr>
              <w:t>6.1</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(e)...........................................</w:t>
            </w:r>
          </w:p>
        </w:tc>
        <w:tc>
          <w:tcPr>
            <w:tcW w:w="4380" w:type="dxa"/>
            <w:vAlign w:val="bottom"/>
          </w:tcPr>
          <w:p>
            <w:pPr>
              <w:jc w:val="center"/>
              <w:ind w:right="1332"/>
              <w:spacing w:after="0" w:line="203" w:lineRule="exact"/>
              <w:rPr>
                <w:sz w:val="20"/>
                <w:szCs w:val="20"/>
                <w:color w:val="auto"/>
              </w:rPr>
            </w:pPr>
            <w:r>
              <w:rPr>
                <w:rFonts w:ascii="Courier New" w:cs="Courier New" w:eastAsia="Courier New" w:hAnsi="Courier New"/>
                <w:sz w:val="18"/>
                <w:szCs w:val="18"/>
                <w:color w:val="auto"/>
                <w:w w:val="98"/>
              </w:rPr>
              <w:t>5.15 SECTION</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316(a)................................</w:t>
            </w:r>
          </w:p>
        </w:tc>
        <w:tc>
          <w:tcPr>
            <w:tcW w:w="4380" w:type="dxa"/>
            <w:vAlign w:val="bottom"/>
          </w:tcPr>
          <w:p>
            <w:pPr>
              <w:jc w:val="center"/>
              <w:ind w:right="2172"/>
              <w:spacing w:after="0" w:line="203" w:lineRule="exact"/>
              <w:rPr>
                <w:sz w:val="20"/>
                <w:szCs w:val="20"/>
                <w:color w:val="auto"/>
              </w:rPr>
            </w:pPr>
            <w:r>
              <w:rPr>
                <w:rFonts w:ascii="Courier New" w:cs="Courier New" w:eastAsia="Courier New" w:hAnsi="Courier New"/>
                <w:sz w:val="18"/>
                <w:szCs w:val="18"/>
                <w:color w:val="auto"/>
                <w:w w:val="97"/>
              </w:rPr>
              <w:t>1.1 (a) (1)</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w:t>
            </w:r>
          </w:p>
        </w:tc>
        <w:tc>
          <w:tcPr>
            <w:tcW w:w="4380" w:type="dxa"/>
            <w:vAlign w:val="bottom"/>
          </w:tcPr>
          <w:p>
            <w:pPr>
              <w:jc w:val="center"/>
              <w:ind w:right="2172"/>
              <w:spacing w:after="0" w:line="203" w:lineRule="exact"/>
              <w:rPr>
                <w:sz w:val="20"/>
                <w:szCs w:val="20"/>
                <w:color w:val="auto"/>
              </w:rPr>
            </w:pPr>
            <w:r>
              <w:rPr>
                <w:rFonts w:ascii="Courier New" w:cs="Courier New" w:eastAsia="Courier New" w:hAnsi="Courier New"/>
                <w:sz w:val="18"/>
                <w:szCs w:val="18"/>
                <w:color w:val="auto"/>
                <w:w w:val="97"/>
              </w:rPr>
              <w:t>5.8 (a) (1)</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4"/>
              </w:rPr>
              <w:t>(B)...................................</w:t>
            </w:r>
          </w:p>
        </w:tc>
        <w:tc>
          <w:tcPr>
            <w:tcW w:w="4380" w:type="dxa"/>
            <w:vAlign w:val="bottom"/>
          </w:tcPr>
          <w:p>
            <w:pPr>
              <w:jc w:val="center"/>
              <w:ind w:right="2192"/>
              <w:spacing w:after="0" w:line="203" w:lineRule="exact"/>
              <w:rPr>
                <w:sz w:val="20"/>
                <w:szCs w:val="20"/>
                <w:color w:val="auto"/>
              </w:rPr>
            </w:pPr>
            <w:r>
              <w:rPr>
                <w:rFonts w:ascii="Courier New" w:cs="Courier New" w:eastAsia="Courier New" w:hAnsi="Courier New"/>
                <w:sz w:val="18"/>
                <w:szCs w:val="18"/>
                <w:color w:val="auto"/>
                <w:w w:val="97"/>
              </w:rPr>
              <w:t>5.7 (a)</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(2).......................................</w:t>
            </w:r>
          </w:p>
        </w:tc>
        <w:tc>
          <w:tcPr>
            <w:tcW w:w="4380" w:type="dxa"/>
            <w:vAlign w:val="bottom"/>
          </w:tcPr>
          <w:p>
            <w:pPr>
              <w:jc w:val="center"/>
              <w:ind w:right="1752"/>
              <w:spacing w:after="0" w:line="203" w:lineRule="exact"/>
              <w:rPr>
                <w:sz w:val="20"/>
                <w:szCs w:val="20"/>
                <w:color w:val="auto"/>
              </w:rPr>
            </w:pPr>
            <w:r>
              <w:rPr>
                <w:rFonts w:ascii="Courier New" w:cs="Courier New" w:eastAsia="Courier New" w:hAnsi="Courier New"/>
                <w:sz w:val="18"/>
                <w:szCs w:val="18"/>
                <w:color w:val="auto"/>
                <w:w w:val="96"/>
              </w:rPr>
              <w:t>NOT APPLICABLE</w:t>
            </w:r>
          </w:p>
        </w:tc>
        <w:tc>
          <w:tcPr>
            <w:tcW w:w="2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(b)...........................................</w:t>
            </w:r>
          </w:p>
        </w:tc>
        <w:tc>
          <w:tcPr>
            <w:tcW w:w="4380" w:type="dxa"/>
            <w:vAlign w:val="bottom"/>
          </w:tcPr>
          <w:p>
            <w:pPr>
              <w:jc w:val="center"/>
              <w:ind w:right="1352"/>
              <w:spacing w:after="0" w:line="203" w:lineRule="exact"/>
              <w:rPr>
                <w:sz w:val="20"/>
                <w:szCs w:val="20"/>
                <w:color w:val="auto"/>
              </w:rPr>
            </w:pPr>
            <w:r>
              <w:rPr>
                <w:rFonts w:ascii="Courier New" w:cs="Courier New" w:eastAsia="Courier New" w:hAnsi="Courier New"/>
                <w:sz w:val="18"/>
                <w:szCs w:val="18"/>
                <w:color w:val="auto"/>
                <w:w w:val="97"/>
              </w:rPr>
              <w:t>5.10</w:t>
            </w:r>
          </w:p>
        </w:tc>
        <w:tc>
          <w:tcPr>
            <w:tcW w:w="220" w:type="dxa"/>
            <w:vAlign w:val="bottom"/>
          </w:tcPr>
          <w:p>
            <w:pPr>
              <w:spacing w:after="0"/>
              <w:rPr>
                <w:sz w:val="17"/>
                <w:szCs w:val="17"/>
                <w:color w:val="auto"/>
              </w:rPr>
            </w:pPr>
          </w:p>
        </w:tc>
      </w:tr>
      <w:tr>
        <w:trPr>
          <w:trHeight w:val="203"/>
        </w:trPr>
        <w:tc>
          <w:tcPr>
            <w:tcW w:w="5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w:t>
            </w:r>
          </w:p>
        </w:tc>
        <w:tc>
          <w:tcPr>
            <w:tcW w:w="4380" w:type="dxa"/>
            <w:vAlign w:val="bottom"/>
          </w:tcPr>
          <w:p>
            <w:pPr>
              <w:jc w:val="center"/>
              <w:ind w:right="1332"/>
              <w:spacing w:after="0" w:line="203" w:lineRule="exact"/>
              <w:rPr>
                <w:sz w:val="20"/>
                <w:szCs w:val="20"/>
                <w:color w:val="auto"/>
              </w:rPr>
            </w:pPr>
            <w:r>
              <w:rPr>
                <w:rFonts w:ascii="Courier New" w:cs="Courier New" w:eastAsia="Courier New" w:hAnsi="Courier New"/>
                <w:sz w:val="18"/>
                <w:szCs w:val="18"/>
                <w:color w:val="auto"/>
                <w:w w:val="96"/>
              </w:rPr>
              <w:t>1.4 SECTION 317(a)</w:t>
            </w:r>
          </w:p>
        </w:tc>
        <w:tc>
          <w:tcPr>
            <w:tcW w:w="220" w:type="dxa"/>
            <w:vAlign w:val="bottom"/>
          </w:tcPr>
          <w:p>
            <w:pPr>
              <w:spacing w:after="0"/>
              <w:rPr>
                <w:sz w:val="17"/>
                <w:szCs w:val="17"/>
                <w:color w:val="auto"/>
              </w:rPr>
            </w:pPr>
          </w:p>
        </w:tc>
      </w:tr>
    </w:tbl>
    <w:p>
      <w:pPr>
        <w:sectPr>
          <w:pgSz w:w="11900" w:h="16895" w:orient="portrait"/>
          <w:cols w:equalWidth="0" w:num="1">
            <w:col w:w="10219"/>
          </w:cols>
          <w:pgMar w:left="240" w:top="1122" w:right="1440" w:bottom="0" w:gutter="0" w:footer="0" w:header="0"/>
        </w:sectPr>
      </w:pPr>
    </w:p>
    <w:bookmarkStart w:id="127" w:name="page128"/>
    <w:bookmarkEnd w:id="127"/>
    <w:p>
      <w:pPr>
        <w:spacing w:after="0" w:line="1" w:lineRule="exact"/>
        <w:rPr>
          <w:sz w:val="20"/>
          <w:szCs w:val="20"/>
          <w:color w:val="auto"/>
        </w:rPr>
      </w:pPr>
    </w:p>
    <w:tbl>
      <w:tblPr>
        <w:tblLayout w:type="fixed"/>
        <w:tblInd w:w="1040" w:type="dxa"/>
        <w:tblCellMar>
          <w:top w:w="0" w:type="dxa"/>
          <w:left w:w="0" w:type="dxa"/>
          <w:bottom w:w="0" w:type="dxa"/>
          <w:right w:w="0" w:type="dxa"/>
        </w:tblCellMar>
      </w:tblPr>
      <w:tr>
        <w:trPr>
          <w:trHeight w:val="204"/>
        </w:trPr>
        <w:tc>
          <w:tcPr>
            <w:tcW w:w="4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c>
          <w:tcPr>
            <w:tcW w:w="174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5"/>
              </w:rPr>
              <w:t>5.3 (a)</w:t>
            </w:r>
          </w:p>
        </w:tc>
      </w:tr>
      <w:tr>
        <w:trPr>
          <w:trHeight w:val="203"/>
        </w:trPr>
        <w:tc>
          <w:tcPr>
            <w:tcW w:w="4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w:t>
            </w:r>
          </w:p>
        </w:tc>
        <w:tc>
          <w:tcPr>
            <w:tcW w:w="17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4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(b)...........................................</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 SECTION</w:t>
            </w:r>
          </w:p>
        </w:tc>
      </w:tr>
      <w:tr>
        <w:trPr>
          <w:trHeight w:val="203"/>
        </w:trPr>
        <w:tc>
          <w:tcPr>
            <w:tcW w:w="4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318(a)................................</w:t>
            </w:r>
          </w:p>
        </w:tc>
        <w:tc>
          <w:tcPr>
            <w:tcW w:w="17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1.11</w:t>
            </w:r>
          </w:p>
        </w:tc>
      </w:tr>
    </w:tbl>
    <w:p>
      <w:pPr>
        <w:spacing w:after="0" w:line="4" w:lineRule="exact"/>
        <w:rPr>
          <w:sz w:val="20"/>
          <w:szCs w:val="20"/>
          <w:color w:val="auto"/>
        </w:rPr>
      </w:pPr>
    </w:p>
    <w:p>
      <w:pPr>
        <w:jc w:val="center"/>
        <w:ind w:right="1779"/>
        <w:spacing w:after="0" w:line="235" w:lineRule="auto"/>
        <w:rPr>
          <w:sz w:val="20"/>
          <w:szCs w:val="20"/>
          <w:color w:val="auto"/>
        </w:rPr>
      </w:pPr>
      <w:r>
        <w:rPr>
          <w:rFonts w:ascii="Courier New" w:cs="Courier New" w:eastAsia="Courier New" w:hAnsi="Courier New"/>
          <w:sz w:val="18"/>
          <w:szCs w:val="18"/>
          <w:color w:val="auto"/>
        </w:rPr>
        <w:t>NOTE: This cross-reference table shall not, for any purpose, be deemed to be a part of the Indenture. v</w:t>
      </w:r>
    </w:p>
    <w:p>
      <w:pPr>
        <w:sectPr>
          <w:pgSz w:w="11900" w:h="16838" w:orient="portrait"/>
          <w:cols w:equalWidth="0" w:num="1">
            <w:col w:w="9999"/>
          </w:cols>
          <w:pgMar w:left="460" w:top="136" w:right="1440" w:bottom="1440" w:gutter="0" w:footer="0" w:header="0"/>
        </w:sectPr>
      </w:pPr>
    </w:p>
    <w:bookmarkStart w:id="128" w:name="page129"/>
    <w:bookmarkEnd w:id="128"/>
    <w:p>
      <w:pPr>
        <w:jc w:val="center"/>
        <w:ind w:right="1639"/>
        <w:spacing w:after="0"/>
        <w:rPr>
          <w:sz w:val="20"/>
          <w:szCs w:val="20"/>
          <w:color w:val="auto"/>
        </w:rPr>
      </w:pPr>
      <w:r>
        <w:rPr>
          <w:rFonts w:ascii="Courier New" w:cs="Courier New" w:eastAsia="Courier New" w:hAnsi="Courier New"/>
          <w:sz w:val="16"/>
          <w:szCs w:val="16"/>
          <w:color w:val="auto"/>
        </w:rPr>
        <w:t>INDENTURE, dated as of December 8, 2005, between Fidelity National Title Group,</w:t>
      </w:r>
    </w:p>
    <w:p>
      <w:pPr>
        <w:spacing w:after="0" w:line="21" w:lineRule="exact"/>
        <w:rPr>
          <w:sz w:val="20"/>
          <w:szCs w:val="20"/>
          <w:color w:val="auto"/>
        </w:rPr>
      </w:pPr>
    </w:p>
    <w:p>
      <w:pPr>
        <w:jc w:val="center"/>
        <w:ind w:right="1639"/>
        <w:spacing w:after="0" w:line="269" w:lineRule="auto"/>
        <w:rPr>
          <w:sz w:val="20"/>
          <w:szCs w:val="20"/>
          <w:color w:val="auto"/>
        </w:rPr>
      </w:pPr>
      <w:r>
        <w:rPr>
          <w:rFonts w:ascii="Courier New" w:cs="Courier New" w:eastAsia="Courier New" w:hAnsi="Courier New"/>
          <w:sz w:val="16"/>
          <w:szCs w:val="16"/>
          <w:color w:val="auto"/>
        </w:rPr>
        <w:t>Inc., a Delaware corporation (the "Company") and The Bank of New York Trust Company, N.A., a national banking association and a wholly owned subsidiary of the The Bank of New York Company, Inc. (the "Trustee"). RECITALS The Company has duly authorized the execution and delivery of this Indenture to provide for the issuance from time to time of its unsecured debentures, notes or other evidences of indebtedness ("Securities") to be issued in one or more series as herein provided. All things necessary to make this Indenture a valid and legally binding agreement of the Company, in accordance with its terms, have been done. For and in consideration of the premises and the purchase of the Securities by the Holders thereof, it is mutually covenanted and agreed as follows for the equal and ratable benefit of the Holders of the Securities: ARTICLE 1 DEFINITIONS AND OTHER PROVISIONS OF GENERAL APPLICATION Section 1.1. Definitions. For all purposes of this Indenture, except as otherwise expressly provided or unless the context otherwise requires: (1) the terms defined in this Article have the meanings assigned to them in this Article and include the plural as well as the singular; (2) all other terms used herein which are defined in the Trust Indenture Act, either directly or by reference therein, have the meanings assigned to them therein; (3) all accounting terms not otherwise defined herein have the meanings assigned to them in accordance with GAAP; and (4) the words "herein", "hereof" and "hereunder" and other words of similar import refer to this Indenture as a whole and not to any particular Article, Section or other subdivision. "Act" shall have the meaning set forth in Section 1.4(a). "Additional Amounts" means any additional amounts which, pursuant to Section 3.1(b)(18), are required by the terms of the Securities of any series, under circumstances specified pursuant to Section 3.1(b)(18), to be paid by the Company in respect of certain Securities of such series specified pursuant to Section 3.1(b)(18). "Affiliate" of any specified Person means any other Person directly or indirectly controlling or controlled by, or under direct or indirect common control with, such specified Person. For purposes of this definition, "control" when used with respect to any specified Person</w:t>
      </w:r>
    </w:p>
    <w:p>
      <w:pPr>
        <w:sectPr>
          <w:pgSz w:w="11900" w:h="16838" w:orient="portrait"/>
          <w:cols w:equalWidth="0" w:num="1">
            <w:col w:w="10159"/>
          </w:cols>
          <w:pgMar w:left="300" w:top="317" w:right="1440" w:bottom="1440" w:gutter="0" w:footer="0" w:header="0"/>
        </w:sectPr>
      </w:pPr>
    </w:p>
    <w:bookmarkStart w:id="129" w:name="page130"/>
    <w:bookmarkEnd w:id="129"/>
    <w:p>
      <w:pPr>
        <w:jc w:val="center"/>
        <w:ind w:right="1639"/>
        <w:spacing w:after="0" w:line="268" w:lineRule="auto"/>
        <w:rPr>
          <w:sz w:val="20"/>
          <w:szCs w:val="20"/>
          <w:color w:val="auto"/>
        </w:rPr>
      </w:pPr>
      <w:r>
        <w:rPr>
          <w:rFonts w:ascii="Courier New" w:cs="Courier New" w:eastAsia="Courier New" w:hAnsi="Courier New"/>
          <w:sz w:val="16"/>
          <w:szCs w:val="16"/>
          <w:color w:val="auto"/>
        </w:rPr>
        <w:t>means the power to direct the management and policies of such Person, directly or indirectly, whether through the ownership of voting securities, by contract or otherwise; and the terms "controlling" and "controlled" have meanings correlative to the foregoing. "Agent" means any Paying Agent or Registrar. "Authenticating Agent" means any authenticating agent appointed by the Trustee pursuant to Section 6.14. "Authorized Newspaper" means a newspaper of general circulation, in the official language of the country of publication or in the English language, customarily published on each Business Day whether or not published on Saturdays, Sundays or holidays. Whenever successive publications in an Authorized Newspaper are required hereunder they may be made (unless otherwise expressly provided herein) on the same or different days of the week and in the same or different Authorized Newspapers. "Bankruptcy Law" shall have the meaning set forth in Section 5.1. "Bearer Security" means any Security issued hereunder which is payable to bearer. "Board" or "Board of Directors" means the Board of Directors of the Company or any duly authorized committee thereof. "Board Resolution" means a copy of a resolution of the Board of Directors, certified by the Secretary or an Assistant Secretary of the Company to have been duly adopted by the Board of Directors and to be in full force and effect on the date of the certificate, and delivered to the Trustee. "Business Day" when used with respect to any Place of Payment or any other particular location referred to in this Indenture or in the Securities, means, unless otherwise specified with respect to any Securities pursuant to Section 3.1, each Monday, Tuesday, Wednesday, Thursday and Friday which is not a day on which banking institutions in that Place of Payment or particular location are authorized or obligated by law or executive order to close. "Commission" means the Securities and Exchange Commission, as from time to time constituted, created under the Securities Exchange Act of 1934, or, if at any time after the execution of this Indenture such Commission is not existing and performing the duties now assigned to it under the Trust Indenture Act, then the body performing such duties at such time. "Company" means the party named as the Company in the first paragraph of this Indenture until a successor corporation shall have become such pursuant to the applicable provisions of this Indenture, and thereafter means such successor. "Company Order" and "Company Request" mean, respectively, a written order or request signed in the name of the Company by two Officers, one of whom must be the Chairman of the Board, the President, the Chief Financial Officer, the Treasurer, any Assistant Treasurer, the Controller or any Vice President of the Company. 2</w:t>
      </w:r>
    </w:p>
    <w:p>
      <w:pPr>
        <w:sectPr>
          <w:pgSz w:w="11900" w:h="16838" w:orient="portrait"/>
          <w:cols w:equalWidth="0" w:num="1">
            <w:col w:w="10159"/>
          </w:cols>
          <w:pgMar w:left="300" w:top="317" w:right="1440" w:bottom="1440" w:gutter="0" w:footer="0" w:header="0"/>
        </w:sectPr>
      </w:pPr>
    </w:p>
    <w:bookmarkStart w:id="130" w:name="page131"/>
    <w:bookmarkEnd w:id="130"/>
    <w:p>
      <w:pPr>
        <w:jc w:val="center"/>
        <w:ind w:right="1639"/>
        <w:spacing w:after="0" w:line="268" w:lineRule="auto"/>
        <w:rPr>
          <w:sz w:val="20"/>
          <w:szCs w:val="20"/>
          <w:color w:val="auto"/>
        </w:rPr>
      </w:pPr>
      <w:r>
        <w:rPr>
          <w:rFonts w:ascii="Courier New" w:cs="Courier New" w:eastAsia="Courier New" w:hAnsi="Courier New"/>
          <w:sz w:val="16"/>
          <w:szCs w:val="16"/>
          <w:color w:val="auto"/>
        </w:rPr>
        <w:t>"Consolidated Tangible Assets" means, with respect to the Company as at any date, the total assets of the Company and its consolidated Subsidiaries, less goodwill, each determined in accordance with GAAP as they appear on the most recently prepared consolidated balance sheet of the Company as of the end of a fiscal quarter. "Conversion Event" means the cessation of use of (i) a Foreign Currency both by the government of the country or the confederation which issued such Foreign Currency and, for the settlement of transactions, by a central bank or other public institutions of or within the international banking community, or</w:t>
      </w:r>
    </w:p>
    <w:p>
      <w:pPr>
        <w:spacing w:after="0" w:line="1" w:lineRule="exact"/>
        <w:rPr>
          <w:sz w:val="20"/>
          <w:szCs w:val="20"/>
          <w:color w:val="auto"/>
        </w:rPr>
      </w:pPr>
    </w:p>
    <w:p>
      <w:pPr>
        <w:ind w:right="1639" w:firstLine="154"/>
        <w:spacing w:after="0" w:line="268" w:lineRule="auto"/>
        <w:tabs>
          <w:tab w:leader="none" w:pos="68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currency unit or composite currency for the purposes for which it was established. "Corporate Trust Office" means the office of the Trustee at which at</w:t>
      </w:r>
    </w:p>
    <w:p>
      <w:pPr>
        <w:ind w:left="6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particular time its corporate trust business shall be principally</w:t>
      </w:r>
    </w:p>
    <w:p>
      <w:pPr>
        <w:spacing w:after="0" w:line="4" w:lineRule="exact"/>
        <w:rPr>
          <w:rFonts w:ascii="Courier New" w:cs="Courier New" w:eastAsia="Courier New" w:hAnsi="Courier New"/>
          <w:sz w:val="16"/>
          <w:szCs w:val="16"/>
          <w:color w:val="auto"/>
        </w:rPr>
      </w:pPr>
    </w:p>
    <w:p>
      <w:pPr>
        <w:jc w:val="both"/>
        <w:ind w:left="320" w:right="19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administered, which office at the date hereof is located at 10161 Centurion Parkway, Jacksonville, FL 32256, Attention: Corporate Trust Administration.</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"Credit Agreement" shall have the meaning set forth in Section 9.8(b). "Currency"</w:t>
      </w:r>
    </w:p>
    <w:p>
      <w:pPr>
        <w:spacing w:after="0" w:line="21" w:lineRule="exact"/>
        <w:rPr>
          <w:rFonts w:ascii="Courier New" w:cs="Courier New" w:eastAsia="Courier New" w:hAnsi="Courier New"/>
          <w:sz w:val="16"/>
          <w:szCs w:val="16"/>
          <w:color w:val="auto"/>
        </w:rPr>
      </w:pPr>
    </w:p>
    <w:p>
      <w:pPr>
        <w:jc w:val="center"/>
        <w:ind w:right="1639" w:firstLine="211"/>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means Dollars or any Foreign Currency. "Custodian" shall have the meaning set forth in Section 5.1. "Debt" means indebtedness for borrowed money or evidenced by bonds, notes, debentures or other similar instruments. "Default" means any event which is, or after notice or passage of time, or both, would be, an Event of Default. "Defaulted Interest" shall have the meaning set forth in Section 3.7(b). "Depository" when used with respect to the Securities of or within any series issuable or issued in whole or in part in global form, means the Person designated as Depository by the Company pursuant to Section 3.1 and its successors in such capacity, and if at any time there is more than one such Person, shall be a collective reference to such Persons. "Dollar" and "$" mean the currency of the United States as at the time of payment is legal tender for the payment of public and private debts. "Event of Default" shall have the meaning set forth in Section 5.1. "Foreign Currency" means any currency, currency unit or composite currency issued by the government of one or more countries other than the United States of America or by any recognized confederation or association of such governments. "GAAP" means generally accepted accounting principles in the United States as in effect on the date of application thereof.</w:t>
      </w:r>
    </w:p>
    <w:p>
      <w:pPr>
        <w:spacing w:after="0" w:line="18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159"/>
          </w:cols>
          <w:pgMar w:left="300" w:top="317" w:right="1440" w:bottom="1440" w:gutter="0" w:footer="0" w:header="0"/>
        </w:sectPr>
      </w:pPr>
    </w:p>
    <w:bookmarkStart w:id="131" w:name="page132"/>
    <w:bookmarkEnd w:id="131"/>
    <w:p>
      <w:pPr>
        <w:jc w:val="center"/>
        <w:ind w:right="1639"/>
        <w:spacing w:after="0" w:line="235" w:lineRule="auto"/>
        <w:rPr>
          <w:sz w:val="20"/>
          <w:szCs w:val="20"/>
          <w:color w:val="auto"/>
        </w:rPr>
      </w:pPr>
      <w:r>
        <w:rPr>
          <w:rFonts w:ascii="Courier New" w:cs="Courier New" w:eastAsia="Courier New" w:hAnsi="Courier New"/>
          <w:sz w:val="18"/>
          <w:szCs w:val="18"/>
          <w:color w:val="auto"/>
        </w:rPr>
        <w:t>"Government Obligations" means securities which are (i) direct obligations of the United States of America or the other government or governments in the</w:t>
      </w:r>
    </w:p>
    <w:p>
      <w:pPr>
        <w:spacing w:after="0" w:line="6" w:lineRule="exact"/>
        <w:rPr>
          <w:sz w:val="20"/>
          <w:szCs w:val="20"/>
          <w:color w:val="auto"/>
        </w:rPr>
      </w:pPr>
    </w:p>
    <w:p>
      <w:pPr>
        <w:jc w:val="center"/>
        <w:ind w:right="1639"/>
        <w:spacing w:after="0" w:line="268" w:lineRule="auto"/>
        <w:rPr>
          <w:sz w:val="20"/>
          <w:szCs w:val="20"/>
          <w:color w:val="auto"/>
        </w:rPr>
      </w:pPr>
      <w:r>
        <w:rPr>
          <w:rFonts w:ascii="Courier New" w:cs="Courier New" w:eastAsia="Courier New" w:hAnsi="Courier New"/>
          <w:sz w:val="16"/>
          <w:szCs w:val="16"/>
          <w:color w:val="auto"/>
        </w:rPr>
        <w:t>confederation which issued the Foreign Currency in which the principal of or any premium or interest on the relevant Security shall be payable, in each case where the payment or payments thereunder are supported by the full faith and credit of such government or governments or (ii) obligations of a Person controlled or supervised by and acting as an agency or instrumentality of the United States of America or such other government or governments, in each case where the timely payment or payments thereunder are unconditionally guaranteed as a full faith and credit obligation by the United States of America or such other government or governments, and which, in the case of (i) or (ii), are not callable or redeemable at the option of the issuer or issuers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"Holder" means, with respect to a Bearer Security, a bearer thereof or of a coupon appertaining thereto and, with respect to a Registered Security, a person in whose name a Security is registered on the Register. "Indenture" means this Indenture as originally executed or as amended or supplemented from time to time and shall include the forms and terms of particular series of Securities established as contemplated hereunder. "Indexed Security" means a Security the terms of which provide that the principal amount thereof payable at Stated Maturity may be more or less than the principal face amount thereof at original issuance. "Interest" when used with respect to an Original Issue Discount Security which by its terms bears interest only after maturity, means interest payable after maturity. "Interest Payment Date" when used with respect to any Security, means the Stated Maturity of an installment of interest on such Security. "Lien" means any mortgage, pledge, lien, charge, security interest, conditional sale or other title retention agreement or other encumbrance of any nature whatsoever. "Maturity" when used with respect to any Security, means the date on which the principal of such Security or an installment of principal becomes due and payable as therein or herein provided, whether at the Stated Maturity or by declaration of acceleration, call for redemption, repurchase by the Company at the option of the Holder or otherwise. "Officer" means the Chairman of the Board, the President, any Vice President, the Chief Financial Officer, the Treasurer, any Assistant Treasurer, the Controller, the Secretary or any Assistant Secretary of the Company. 4</w:t>
      </w:r>
    </w:p>
    <w:p>
      <w:pPr>
        <w:sectPr>
          <w:pgSz w:w="11900" w:h="16838" w:orient="portrait"/>
          <w:cols w:equalWidth="0" w:num="1">
            <w:col w:w="10159"/>
          </w:cols>
          <w:pgMar w:left="300" w:top="317" w:right="1440" w:bottom="1440" w:gutter="0" w:footer="0" w:header="0"/>
        </w:sectPr>
      </w:pPr>
    </w:p>
    <w:bookmarkStart w:id="132" w:name="page133"/>
    <w:bookmarkEnd w:id="132"/>
    <w:p>
      <w:pPr>
        <w:jc w:val="center"/>
        <w:ind w:right="1639"/>
        <w:spacing w:after="0"/>
        <w:rPr>
          <w:sz w:val="20"/>
          <w:szCs w:val="20"/>
          <w:color w:val="auto"/>
        </w:rPr>
      </w:pPr>
      <w:r>
        <w:rPr>
          <w:rFonts w:ascii="Courier New" w:cs="Courier New" w:eastAsia="Courier New" w:hAnsi="Courier New"/>
          <w:sz w:val="18"/>
          <w:szCs w:val="18"/>
          <w:color w:val="auto"/>
        </w:rPr>
        <w:t>"Officers' Certificate", when used with respect to the Company, means a</w:t>
      </w:r>
    </w:p>
    <w:p>
      <w:pPr>
        <w:spacing w:after="0" w:line="4" w:lineRule="exact"/>
        <w:rPr>
          <w:sz w:val="20"/>
          <w:szCs w:val="20"/>
          <w:color w:val="auto"/>
        </w:rPr>
      </w:pPr>
    </w:p>
    <w:p>
      <w:pPr>
        <w:jc w:val="center"/>
        <w:ind w:right="1639"/>
        <w:spacing w:after="0" w:line="269" w:lineRule="auto"/>
        <w:rPr>
          <w:sz w:val="20"/>
          <w:szCs w:val="20"/>
          <w:color w:val="auto"/>
        </w:rPr>
      </w:pPr>
      <w:r>
        <w:rPr>
          <w:rFonts w:ascii="Courier New" w:cs="Courier New" w:eastAsia="Courier New" w:hAnsi="Courier New"/>
          <w:sz w:val="16"/>
          <w:szCs w:val="16"/>
          <w:color w:val="auto"/>
        </w:rPr>
        <w:t>certificate signed by two Officers, one of whom must be the Chairman of the Board, the President, the Chief Financial Officer, the Treasurer, an Assistant Treasurer, the Controller or a Vice President of the Company. "Opinion of Counsel" means a written opinion from the general counsel of the Company or other legal counsel. Such counsel may be an employee of or counsel to the Company. "Original Issue Discount Security" means any Security which provides for an amount less than the stated principal amount thereof to be due and payable upon declaration of acceleration of the Maturity thereof pursuant to Section 5.2. "Outstanding", when used with respect to Securities, means, as of the date of determination, all Securities theretofore authenticated and delivered under this Indenture, except: (i) Securities theretofore canceled by the Trustee or delivered to the Trustee for cancellation; (ii) Securities, or portions thereof,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provided that, if such Securities are to be redeemed, notice of such redemption has been duly given pursuant to this Indenture or provisions therefor satisfactory to the Trustee have been made;</w:t>
      </w:r>
    </w:p>
    <w:p>
      <w:pPr>
        <w:spacing w:after="0" w:line="395" w:lineRule="exact"/>
        <w:rPr>
          <w:sz w:val="20"/>
          <w:szCs w:val="20"/>
          <w:color w:val="auto"/>
        </w:rPr>
      </w:pPr>
    </w:p>
    <w:p>
      <w:pPr>
        <w:ind w:left="100" w:right="1739" w:firstLine="107"/>
        <w:spacing w:after="0" w:line="268" w:lineRule="auto"/>
        <w:tabs>
          <w:tab w:leader="none" w:pos="838"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except to the extent provided in Sections 4.4 and 4.5, with respect to which the Company has effected defeasance and/or covenant defeasance as provided in Article 4; and (iv) which have been paid pursuant to Section 3.6 or in exchange for or in lieu of which other Securities have been authenticated</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delivered pursuant to this Indenture, other than any such Securities in</w:t>
      </w:r>
    </w:p>
    <w:p>
      <w:pPr>
        <w:ind w:left="6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respect of which there shall have been presented to the Trustee proof</w:t>
      </w:r>
    </w:p>
    <w:p>
      <w:pPr>
        <w:spacing w:after="0" w:line="4" w:lineRule="exact"/>
        <w:rPr>
          <w:rFonts w:ascii="Courier New" w:cs="Courier New" w:eastAsia="Courier New" w:hAnsi="Courier New"/>
          <w:sz w:val="16"/>
          <w:szCs w:val="16"/>
          <w:color w:val="auto"/>
        </w:rPr>
      </w:pPr>
    </w:p>
    <w:p>
      <w:pPr>
        <w:jc w:val="center"/>
        <w:ind w:left="100" w:right="173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satisfactory to it that such Securities are held by a bona fide purchaser in whose hands such Securities are valid obligations of the Company; provided, however, that in determining whether the Holders of the requisite principal amount of the Outstanding Securities have given any request, demand, authorization, direction, notice, consent or waiver hereunder, or whether sufficient funds are available for redemption or for any other purpose, and for the purpose of making the calculations required by Section 313 of the Trust</w:t>
      </w:r>
    </w:p>
    <w:p>
      <w:pPr>
        <w:spacing w:after="0" w:line="1" w:lineRule="exact"/>
        <w:rPr>
          <w:sz w:val="20"/>
          <w:szCs w:val="20"/>
          <w:color w:val="auto"/>
        </w:rPr>
      </w:pPr>
    </w:p>
    <w:p>
      <w:pPr>
        <w:jc w:val="center"/>
        <w:ind w:right="1639"/>
        <w:spacing w:after="0" w:line="237" w:lineRule="auto"/>
        <w:rPr>
          <w:sz w:val="20"/>
          <w:szCs w:val="20"/>
          <w:color w:val="auto"/>
        </w:rPr>
      </w:pPr>
      <w:r>
        <w:rPr>
          <w:rFonts w:ascii="Courier New" w:cs="Courier New" w:eastAsia="Courier New" w:hAnsi="Courier New"/>
          <w:sz w:val="18"/>
          <w:szCs w:val="18"/>
          <w:color w:val="auto"/>
        </w:rPr>
        <w:t>Indenture Act, (a) the principal amount of any Original Issue Discount Securities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5.2, (b) the principal amount of any Indexed Security that may be counted in making such determination and that shall be deemed outstanding for such purpose shall be equal to the principal face amount of 5</w:t>
      </w:r>
    </w:p>
    <w:p>
      <w:pPr>
        <w:sectPr>
          <w:pgSz w:w="11900" w:h="16838" w:orient="portrait"/>
          <w:cols w:equalWidth="0" w:num="1">
            <w:col w:w="10159"/>
          </w:cols>
          <w:pgMar w:left="300" w:top="312" w:right="1440" w:bottom="1440" w:gutter="0" w:footer="0" w:header="0"/>
        </w:sectPr>
      </w:pPr>
    </w:p>
    <w:bookmarkStart w:id="133" w:name="page134"/>
    <w:bookmarkEnd w:id="133"/>
    <w:p>
      <w:pPr>
        <w:jc w:val="center"/>
        <w:ind w:right="1639"/>
        <w:spacing w:after="0" w:line="268" w:lineRule="auto"/>
        <w:rPr>
          <w:sz w:val="20"/>
          <w:szCs w:val="20"/>
          <w:color w:val="auto"/>
        </w:rPr>
      </w:pPr>
      <w:r>
        <w:rPr>
          <w:rFonts w:ascii="Courier New" w:cs="Courier New" w:eastAsia="Courier New" w:hAnsi="Courier New"/>
          <w:sz w:val="16"/>
          <w:szCs w:val="16"/>
          <w:color w:val="auto"/>
        </w:rPr>
        <w:t>such Indexed Security at original issuance, unless otherwise provided in or pursuant to this Indenture, (c) the principal amount of a Security denominated in</w:t>
      </w:r>
    </w:p>
    <w:p>
      <w:pPr>
        <w:jc w:val="center"/>
        <w:ind w:right="1639"/>
        <w:spacing w:after="0" w:line="268" w:lineRule="auto"/>
        <w:rPr>
          <w:sz w:val="20"/>
          <w:szCs w:val="20"/>
          <w:color w:val="auto"/>
        </w:rPr>
      </w:pPr>
      <w:r>
        <w:rPr>
          <w:rFonts w:ascii="Courier New" w:cs="Courier New" w:eastAsia="Courier New" w:hAnsi="Courier New"/>
          <w:sz w:val="16"/>
          <w:szCs w:val="16"/>
          <w:color w:val="auto"/>
        </w:rPr>
        <w:t>a Foreign Currency shall be the Dollar equivalent, determined on the date of original issuance of such Security, of the principal amount (or, in the case of an Original Issue Discount Security, the Dollar equivalent on the date of original issuance of such Security of the amount determined as provided in (a) above) of such Security, and (d)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a Responsible Officer of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"Paying Agent" means any Person authorized by the Company to pay the principal of, premium, if any, or interest on any Securities on behalf of the Company. "Periodic Offering" means an offering of Securities of a series from time to time the specific terms of which Securities, including, without limitation, the rate or rates of interest or formula for determining the rate or rates of interest thereon, if any, the Maturity thereof and the redemption provisions, if any, with respect thereto, are to be determined by the Company upon the issuance of such Securities. "Person" means any individual, corporation, business trust, partnership, joint venture, joint-stock company, limited liability company, association, company, trust, unincorporated organization or government or any agency or political subdivision thereof. "Place of Payment", when used with respect to the Securities of or within any series, means the place or places where the principal of, premium, if any, and interest on such Securities are payable as specified or contemplated by Sections 3.1 and 9.2. "Predecessor Security" of any particular Security means every previous Security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 "Principal amount", when used with respect to any Security, means the amount of principal, if any, payable in respect thereof at Maturity; provided, however, that when used with respect to an Indexed Security in any context other than the making of payments at Maturity, "principal amount" means the principal face amount of such Indexed Security at original issuance. "Redemption Date", when used with respect to any Security to be redeemed, means the date fixed for such redemption by or pursuant to this Indenture. 6</w:t>
      </w:r>
    </w:p>
    <w:p>
      <w:pPr>
        <w:sectPr>
          <w:pgSz w:w="11900" w:h="16838" w:orient="portrait"/>
          <w:cols w:equalWidth="0" w:num="1">
            <w:col w:w="10159"/>
          </w:cols>
          <w:pgMar w:left="300" w:top="317" w:right="1440" w:bottom="1440" w:gutter="0" w:footer="0" w:header="0"/>
        </w:sectPr>
      </w:pPr>
    </w:p>
    <w:bookmarkStart w:id="134" w:name="page135"/>
    <w:bookmarkEnd w:id="134"/>
    <w:p>
      <w:pPr>
        <w:jc w:val="center"/>
        <w:ind w:right="1639"/>
        <w:spacing w:after="0" w:line="268" w:lineRule="auto"/>
        <w:rPr>
          <w:sz w:val="20"/>
          <w:szCs w:val="20"/>
          <w:color w:val="auto"/>
        </w:rPr>
      </w:pPr>
      <w:r>
        <w:rPr>
          <w:rFonts w:ascii="Courier New" w:cs="Courier New" w:eastAsia="Courier New" w:hAnsi="Courier New"/>
          <w:sz w:val="16"/>
          <w:szCs w:val="16"/>
          <w:color w:val="auto"/>
        </w:rPr>
        <w:t>"Redemption Price", when used with respect to any Security to be redeemed, in whole or in part, means the price at which it is to be redeemed pursuant to this Indenture. "Refinancing Debt" shall have the meaning set forth in Section 9.8(b). "Register" shall have the meaning set forth in Section 3.5. "Registered Security" means any Security issued hereunder and registered as to principal and interest in the Register. "Registrar" shall have the meaning set forth in Section 3.5. "Regular Record Date" for the interest payable on any Interest Payment Date on the Securities of or within any series means the date specified for that purpose as contemplated by Section 3.1. "Responsible Officer", when used with respect to the Trustee, shall mean any vice president, any assistant vice president, any senior trust officer, any trust officer, or any officer of the Trustee customarily performing functions similar to those performed by the persons who at the time shall be such officers, respectively, or to whom any corporate trust matter is referred because of his knowledge of and familiarity with a particular subject and who shall have direct responsibility for the administration of this Indenture. "Restricted Subsidiary" means any Subsidiary of the Company which (i) is Chicago Title Insurance Company, an insurance company organized under the laws of Missouri, Fidelity National Title Insurance Company, an insurance company organized under the laws of California, Security Union Title Insurance Company, an insurance company organized under the laws of California, Ticor Title Insurance Company, an insurance company organized under the laws of California, Ticor Title Insurance Company of Florida, an insurance company organized under the laws of Florida, or Alamo Title Insurance, an insurance company organized under the laws of Texas, and any Person successor to any of the foregoing insurance companies or (ii) owns, directly or indirectly, the capital stock of any Subsidiary described in clause (i) of this definition. "Secured Debt" shall have the meaning set forth in Section 9.8(a). "Security" or "Securities" has the meaning stated in the first recital of this Indenture and more particularly means a Security or Securities of the Company issued, authenticated and delivered under this Indenture. "Special Record Date" for the payment of any Defaulted Interest means a date fixed by the Trustee pursuant to Section 3.7. "Stated Maturity", when used with respect to any Security or any installment of principal thereof or interest thereon, means the date specified in such Security or in a coupon representing such installment of interest as the fixed date on which the principal of such Security or such installment of principal or interest is due and payable. 7</w:t>
      </w:r>
    </w:p>
    <w:p>
      <w:pPr>
        <w:sectPr>
          <w:pgSz w:w="11900" w:h="16838" w:orient="portrait"/>
          <w:cols w:equalWidth="0" w:num="1">
            <w:col w:w="10159"/>
          </w:cols>
          <w:pgMar w:left="300" w:top="317" w:right="1440" w:bottom="1440" w:gutter="0" w:footer="0" w:header="0"/>
        </w:sectPr>
      </w:pPr>
    </w:p>
    <w:bookmarkStart w:id="135" w:name="page136"/>
    <w:bookmarkEnd w:id="135"/>
    <w:p>
      <w:pPr>
        <w:jc w:val="both"/>
        <w:ind w:right="1639" w:firstLine="105"/>
        <w:spacing w:after="0" w:line="268" w:lineRule="auto"/>
        <w:rPr>
          <w:sz w:val="20"/>
          <w:szCs w:val="20"/>
          <w:color w:val="auto"/>
        </w:rPr>
      </w:pPr>
      <w:r>
        <w:rPr>
          <w:rFonts w:ascii="Courier New" w:cs="Courier New" w:eastAsia="Courier New" w:hAnsi="Courier New"/>
          <w:sz w:val="16"/>
          <w:szCs w:val="16"/>
          <w:color w:val="auto"/>
        </w:rPr>
        <w:t>"Subsidiary" means (i) any corporation, at least a majority of the total voting power of whose outstanding Voting Stock is at the date of determination owned, directly or indirectly, by the Company and/or one or more other Subsidiaries of the Company, and (ii) any Person (other than a corporation) in which the Company and/or one or more other Subsidiaries of the Company own, directly or indirectly,</w:t>
      </w:r>
    </w:p>
    <w:p>
      <w:pPr>
        <w:spacing w:after="0" w:line="1" w:lineRule="exact"/>
        <w:rPr>
          <w:sz w:val="20"/>
          <w:szCs w:val="20"/>
          <w:color w:val="auto"/>
        </w:rPr>
      </w:pPr>
    </w:p>
    <w:p>
      <w:pPr>
        <w:jc w:val="center"/>
        <w:ind w:right="1639"/>
        <w:spacing w:after="0" w:line="268" w:lineRule="auto"/>
        <w:rPr>
          <w:sz w:val="20"/>
          <w:szCs w:val="20"/>
          <w:color w:val="auto"/>
        </w:rPr>
      </w:pPr>
      <w:r>
        <w:rPr>
          <w:rFonts w:ascii="Courier New" w:cs="Courier New" w:eastAsia="Courier New" w:hAnsi="Courier New"/>
          <w:sz w:val="16"/>
          <w:szCs w:val="16"/>
          <w:color w:val="auto"/>
        </w:rPr>
        <w:t>at the date of determination, at least a majority ownership interest. "Trust Indenture Act" means the Trust Indenture Act of 1939 as in effect on the date of this Indenture, except as provided in Section 8.3; provided, however, that in the event the Trust Indenture Act of 1939 is amended after such date, "Trust Indenture Act" means, to the extent required by any such amendment, the Trust Indenture Act of 1939 as so amended. "Trustee" means the party named as such in the first paragraph of this Indenture until a successor Trustee replaces it pursuant to the applicable provisions of this Indenture, and thereafter means such successor Trustee and if, at any time, there is more than one Trustee, "Trustee" as used with respect to the Securities of any series shall mean the Trustee with respect to the Securities of that series. "United States" means, unless otherwise specified with respect to the Securities of any series as contemplated by Section 3.1, the United States of America (including the states thereof and the District of Columbia), its territories, its possessions and other areas subject to its jurisdiction. "United States Alien", except as otherwise provided with respect to the Securities of any series as contemplated by Section 3.1, means any Person who, for United States Federal income tax purposes, is a foreign corporation, a non-resident alien individual, a non-resident alien fiduciary of a foreign estate or trust, or a foreign partnership one or more of the members of which is, for United States Federal income tax purposes, a foreign corporation, a non-resident alien individual or a non-resident alien fiduciary of a foreign estate or trust. "U.S. Person" means, unless otherwise specified with respect to the Securities of any series as contemplated by Section 3.1, any citizen or resident of the United States, any corporation, partnership or other entity created or organized in or under the laws of the United States, any estate the income of which is subject to United States federal income taxation regardless of its source, or any trust whose administration is subject to the primary supervision of a United States court and which has one or more United States fiduciaries who have the authority to control all substantial decisions of the trust. "Voting Stock" means, with respect to any corporation, securities of any class or series of such corporation, the holders of which are ordinarily, in the absence of contingencies, entitled to vote for the election of directors of the corporation. Section 1.2. Compliance Certificates and Opinions. 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8</w:t>
      </w:r>
    </w:p>
    <w:p>
      <w:pPr>
        <w:sectPr>
          <w:pgSz w:w="11900" w:h="16838" w:orient="portrait"/>
          <w:cols w:equalWidth="0" w:num="1">
            <w:col w:w="10159"/>
          </w:cols>
          <w:pgMar w:left="300" w:top="317" w:right="1440" w:bottom="1440" w:gutter="0" w:footer="0" w:header="0"/>
        </w:sectPr>
      </w:pPr>
    </w:p>
    <w:bookmarkStart w:id="136" w:name="page137"/>
    <w:bookmarkEnd w:id="136"/>
    <w:p>
      <w:pPr>
        <w:jc w:val="center"/>
        <w:ind w:right="1639"/>
        <w:spacing w:after="0" w:line="268" w:lineRule="auto"/>
        <w:rPr>
          <w:sz w:val="20"/>
          <w:szCs w:val="20"/>
          <w:color w:val="auto"/>
        </w:rPr>
      </w:pPr>
      <w:r>
        <w:rPr>
          <w:rFonts w:ascii="Courier New" w:cs="Courier New" w:eastAsia="Courier New" w:hAnsi="Courier New"/>
          <w:sz w:val="16"/>
          <w:szCs w:val="16"/>
          <w:color w:val="auto"/>
        </w:rPr>
        <w:t>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 Every certificate or opinion with respect to compliance with a condition or covenant provided for in this Indenture (other than pursuant to Sections 2.3 and 9.7 and the last paragraph of Section 3.3) shall include: (1) a statement that each individual signing such certificate or opinion has read such condition or covenant and the definitions herein relating thereto; (2) a brief statement as to the nature and scope of the examination or investigation upon which the statements or opinions contained in such certificate or opinion are based; (3) a statement that, in the opinion of each such individual, he has made such examination or investigation as is necessary to enable him to express an informed opinion as to whether or not such condition or covenant has been complied with; and (4) a statement as to whether, in the opinion of each such individual, such condition or covenant has been complied with. Section 1.3. Form of Documents Delivered to Trustee.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 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as to such matters are erroneous. Where any Person is required to make, give or execute two or more applications, requests, consents, certificates, statements, opinions or other instruments under this Indenture, they may, but need not, be consolidated and form one instrument. 9</w:t>
      </w:r>
    </w:p>
    <w:p>
      <w:pPr>
        <w:sectPr>
          <w:pgSz w:w="11900" w:h="16838" w:orient="portrait"/>
          <w:cols w:equalWidth="0" w:num="1">
            <w:col w:w="10159"/>
          </w:cols>
          <w:pgMar w:left="300" w:top="317" w:right="1440" w:bottom="1440" w:gutter="0" w:footer="0" w:header="0"/>
        </w:sectPr>
      </w:pPr>
    </w:p>
    <w:bookmarkStart w:id="137" w:name="page138"/>
    <w:bookmarkEnd w:id="137"/>
    <w:p>
      <w:pPr>
        <w:jc w:val="center"/>
        <w:ind w:right="1639"/>
        <w:spacing w:after="0" w:line="268" w:lineRule="auto"/>
        <w:rPr>
          <w:sz w:val="20"/>
          <w:szCs w:val="20"/>
          <w:color w:val="auto"/>
        </w:rPr>
      </w:pPr>
      <w:r>
        <w:rPr>
          <w:rFonts w:ascii="Courier New" w:cs="Courier New" w:eastAsia="Courier New" w:hAnsi="Courier New"/>
          <w:sz w:val="16"/>
          <w:szCs w:val="16"/>
          <w:color w:val="auto"/>
        </w:rPr>
        <w:t>Section 1.4. Acts of Holders. (a) 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 (b) 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 (c) The ownership of Bearer Securities may be proved by the production of such Bearer Securities or by a certificate executed by any trust company, bank, banker or other depository, wherever situated, if such certificate shall be deemed by the Trustee to be satisfactory, showing that at the date therein mentioned such Person had on deposit with such depository,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(i) another such certificate or affidavit bearing a later date issued in respect of the same Bearer Security is produced, (ii) such Bearer Security is produced to the Trustee by some other Person, (iii) such Bearer Security is surrendered in exchange for a Registered Security or (iv) such Bearer Security is no longer Outstanding. The ownership of Bearer Securities may also be proved in any other manner which the Trustee deems sufficient. (d) The ownership of Registered Securities shall be proved by the Register. (e) 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 10</w:t>
      </w:r>
    </w:p>
    <w:p>
      <w:pPr>
        <w:sectPr>
          <w:pgSz w:w="11900" w:h="16838" w:orient="portrait"/>
          <w:cols w:equalWidth="0" w:num="1">
            <w:col w:w="10159"/>
          </w:cols>
          <w:pgMar w:left="300" w:top="317" w:right="1440" w:bottom="1440" w:gutter="0" w:footer="0" w:header="0"/>
        </w:sectPr>
      </w:pPr>
    </w:p>
    <w:bookmarkStart w:id="138" w:name="page139"/>
    <w:bookmarkEnd w:id="138"/>
    <w:p>
      <w:pPr>
        <w:ind w:right="1639" w:firstLine="575"/>
        <w:spacing w:after="0" w:line="268" w:lineRule="auto"/>
        <w:tabs>
          <w:tab w:leader="none" w:pos="100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shall solicit from the Holders any request, demand, authorization, direction, notice, consent, waiver or other Act, the Company may, at its option, by or pursuant to a Board Resolution, fix in advance a record date</w:t>
      </w:r>
    </w:p>
    <w:p>
      <w:pPr>
        <w:ind w:left="5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 the determination of Holders entitled to give such request, demand,</w:t>
      </w:r>
    </w:p>
    <w:p>
      <w:pPr>
        <w:spacing w:after="0" w:line="4" w:lineRule="exact"/>
        <w:rPr>
          <w:rFonts w:ascii="Courier New" w:cs="Courier New" w:eastAsia="Courier New" w:hAnsi="Courier New"/>
          <w:sz w:val="16"/>
          <w:szCs w:val="16"/>
          <w:color w:val="auto"/>
        </w:rPr>
      </w:pPr>
    </w:p>
    <w:p>
      <w:pPr>
        <w:jc w:val="center"/>
        <w:ind w:right="163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 Section 1.5. Notices, etc., to Trustee and Company. Any request, demand, authorization, direction, notice, consent, waiver or Act of Holders or other document provided or permitted by this Indenture to be made upon, given or furnished to, or filed with, (1) the Trustee by any Holder or by the Company shall be sufficient for every purpose hereunder (unless otherwise herein expressly provided) if in writing and sent by facsimile (with confirmation of receipt), overnight delivery service or mail, first-class postage prepaid, to the Trustee at its [Corporate Trust Office], Attention: [Corporate Trust Administration], or (2) the Company by the Trustee or by any Holder shall be sufficient for every purpose hereunder (unless otherwise herein expressly provided) if in writing and sent by facsimile (with confirmation of receipt), overnight delivery service or mail, first-class postage prepaid, to the Company addressed to it at Fidelity National Title Group, Inc., 601 Riverside Avenue, Jacksonville, Florida 32204, Attention: Chief Financial Officer or at any other address previously furnished in writing to the Trustee by the Company. Section 1.6. Notice to Holders; Waiver. Where this Indenture provides for notice to Holders of any event, (i) if any of the Securities affected by such event are Registered Securities, such notice to the Holders thereof shall be sufficiently given (unless otherwise herein or in the terms of such Registered Security expressly provided) if in writing and sent by overnight delivery service or mailed, first-class postage prepaid, to each such Holder affected by such event, at his address as it appears in the Register, within the time prescribed for the giving of such notice, and (ii) if any of the Securities affected by such event are Bearer Securities, notice to the Holders thereof shall be sufficiently given (unless otherwise herein or in the terms of such Bearer Securities expressly provided) if published once in an Authorized Newspaper in New York, New York, and in such other city or cities, if any, as may be specified as contemplated by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Section 3.1. In any case 11</w:t>
      </w:r>
    </w:p>
    <w:p>
      <w:pPr>
        <w:sectPr>
          <w:pgSz w:w="11900" w:h="16838" w:orient="portrait"/>
          <w:cols w:equalWidth="0" w:num="1">
            <w:col w:w="10159"/>
          </w:cols>
          <w:pgMar w:left="300" w:top="317" w:right="1440" w:bottom="1440" w:gutter="0" w:footer="0" w:header="0"/>
        </w:sectPr>
      </w:pPr>
    </w:p>
    <w:bookmarkStart w:id="139" w:name="page140"/>
    <w:bookmarkEnd w:id="139"/>
    <w:p>
      <w:pPr>
        <w:jc w:val="center"/>
        <w:ind w:right="1639"/>
        <w:spacing w:after="0"/>
        <w:rPr>
          <w:sz w:val="20"/>
          <w:szCs w:val="20"/>
          <w:color w:val="auto"/>
        </w:rPr>
      </w:pPr>
      <w:r>
        <w:rPr>
          <w:rFonts w:ascii="Courier New" w:cs="Courier New" w:eastAsia="Courier New" w:hAnsi="Courier New"/>
          <w:sz w:val="18"/>
          <w:szCs w:val="18"/>
          <w:color w:val="auto"/>
        </w:rPr>
        <w:t>where notice to Holders is given by mail, neither the failure to mail such</w:t>
      </w:r>
    </w:p>
    <w:p>
      <w:pPr>
        <w:spacing w:after="0" w:line="4" w:lineRule="exact"/>
        <w:rPr>
          <w:sz w:val="20"/>
          <w:szCs w:val="20"/>
          <w:color w:val="auto"/>
        </w:rPr>
      </w:pPr>
    </w:p>
    <w:p>
      <w:pPr>
        <w:jc w:val="center"/>
        <w:ind w:right="1639"/>
        <w:spacing w:after="0" w:line="268" w:lineRule="auto"/>
        <w:rPr>
          <w:sz w:val="20"/>
          <w:szCs w:val="20"/>
          <w:color w:val="auto"/>
        </w:rPr>
      </w:pPr>
      <w:r>
        <w:rPr>
          <w:rFonts w:ascii="Courier New" w:cs="Courier New" w:eastAsia="Courier New" w:hAnsi="Courier New"/>
          <w:sz w:val="16"/>
          <w:szCs w:val="16"/>
          <w:color w:val="auto"/>
        </w:rPr>
        <w:t>notice, nor any defect in any notice so mailed, to any particular Holder shall affect the sufficiency of such notice with respect to other Holders of Registered Securities or the sufficiency of any notice to Holders of Bearer Securities given as provided herein. In any case where notice is given to Holders by publication, neither the failure to publish such notice, nor any defect in any notice so published, shall affect the sufficiency of such notice with respect to other Holders of Bearer Securities or the sufficiency of any notice to Holders of Registered Securities given as provided herein. Any notice mailed to a Holder in the manner herein prescribed shall be conclusively deemed to have been received by such Holder, whether or not such Holder actually receives such notice. If by reason of the suspension of regular mail service or by reason of any other cause it shall be impracticable to give such notice as provided above, then such notification as shall be made with the approval of the Trustee shall constitute a sufficient notification for every purpose hereunder. If it is impossible or, in the opinion of the Trustee, impracticable to give any notice by publication in the manner herein required, then such publication in lieu thereof as shall be made with the approval of the Trustee shall constitute a sufficient publication of such notice. Any request, demand, authorization, direction, notice, consent or waiver required or permitted under this Indenture shall be in the English language, except that any published notice may be in an official language of the country of publication. Where this Indenture provides for notice in any manner, such notice may be waived in writing by the Person entitled to receive such notice, either before or after the event, and such waiver shall be equivalent of such notice. Waivers of notice by Holders shall be filed with the Trustee, but such filing shall not be a condition precedent to the validity of any action taken in reliance upon such waiver. Section 1.7. Headings and Table of Contents. The Article and Section headings herein and the Table of Contents are for convenience only and shall not affect the construction hereof. Section 1.8. Successors and Assigns. All covenants and agreements in this Indenture by the Company shall bind its successors and assigns, whether so expressed or not. Section 1.9. Separability. In case any provision of this Indenture or the Securities shall be invalid, illegal or unenforceable, then, to the extent permitted by applicable law, the validity, legality and enforceability of the remaining provisions shall not in any way be affected or impaired thereby. Section 1.10. Benefits of Indenture. Nothing in this Indenture or in the Securities, expressed or implied, shall give to any Person, other than the parties hereto and their successors hereunder and the Holders, any benefit or any legal or equitable right, remedy or claim under this Indenture. Section 1.11. Governing Law. THIS INDENTURE, THE SECURITIES AND ANY COUPONS APPERTAINING THERETO SHALL BE GOVERNED BY AND CONSTRUED IN ACCORDANCE WITH THE INTERNAL LAWS OF THE STATE OF NEW YORK. This Indenture is subject to the Trust Indenture Act and if any provision hereof limits, qualifies or conflicts with the Trust Indenture Act, the Trust Indenture Act shall control. Section 1.12. Legal Holidays. In any case where any Interest Payment Date, Redemption Date, sinking fund payment date, Stated Maturity or Maturity of any Security shall not be a Business Day at any Place of Payment, then (notwithstanding any other provision of this Indenture or of any Security or coupon other than a provision in the Securities of any series 12</w:t>
      </w:r>
    </w:p>
    <w:p>
      <w:pPr>
        <w:sectPr>
          <w:pgSz w:w="11900" w:h="16838" w:orient="portrait"/>
          <w:cols w:equalWidth="0" w:num="1">
            <w:col w:w="10159"/>
          </w:cols>
          <w:pgMar w:left="300" w:top="312" w:right="1440" w:bottom="1440" w:gutter="0" w:footer="0" w:header="0"/>
        </w:sectPr>
      </w:pPr>
    </w:p>
    <w:bookmarkStart w:id="140" w:name="page141"/>
    <w:bookmarkEnd w:id="140"/>
    <w:p>
      <w:pPr>
        <w:jc w:val="center"/>
        <w:ind w:right="1639"/>
        <w:spacing w:after="0" w:line="236" w:lineRule="auto"/>
        <w:rPr>
          <w:sz w:val="20"/>
          <w:szCs w:val="20"/>
          <w:color w:val="auto"/>
        </w:rPr>
      </w:pPr>
      <w:r>
        <w:rPr>
          <w:rFonts w:ascii="Courier New" w:cs="Courier New" w:eastAsia="Courier New" w:hAnsi="Courier New"/>
          <w:sz w:val="18"/>
          <w:szCs w:val="18"/>
          <w:color w:val="auto"/>
        </w:rPr>
        <w:t>which specifically states that such provision shall apply in lieu of this Section), payment of principal, premium, if any, or interest need not be made at such Place of Payment on such date, but may be made on the next succeeding</w:t>
      </w:r>
    </w:p>
    <w:p>
      <w:pPr>
        <w:spacing w:after="0" w:line="6" w:lineRule="exact"/>
        <w:rPr>
          <w:sz w:val="20"/>
          <w:szCs w:val="20"/>
          <w:color w:val="auto"/>
        </w:rPr>
      </w:pPr>
    </w:p>
    <w:p>
      <w:pPr>
        <w:jc w:val="center"/>
        <w:ind w:right="1639"/>
        <w:spacing w:after="0" w:line="268" w:lineRule="auto"/>
        <w:rPr>
          <w:sz w:val="20"/>
          <w:szCs w:val="20"/>
          <w:color w:val="auto"/>
        </w:rPr>
      </w:pPr>
      <w:r>
        <w:rPr>
          <w:rFonts w:ascii="Courier New" w:cs="Courier New" w:eastAsia="Courier New" w:hAnsi="Courier New"/>
          <w:sz w:val="16"/>
          <w:szCs w:val="16"/>
          <w:color w:val="auto"/>
        </w:rPr>
        <w:t>Business Day at such Place of Payment with the same force and effect as if made on such date; provided that no interest shall accrue on the amount so payable for the period from and after such Interest Payment Date, Redemption Date, sinking fund payment date, Stated Maturity or Maturity, as the case may be. Section 1.13. Force Majeure.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events that a court applying New York law would hold to be included within the term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ARTICLE 2 SECURITY FORMS Section 2.1. Forms Generally. The Securities of each series and the coupons, if any, to be attached thereto shall be in substantially such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and coupons, if any, as evidenced by their execution of the Securities and coupons, if any. Unless otherwise provided as contemplated in Section 3.1, Securities will be issued only in registered form without coupons or in the form of one or more global securities. If temporary Securities of any series are issued as permitted by Section 3.4, the form thereof also shall be established as provided in the preceding sentence. If the forms of Securities and coupons, if any, of any series are established by, or by action taken pursuant to, a Board Resolution, a copy of the Board Resolution together with an appropriate record (which may be in the form of an Officers' Certificate) of any such action taken pursuant thereto, including a copy of the approved form of Securities or coupons, if any, shall be certified by the Secretary or an Assistant Secretary of the Company and delivered to the Trustee at or prior to the delivery of the Company Order contemplated by Section 3.3 for the authentication and delivery of such Securities. Unless otherwise specified as contemplated by Section 3.1, Bearer Securities shall have interest coupons attached. The definitive Securities and coupons, if any, shall be printed, lithographed or engraved on steel engraved borders or may be produced in any other manner, all as determined 13</w:t>
      </w:r>
    </w:p>
    <w:p>
      <w:pPr>
        <w:sectPr>
          <w:pgSz w:w="11900" w:h="16838" w:orient="portrait"/>
          <w:cols w:equalWidth="0" w:num="1">
            <w:col w:w="10159"/>
          </w:cols>
          <w:pgMar w:left="300" w:top="317" w:right="1440" w:bottom="1440" w:gutter="0" w:footer="0" w:header="0"/>
        </w:sectPr>
      </w:pPr>
    </w:p>
    <w:bookmarkStart w:id="141" w:name="page142"/>
    <w:bookmarkEnd w:id="141"/>
    <w:p>
      <w:pPr>
        <w:jc w:val="center"/>
        <w:ind w:right="1639"/>
        <w:spacing w:after="0" w:line="268" w:lineRule="auto"/>
        <w:rPr>
          <w:sz w:val="20"/>
          <w:szCs w:val="20"/>
          <w:color w:val="auto"/>
        </w:rPr>
      </w:pPr>
      <w:r>
        <w:rPr>
          <w:rFonts w:ascii="Courier New" w:cs="Courier New" w:eastAsia="Courier New" w:hAnsi="Courier New"/>
          <w:sz w:val="16"/>
          <w:szCs w:val="16"/>
          <w:color w:val="auto"/>
        </w:rPr>
        <w:t>by the officers executing such Securities and coupons, if any, as evidenced by their execution of such Securities and coupons, if any. Section 2.2. Form of Trustee's Certificate of Authentication. The Trustee's certificate of authentication shall be in substantially the following form: This is one of the Securities of the series described in the within-mentioned Indenture. Dated: THE BANK OF NEW YORK TRUST COMPANY, N.A., as Trustee By: ----------------------------</w:t>
      </w:r>
    </w:p>
    <w:p>
      <w:pPr>
        <w:ind w:left="420"/>
        <w:spacing w:after="0" w:line="234" w:lineRule="auto"/>
        <w:rPr>
          <w:sz w:val="20"/>
          <w:szCs w:val="20"/>
          <w:color w:val="auto"/>
        </w:rPr>
      </w:pPr>
      <w:r>
        <w:rPr>
          <w:rFonts w:ascii="Courier New" w:cs="Courier New" w:eastAsia="Courier New" w:hAnsi="Courier New"/>
          <w:sz w:val="18"/>
          <w:szCs w:val="18"/>
          <w:color w:val="auto"/>
        </w:rPr>
        <w:t>--------- Authorized Signatory Section 2.3. Securities in Global Form. If</w:t>
      </w:r>
    </w:p>
    <w:p>
      <w:pPr>
        <w:spacing w:after="0" w:line="5" w:lineRule="exact"/>
        <w:rPr>
          <w:sz w:val="20"/>
          <w:szCs w:val="20"/>
          <w:color w:val="auto"/>
        </w:rPr>
      </w:pPr>
    </w:p>
    <w:p>
      <w:pPr>
        <w:jc w:val="center"/>
        <w:ind w:right="1639"/>
        <w:spacing w:after="0" w:line="269" w:lineRule="auto"/>
        <w:rPr>
          <w:sz w:val="20"/>
          <w:szCs w:val="20"/>
          <w:color w:val="auto"/>
        </w:rPr>
      </w:pPr>
      <w:r>
        <w:rPr>
          <w:rFonts w:ascii="Courier New" w:cs="Courier New" w:eastAsia="Courier New" w:hAnsi="Courier New"/>
          <w:sz w:val="16"/>
          <w:szCs w:val="16"/>
          <w:color w:val="auto"/>
        </w:rPr>
        <w:t>Securities of or within a series are issuable in whole or in part in global form, any such Security may provide that it shall represent the aggregate or specified amount of Outstanding Securities from time to time endorsed thereon and may also provide that the aggregate amount of Outstanding Securities represented thereby may from time to time be reduced to reflect exchanges. Any endorsement of a Security in global form to reflect the amount, or any increase or decrease in the amount, or changes in the rights of Holders, of Outstanding Securities represented thereby, shall be made in such manner and by such Person or Persons as shall be specified therein or pursuant to Section 3.1 or in the Company Order to be delivered to the Trustee pursuant to Section 3.3 or 3.4. Subject to the provisions of Section 3.3 and, if applicable, Section 3.4, the Trustee shall deliver and redeliver any Security in permanent global form in the manner and upon instructions given by the Person or Persons specified therein or pursuant to Section 3.1 or in the applicable Company Order. Any instructions by the Company with respect to endorsement or delivery or redelivery of a Security in global form shall be in writing but need not comply with Section 1.2 hereof and need not be accompanied by an Opinion of Counsel. The provisions of the last paragraph of Section 3.3 shall apply to any Security in global form if such Security was never issued and sold by the Company and the Company delivers to the Trustee the Security in global form together with written instructions (which need not comply with Section 1.2 and need not be accompanied by an Opinion of Counsel) with regard to the reduction in the principal amount of Securities represented thereby, together with the written statement contemplated by the last paragraph of Section 3.3. Notwithstanding the provisions of Section 2.1 and 3.7, unless otherwise specified as contemplated by Section 3.1, payment of principal of, premium, if any, and interest on any Security in permanent global form shall be made to the Person or Persons specified therein. 14</w:t>
      </w:r>
    </w:p>
    <w:p>
      <w:pPr>
        <w:sectPr>
          <w:pgSz w:w="11900" w:h="16838" w:orient="portrait"/>
          <w:cols w:equalWidth="0" w:num="1">
            <w:col w:w="10159"/>
          </w:cols>
          <w:pgMar w:left="300" w:top="317" w:right="1440" w:bottom="1440" w:gutter="0" w:footer="0" w:header="0"/>
        </w:sectPr>
      </w:pPr>
    </w:p>
    <w:bookmarkStart w:id="142" w:name="page143"/>
    <w:bookmarkEnd w:id="142"/>
    <w:p>
      <w:pPr>
        <w:jc w:val="center"/>
        <w:ind w:right="1639"/>
        <w:spacing w:after="0" w:line="269" w:lineRule="auto"/>
        <w:rPr>
          <w:sz w:val="20"/>
          <w:szCs w:val="20"/>
          <w:color w:val="auto"/>
        </w:rPr>
      </w:pPr>
      <w:r>
        <w:rPr>
          <w:rFonts w:ascii="Courier New" w:cs="Courier New" w:eastAsia="Courier New" w:hAnsi="Courier New"/>
          <w:sz w:val="16"/>
          <w:szCs w:val="16"/>
          <w:color w:val="auto"/>
        </w:rPr>
        <w:t>Section 2.4. Form of Legend for Securities in Global Form. Any Security in global form authenticated and delivered hereunder shall bear a legend in substantially the following form and such other legends as may be approved by the officers executing such Security, as evidenced by their execution thereof: This Security is in global form within the meaning of the Indenture hereinafter referred to and is registered in the name of a Depository or a nominee of a Depository. Unless and until it is exchanged in whole or in part for Securities in certificated form, this Security may not be transferred except as a whole by the Depository to a nominee of the Depository or by a nominee of the Depository to the Depository or another nominee of the Depository or by the Depository or any such nominee to a successor Depository or a nominee of such successor Depository. ARTICLE 3 THE SECURITIES Section 3.1. Amount Unlimited; Issuable in Series. (a) The aggregate principal amount of Securities which may be authenticated and delivered under this Indenture is unlimited. The Securities may be issued from time to time in one or more series. (b) The following matters shall be established with respect to each series of Securities issued hereunder (i) by a Board Resolution, (ii) by action taken pursuant to a Board Resolution and (subject to Section 3.3) set forth, or determined in the manner provided, in an Officers' Certificate or (iii) in one or more indentures supplemental hereto: (1) the title of the Securities of the series, including CUSIP Numbers (which title shall distinguish the Securities of the series from all other series of Securities); (2) any limit upon the aggregate principal amount of the Securities of the series which may be authenticated and delivered under this Indenture (which limit shall not pertain to Securities authenticated and delivered upon registration of transfer of, or in exchange for, or in lieu of, other Securities of the series pursuant to Section 3.4, 3.5, 3.6, 8.6, or 10.7 or upon the Company's repurchase of any Securities in part at the option of the Holders thereof); (3) the date or dates on which the principal of and premium, if any, on the Securities of the series is payable or the method of determination thereof; (4) the rate or rates (which may be fixed, variable or zero) at which the Securities of the series shall bear interest, if any, or the method of calculating such rate or rates of interest; (5) the date or dates from which interest, if any, shall accrue or the method by which such date or dates shall be determined; 15</w:t>
      </w:r>
    </w:p>
    <w:p>
      <w:pPr>
        <w:sectPr>
          <w:pgSz w:w="11900" w:h="16838" w:orient="portrait"/>
          <w:cols w:equalWidth="0" w:num="1">
            <w:col w:w="10159"/>
          </w:cols>
          <w:pgMar w:left="300" w:top="317" w:right="1440" w:bottom="1440" w:gutter="0" w:footer="0" w:header="0"/>
        </w:sectPr>
      </w:pPr>
    </w:p>
    <w:bookmarkStart w:id="143" w:name="page144"/>
    <w:bookmarkEnd w:id="143"/>
    <w:p>
      <w:pPr>
        <w:ind w:left="100" w:right="1739" w:firstLine="212"/>
        <w:spacing w:after="0" w:line="268" w:lineRule="auto"/>
        <w:tabs>
          <w:tab w:leader="none" w:pos="732"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 Payment Dates on which any such interest, if any, shall be payable and, with respect to Registered Securities, the Regular Record Date, if</w:t>
      </w:r>
    </w:p>
    <w:p>
      <w:pPr>
        <w:jc w:val="center"/>
        <w:ind w:right="1639"/>
        <w:spacing w:after="0" w:line="269" w:lineRule="auto"/>
        <w:rPr>
          <w:sz w:val="20"/>
          <w:szCs w:val="20"/>
          <w:color w:val="auto"/>
        </w:rPr>
      </w:pPr>
      <w:r>
        <w:rPr>
          <w:rFonts w:ascii="Courier New" w:cs="Courier New" w:eastAsia="Courier New" w:hAnsi="Courier New"/>
          <w:sz w:val="16"/>
          <w:szCs w:val="16"/>
          <w:color w:val="auto"/>
        </w:rPr>
        <w:t>any, for the interest payable on any Registered Security on any Interest Payment Date; (7) each Place of Payment for the Securities of the series; (8) the period or periods within which, the price or prices at which, the currency (if other than Dollars) in which, and the other terms and conditions upon which, Securities of the series may be redeemed, in whole or in part, at the option of the Company and, if other than as provided in Section 10.3, the manner in which the particular Securities of such series (if less than all Securities of such series are to be redeemed) are to be selected for redemption; (9) the obligation, if any, of the Company to redeem or purchase Securities of the series pursuant to any sinking fund or analogous provisions or upon the happening of a specified event or at the option of a Holder thereof and the period or periods within which, the price or prices at which, and the other terms and conditions upon which, Securities of the series shall be redeemed or purchased, in whole or in part, pursuant to such obligation; (10) if other than denominations of $1,000 and any integral multiple thereof, if Registered Securities, and if other than the denomination of $5,000, if Bearer Securities, the denominations in which Securities of the series shall be issuable; (11) if other than Dollars, the currency for which the Securities of the series may be purchased or in which the Securities of the series shall be denominated and/or the currency in which the principal of, premium, if any, and interest, if any, on the Securities of the series shall be payable and the particular provisions applicable thereto in accordance with, in addition to, or in lieu of the provisions of this Indenture;</w:t>
      </w:r>
    </w:p>
    <w:p>
      <w:pPr>
        <w:spacing w:after="0" w:line="191" w:lineRule="exact"/>
        <w:rPr>
          <w:sz w:val="20"/>
          <w:szCs w:val="20"/>
          <w:color w:val="auto"/>
        </w:rPr>
      </w:pPr>
    </w:p>
    <w:p>
      <w:pPr>
        <w:jc w:val="both"/>
        <w:ind w:left="40" w:right="1679" w:firstLine="9"/>
        <w:spacing w:after="0" w:line="268" w:lineRule="auto"/>
        <w:tabs>
          <w:tab w:leader="none" w:pos="567"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amount of payments of principal of, or premium, if any, or interest, if any, on the Securities of the series shall be determined with reference to an</w:t>
      </w:r>
    </w:p>
    <w:p>
      <w:pPr>
        <w:jc w:val="center"/>
        <w:ind w:right="1639" w:firstLine="263"/>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index, formula or other method (which index, formula or method may be based, without limitation, on a currency or currencies (including currency unit or units) other than that in which the Securities of the series are denominated or designated to be payable), the index, formula or other method by which such amount shall be determined; (13) if the amount of payments of principal, premium, if any, or interest, if any, on the Securities of the series shall be determined with reference to an index, formula or other method based on the prices of securities or commodities, with reference to changes in the prices of securities or commodities or otherwise by application of a formula, the index, formula or other method by which such amount shall be determined; (14) if other than the entire principal amount thereof, the portion of the principal amount of such Securities of the series which shall be payable upon declaration of acceleration thereof pursuant to Section 5.2 or the method by which such portion shall be</w:t>
      </w:r>
    </w:p>
    <w:p>
      <w:pPr>
        <w:spacing w:after="0" w:line="181" w:lineRule="exact"/>
        <w:rPr>
          <w:sz w:val="20"/>
          <w:szCs w:val="20"/>
          <w:color w:val="auto"/>
        </w:rPr>
      </w:pPr>
    </w:p>
    <w:p>
      <w:pPr>
        <w:ind w:left="3520"/>
        <w:spacing w:after="0"/>
        <w:rPr>
          <w:sz w:val="20"/>
          <w:szCs w:val="20"/>
          <w:color w:val="auto"/>
        </w:rPr>
      </w:pPr>
      <w:r>
        <w:rPr>
          <w:rFonts w:ascii="Courier New" w:cs="Courier New" w:eastAsia="Courier New" w:hAnsi="Courier New"/>
          <w:sz w:val="18"/>
          <w:szCs w:val="18"/>
          <w:color w:val="auto"/>
        </w:rPr>
        <w:t>determined; 16</w:t>
      </w:r>
    </w:p>
    <w:p>
      <w:pPr>
        <w:sectPr>
          <w:pgSz w:w="11900" w:h="16838" w:orient="portrait"/>
          <w:cols w:equalWidth="0" w:num="1">
            <w:col w:w="10159"/>
          </w:cols>
          <w:pgMar w:left="300" w:top="317" w:right="1440" w:bottom="1440" w:gutter="0" w:footer="0" w:header="0"/>
        </w:sectPr>
      </w:pPr>
    </w:p>
    <w:bookmarkStart w:id="144" w:name="page145"/>
    <w:bookmarkEnd w:id="144"/>
    <w:p>
      <w:pPr>
        <w:ind w:left="44" w:right="1639" w:hanging="44"/>
        <w:spacing w:after="0" w:line="268" w:lineRule="auto"/>
        <w:tabs>
          <w:tab w:leader="none" w:pos="518"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as provided in Section 3.7, the Person to whom any interest on any Registered Security of the series shall be payable and the manner in which, or the Person to whom, any interest on any Bearer Securities of the series shall</w:t>
      </w:r>
    </w:p>
    <w:p>
      <w:pPr>
        <w:jc w:val="center"/>
        <w:ind w:left="44" w:right="1679" w:firstLine="10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 payable; (16) provisions, if any, granting special rights to the Holders of Securities of the series upon the occurrence of such events as may be specified;</w:t>
      </w:r>
    </w:p>
    <w:p>
      <w:pPr>
        <w:jc w:val="both"/>
        <w:ind w:left="104" w:right="1679" w:hanging="51"/>
        <w:spacing w:after="0" w:line="268" w:lineRule="auto"/>
        <w:tabs>
          <w:tab w:leader="none" w:pos="578"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addition to or modification or deletion of any Events of Default or any covenants of the Company pertaining to the Securities of the series; (18) under</w:t>
      </w:r>
    </w:p>
    <w:p>
      <w:pPr>
        <w:ind w:left="364"/>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what circumstances, if any, the Company will pay Additional Amounts on the</w:t>
      </w:r>
    </w:p>
    <w:p>
      <w:pPr>
        <w:spacing w:after="0" w:line="5" w:lineRule="exact"/>
        <w:rPr>
          <w:sz w:val="20"/>
          <w:szCs w:val="20"/>
          <w:color w:val="auto"/>
        </w:rPr>
      </w:pPr>
    </w:p>
    <w:p>
      <w:pPr>
        <w:jc w:val="center"/>
        <w:ind w:left="300"/>
        <w:spacing w:after="0" w:line="269" w:lineRule="auto"/>
        <w:rPr>
          <w:sz w:val="20"/>
          <w:szCs w:val="20"/>
          <w:color w:val="auto"/>
        </w:rPr>
      </w:pPr>
      <w:r>
        <w:rPr>
          <w:rFonts w:ascii="Courier New" w:cs="Courier New" w:eastAsia="Courier New" w:hAnsi="Courier New"/>
          <w:sz w:val="16"/>
          <w:szCs w:val="16"/>
          <w:color w:val="auto"/>
        </w:rPr>
        <w:t>Securities of that series held by a Person who is not a U.S. Person in respect of taxes, assessments or similar governmental charges withheld or deducted and, if so, whether the Company will have the option to redeem such Securities rather than pay such Additional Amounts (and the terms of any such option); (19) whether Securities of the series shall be issuable as Registered Securities or Bearer Securities (with or without interest coupons), or both, and any restrictions applicable to the offering, sale or delivery of Bearer Securities and, if other than as provided in Section 3.5, the terms upon which Bearer Securities of a series may be exchanged for Registered Securities of the same series and vice versa; (20) the date as of which any Bearer Securities of the series and any temporary global Security representing Outstanding Securities of the series shall be dated if other than the date of original issuance of the first Security of the series to be issued; (21) the forms of the Securities and coupons, if any, of the series; (22) if either or both of Section 4.4 relating to defeasance or Section 4.5 relating to covenant defeasance shall not be applicable to the Securities of such series, or, if such defeasance or covenant defeasance shall be applicable to the Securities of such series, any covenants in addition to those specified in Section 4.5 relating to the Securities of such series which shall be subject to covenant defeasance and any deletions from, or modifications or additions to, the provisions of Article 4 in respect of the Securities of such series or such other means of defeasance or covenant defeasance as may be specified for the Securities of such series; (23) if other than the Trustee, the identity of the Registrar and any Paying Agent; (24) if the Securities of the series shall be issued in whole or in part in global form, (i) the Depository for such global Securities, (ii) whether beneficial owners of interests in any Securities of the series in global form may exchange such interests for certificated Securities of such series and of like tenor of any authorized form and denomination, and (iii) if other than as provided in Section 3.5, the circumstances under which any such exchange may occur; and 17</w:t>
      </w:r>
    </w:p>
    <w:p>
      <w:pPr>
        <w:sectPr>
          <w:pgSz w:w="11900" w:h="16838" w:orient="portrait"/>
          <w:cols w:equalWidth="0" w:num="1">
            <w:col w:w="10163"/>
          </w:cols>
          <w:pgMar w:left="296" w:top="317" w:right="1440" w:bottom="1440" w:gutter="0" w:footer="0" w:header="0"/>
        </w:sectPr>
      </w:pPr>
    </w:p>
    <w:bookmarkStart w:id="145" w:name="page146"/>
    <w:bookmarkEnd w:id="145"/>
    <w:p>
      <w:pPr>
        <w:jc w:val="both"/>
        <w:ind w:left="100" w:right="1739" w:firstLine="1"/>
        <w:spacing w:after="0" w:line="268" w:lineRule="auto"/>
        <w:tabs>
          <w:tab w:leader="none" w:pos="627"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the Securities of such series and any deletions from or modifications or additions to this Indenture in respect of such Securities. (c)</w:t>
      </w:r>
    </w:p>
    <w:p>
      <w:pPr>
        <w:jc w:val="both"/>
        <w:ind w:right="1639" w:firstLine="53"/>
        <w:spacing w:after="0" w:line="268" w:lineRule="auto"/>
        <w:rPr>
          <w:sz w:val="20"/>
          <w:szCs w:val="20"/>
          <w:color w:val="auto"/>
        </w:rPr>
      </w:pPr>
      <w:r>
        <w:rPr>
          <w:rFonts w:ascii="Courier New" w:cs="Courier New" w:eastAsia="Courier New" w:hAnsi="Courier New"/>
          <w:sz w:val="16"/>
          <w:szCs w:val="16"/>
          <w:color w:val="auto"/>
        </w:rPr>
        <w:t>All Securities of any one series and coupons, if any, appertaining to any Bearer Securities of such series shall be substantially identical except, in the case of Registered Securities, as to denomination and except as may otherwise be provided</w:t>
      </w:r>
    </w:p>
    <w:p>
      <w:pPr>
        <w:spacing w:after="0" w:line="1" w:lineRule="exact"/>
        <w:rPr>
          <w:sz w:val="20"/>
          <w:szCs w:val="20"/>
          <w:color w:val="auto"/>
        </w:rPr>
      </w:pPr>
    </w:p>
    <w:p>
      <w:pPr>
        <w:ind w:right="1639" w:firstLine="154"/>
        <w:spacing w:after="0" w:line="268" w:lineRule="auto"/>
        <w:tabs>
          <w:tab w:leader="none" w:pos="579"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 Board Resolution, (ii) by action taken pursuant to a Board Resolution and (subject to Section 3.3) set forth, or determined in the manner provided, in the related Officers' Certificate or (iii) in an indenture supplemental hereto. All Securities of any one series need not be issued at the same time and, unless otherwise provided, a series may be reopened, without the consent of the Holders, for issuances of additional Securities of such series. (d) If any of the terms of the Securities of any series are established by action taken pursuant to a Board Resolution, a copy of such Board Resolution shall be certified by the Secretary or an Assistant Secretary of the Company and delivered to the Trustee at or prior</w:t>
      </w:r>
    </w:p>
    <w:p>
      <w:pPr>
        <w:spacing w:after="0" w:line="1" w:lineRule="exact"/>
        <w:rPr>
          <w:rFonts w:ascii="Courier New" w:cs="Courier New" w:eastAsia="Courier New" w:hAnsi="Courier New"/>
          <w:sz w:val="16"/>
          <w:szCs w:val="16"/>
          <w:color w:val="auto"/>
        </w:rPr>
      </w:pPr>
    </w:p>
    <w:p>
      <w:pPr>
        <w:jc w:val="center"/>
        <w:ind w:right="1639" w:firstLine="263"/>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the delivery of the Officers' Certificate setting forth, or providing the manner for determining, the terms of the Securities of such series, and an appropriate record of any action taken pursuant thereto in connection with the issuance of any Securities of such series shall be delivered to the Trustee prior to the authentication and delivery thereof. Section 3.2. Denominations. Unless otherwise provided as contemplated by Section 3.1, any Registered Securities of a series shall be issuable in denominations of $1,000 and any integral multiple thereof and any Bearer Securities of a series shall be issuable in denominations of $5,000. Section 3.3. Execution, Authentication, Delivery and Dating. Securities shall be executed on behalf of the Company by two Officers. The Company's seal shall be reproduced on the Securities. The signatures of any of these Officers on the Securities may be manual or facsimile. The coupons, if any, of Bearer Securities shall bear the facsimile signature of two Officers. 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At any time and from time to time, the Company may deliver Securities, together with any coupons appertaining thereto, of any series executed by the Company to the Trustee for authentication, together with a Company Order for the authentication and delivery of such Securities, and the Trustee in accordance with the Company Order shall authenticate and deliver such Securities; provided, however, that in the case of Securities offered in a Periodic Offering, the Trustee shall authenticate and deliver such Securities from time to time in accordance with such other procedures (including, without limitation, the receipt by the Trustee of oral or electronic instructions from the Company or its duly authorized agents, promptly confirmed in writing) acceptable to the Trustee as may be specified by or pursuant to a Company Order delivered to the Trustee prior to the time of the</w:t>
      </w:r>
    </w:p>
    <w:p>
      <w:pPr>
        <w:spacing w:after="0" w:line="38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first authentication of Securities of such series. 18</w:t>
      </w:r>
    </w:p>
    <w:p>
      <w:pPr>
        <w:sectPr>
          <w:pgSz w:w="11900" w:h="16838" w:orient="portrait"/>
          <w:cols w:equalWidth="0" w:num="1">
            <w:col w:w="10159"/>
          </w:cols>
          <w:pgMar w:left="300" w:top="317" w:right="1440" w:bottom="1440" w:gutter="0" w:footer="0" w:header="0"/>
        </w:sectPr>
      </w:pPr>
    </w:p>
    <w:bookmarkStart w:id="146" w:name="page147"/>
    <w:bookmarkEnd w:id="146"/>
    <w:p>
      <w:pPr>
        <w:jc w:val="center"/>
        <w:ind w:right="1639"/>
        <w:spacing w:after="0" w:line="268" w:lineRule="auto"/>
        <w:rPr>
          <w:sz w:val="20"/>
          <w:szCs w:val="20"/>
          <w:color w:val="auto"/>
        </w:rPr>
      </w:pPr>
      <w:r>
        <w:rPr>
          <w:rFonts w:ascii="Courier New" w:cs="Courier New" w:eastAsia="Courier New" w:hAnsi="Courier New"/>
          <w:sz w:val="16"/>
          <w:szCs w:val="16"/>
          <w:color w:val="auto"/>
        </w:rPr>
        <w:t>If the form or terms of the Securities of a series have been established by or pursuant to one or more Board Resolutions as permitted by Sections 2.1 and 3.1, in authenticating such Securities and accepting the additional responsibilities under this Indenture in relation to such Securities, the Trustee shall be entitled to receive, and (subject to Sections 315(a) through (d) of the Trust Indenture Act) shall be fully protected in relying upon, an Opinion of Counsel stating: (1) if the forms of such Securities and any coupons have been established by or pursuant to a Board Resolution as permitted by Section 2.1, that such forms have been established in conformity with the provisions of this Indenture; (2) if the terms of such Securities and any coupons have been established by or pursuant to a Board Resolution as permitted by Section 3.1, that such terms have been, or in the case of Securities of a series offered in a Periodic Offering, will be, established in conformity with the provisions of this Indenture, subject in the case of Securities offered in a Periodic Offering, to any conditions specified in such Opinion of Counsel; and (3) that such Securities together with any coupons appertaining thereto,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other similar laws of general applicability relating to or affecting the enforcement of creditors' rights and to general equity principles. Notwithstanding that such form or terms have been so established, the Trustee shall have the right to decline to authenticate such Securities if, in the written opinion of counsel to the Trustee (which counsel may be an employee of the Trustee) reasonably acceptable to the Company, the issue of such Securities pursuant to this Indenture will adversely affect the Trustee's own rights, duties or immunities under this Indenture or otherwise in a manner which is not reasonably acceptable to the Trustee. Notwithstanding the provisions of Section 3.1 and of the two preceding paragraphs, if all of the Securities of any series are not to be issued at one time, it shall not be necessary to deliver the Officers' Certificate otherwise required pursuant to Section 3.1 or the Company Order and Opinion of Counsel otherwise required pursuant to the two preceding paragraphs in connection with the authentication of each Security of such series if such documents, with appropriate modifications to cover such future issuances, are delivered at or prior to the authentication upon original issuance of the first Security of such series to be issued. With respect to Securities of a series offered in a Periodic Offering, the Trustee may rely, as to the authorization by the Company of any of such Securities, the form and terms thereof and the legality, validity, binding effect and enforceability thereof, upon the Opinion of Counsel and the other documents delivered pursuant to Sections 2.1 and 3.1 and this Section, as applicable, in connection with the first authentication of Securities of such series. 19</w:t>
      </w:r>
    </w:p>
    <w:p>
      <w:pPr>
        <w:sectPr>
          <w:pgSz w:w="11900" w:h="16838" w:orient="portrait"/>
          <w:cols w:equalWidth="0" w:num="1">
            <w:col w:w="10159"/>
          </w:cols>
          <w:pgMar w:left="300" w:top="317" w:right="1440" w:bottom="1440" w:gutter="0" w:footer="0" w:header="0"/>
        </w:sectPr>
      </w:pPr>
    </w:p>
    <w:bookmarkStart w:id="147" w:name="page148"/>
    <w:bookmarkEnd w:id="147"/>
    <w:p>
      <w:pPr>
        <w:jc w:val="center"/>
        <w:ind w:right="1639"/>
        <w:spacing w:after="0" w:line="268" w:lineRule="auto"/>
        <w:rPr>
          <w:sz w:val="20"/>
          <w:szCs w:val="20"/>
          <w:color w:val="auto"/>
        </w:rPr>
      </w:pPr>
      <w:r>
        <w:rPr>
          <w:rFonts w:ascii="Courier New" w:cs="Courier New" w:eastAsia="Courier New" w:hAnsi="Courier New"/>
          <w:sz w:val="16"/>
          <w:szCs w:val="16"/>
          <w:color w:val="auto"/>
        </w:rPr>
        <w:t>If the Company shall establish pursuant to Section 3.1 that the Securities of a series are to be issued in whole or in part in global form, then the Company shall execute and the Trustee shall, in accordance with this Section and the Company Order with respect to such series, authenticate and deliver one or more Securities in global form that (i) shall represent and shall be denominated in an amount equal to the aggregate principal amount of the Outstanding Securities of such series to be represented by such Security or Securities in global form, (ii) shall be registered, if a Registered Security, in the name of the Depository for such Security or Securities in global form or the nominee of such Depository,</w:t>
      </w:r>
    </w:p>
    <w:p>
      <w:pPr>
        <w:spacing w:after="0" w:line="2" w:lineRule="exact"/>
        <w:rPr>
          <w:sz w:val="20"/>
          <w:szCs w:val="20"/>
          <w:color w:val="auto"/>
        </w:rPr>
      </w:pPr>
    </w:p>
    <w:p>
      <w:pPr>
        <w:jc w:val="both"/>
        <w:ind w:left="100" w:right="1739" w:firstLine="54"/>
        <w:spacing w:after="0" w:line="268" w:lineRule="auto"/>
        <w:tabs>
          <w:tab w:leader="none" w:pos="785"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be delivered by the Trustee to such Depository or pursuant to such Depository's instruction and (iv) shall bear the legend contemplated by Section</w:t>
      </w:r>
    </w:p>
    <w:p>
      <w:pPr>
        <w:spacing w:after="0"/>
        <w:rPr>
          <w:sz w:val="20"/>
          <w:szCs w:val="20"/>
          <w:color w:val="auto"/>
        </w:rPr>
      </w:pPr>
      <w:r>
        <w:rPr>
          <w:rFonts w:ascii="Courier New" w:cs="Courier New" w:eastAsia="Courier New" w:hAnsi="Courier New"/>
          <w:sz w:val="16"/>
          <w:szCs w:val="16"/>
          <w:color w:val="auto"/>
        </w:rPr>
        <w:t>2.4. Each Depository designated pursuant to Section 3.1 for a Registered Security</w:t>
      </w:r>
    </w:p>
    <w:p>
      <w:pPr>
        <w:spacing w:after="0" w:line="21" w:lineRule="exact"/>
        <w:rPr>
          <w:sz w:val="20"/>
          <w:szCs w:val="20"/>
          <w:color w:val="auto"/>
        </w:rPr>
      </w:pPr>
    </w:p>
    <w:p>
      <w:pPr>
        <w:jc w:val="center"/>
        <w:ind w:right="1639"/>
        <w:spacing w:after="0" w:line="268" w:lineRule="auto"/>
        <w:rPr>
          <w:sz w:val="20"/>
          <w:szCs w:val="20"/>
          <w:color w:val="auto"/>
        </w:rPr>
      </w:pPr>
      <w:r>
        <w:rPr>
          <w:rFonts w:ascii="Courier New" w:cs="Courier New" w:eastAsia="Courier New" w:hAnsi="Courier New"/>
          <w:sz w:val="16"/>
          <w:szCs w:val="16"/>
          <w:color w:val="auto"/>
        </w:rPr>
        <w:t>in global form must, at the time of its designation and at all times while it serves as Depository, be a clearing agency registered under the Securities Exchange Act of 1934 or any successor thereto (if so required by applicable law or regulation) and any other applicable statute or regulation. The Trustee shall have no responsibility to determine if the Depository is so registered. Each Registered Security shall be dated the date of its authentication and each Bearer Security shall be dated as of the date specified as contemplated by Section 3.1. No Security or coupon appertaining thereto shall be entitled to any benefits under this Indenture or be valid or obligatory for any purpose until authenticated by the manual signature of one of the authorized signatories of the Trustee or an Authenticating Agent and no coupon shall be valid until the Security to which it appertains has been so authenticated. Such signature upon any Security shall be conclusive evidence, and the only evidence, that such Security has been duly authenticated and delivered under this Indenture and is entitled to the benefits of this Indenture. Except as permitted by Section 3.6 or 3.7, the Trustee shall not authenticate and deliver any Bearer Security unless all appurtenant coupons for interest then matured have been detached and canceled. Notwithstanding the foregoing, if any Security shall have been authenticated and delivered hereunder but never issued and sold by the Company, and the Company shall deliver such Security to the Trustee for cancellation as provided in Section 3.9 together with a written statement (which need not comply with Section 1.2 and need not be accompanied by an Opinion of Counsel) stating that such Security has never been issued and sold by the Company, for all purposes of this Indenture such Security shall be deemed never to have been authenticated and delivered hereunder and shall not be entitled to the benefits of this Indenture. Section 3.4. Temporary Securities. Pending the preparation of definitive Securities of any series, the Company may execute and, upon Company Order, the Trustee shall authenticate and deliver temporary Securities of such series which are printed, lithographed, typewritten, mimeographed or otherwise produced, in any authorized denomination, substantially of the tenor and form, with or without coupons, of the definitive Securities in lieu of which they are issued and with such appropriate insertions, omissions, substitutions and other variations as the officers executing such Securities may determine, as conclusively evidenced by their execution of such Securities and coupons, if any. In the case of Securities of any series, such temporary Securities may be in global form, representing all or a portion of the Outstanding Securities of such series. 20</w:t>
      </w:r>
    </w:p>
    <w:p>
      <w:pPr>
        <w:sectPr>
          <w:pgSz w:w="11900" w:h="16838" w:orient="portrait"/>
          <w:cols w:equalWidth="0" w:num="1">
            <w:col w:w="10159"/>
          </w:cols>
          <w:pgMar w:left="300" w:top="317" w:right="1440" w:bottom="1440" w:gutter="0" w:footer="0" w:header="0"/>
        </w:sectPr>
      </w:pPr>
    </w:p>
    <w:bookmarkStart w:id="148" w:name="page149"/>
    <w:bookmarkEnd w:id="148"/>
    <w:p>
      <w:pPr>
        <w:jc w:val="center"/>
        <w:ind w:right="1639"/>
        <w:spacing w:after="0" w:line="268" w:lineRule="auto"/>
        <w:rPr>
          <w:sz w:val="20"/>
          <w:szCs w:val="20"/>
          <w:color w:val="auto"/>
        </w:rPr>
      </w:pPr>
      <w:r>
        <w:rPr>
          <w:rFonts w:ascii="Courier New" w:cs="Courier New" w:eastAsia="Courier New" w:hAnsi="Courier New"/>
          <w:sz w:val="16"/>
          <w:szCs w:val="16"/>
          <w:color w:val="auto"/>
        </w:rPr>
        <w:t>Except in the case of temporary Securities in global form, each of which shall be exchanged in accordance with the provisions thereof, if temporary Securities of any series are issued, the Company will cause definitive Securities of such series to be prepared without unreasonable delay. After preparation of definitive Securities of such series, the temporary Securities of such series shall be exchangeable for definitive Securities of such series upon surrender of the temporary Securities of such series at the office or agency of the Company pursuant to Section 9.2 in a Place of Payment for such series, without charge to the Holder. Upon surrender for cancellation of any one or more temporary Securities of any series (accompanied by any unmatured coupons appertaining thereto), the Company shall execute and the Trustee shall authenticate and deliver in exchange therefor a like principal amount of definitive Securities of the same series of authorized denominations and of like tenor; provided, however, that no definitive Bearer Security shall be delivered in exchange for a temporary Registered Security; and provided further that no definitive Bearer Security shall be delivered in exchange for a temporary Bearer Security unless the Trustee shall have received from the Person entitled to receive the definitive Bearer Security a certificate substantially in the form approved in or pursuant to the Board Resolutions relating thereto and such delivery shall occur only outside the United States. Until so exchanged, the temporary Securities of any series shall in all respects be entitled to the same benefits under this Indenture as definitive Securities of such series except as otherwise specified as contemplated by Section 3.1. Section 3.5. Registration, Transfer and Exchange. The Company shall cause to be kept at the Corporate Trust Office of the Trustee or in any office or agency to be maintained by the Company in accordance with Section 9.2 in a Place of Payment a register (the "Register") in which, subject to such reasonable regulations as it may prescribe, the Company shall provide for the registration of Registered Securities and the registration of transfers of Registered Securities. The Register shall be in written form or any other form capable of being converted into written form within a reasonable time. The Trustee is hereby appointed "Registrar" for the purpose of registering Registered Securities and transfers of Registered Securities as herein provided. Upon surrender for registration of transfer of any Registered Security of any series at the office or agency maintained pursuant to Section 9.2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containing identical terms and provisions. Bearer Securities or any coupons appertaining thereto shall be transferable by delivery. At the option of the Holder, Registered Securities of any series may be exchanged for other Registered Securities of the same series, of any authorized denominations and of a like aggregate principal amount containing identical terms and provisions, upon surrender of the Registered Securities to be exchanged at such office or agency. Whenever any Registered Securities are so surrendered for exchange, the Company shall execute, and the Trustee shall authenticate and deliver, the Registered Securities which the Holder making the exchange is entitled to receive. Unless otherwise specified as contemplated by Section 3.1, Bearer Securities may not be issued in exchange for Registered Securities. 21</w:t>
      </w:r>
    </w:p>
    <w:p>
      <w:pPr>
        <w:sectPr>
          <w:pgSz w:w="11900" w:h="16838" w:orient="portrait"/>
          <w:cols w:equalWidth="0" w:num="1">
            <w:col w:w="10159"/>
          </w:cols>
          <w:pgMar w:left="300" w:top="317" w:right="1440" w:bottom="1440" w:gutter="0" w:footer="0" w:header="0"/>
        </w:sectPr>
      </w:pPr>
    </w:p>
    <w:bookmarkStart w:id="149" w:name="page150"/>
    <w:bookmarkEnd w:id="149"/>
    <w:p>
      <w:pPr>
        <w:jc w:val="center"/>
        <w:ind w:right="1639"/>
        <w:spacing w:after="0" w:line="235" w:lineRule="auto"/>
        <w:rPr>
          <w:sz w:val="20"/>
          <w:szCs w:val="20"/>
          <w:color w:val="auto"/>
        </w:rPr>
      </w:pPr>
      <w:r>
        <w:rPr>
          <w:rFonts w:ascii="Courier New" w:cs="Courier New" w:eastAsia="Courier New" w:hAnsi="Courier New"/>
          <w:sz w:val="18"/>
          <w:szCs w:val="18"/>
          <w:color w:val="auto"/>
        </w:rPr>
        <w:t>Unless otherwise specified as contemplated by Section 3.1, at the option of the Holder, Bearer Securities of such series may be exchanged for Registered</w:t>
      </w:r>
    </w:p>
    <w:p>
      <w:pPr>
        <w:spacing w:after="0" w:line="6" w:lineRule="exact"/>
        <w:rPr>
          <w:sz w:val="20"/>
          <w:szCs w:val="20"/>
          <w:color w:val="auto"/>
        </w:rPr>
      </w:pPr>
    </w:p>
    <w:p>
      <w:pPr>
        <w:jc w:val="center"/>
        <w:ind w:right="1639"/>
        <w:spacing w:after="0" w:line="268" w:lineRule="auto"/>
        <w:rPr>
          <w:sz w:val="20"/>
          <w:szCs w:val="20"/>
          <w:color w:val="auto"/>
        </w:rPr>
      </w:pPr>
      <w:r>
        <w:rPr>
          <w:rFonts w:ascii="Courier New" w:cs="Courier New" w:eastAsia="Courier New" w:hAnsi="Courier New"/>
          <w:sz w:val="16"/>
          <w:szCs w:val="16"/>
          <w:color w:val="auto"/>
        </w:rPr>
        <w:t>Securities (if the Securities of such series are issuable in registered form) or Bearer Securities (if Bearer Securities of such series are issuable in more than one denomination and such exchanges are permitted by such series) of the same series, of any authorized denominations and of like tenor and aggregate principal amount,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such exchange may be effected if the Bearer Securities are accompanied by payment in funds acceptable to the Company and the Trustee in an amount equal to the face amount of such missing coupon or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provided, however, that, except as otherwise provided in Section 9.2, interest represented by coupons shall be payable only upon presentation and surrender of those coupons at an office or agency located outside the United States. Notwithstanding the foregoing, in case any Bearer Security of any series is surrendered at any such office or agency in exchange for a Registered Security of the same series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date for payment of Defaulted Interest, such Bearer Security shall be surrendered without the coupon relating to such Interest Payment Date or proposed date of payment, as the case may be (or, if such coupon is so surrendered with such Bearer Security, such coupon shall be returned to the person so surrendering the Bearer Security),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 Notwithstanding any other provision of this Section, unless and until it is exchanged in whole or in part for Securities in definitive certificated form, a Security in global form representing all or a portion of the Securities of a series may not be transferred except as a whole by the Depository for such series to a nominee of such Depository or by a nominee of such Depository to such Depository or another nominee of such Depository or by such Depository or any such nominee to a successor Depository for such series or a nominee of such successor Depository. Unless otherwise specified pursuant to Section 3.1 with respect to the Securities of any series, a Security in global form will be exchangeable for certificated Securities of the same series in definitive form only if (i) the Depository for the Global Securities of such series notifies the Company that it is unwilling or unable to continue as Depository for the global Securities of such series or such Depository ceases to be a clearing agency registered as such under the Securities Exchange Act of 1934, as amended, or any successor thereto if so required by applicable law or regulation and, in either case, a successor Depository for such Securities 22</w:t>
      </w:r>
    </w:p>
    <w:p>
      <w:pPr>
        <w:sectPr>
          <w:pgSz w:w="11900" w:h="16838" w:orient="portrait"/>
          <w:cols w:equalWidth="0" w:num="1">
            <w:col w:w="10159"/>
          </w:cols>
          <w:pgMar w:left="300" w:top="317" w:right="1440" w:bottom="1440" w:gutter="0" w:footer="0" w:header="0"/>
        </w:sectPr>
      </w:pPr>
    </w:p>
    <w:bookmarkStart w:id="150" w:name="page151"/>
    <w:bookmarkEnd w:id="150"/>
    <w:p>
      <w:pPr>
        <w:jc w:val="center"/>
        <w:ind w:right="1639"/>
        <w:spacing w:after="0" w:line="268" w:lineRule="auto"/>
        <w:rPr>
          <w:sz w:val="20"/>
          <w:szCs w:val="20"/>
          <w:color w:val="auto"/>
        </w:rPr>
      </w:pPr>
      <w:r>
        <w:rPr>
          <w:rFonts w:ascii="Courier New" w:cs="Courier New" w:eastAsia="Courier New" w:hAnsi="Courier New"/>
          <w:sz w:val="16"/>
          <w:szCs w:val="16"/>
          <w:color w:val="auto"/>
        </w:rPr>
        <w:t>shall not have been appointed by the Company within 90 days after the Company receives such notice or becomes aware of such ineligibility, as the case may be,</w:t>
      </w:r>
    </w:p>
    <w:p>
      <w:pPr>
        <w:ind w:left="160" w:right="1779" w:firstLine="99"/>
        <w:spacing w:after="0" w:line="268" w:lineRule="auto"/>
        <w:tabs>
          <w:tab w:leader="none" w:pos="792"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in its sole discretion, determines that such Securities in global form shall be exchangeable for certificated Securities and executes and</w:t>
      </w:r>
    </w:p>
    <w:p>
      <w:pPr>
        <w:jc w:val="center"/>
        <w:ind w:right="1639"/>
        <w:spacing w:after="0" w:line="268" w:lineRule="auto"/>
        <w:rPr>
          <w:sz w:val="20"/>
          <w:szCs w:val="20"/>
          <w:color w:val="auto"/>
        </w:rPr>
      </w:pPr>
      <w:r>
        <w:rPr>
          <w:rFonts w:ascii="Courier New" w:cs="Courier New" w:eastAsia="Courier New" w:hAnsi="Courier New"/>
          <w:sz w:val="16"/>
          <w:szCs w:val="16"/>
          <w:color w:val="auto"/>
        </w:rPr>
        <w:t>delivers to the Trustee a Company Order to the effect that such global Securities shall be so exchangeable, or (iii) there shall have occurred and be continuing an Event of Default with respect to the Securities of such series, the Company's election pursuant to Section 3.1(b)(24) shall no longer be effective with respect to the Securities of such series and the Company shall execute, and the Trustee, upon receipt of a Company Order for the authentication and delivery of certificated Securities of such series of like tenor and terms, shall authenticate and deliver, without charge, Securities of such series of like tenor and terms in certificated form, in authorized denominations and in an aggregate principal amount equal to the principal amount of the Security or Securities of such series of like tenor and terms in global form in exchange for such Security or Securities in global form. Upon any such exchange, owners of beneficial interests in such Securities in global form will be entitled to physical delivery of individual Securities in certificated form of like tenor and terms equal in principal amount to such beneficial interests, and to have such Securities in certificated form registered in the names of the beneficial owners. If specified by the Company pursuant to Section 3.1 with respect to a series of Securities, the Depository for such series may surrender a Security in global form of such series in exchange in whole or in part for Securities of such series in certificated form on such terms as are acceptable to the Company and such Depository. Thereupon, the Company shall execute, and the Trustee shall authenticate and deliver, without service charge, (i) to each Person specified by such Depository a new certificated Security or Securities of the same series of like tenor and terms, of any authorized denomination as requested by such Person in aggregate principal amount equal to and in exchange for such Person's beneficial interest in the Security in global form; and (ii) to such Depository a new Security in global form of like tenor and terms in a denomination equal to the difference, if any, between the principal amount of the surrendered Security in global form and the aggregate principal amount of certificated Securities delivered to Holders thereof. Upon the exchange of a Security in global form for Securities in certificated form, such Security in global form shall be canceled by the Trustee. Unless expressly provided with respect to the Securities of any series that such Security may be exchanged for Bearer Securities, Securities in certificated form issued in exchange for a Security in global form pursuant to this Section shall be registered in such names and in such authorized denominations as the Depository for such Security in global form, pursuant to instructions from its direct or indirect participants or otherwise, shall instruct the Trustee. The Trustee shall deliver such Securities to the Persons in whose names such Securities are so registered. Whenever any Securities are surrendered for exchange, the Company shall execute, and the Trustee shall authenticate and deliver, the Securities which the Holder making the exchange is entitled to receive. All Securities issued upon any registration of transfer or upon any exchange of Securities shall be the valid obligations of the Company, evidencing the same debt, and entitled 23</w:t>
      </w:r>
    </w:p>
    <w:p>
      <w:pPr>
        <w:sectPr>
          <w:pgSz w:w="11900" w:h="16838" w:orient="portrait"/>
          <w:cols w:equalWidth="0" w:num="1">
            <w:col w:w="10159"/>
          </w:cols>
          <w:pgMar w:left="300" w:top="317" w:right="1440" w:bottom="1440" w:gutter="0" w:footer="0" w:header="0"/>
        </w:sectPr>
      </w:pPr>
    </w:p>
    <w:bookmarkStart w:id="151" w:name="page152"/>
    <w:bookmarkEnd w:id="151"/>
    <w:p>
      <w:pPr>
        <w:jc w:val="center"/>
        <w:ind w:right="1639"/>
        <w:spacing w:after="0" w:line="268" w:lineRule="auto"/>
        <w:rPr>
          <w:sz w:val="20"/>
          <w:szCs w:val="20"/>
          <w:color w:val="auto"/>
        </w:rPr>
      </w:pPr>
      <w:r>
        <w:rPr>
          <w:rFonts w:ascii="Courier New" w:cs="Courier New" w:eastAsia="Courier New" w:hAnsi="Courier New"/>
          <w:sz w:val="16"/>
          <w:szCs w:val="16"/>
          <w:color w:val="auto"/>
        </w:rPr>
        <w:t>to the same benefits under this Indenture, as the Securities surrendered upon such registration of transfer or exchange. Every Registered Security presented or surrendered for registration of transfer or for exchange shall (if so required by the Company, the Registrar or the Trustee) be duly endorsed, or be accompanied by a written instrument of transfer in form satisfactory to the Company, the Registrar and the Trustee duly executed by the Holder thereof or his attorney duly authorized in writing. No service charge shall be made for any registration of transfer or for any exchange of Securities, but the Company may require payment of a sum sufficient to cover any tax or other governmental charge that may be imposed in connection with any registration of transfer or exchange of Securities, other than exchanges pursuant to Section 3.4, 8.6, or 10.7 or upon the Company's repurchase of any Securities in part at the option of the Holder thereof not involving any transfer. The Company shall not be required (i) to issue, register the transfer of, or exchange any Securities for a period beginning at the opening of business 15 days before any selection for redemption of Securities of like tenor and of the series of which such Security is a part and ending at the close of business on the earliest date on which the relevant notice of redemption is deemed to have been given to all Holders of Securities of like tenor and of such series to be redeemed; (ii) to register the transfer of or exchange any Registered Security so selected for redemption, in whole or in part, except the unredeemed portion of any Security being redeemed in part; or (iii) to exchange any Bearer Security so selected for redemption, except that such a Bearer Security may be exchanged for a Registered Security of that series and like tenor; provided that such Registered Security shall be simultaneously surrendered for redemption. Section 3.6. Replacement Securities. If a mutilated Security or a Security with a mutilated coupon appertaining to it is surrendered to the Trustee, together with, in proper cases, such security or indemnity as may be required by the Company or the Trustee to save each of them harmless, the Company shall execute and the Trustee shall authenticate and deliver a replacement Registered Security, if such surrendered Security was a Registered Security, or a replacement Bearer Security with coupons corresponding to the coupons appertaining to the surrendered Security, if such surrendered Security was a Bearer Security, of the same series, terms and date of maturity, if the Trustee's requirements are met. If there shall be delivered to the Company and the Trustee (i) evidence to their satisfaction of the destruction, loss or theft of any Security or Security with a destroyed, lost or stolen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the Trustee shall authenticate and deliver in lieu of any such destroyed, lost or stolen Security or in exchange for the Security to which a destroyed, lost or stolen coupon appertains (with all appurtenant coupons not destroyed, lost or stolen), a replacement Registered Security, if such Holder's claim appertains to a Registered Security, or a replacement Bearer Security with coupons corresponding to the coupons appertaining to the 24</w:t>
      </w:r>
    </w:p>
    <w:p>
      <w:pPr>
        <w:sectPr>
          <w:pgSz w:w="11900" w:h="16838" w:orient="portrait"/>
          <w:cols w:equalWidth="0" w:num="1">
            <w:col w:w="10159"/>
          </w:cols>
          <w:pgMar w:left="300" w:top="317" w:right="1440" w:bottom="1440" w:gutter="0" w:footer="0" w:header="0"/>
        </w:sectPr>
      </w:pPr>
    </w:p>
    <w:bookmarkStart w:id="152" w:name="page153"/>
    <w:bookmarkEnd w:id="152"/>
    <w:p>
      <w:pPr>
        <w:jc w:val="center"/>
        <w:ind w:right="1639"/>
        <w:spacing w:after="0" w:line="268" w:lineRule="auto"/>
        <w:rPr>
          <w:sz w:val="20"/>
          <w:szCs w:val="20"/>
          <w:color w:val="auto"/>
        </w:rPr>
      </w:pPr>
      <w:r>
        <w:rPr>
          <w:rFonts w:ascii="Courier New" w:cs="Courier New" w:eastAsia="Courier New" w:hAnsi="Courier New"/>
          <w:sz w:val="16"/>
          <w:szCs w:val="16"/>
          <w:color w:val="auto"/>
        </w:rPr>
        <w:t>destroyed, lost or stolen Bearer Security or the Bearer Security to which such lost, destroyed or stolen coupon appertains, if such Holder's claim appertains to a Bearer Security, of the same series and principal amount, containing identical terms and provisions and bearing a number not contemporaneously outstanding with coupons corresponding to the coupons, if any, appertaining to the destroyed, lost or stolen Security. In case any such mutilated, destroyed, lost or stolen Security or coupon has become or is about to become due and payable, the Company in its discretion may, instead of issuing a new Security or coupon, pay such Security or coupon; provided, however, that payment of principal of and any premium or interest on Bearer Securities shall, except as otherwise provided in Section 9.2, be payable only at an office or agency located outside the United States and, unless otherwise specified as contemplated by Section 3.1, any interest on Bearer Securities shall be payable only upon presentation and surrender of the coupons appertaining thereto. 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 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 if any, or the destroyed, lost or stolen coupon, shall be at any time enforceable by anyone, and shall be entitled to all the benefits of this Indenture equally and proportionately with any and all other Securities of that series and their coupons, if any, duly issued hereunder. The provisions of this Section are exclusive and shall preclude (to the extent lawful) all other rights and remedies with respect to the replacement or payment of mutilated, destroyed, lost or stolen Securities or coupons. Section 3.7. Payment of Interest; Interest Rights Preserved. (a) Unless otherwise provided as contemplated by Section 3.1, interest, if any, on any Registered Security which is payable, and is punctually paid or duly provided for, on any Interest Payment Date shall be paid to the Person in whose name that Security (or one or more Predecessor Securities) is registered at the close of business on the Regular Record Date for such interest at the office or agency maintained for such purpose pursuant to Section 9.2; provided, however, that at the option of the Company, interest on any series of Registered Securities that bear interest may be paid (i) by check mailed to the address of the Persons entitled thereto as they shall appear on the Register of Holders of Securities of such series or (ii) by transfer to an account maintained by the Persons entitled thereto. Unless otherwise provided as contemplated by Section 3.1 and except as otherwise provided in Section 9.2, (i) interest, if any, on Bearer Securities shall be paid only against presentation and surrender of the coupons for such interest installments as are evidenced thereby as they mature and (ii) original issue discount, if any, on Bearer Securities shall be paid 25</w:t>
      </w:r>
    </w:p>
    <w:p>
      <w:pPr>
        <w:sectPr>
          <w:pgSz w:w="11900" w:h="16838" w:orient="portrait"/>
          <w:cols w:equalWidth="0" w:num="1">
            <w:col w:w="10159"/>
          </w:cols>
          <w:pgMar w:left="300" w:top="317" w:right="1440" w:bottom="1440" w:gutter="0" w:footer="0" w:header="0"/>
        </w:sectPr>
      </w:pPr>
    </w:p>
    <w:bookmarkStart w:id="153" w:name="page154"/>
    <w:bookmarkEnd w:id="153"/>
    <w:p>
      <w:pPr>
        <w:jc w:val="center"/>
        <w:ind w:right="1639"/>
        <w:spacing w:after="0" w:line="268" w:lineRule="auto"/>
        <w:rPr>
          <w:sz w:val="20"/>
          <w:szCs w:val="20"/>
          <w:color w:val="auto"/>
        </w:rPr>
      </w:pPr>
      <w:r>
        <w:rPr>
          <w:rFonts w:ascii="Courier New" w:cs="Courier New" w:eastAsia="Courier New" w:hAnsi="Courier New"/>
          <w:sz w:val="16"/>
          <w:szCs w:val="16"/>
          <w:color w:val="auto"/>
        </w:rPr>
        <w:t>only against presentation and surrender of such Securities, in either case at the office of a Paying Agent located outside the United States, unless the Company shall have otherwise instructed the Trustee in writing, provided that any such instruction for payment in the United States does not cause any Bearer Security to be treated as a "registration-required obligation" under United States laws and regulations. The interest, if any, on any temporary Bearer Security shall be paid, as to any installment of interest evidenced by a coupon attached thereto, only upon presentation and surrender of such coupon and, as to other installments of interest, only upon presentation of such Security for notation thereon of the payment of such interest. (b) Unless otherwise provided as contemplated by Section 3.1, any interest on Registered Securities of any series which is payable, but is not punctually paid or duly provided for, on any interest payment date (herein called "Defaulted Interest") shall forthwith cease to be payable to the Holders on the relevant Regular Record Date by virtue of their having been such Holders, and such Defaulted Interest may be paid by the Company, at its election in each case, as provided in clause (1) or (2) below: (1) The Company may elect to make payment of such Defaulted Interest to the Persons in whose names such Registered Securities (or their respective Predecessor Securities) are registered at the close of business on a Special Record Date for the payment of such Defaulted Interest, which shall be fixed in the following manner.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(1)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such Registered Securities at his address as it appears in the Register, not less than 10 days prior to such Special Record Date. Notice of the proposed payment of such Defaulted Interest and the Special Record Date therefor having been so mailed, such Defaulted Interest shall be paid to the Persons in whose names such Registered Securities (or their respective Predecessor Securities) are registered at the close of business on such Special Record Date and shall no longer be payable pursuant to the following clause (2). (2) The Company may make payment of such Defaulted Interest to the Persons in whose names such Registered Securities (or their respective Predecessor Securities) are registered at the close of business on a specified date in any other lawful manner not inconsistent with the requirements of any securities exchange on which such Registered Securities may be listed, and upon such notice as may be required by such exchange, if, after notice given by the Company to the Trustee of the proposed payment pursuant to this clause (2), such manner of payment shall be deemed practicable by the Trustee. 26</w:t>
      </w:r>
    </w:p>
    <w:p>
      <w:pPr>
        <w:sectPr>
          <w:pgSz w:w="11900" w:h="16838" w:orient="portrait"/>
          <w:cols w:equalWidth="0" w:num="1">
            <w:col w:w="10159"/>
          </w:cols>
          <w:pgMar w:left="300" w:top="318" w:right="1440" w:bottom="1440" w:gutter="0" w:footer="0" w:header="0"/>
        </w:sectPr>
      </w:pPr>
    </w:p>
    <w:bookmarkStart w:id="154" w:name="page155"/>
    <w:bookmarkEnd w:id="154"/>
    <w:p>
      <w:pPr>
        <w:jc w:val="both"/>
        <w:ind w:left="160" w:right="1779" w:firstLine="47"/>
        <w:spacing w:after="0" w:line="268" w:lineRule="auto"/>
        <w:tabs>
          <w:tab w:leader="none" w:pos="634"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foregoing provisions of this Section and Section 3.5, each Security delivered under this Indenture upon registration of transfer of or in</w:t>
      </w:r>
    </w:p>
    <w:p>
      <w:pPr>
        <w:jc w:val="center"/>
        <w:ind w:right="1639"/>
        <w:spacing w:after="0" w:line="268" w:lineRule="auto"/>
        <w:rPr>
          <w:sz w:val="20"/>
          <w:szCs w:val="20"/>
          <w:color w:val="auto"/>
        </w:rPr>
      </w:pPr>
      <w:r>
        <w:rPr>
          <w:rFonts w:ascii="Courier New" w:cs="Courier New" w:eastAsia="Courier New" w:hAnsi="Courier New"/>
          <w:sz w:val="16"/>
          <w:szCs w:val="16"/>
          <w:color w:val="auto"/>
        </w:rPr>
        <w:t>exchange for or in lieu of any other Security shall carry the rights to interest accrued and unpaid, and to accrue, which were carried by such other Security. Section 3.8. Persons Deemed Owners. Prior to due presentment of any Registered Security for registration of transfer, the Company, the Trustee and any agent of the Company or the Trustee may treat the Person in whose name such Registered Security is registered as the owner of such Registered Security for the purpose of receiving payment of principal of, premium, if any, and (subject to Section 3.7) interest on such Registered Security and for all other purposes whatsoever, whether or not such Registered Security be overdue, and neither the Company, the Trustee nor any agent of the Company or the Trustee shall be affected by notice to the contrary. The Company, the Trustee and any agent of the Company or the Trustee may treat the bearer of any Bearer Security and the bearer of any coupon as the absolute owner of such Bearer Security or coupon for the purpose of receiving payment thereof or on account thereof and for all other purposes whatsoever, whether or not such Bearer Security or coupon be overdue, and neither the Company, the Trustee nor any agent of the Company or the Trustee shall be affected by notice to the contrary. None of the Company, the Trustee or any agent of the Company or the Trustee shall have any responsibility or liability for any aspect of the records relating to or payments made on account of beneficial ownership interests of a Security in global form, or for maintaining, supervising or reviewing any records relating to such beneficial ownership interests. Notwithstanding the foregoing, with respect to any Security in global form, nothing herein shall prevent the Company or the Trustee, or any agent of the Company or the Trustee, from giving effect to any written certification, proxy or other authorization furnished by any Depository (or its nominee), as a Holder, with respect to such Security in global form or impair, as between such Depository and owners of beneficial interests in such Security in global form, the operation of customary practices governing the exercise of the rights of such Depository (or its nominee) as Holder of such Security in global form. Section 3.9. Cancellation. The Company at any time may deliver Securities and coupons to the Trustee for cancellation. The Registrar and any Paying Agent shall forward to the Trustee any Securities and coupons surrendered to them for replacement, for registration of transfer, or for exchange or payment. The Trustee shall cancel all Securities and coupons surrendered for replacement, for registration of transfer, or for exchange, payment or cancellation and shall dispose of such canceled Securities in its customary manner. The Company may not issue new Securities to replace Securities that it has paid or delivered to the Trustee for cancellation. Section 3.10. Computation of Interest. Except as otherwise specified as contemplated by Section 3.1, interest on the Securities of each series shall be computed on the basis of a 360-day year of twelve 30-day months. 27</w:t>
      </w:r>
    </w:p>
    <w:p>
      <w:pPr>
        <w:sectPr>
          <w:pgSz w:w="11900" w:h="16838" w:orient="portrait"/>
          <w:cols w:equalWidth="0" w:num="1">
            <w:col w:w="10159"/>
          </w:cols>
          <w:pgMar w:left="300" w:top="318" w:right="1440" w:bottom="1440" w:gutter="0" w:footer="0" w:header="0"/>
        </w:sectPr>
      </w:pPr>
    </w:p>
    <w:bookmarkStart w:id="155" w:name="page156"/>
    <w:bookmarkEnd w:id="155"/>
    <w:p>
      <w:pPr>
        <w:jc w:val="center"/>
        <w:ind w:right="1639"/>
        <w:spacing w:after="0" w:line="268" w:lineRule="auto"/>
        <w:rPr>
          <w:sz w:val="20"/>
          <w:szCs w:val="20"/>
          <w:color w:val="auto"/>
        </w:rPr>
      </w:pPr>
      <w:r>
        <w:rPr>
          <w:rFonts w:ascii="Courier New" w:cs="Courier New" w:eastAsia="Courier New" w:hAnsi="Courier New"/>
          <w:sz w:val="16"/>
          <w:szCs w:val="16"/>
          <w:color w:val="auto"/>
        </w:rPr>
        <w:t>Section 3.11. CUSIP Numbers. The Company in issuing the Securities may use "CUSIP" numbers (if then generally in use), and, in such case, the Trustee shall use "CUSIP" numbers in notices of redemption as a convenience to Holders;</w:t>
      </w:r>
    </w:p>
    <w:p>
      <w:pPr>
        <w:spacing w:after="0" w:line="1" w:lineRule="exact"/>
        <w:rPr>
          <w:sz w:val="20"/>
          <w:szCs w:val="20"/>
          <w:color w:val="auto"/>
        </w:rPr>
      </w:pPr>
    </w:p>
    <w:p>
      <w:pPr>
        <w:jc w:val="both"/>
        <w:ind w:left="100" w:right="1679" w:hanging="52"/>
        <w:spacing w:after="0" w:line="268" w:lineRule="auto"/>
        <w:rPr>
          <w:sz w:val="20"/>
          <w:szCs w:val="20"/>
          <w:color w:val="auto"/>
        </w:rPr>
      </w:pPr>
      <w:r>
        <w:rPr>
          <w:rFonts w:ascii="Courier New" w:cs="Courier New" w:eastAsia="Courier New" w:hAnsi="Courier New"/>
          <w:sz w:val="16"/>
          <w:szCs w:val="16"/>
          <w:color w:val="auto"/>
        </w:rPr>
        <w:t>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shall</w:t>
      </w:r>
    </w:p>
    <w:p>
      <w:pPr>
        <w:spacing w:after="0" w:line="1" w:lineRule="exact"/>
        <w:rPr>
          <w:sz w:val="20"/>
          <w:szCs w:val="20"/>
          <w:color w:val="auto"/>
        </w:rPr>
      </w:pPr>
    </w:p>
    <w:p>
      <w:pPr>
        <w:jc w:val="center"/>
        <w:ind w:right="1639"/>
        <w:spacing w:after="0" w:line="269" w:lineRule="auto"/>
        <w:rPr>
          <w:sz w:val="20"/>
          <w:szCs w:val="20"/>
          <w:color w:val="auto"/>
        </w:rPr>
      </w:pPr>
      <w:r>
        <w:rPr>
          <w:rFonts w:ascii="Courier New" w:cs="Courier New" w:eastAsia="Courier New" w:hAnsi="Courier New"/>
          <w:sz w:val="16"/>
          <w:szCs w:val="16"/>
          <w:color w:val="auto"/>
        </w:rPr>
        <w:t>promptly advise the Trustee of any change in the CUSIP Numbers. Section 3.12. Currency of Payment in Respect of Securities. Unless otherwise specified with respect to any Securities pursuant to Section 3.1, payment of the principal of, premium, if any, and interest, if any, on any Registered or Bearer Security of such series will be made in Dollars. ARTICLE 4 SATISFACTION, DISCHARGE AND DEFEASANCE Section 4.1. Termination of Company's Obligations Under the Indenture. This Indenture shall upon a Company Request cease to be of further effect with respect to Securities of any series and any coupons appertaining thereto (except as specified below) and the Trustee, at the expense of the Company, shall execute proper instruments acknowledging satisfaction and discharge of this Indenture with respect to such Securities and any coupons appertaining thereto when (1) either (A) all such Securities previously authenticated and delivered and all coupons appertaining thereto (other than (i) such coupons appertaining to Bearer Securities surrendered in exchange for Registered Securities and maturing after such exchange, surrender of which is not required or has been waived as provided in Section 3.5, (ii) such Securities and coupons which have been destroyed, lost or stolen and which have been replaced or paid as provided in Section 3.6, (iii) such coupons appertaining to Bearer Securities called for redemption and maturing after the relevant Redemption Date, surrender of which has been waived as provided in Section 10.6 and (iv) such Securities and coupons for whose payment money has theretofore been deposited in trust or segregated and held in trust by the Company and thereafter repaid to the Company or discharged from such trust, as provided in Section 9.3) have been delivered to the Trustee for cancellation; or (B) all Securities of such series and, in the case of (i) or (ii) below, any coupons appertaining thereto not theretofore delivered to the Trustee for cancellation (i) have become due and payable, or (ii) will become due and payable at their Stated Maturity within one year, or (iii) if redeemable at the option of the Company, are to be called for redemption within one year under arrangements satisfactory to the Trustee for the giving of notice of redemption by the Trustee in the name, and at the expense, of the Company, and the Company, in the case of (i), (ii) or (iii) above, has irrevocably 28</w:t>
      </w:r>
    </w:p>
    <w:p>
      <w:pPr>
        <w:sectPr>
          <w:pgSz w:w="11900" w:h="16838" w:orient="portrait"/>
          <w:cols w:equalWidth="0" w:num="1">
            <w:col w:w="10159"/>
          </w:cols>
          <w:pgMar w:left="300" w:top="317" w:right="1440" w:bottom="1440" w:gutter="0" w:footer="0" w:header="0"/>
        </w:sectPr>
      </w:pPr>
    </w:p>
    <w:bookmarkStart w:id="156" w:name="page157"/>
    <w:bookmarkEnd w:id="156"/>
    <w:p>
      <w:pPr>
        <w:jc w:val="center"/>
        <w:ind w:right="1639"/>
        <w:spacing w:after="0" w:line="268" w:lineRule="auto"/>
        <w:rPr>
          <w:sz w:val="20"/>
          <w:szCs w:val="20"/>
          <w:color w:val="auto"/>
        </w:rPr>
      </w:pPr>
      <w:r>
        <w:rPr>
          <w:rFonts w:ascii="Courier New" w:cs="Courier New" w:eastAsia="Courier New" w:hAnsi="Courier New"/>
          <w:sz w:val="16"/>
          <w:szCs w:val="16"/>
          <w:color w:val="auto"/>
        </w:rPr>
        <w:t>deposited or caused to be deposited with the Trustee as trust funds in trust for the purpose an amount in the currency in which the Securities of such series are payable, sufficient to pay and discharge the entire indebtedness on such Securities and such coupons not theretofore delivered to the Trustee for cancellation, in respect of principal, premium, if any, and interest, to the date of such deposit (in the case of Securities which have become due and payable) or to the Stated Maturity or Redemption Date, as the case may be; (2) the Company has paid or caused to be paid all other sums payable hereunder by the Company; and (3) the Company has delivered to the Trustee an Officers' Certificate and an Opinion of Counsel, each stating that all conditions precedent herein provided for relating to the satisfaction and discharge of this Indenture as to such series have been complied with. Notwithstanding the satisfaction and discharge of this Indenture with respect to the Securities of any series, the obligation of the Company to the Trustee and any predecessor Trustee under Section 6.9, the obligations of the Company to any Authenticating Agent under Section 6.14 and, if money shall have been deposited with the Trustee pursuant to subclause (B) of clause (1) of this Section, the obligations of the Company and the Trustee with respect to the Securities of such series under Sections 3.4, 3.5, 3.6, 4.2, 9.2 and 9.3 and with respect to the payment of Additional Amounts, if any, with respect to such Securities as contemplated by Section 3.1(b)(18) shall survive such satisfaction and discharge. Section 4.2. Application of Trust Funds. Subject to the provisions of the last paragraph of Section 9.3, all money deposited with the Trustee pursuant to Section 4.1 shall be held in trust and applied by it, in accordance with the provisions of the Securities, the coupons and this Indenture, to the payment, either directly or through any Paying Agent (other than the Company acting as its own Paying Agent) as the Trustee may determine, to the Persons entitled thereto as specifically provided herein, of the principal, premium, if any, and interest for whose payment such money has been deposited with or received by the Trustee, but such money need not be segregated from other funds except to the extent required by law. Section 4.3. Applicability of Defeasance Provisions; Company's Option to Effect Defeasance or Covenant Defeasance. Unless pursuant to Section 3.1 either or both of (i) defeasance of the Securities of or within a series under Section 4.4 or (ii) covenant defeasance of the Securities of or within a series under Section 4.5 shall not be applicable with respect to the Securities of any series, then the provisions of such Section or Sections, as the case may be, together with the provisions of Sections 4.6 through 4.10 inclusive, with such modifications thereto as may be specified pursuant to Section 3.1 with respect to such Securities, shall be applicable to such Securities and any coupons appertaining thereto, and the Company may at its option by Board Resolution, at any time, with respect to such Securities and any coupons appertaining thereto, elect to have Section 4.4 or Section 4.5 (unless such Section 4.4 or Section 4.5, as the case may be, shall not be applicable to the Securities of such series) be applied to such Outstanding Securities and any coupons appertaining thereto upon compliance with the conditions set forth below in this Article. Unless otherwise specified pursuant to Section 3.1, the Company's right, if any, to effect defeasance pursuant to Section 4.4 or covenant defeasance 29</w:t>
      </w:r>
    </w:p>
    <w:p>
      <w:pPr>
        <w:sectPr>
          <w:pgSz w:w="11900" w:h="16838" w:orient="portrait"/>
          <w:cols w:equalWidth="0" w:num="1">
            <w:col w:w="10159"/>
          </w:cols>
          <w:pgMar w:left="300" w:top="317" w:right="1440" w:bottom="1440" w:gutter="0" w:footer="0" w:header="0"/>
        </w:sectPr>
      </w:pPr>
    </w:p>
    <w:bookmarkStart w:id="157" w:name="page158"/>
    <w:bookmarkEnd w:id="157"/>
    <w:p>
      <w:pPr>
        <w:jc w:val="center"/>
        <w:ind w:right="1639"/>
        <w:spacing w:after="0"/>
        <w:rPr>
          <w:sz w:val="20"/>
          <w:szCs w:val="20"/>
          <w:color w:val="auto"/>
        </w:rPr>
      </w:pPr>
      <w:r>
        <w:rPr>
          <w:rFonts w:ascii="Courier New" w:cs="Courier New" w:eastAsia="Courier New" w:hAnsi="Courier New"/>
          <w:sz w:val="18"/>
          <w:szCs w:val="18"/>
          <w:color w:val="auto"/>
        </w:rPr>
        <w:t>pursuant to Section 4.5 may only be exercised with respect to all of the</w:t>
      </w:r>
    </w:p>
    <w:p>
      <w:pPr>
        <w:spacing w:after="0" w:line="4" w:lineRule="exact"/>
        <w:rPr>
          <w:sz w:val="20"/>
          <w:szCs w:val="20"/>
          <w:color w:val="auto"/>
        </w:rPr>
      </w:pPr>
    </w:p>
    <w:p>
      <w:pPr>
        <w:jc w:val="center"/>
        <w:ind w:right="1639"/>
        <w:spacing w:after="0" w:line="268" w:lineRule="auto"/>
        <w:rPr>
          <w:sz w:val="20"/>
          <w:szCs w:val="20"/>
          <w:color w:val="auto"/>
        </w:rPr>
      </w:pPr>
      <w:r>
        <w:rPr>
          <w:rFonts w:ascii="Courier New" w:cs="Courier New" w:eastAsia="Courier New" w:hAnsi="Courier New"/>
          <w:sz w:val="16"/>
          <w:szCs w:val="16"/>
          <w:color w:val="auto"/>
        </w:rPr>
        <w:t>Outstanding Securities of a series and any coupons appertaining thereto. Section 4.4. Defeasance. Upon the Company's exercise of the option specified in Section 4.3 applicable to this Section with respect to the Securities of a series, the Company shall be deemed to have been discharged from its obligations with respect to such Securities and any coupons appertaining thereto (except as specified below) on the date the conditions set forth in Section 4.6 are satisfied (hereinafter "defeasance"). For this purpose, such defeasance means that the Company shall be deemed to have paid and discharged the entire indebtedness represented by such Securities and any coupons appertaining thereto which shall thereafter be deemed to be "Outstanding" only for the purposes of Section 4.7 and the other Sections of this Indenture referred to in clause (ii) of this Section, and to have satisfied all its other obligations under such Securities and any coupons appertaining thereto and this Indenture insofar as such Securities and any coupons appertaining thereto are concerned (and the Trustee, at the expense of the Company, shall on Company Order execute proper instruments acknowledging the same), except the following which shall survive until otherwise terminated or discharged hereunder: (i) the rights of Holders of such Securities and any coupons appertaining thereto to receive, solely from the trust funds described in Section 4.6(a) and as more fully set forth in such Section and in Section 4.7, payments in respect of the principal of, premium, if any, and interest, if any, on such Securities and any coupons appertaining thereto when such payments are due; (ii) the Company's obligations with respect to such Securities under Sections 3.4, 3.5, 3.6, 9.2 and 9.3 and with respect to the payment of Additional Amounts, if any, payable with respect to such Securities as specified pursuant to Section 3.1(b)(18); (iii) the rights, powers, trusts, duties and immunities of the Trustee hereunder and (iv) this Article 4. Subject to compliance with this Article 4, the Company may exercise its option under this Section notwithstanding the prior exercise of its option under Section 4.5 with respect to such Securities and any coupons appertaining thereto. Following a defeasance, payment of such Securities may not be accelerated because of an Event of Default. Section 4.5. Covenant Defeasance. Upon the Company's exercise of the option specified in Section 4.3 applicable to this Section with respect to any Securities of a series, the Company shall be released from its obligations under Sections 7.1, 9.4 (other than the Company's obligation to maintain its corporate existence),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9.8 and 9.10 and, if specified pursuant to Section 3.1, its obligations under any</w:t>
      </w:r>
    </w:p>
    <w:p>
      <w:pPr>
        <w:spacing w:after="0" w:line="21" w:lineRule="exact"/>
        <w:rPr>
          <w:sz w:val="20"/>
          <w:szCs w:val="20"/>
          <w:color w:val="auto"/>
        </w:rPr>
      </w:pPr>
    </w:p>
    <w:p>
      <w:pPr>
        <w:jc w:val="center"/>
        <w:ind w:right="1639"/>
        <w:spacing w:after="0" w:line="269" w:lineRule="auto"/>
        <w:rPr>
          <w:sz w:val="20"/>
          <w:szCs w:val="20"/>
          <w:color w:val="auto"/>
        </w:rPr>
      </w:pPr>
      <w:r>
        <w:rPr>
          <w:rFonts w:ascii="Courier New" w:cs="Courier New" w:eastAsia="Courier New" w:hAnsi="Courier New"/>
          <w:sz w:val="16"/>
          <w:szCs w:val="16"/>
          <w:color w:val="auto"/>
        </w:rPr>
        <w:t>other covenant, with respect to such Securities and any coupons appertaining thereto on and after the date the conditions set forth in Section 4.6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Sections 7.1, 9.4 (other than the Company's obligation to maintain its corporate existence), 9.8 and 9.10 and any such other covenant, but shall continue to be deemed "Outstanding" for all other purposes hereunder. For this purpose, such covenant defeasance means that, with respect to such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30</w:t>
      </w:r>
    </w:p>
    <w:p>
      <w:pPr>
        <w:sectPr>
          <w:pgSz w:w="11900" w:h="16838" w:orient="portrait"/>
          <w:cols w:equalWidth="0" w:num="1">
            <w:col w:w="10159"/>
          </w:cols>
          <w:pgMar w:left="300" w:top="312" w:right="1440" w:bottom="1440" w:gutter="0" w:footer="0" w:header="0"/>
        </w:sectPr>
      </w:pPr>
    </w:p>
    <w:bookmarkStart w:id="158" w:name="page159"/>
    <w:bookmarkEnd w:id="158"/>
    <w:p>
      <w:pPr>
        <w:jc w:val="center"/>
        <w:ind w:left="320" w:right="140"/>
        <w:spacing w:after="0" w:line="268" w:lineRule="auto"/>
        <w:rPr>
          <w:sz w:val="20"/>
          <w:szCs w:val="20"/>
          <w:color w:val="auto"/>
        </w:rPr>
      </w:pPr>
      <w:r>
        <w:rPr>
          <w:rFonts w:ascii="Courier New" w:cs="Courier New" w:eastAsia="Courier New" w:hAnsi="Courier New"/>
          <w:sz w:val="16"/>
          <w:szCs w:val="16"/>
          <w:color w:val="auto"/>
        </w:rPr>
        <w:t>Default under Section 5.1(3) or 5.1(7) or otherwise, as the case may be, but, except as specified above, the remainder of this Indenture and such Securities and any coupons appertaining thereto shall be unaffected thereby. Section 4.6. Conditions to Defeasance or Covenant Defeasance. The following shall be the</w:t>
      </w:r>
    </w:p>
    <w:p>
      <w:pPr>
        <w:spacing w:after="0" w:line="1" w:lineRule="exact"/>
        <w:rPr>
          <w:sz w:val="20"/>
          <w:szCs w:val="20"/>
          <w:color w:val="auto"/>
        </w:rPr>
      </w:pPr>
    </w:p>
    <w:p>
      <w:pPr>
        <w:jc w:val="center"/>
        <w:ind w:right="1639"/>
        <w:spacing w:after="0" w:line="268" w:lineRule="auto"/>
        <w:rPr>
          <w:sz w:val="20"/>
          <w:szCs w:val="20"/>
          <w:color w:val="auto"/>
        </w:rPr>
      </w:pPr>
      <w:r>
        <w:rPr>
          <w:rFonts w:ascii="Courier New" w:cs="Courier New" w:eastAsia="Courier New" w:hAnsi="Courier New"/>
          <w:sz w:val="16"/>
          <w:szCs w:val="16"/>
          <w:color w:val="auto"/>
        </w:rPr>
        <w:t>conditions to application of Section 4.4 or Section 4.5 to any Securities of or within a series and any coupons appertaining thereto: (a) The Company shall have irrevocably deposited or caused to be deposited with the Trustee (or another trustee satisfying the requirements of Section 6.12 who shall agree in writing to comply with, and shall be entitled to the benefits of, the provisions of Sections 4.3 through 4.10 inclusive and the last paragraph of Section 9.3 applicable to the Trustee, for purposes of such Sections also a "Trustee") as trust funds in trust for the purpose of making the payments referred to in clauses (x) and (y) of this Section 4.6(a), specifically pledged as security for, and dedicated solely to, the benefit of the Holders of such Securities and any coupons appertaining thereto, with instructions to the Trustee as to the application thereof, (A) money in an amount (in such currency in which such Securities and any coupons appertaining thereto are then specified as payable at Stated Maturity or, if such defeasance or covenant defeasance is to be effected in compliance with Section 4.6(g) below, on the relevant Redemption Date, as the case may be), or (B) if Securities of such series are not subject to repayment or repurchase at the option of Holders, Government Obligations applicable to such Securities and any coupons appertaining thereto (determined on the basis of the currency in which such Securities and coupons, if any, are then specified as payable at Stated Maturity or the applicable Redemption Date, as the case may be) which through the payment of interest and principal in respect thereof in accordance with their terms will provide (without consideration of any reinvestment of such principal and interest), not later than one day before the due date of any payment referred to in clause (x) or (y) of this Section 4.6(a), money in an amount or (C) a combination thereof in an amount, sufficient, in the opinion of any firm of independent public accountants, expressed in a written certification thereof delivered to the Trustee, to pay and discharge, and which shall be applied by the Trustee to pay and discharge, (x) the principal of, and premium, if any, and interest, if any, on such Securities and any coupons appertaining thereto on the Stated Maturity of such principal or installment of principal or interest or on the applicable Redemption Date, as the case may be, and (y) any mandatory sinking fund payments applicable to such Securities on the day on which such payments are due and payable in accordance with the terms of this Indenture and such Securities and any coupons appertaining thereto. (b) Such defeasance or covenant defeasance shall not result in a breach or violation of, or constitute a Default or Event of Default under, this Indenture or result in a breach or violation of, or constitute a default under, any other material agreement or instrument to which the Company is a party or by which it is bound. (c) In the case of an election under Section 4.4, the Company shall have delivered to the Trustee an Opinion of Counsel to the effect that (i) the Company has received from, or there has been published by, the Internal Revenue Service a ruling, or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1639" w:firstLine="49"/>
        <w:spacing w:after="0" w:line="268" w:lineRule="auto"/>
        <w:tabs>
          <w:tab w:leader="none" w:pos="579"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date of this Indenture, there has been a change in the applicable federal income tax law, in either case to the effect that, and based thereon such</w:t>
      </w:r>
    </w:p>
    <w:p>
      <w:pPr>
        <w:ind w:left="3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opinion shall confirm that, the Holders of such Securities and any coupons</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appertaining thereto will not recognize income, gain or loss for 31</w:t>
      </w:r>
    </w:p>
    <w:p>
      <w:pPr>
        <w:sectPr>
          <w:pgSz w:w="11900" w:h="16838" w:orient="portrait"/>
          <w:cols w:equalWidth="0" w:num="1">
            <w:col w:w="10159"/>
          </w:cols>
          <w:pgMar w:left="300" w:top="318" w:right="1440" w:bottom="1440" w:gutter="0" w:footer="0" w:header="0"/>
        </w:sectPr>
      </w:pPr>
    </w:p>
    <w:bookmarkStart w:id="159" w:name="page160"/>
    <w:bookmarkEnd w:id="159"/>
    <w:p>
      <w:pPr>
        <w:jc w:val="center"/>
        <w:ind w:right="1639"/>
        <w:spacing w:after="0" w:line="268" w:lineRule="auto"/>
        <w:rPr>
          <w:sz w:val="20"/>
          <w:szCs w:val="20"/>
          <w:color w:val="auto"/>
        </w:rPr>
      </w:pPr>
      <w:r>
        <w:rPr>
          <w:rFonts w:ascii="Courier New" w:cs="Courier New" w:eastAsia="Courier New" w:hAnsi="Courier New"/>
          <w:sz w:val="16"/>
          <w:szCs w:val="16"/>
          <w:color w:val="auto"/>
        </w:rPr>
        <w:t>federal income tax purposes as a result of such defeasance and will be subject to federal income tax on the same amounts, in the same manner and at the same times as would have been the case if such defeasance had not occurred. (d) In the case of an election under Section 4.5, the Company shall have delivered to the Trustee an Opinion of Counsel to the effect that the Holders of such Securities and any coupons appertaining thereto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2" w:lineRule="exact"/>
        <w:rPr>
          <w:sz w:val="20"/>
          <w:szCs w:val="20"/>
          <w:color w:val="auto"/>
        </w:rPr>
      </w:pPr>
    </w:p>
    <w:p>
      <w:pPr>
        <w:ind w:left="480" w:right="1679" w:hanging="431"/>
        <w:spacing w:after="0" w:line="268" w:lineRule="auto"/>
        <w:tabs>
          <w:tab w:leader="none" w:pos="48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delivered to the Trustee an Officers' Certificate and an Opinion of Counsel, each stating that all conditions precedent to the</w:t>
      </w:r>
    </w:p>
    <w:p>
      <w:pPr>
        <w:jc w:val="center"/>
        <w:ind w:right="1639"/>
        <w:spacing w:after="0" w:line="269" w:lineRule="auto"/>
        <w:rPr>
          <w:sz w:val="20"/>
          <w:szCs w:val="20"/>
          <w:color w:val="auto"/>
        </w:rPr>
      </w:pPr>
      <w:r>
        <w:rPr>
          <w:rFonts w:ascii="Courier New" w:cs="Courier New" w:eastAsia="Courier New" w:hAnsi="Courier New"/>
          <w:sz w:val="16"/>
          <w:szCs w:val="16"/>
          <w:color w:val="auto"/>
        </w:rPr>
        <w:t>defeasance under Section 4.4 or the covenant defeasance under Section 4.5 (as the case may be) have been complied with. (f) No Event of Default or Default with respect to such Securities or any coupons appertaining thereto shall have occurred and be continuing on the date of such deposit, or, insofar as Defaults in Events of Default under Sections 5.1(5) and 5.1(6) are concerned, at any time during the period ending on the 91st day after the date of such deposit (it being understood that this condition shall not be deemed satisfied until the expiration of such period). (g) If the monies or Government Obligations or combination thereof, as the case may be, deposited under Section 4.6(a) above are sufficient to pay the principal of, and premium, if any, and interest, if any, on such Securities and coupons, if any, appertaining thereto provided such Securities are redeemed on a particular Redemption Date, the Company shall have given the Trustee irrevocable instructions to redeem such Securities on such date and to provide notice of such redemption to Holders as provided in or pursuant to this Indenture. (h) Such defeasance or covenant defeasance shall be effected in compliance with any additional or substitute terms, conditions or limitations which may be imposed on the Company in connection therewith as contemplated by Section 3.1. Section 4.7. Deposited Money and Government Obligations to Be Held in Trust. Subject to the provisions of the last paragraph of Section 9.3, all money and Government Obligations (or other property as may be provided pursuant to Section 3.1) (including the proceeds thereof) deposited with the Trustee pursuant to Section 4.6 in respect of any Securities of any series and any coupons appertaining thereto shall be held in trust and applied by the Trustee, in accordance with the provisions of such Securities and any coupons appertaining thereto and this Indenture, to the payment, either directly or through any Paying Agent (other than the Company acting as its own Paying Agent) as the Trustee may determine, to the Holders of such Securities and any coupons appertaining thereto of all sums due and to become due thereon in respect of principal, premium, if any, and interest, if any, but such money need not be segregated from other funds except to the extent required by law. Unless otherwise specified in or pursuant to this Indenture or any Securities, if, after a deposit referred to in Section 4.6(a) has been made, (a) the Holder of a Security in respect 32</w:t>
      </w:r>
    </w:p>
    <w:p>
      <w:pPr>
        <w:sectPr>
          <w:pgSz w:w="11900" w:h="16838" w:orient="portrait"/>
          <w:cols w:equalWidth="0" w:num="1">
            <w:col w:w="10159"/>
          </w:cols>
          <w:pgMar w:left="300" w:top="317" w:right="1440" w:bottom="1440" w:gutter="0" w:footer="0" w:header="0"/>
        </w:sectPr>
      </w:pPr>
    </w:p>
    <w:bookmarkStart w:id="160" w:name="page161"/>
    <w:bookmarkEnd w:id="160"/>
    <w:p>
      <w:pPr>
        <w:jc w:val="center"/>
        <w:ind w:right="1639"/>
        <w:spacing w:after="0" w:line="268" w:lineRule="auto"/>
        <w:rPr>
          <w:sz w:val="20"/>
          <w:szCs w:val="20"/>
          <w:color w:val="auto"/>
        </w:rPr>
      </w:pPr>
      <w:r>
        <w:rPr>
          <w:rFonts w:ascii="Courier New" w:cs="Courier New" w:eastAsia="Courier New" w:hAnsi="Courier New"/>
          <w:sz w:val="16"/>
          <w:szCs w:val="16"/>
          <w:color w:val="auto"/>
        </w:rPr>
        <w:t>of which such deposit was made is entitled to, and does, elect pursuant to Section 3.1 or the terms of such Security to receive payment in a currency other</w:t>
      </w:r>
    </w:p>
    <w:p>
      <w:pPr>
        <w:jc w:val="center"/>
        <w:ind w:right="1639"/>
        <w:spacing w:after="0" w:line="268" w:lineRule="auto"/>
        <w:rPr>
          <w:sz w:val="20"/>
          <w:szCs w:val="20"/>
          <w:color w:val="auto"/>
        </w:rPr>
      </w:pPr>
      <w:r>
        <w:rPr>
          <w:rFonts w:ascii="Courier New" w:cs="Courier New" w:eastAsia="Courier New" w:hAnsi="Courier New"/>
          <w:sz w:val="16"/>
          <w:szCs w:val="16"/>
          <w:color w:val="auto"/>
        </w:rPr>
        <w:t>than that in which the deposit pursuant to Section 4.6(a) has been made in respect of such Security, or (b) a Conversion Event occurs in respect of the Foreign Currency in which the deposit pursuant to Section 4.6(a) has been made, the indebtedness represented by such Security and any coupons appertaining thereto shall be deemed to have been, and will be, fully discharged and satisfied through the payment of the principal of and premium, if any, and interest, if any, on such Security as the same becomes due out of the proceeds yielded by converting (from time to time as specified below in the case of any such election) the monies or Government Obligations (or other property and any proceeds therefrom) deposited in respect of such Security into the currency in which such Security becomes payable as a result of such election or Conversion Event based on (x) in the case of payments made pursuant to clause (a) above, the applicable market exchange rate for such Foreign Currency in effect on the second Business Day prior to each payment date, or (y) with respect to a Conversion Event, the applicable market exchange rate for such Foreign Currency in effect (as nearly as feasible) at the time of the Conversion Event. Section 4.8. Repayment to Company. Anything in this Article 4 to the contrary notwithstanding, the Trustee shall deliver or pay to the Company from time to time upon Company Request any money or Government Obligations (or other property and any proceeds therefrom) held by it as provided in Section 4.6(a) with respect to the Securities of any series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of such Securities in accordance with Section 4.6. Section 4.9. Indemnity for Government Obligations. The Company shall pay, and shall indemnify the Trustee against, any tax, fee or other charge imposed on or assessed against Government Obligations deposited pursuant to this Article or the principal and interest received on such Government Obligations. Section 4.10. Reinstatement. If the Trustee or any Paying Agent is unable to apply any monies or Government Obligations (or other property or any proceeds therefrom) deposited pursuant to Section 4.6(a) in accordance with this Indenture or the Securities of the applicable series by reason of any legal proceeding or by reason of any order or judgment of any court or governmental authority enjoining, restraining or otherwise prohibiting such application, then the Company's obligations under this Indenture and the Securities of such series shall be revived and reinstated as though no deposit had occurred pursuant to Section 4.6(a) until such time as the Trustee or a Paying Agent is permitted to apply such monies or Government Obligations (or other property or any proceeds therefrom) in accordance with this Indenture and the Securities of such series; provided, however, that if the Company makes any payment of principal of, premium, if any, or interest on any Security of such series following the reinstatement of its obligations, the Company shall be subrogated to the rights of the Holders of such Securities to receive such payment from the cash and Government Obligations(or other property or any proceeds therefrom) held by the Trustee or Paying Agent. 33</w:t>
      </w:r>
    </w:p>
    <w:p>
      <w:pPr>
        <w:sectPr>
          <w:pgSz w:w="11900" w:h="16838" w:orient="portrait"/>
          <w:cols w:equalWidth="0" w:num="1">
            <w:col w:w="10159"/>
          </w:cols>
          <w:pgMar w:left="300" w:top="318" w:right="1440" w:bottom="1440" w:gutter="0" w:footer="0" w:header="0"/>
        </w:sectPr>
      </w:pPr>
    </w:p>
    <w:bookmarkStart w:id="161" w:name="page162"/>
    <w:bookmarkEnd w:id="161"/>
    <w:p>
      <w:pPr>
        <w:jc w:val="center"/>
        <w:ind w:right="1639"/>
        <w:spacing w:after="0"/>
        <w:rPr>
          <w:sz w:val="20"/>
          <w:szCs w:val="20"/>
          <w:color w:val="auto"/>
        </w:rPr>
      </w:pPr>
      <w:r>
        <w:rPr>
          <w:rFonts w:ascii="Courier New" w:cs="Courier New" w:eastAsia="Courier New" w:hAnsi="Courier New"/>
          <w:sz w:val="18"/>
          <w:szCs w:val="18"/>
          <w:color w:val="auto"/>
        </w:rPr>
        <w:t>ARTICLE 5 DEFAULTS AND REMEDIES Section 5.1. Events of Default. "Event of</w:t>
      </w:r>
    </w:p>
    <w:p>
      <w:pPr>
        <w:spacing w:after="0" w:line="4" w:lineRule="exact"/>
        <w:rPr>
          <w:sz w:val="20"/>
          <w:szCs w:val="20"/>
          <w:color w:val="auto"/>
        </w:rPr>
      </w:pPr>
    </w:p>
    <w:p>
      <w:pPr>
        <w:jc w:val="center"/>
        <w:ind w:right="1639"/>
        <w:spacing w:after="0" w:line="268" w:lineRule="auto"/>
        <w:rPr>
          <w:sz w:val="20"/>
          <w:szCs w:val="20"/>
          <w:color w:val="auto"/>
        </w:rPr>
      </w:pPr>
      <w:r>
        <w:rPr>
          <w:rFonts w:ascii="Courier New" w:cs="Courier New" w:eastAsia="Courier New" w:hAnsi="Courier New"/>
          <w:sz w:val="16"/>
          <w:szCs w:val="16"/>
          <w:color w:val="auto"/>
        </w:rPr>
        <w:t>Default", wherever used herein with respect to Securities of any series, means any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unless such event is specifically deleted or modified in or pursuant to the supplemental indenture, Board Resolution or Officers' Certificate establishing the terms of such series pursuant to Section 3.1 of this Indenture: (1) default in the payment of any interest on any Security of that series or any coupon appertaining thereto, or any Additional Amounts payable with respect to any Security of that series, when the same becomes due and payable and continuance of such default for a period of 30 days; or (2) default in the payment of any principal of or premium, if any, on any Security of that series when the same becomes due and payable at its Maturity (whether at Stated Maturity, upon redemption, repurchase at the option of the Holder or otherwise), or default in the making of any mandatory sinking fund payment in respect of any Securities of that series when and as due by the terms of the Securities of that series; or (3) default in the performance, or breach, of any covenant or warranty of the Company in this Indenture or any Security of such series (other than a covenant or warranty for which the consequences of breach or nonperformance are addressed elsewhere in this Section 5.1 or a covenant or warranty which has expressly been included in this Indenture, whether or not by means of a supplemental indenture, solely for the benefit of Securities of a series other than such series), and continuance of such default or breach for a period of 60 days after there has been given, by registered or certified mail, to the Company by the Trustee or to the Company and the Trustee by the Holders of at least 25% in aggregate principal amount of the Outstanding Securities of such series a written notice specifying such default or breach and requiring it to be remedied and stating that such notice is a "Notice of Default" hereunder; or (4) [intentionally omitted]; or (5) the Company pursuant to or within the meaning of any Bankruptcy Law (A) commences a voluntary case or proceeding, (B) consents to the entry of an order for relief against it in an involuntary case or proceeding or to the commencement of any bankruptcy or insolvency case or proceeding against it, (C) consents to the appointment of a Custodian of it or for all or substantially all of its property; or (D) makes a general assignment for the benefit of its creditors; or (6) a court of competent jurisdiction enters an order or decree under any Bankruptcy Law that (A) is for relief against the Company in an involuntary case, 34</w:t>
      </w:r>
    </w:p>
    <w:p>
      <w:pPr>
        <w:sectPr>
          <w:pgSz w:w="11900" w:h="16838" w:orient="portrait"/>
          <w:cols w:equalWidth="0" w:num="1">
            <w:col w:w="10159"/>
          </w:cols>
          <w:pgMar w:left="300" w:top="312" w:right="1440" w:bottom="1440" w:gutter="0" w:footer="0" w:header="0"/>
        </w:sectPr>
      </w:pPr>
    </w:p>
    <w:bookmarkStart w:id="162" w:name="page163"/>
    <w:bookmarkEnd w:id="162"/>
    <w:p>
      <w:pPr>
        <w:jc w:val="both"/>
        <w:ind w:left="100" w:right="1739" w:firstLine="54"/>
        <w:spacing w:after="0" w:line="268" w:lineRule="auto"/>
        <w:tabs>
          <w:tab w:leader="none" w:pos="574"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appoints a Custodian of the Company or for all or substantially all of its property, (C) orders the winding up or liquidation of the Company, (D) adjudges</w:t>
      </w:r>
    </w:p>
    <w:p>
      <w:pPr>
        <w:jc w:val="center"/>
        <w:ind w:right="1639"/>
        <w:spacing w:after="0" w:line="268" w:lineRule="auto"/>
        <w:rPr>
          <w:sz w:val="20"/>
          <w:szCs w:val="20"/>
          <w:color w:val="auto"/>
        </w:rPr>
      </w:pPr>
      <w:r>
        <w:rPr>
          <w:rFonts w:ascii="Courier New" w:cs="Courier New" w:eastAsia="Courier New" w:hAnsi="Courier New"/>
          <w:sz w:val="16"/>
          <w:szCs w:val="16"/>
          <w:color w:val="auto"/>
        </w:rPr>
        <w:t>the Company a bankrupt or insolvent or (E) approves as properly filed a petition seeking reorganization, arrangement, adjustment or composition of or in respect to the Company; and any such order or decree described in this clause (6) remains unstayed and in effect for 60 days; or (7) any other Event of Default provided as contemplated by Section 3.1 with respect to Securities of that series. The term "Bankruptcy Law" means Title 11, U.S. Code, or any similar federal or state law for the relief of debtors. The term "Custodian" means any receiver, trustee, assignee, liquidator or similar official under any Bankruptcy Law. Section 5.2. Acceleration; Rescission and Annulment. If an Event of Default with respect to the Securities of any series at the time Outstanding occurs and is continuing, the Trustee or the Holders of at least 25% in aggregate principal amount of all of the Outstanding Securities of such series, by written notice to the Company (and, if given by the Holders, to the Trustee), may declare the principal of (or, if the Securities of that series are Original Issue Discount Securities or Indexed Securities, such portion of the principal amount as may be specified in the terms of that series) and accrued interest, if any, on all the Securities of that series to be due and payable and upon any such declaration such principal (or, in the case of Original Issue Discount Securities or Indexed Securities, such specified amount) and interest, if any, shall be immediately due and payable. At any time after such a declaration of acceleration with respect to Securities of any series has been made and before a judgment or decree for payment of the money due has been obtained by the Trustee as hereinafter in this Article provided, the Holders of a majority in aggregate principal amount of the Outstanding Securities of that series, by written notice to the Trustee, may rescind and annul such declaration and its consequences if: (1) the Company has paid or deposited with the Trustee a sum of money sufficient to pay (i) all overdue installments of interest on any Securities of such series and any coupons appertaining thereto which have become due otherwise than by such declaration of acceleration and any Additional Amounts with respect thereto, (ii) the principal of and any premium on any Securities of such series which have become due otherwise than by such declaration of acceleration and any Additional Amounts with respect thereto and, to the extent permitted by applicable law, interest thereon at the rate or rates borne by or provided for in such Securities, (iii) to the extent permitted by applicable law, interest upon installments of interest, if any, which have become due otherwise than by such declaration of acceleration and any Additional Amounts with respect thereto at the rate or rates borne by or provided for in such Securities, and (iv) all sums paid or advanced by the Trustee hereunder and the compensation, expenses, disbursements and advances of the Trustee, its agents and counsel and all other amounts due the Trustee under Section 6.9; and (2) all Events of Default with respect to Securities of such series, other than the non-payment of the principal of, and interest on, and any Additional Amounts 35</w:t>
      </w:r>
    </w:p>
    <w:p>
      <w:pPr>
        <w:sectPr>
          <w:pgSz w:w="11900" w:h="16838" w:orient="portrait"/>
          <w:cols w:equalWidth="0" w:num="1">
            <w:col w:w="10159"/>
          </w:cols>
          <w:pgMar w:left="300" w:top="318" w:right="1440" w:bottom="1440" w:gutter="0" w:footer="0" w:header="0"/>
        </w:sectPr>
      </w:pPr>
    </w:p>
    <w:bookmarkStart w:id="163" w:name="page164"/>
    <w:bookmarkEnd w:id="163"/>
    <w:p>
      <w:pPr>
        <w:jc w:val="center"/>
        <w:ind w:right="1639"/>
        <w:spacing w:after="0" w:line="268" w:lineRule="auto"/>
        <w:rPr>
          <w:sz w:val="20"/>
          <w:szCs w:val="20"/>
          <w:color w:val="auto"/>
        </w:rPr>
      </w:pPr>
      <w:r>
        <w:rPr>
          <w:rFonts w:ascii="Courier New" w:cs="Courier New" w:eastAsia="Courier New" w:hAnsi="Courier New"/>
          <w:sz w:val="16"/>
          <w:szCs w:val="16"/>
          <w:color w:val="auto"/>
        </w:rPr>
        <w:t>with respect to, Securities of such series which shall have become due solely by such declaration of acceleration, shall have been cured or waived as provided in Section 5.7. No such rescission shall affect any subsequent default or impair any right consequent thereon. Section 5.3. Collection of Indebtedness and Suits for Enforcement by Trustee. The Company covenants that if (1) default is made in the payment of any interest on any Security or coupon, if any, or any Additional Amounts with respect to any Security when the same becomes due and payable and such default continues for a period of 30 days; or (2) default is made in the payment of the principal of (or premium, if any, on) any Security at the Maturity thereof, the Company will, upon demand of the Trustee, pay to it, for the benefit of the Holders of such Securities or coupons, if any, the whole amount then due and payable on such Securities for principal, premium, if any, interest and Additional Amounts, if any, and, to the extent that payment of such interest shall be legally enforceable, interest on any overdue principal, premium, if any, interest and Additional Amounts, if any, at the rate or rates borne by or prescribed therefor in such Securities or coupons, if any, and, in addition thereto, such further amount as shall be sufficient to cover the costs and expenses of collection, including the reasonable compensation, expenses, disbursements and advances of the Trustee, its agents and counsel. If the Company fails to pay the money it is required to pay the Trustee pursuant to the preceding paragraph forthwith upon the demand of the Trustee, the Trustee, in its own name and as trustee of an express trust, may institute a judicial proceeding for the collection of the money so due and unpaid, and may prosecute such proceeding to judgment or final decree, and may enforce the same against the Company or any other obligor upon such Securities and any coupons appertaining thereto and collect the monies adjudged or decreed to be payable in the manner provided by law out of the property of the Company or any other obligor upon such Securities and any coupons appertaining thereto, wherever situated. 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necessary to protect and enforce any such rights, whether for the specific enforcement of any covenant or agreement in this Indenture or in aid of the exercise of any power granted herein, or to secure any other proper remedy. Section 5.4. Trustee May File Proofs of Claim. In case of the pendency of any receivership, insolvency, liquidation, bankruptcy, reorganization, arrangement, adjustment, composition or other judicial proceeding relative to the Company or any other obligor upon the Securities or the property of the Company or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any overdue principal, premium, interest or 36</w:t>
      </w:r>
    </w:p>
    <w:p>
      <w:pPr>
        <w:sectPr>
          <w:pgSz w:w="11900" w:h="16838" w:orient="portrait"/>
          <w:cols w:equalWidth="0" w:num="1">
            <w:col w:w="10159"/>
          </w:cols>
          <w:pgMar w:left="300" w:top="318" w:right="1440" w:bottom="1440" w:gutter="0" w:footer="0" w:header="0"/>
        </w:sectPr>
      </w:pPr>
    </w:p>
    <w:bookmarkStart w:id="164" w:name="page165"/>
    <w:bookmarkEnd w:id="164"/>
    <w:p>
      <w:pPr>
        <w:jc w:val="center"/>
        <w:ind w:right="1639"/>
        <w:spacing w:after="0" w:line="268" w:lineRule="auto"/>
        <w:rPr>
          <w:sz w:val="20"/>
          <w:szCs w:val="20"/>
          <w:color w:val="auto"/>
        </w:rPr>
      </w:pPr>
      <w:r>
        <w:rPr>
          <w:rFonts w:ascii="Courier New" w:cs="Courier New" w:eastAsia="Courier New" w:hAnsi="Courier New"/>
          <w:sz w:val="16"/>
          <w:szCs w:val="16"/>
          <w:color w:val="auto"/>
        </w:rPr>
        <w:t>Additional Amounts) shall be entitled and empowered, by intervention in such proceeding or otherwise, (a) to file and prove a claim for the whole amount, or such lesser amount as may be provided for in the Securities of such series, of the principal and any premium, interest and Additional Amounts owing and unpaid in respect of such Securities and any coupons appertaining thereto and to file such other papers or documents as may be necessary or advisable in order to have the claims of the Trustee (including any claim for the reasonable compensation, expenses, disbursements and advances of the Trustee, its agents or counsel) and of the Holders of Securities or any coupons allowed in such judicial proceeding, and (b) to collect and receive any monies or other property payable or deliverable on any such claims and to distribute the same; and any Custodian in any such judicial proceeding is hereby authorized by each Holder of Securities or any coupons to make such payments to the Trustee and, in the event that the Trustee shall consent to the making of such payments directly to the Holders of Securities or any coupons, to pay to the Trustee any amount due to it for the reasonable compensation, expenses, disbursements and advances of the Trustee, its agents and counsel and any other amounts due the Trustee under Section 6.9. Nothing herein contained shall be deemed to authorize the Trustee to authorize or consent to or accept or adopt on behalf of any Holder of a Security or any coupon any plan of reorganization, arrangement, adjustment or composition affecting the Securities or coupons or the rights of any Holder thereof, or to authorize the Trustee to vote in respect of the claim of any Holder of a Security or any coupon in any such proceeding. Section 5.5. Trustee May Enforce Claims Without Possession of Securities or Coupons. All rights of action and claims under this 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or judgment, after provision for the payment of the reasonable compensation, expenses, disbursements and advances of the Trustee, its agents and counsel, shall be for the ratable benefit of each and every Holder of a Security or coupon in respect of which such judgment has been recovered. Section 5.6. Delay or Omission Not Waiver. No delay or omission by the Trustee or any Holder of any Securities to exercise any right or remedy accruing upon an Event of Default shall, to the extent permitted by applicable law, impair any such right or remedy or constitute a waiver of or acquiescence in any such Event of Default. Every right and remedy given by this Article 5 or by law to the Trustee or to the Holders may be exercised from time to time, and as often as may be deemed expedient, by the Trustee or by the Holders of Securities or coupons, as the case may be. Section 5.7. Waiver of Past Defaults. The Holders of a majority in aggregate principal amount of the Outstanding Securities of any series by written notice to the Trustee may waive on behalf of the Holders of all Securities of such series any past Default or Event of Default with respect to that series and its consequences except (i) a Default or Event of Default in the payment 37</w:t>
      </w:r>
    </w:p>
    <w:p>
      <w:pPr>
        <w:sectPr>
          <w:pgSz w:w="11900" w:h="16838" w:orient="portrait"/>
          <w:cols w:equalWidth="0" w:num="1">
            <w:col w:w="10159"/>
          </w:cols>
          <w:pgMar w:left="300" w:top="317" w:right="1440" w:bottom="1440" w:gutter="0" w:footer="0" w:header="0"/>
        </w:sectPr>
      </w:pPr>
    </w:p>
    <w:bookmarkStart w:id="165" w:name="page166"/>
    <w:bookmarkEnd w:id="165"/>
    <w:p>
      <w:pPr>
        <w:jc w:val="center"/>
        <w:ind w:left="300"/>
        <w:spacing w:after="0" w:line="269" w:lineRule="auto"/>
        <w:rPr>
          <w:sz w:val="20"/>
          <w:szCs w:val="20"/>
          <w:color w:val="auto"/>
        </w:rPr>
      </w:pPr>
      <w:r>
        <w:rPr>
          <w:rFonts w:ascii="Courier New" w:cs="Courier New" w:eastAsia="Courier New" w:hAnsi="Courier New"/>
          <w:sz w:val="16"/>
          <w:szCs w:val="16"/>
          <w:color w:val="auto"/>
        </w:rPr>
        <w:t>of the principal of, or premium, if any, or interest on, or Additional Amounts, if any, with respect to, any Security of such series or any coupon appertaining thereto or (ii) in respect of a covenant or provision hereof which pursuant to Section 8.2 cannot be amended or modified without the consent of the Holder of each Outstanding Security of such series affected. Upon any such waiver, such Default shall cease to exist, and any Event of Default arising therefrom shall be deemed to have been cured, for every purpose of this Indenture. Section 5.8. Control by Majority. The Holders of a majority in aggregate principal amount of the Outstanding Securities of any series shall have the right to direct the time, method and place of conducting any proceeding for any remedy available to the Trustee or exercising any trust or power conferred on it with respect to Securities of that series; provided, however, that (i) the Trustee may refuse to follow any direction that conflicts with law or this Indenture, (ii) the Trustee may refuse to follow any direction that is unduly prejudicial to the rights of the Holders of Securities of such series not consenting or that would in the good faith judgment of the Trustee have a substantial likelihood of involving the Trustee in personal liability and (iii) the Trustee may take any other action deemed proper by the Trustee which is not inconsistent with such direction. Section 5.9. Limitation on Suits by Holders. No Holder of any Security of any series or any coupons appertaining thereto shall have any right to institute any proceeding, judicial or otherwise, with respect to this Indenture, or for the appointment of a receiver or trustee, or for any other remedy hereunder, unless:</w:t>
      </w:r>
    </w:p>
    <w:p>
      <w:pPr>
        <w:spacing w:after="0" w:line="191" w:lineRule="exact"/>
        <w:rPr>
          <w:sz w:val="20"/>
          <w:szCs w:val="20"/>
          <w:color w:val="auto"/>
        </w:rPr>
      </w:pPr>
    </w:p>
    <w:p>
      <w:pPr>
        <w:ind w:left="104" w:right="1639" w:hanging="104"/>
        <w:spacing w:after="0" w:line="268" w:lineRule="auto"/>
        <w:tabs>
          <w:tab w:leader="none" w:pos="4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has previously given written notice to the Trustee of a continuing Event of Default with respect to the Securities of such series; (2) the Holders of at least 25% in aggregate principal amount of the Outstanding Securities of that series have made a written request to the Trustee to institute proceedings</w:t>
      </w:r>
    </w:p>
    <w:p>
      <w:pPr>
        <w:jc w:val="center"/>
        <w:ind w:left="4" w:right="1639" w:firstLine="211"/>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such Event of Default in its own name as Trustee hereunder; (3) such Holder or Holders have offered to the Trustee indemnity satisfactory to the Trustee against any loss, liability or expense to be, or which may be, incurred by the Trustee in pursuing the remedy; (4) the Trustee for 60 days after its receipt of such notice, request and the offer of indemnity has failed to institute any such proceedings; and (5) during such 60 day period, the Holders of a majority in aggregate principal amount of the Outstanding Securities of such series have not given to the Trustee a direction inconsistent with such written request. No one or more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w:t>
      </w:r>
    </w:p>
    <w:p>
      <w:pPr>
        <w:spacing w:after="0" w:line="181" w:lineRule="exact"/>
        <w:rPr>
          <w:sz w:val="20"/>
          <w:szCs w:val="20"/>
          <w:color w:val="auto"/>
        </w:rPr>
      </w:pPr>
    </w:p>
    <w:p>
      <w:pPr>
        <w:ind w:left="1524"/>
        <w:spacing w:after="0"/>
        <w:rPr>
          <w:sz w:val="20"/>
          <w:szCs w:val="20"/>
          <w:color w:val="auto"/>
        </w:rPr>
      </w:pPr>
      <w:r>
        <w:rPr>
          <w:rFonts w:ascii="Courier New" w:cs="Courier New" w:eastAsia="Courier New" w:hAnsi="Courier New"/>
          <w:sz w:val="18"/>
          <w:szCs w:val="18"/>
          <w:color w:val="auto"/>
        </w:rPr>
        <w:t>equal and ratable benefit of all of such Holders. 38</w:t>
      </w:r>
    </w:p>
    <w:p>
      <w:pPr>
        <w:sectPr>
          <w:pgSz w:w="11900" w:h="16838" w:orient="portrait"/>
          <w:cols w:equalWidth="0" w:num="1">
            <w:col w:w="10163"/>
          </w:cols>
          <w:pgMar w:left="296" w:top="318" w:right="1440" w:bottom="1440" w:gutter="0" w:footer="0" w:header="0"/>
        </w:sectPr>
      </w:pPr>
    </w:p>
    <w:bookmarkStart w:id="166" w:name="page167"/>
    <w:bookmarkEnd w:id="166"/>
    <w:p>
      <w:pPr>
        <w:jc w:val="center"/>
        <w:ind w:right="1639"/>
        <w:spacing w:after="0" w:line="268" w:lineRule="auto"/>
        <w:rPr>
          <w:sz w:val="20"/>
          <w:szCs w:val="20"/>
          <w:color w:val="auto"/>
        </w:rPr>
      </w:pPr>
      <w:r>
        <w:rPr>
          <w:rFonts w:ascii="Courier New" w:cs="Courier New" w:eastAsia="Courier New" w:hAnsi="Courier New"/>
          <w:sz w:val="16"/>
          <w:szCs w:val="16"/>
          <w:color w:val="auto"/>
        </w:rPr>
        <w:t>Section 5.10. Rights of Holders to Receive Payment. Notwithstanding any other provision of this Indenture, the Holder of any Security or coupon shall have the right, which is absolute and unconditional, to receive payment of the principal of, and premium, if any, and, subject to Sections 3.5 and 3.7, interest on, and Additional Amounts, if any, with respect to, such Security and such coupon on the respective due dates expressed in such Security or coupon (or, in case of redemption, on the Redemption Date or, in the case of repurchase by the Company at the option of such Holder, on any date such repurchase is due to be made), and to institute suit for the enforcement of any such payment, and such right shall not be impaired or affected without the consent of such Holder. Section 5.11. Application of Money Collected. If the Trustee collects any money pursuant to this Article, it shall pay out the money in the following order, at the date or dates fixed by the Trustee and, in case of the distribution of such money on account of principal, premium, if any, or interest, upon presentation of the Securities and the notation thereon of the payment if only partially paid and upon surrender thereof if fully paid: FIRST: to the Trustee for amounts due under Section 6.9; SECOND: to Holders of Securities and coupons in respect of which or for the benefit of which such money has been collected for amounts due and unpaid on such Securities for principal, premium, if any, interest and Additional Amounts, if any, ratably, without preference or priority of any kind, according to the amounts due and payable on such Securities for principal, premium, if any, interest and Additional Amounts, if any, respectively; and THIRD: to the Company. The Trustee may fix a record date and payment date for any payment to Holders pursuant to this Section 5.11. At least 15 days before such record date, the Trustee shall mail to each holder and the Company a notice that states the record date, the payment date and the amount to be paid. Section 5.12. Restoration of Rights and Remedies.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 Section 5.13. Rights and Remedies Cumulative. To the extent permitted by applicable law and except as otherwise provided with respect to the replacement or payment of mutilated, destroyed, lost or stolen Securities in the last paragraph of Section 3.6, no right or remedy herein conferred upon or reserved to the Trustee or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39</w:t>
      </w:r>
    </w:p>
    <w:p>
      <w:pPr>
        <w:sectPr>
          <w:pgSz w:w="11900" w:h="16838" w:orient="portrait"/>
          <w:cols w:equalWidth="0" w:num="1">
            <w:col w:w="10159"/>
          </w:cols>
          <w:pgMar w:left="300" w:top="317" w:right="1440" w:bottom="1440" w:gutter="0" w:footer="0" w:header="0"/>
        </w:sectPr>
      </w:pPr>
    </w:p>
    <w:bookmarkStart w:id="167" w:name="page168"/>
    <w:bookmarkEnd w:id="167"/>
    <w:p>
      <w:pPr>
        <w:jc w:val="center"/>
        <w:ind w:right="1639"/>
        <w:spacing w:after="0" w:line="268" w:lineRule="auto"/>
        <w:rPr>
          <w:sz w:val="20"/>
          <w:szCs w:val="20"/>
          <w:color w:val="auto"/>
        </w:rPr>
      </w:pPr>
      <w:r>
        <w:rPr>
          <w:rFonts w:ascii="Courier New" w:cs="Courier New" w:eastAsia="Courier New" w:hAnsi="Courier New"/>
          <w:sz w:val="16"/>
          <w:szCs w:val="16"/>
          <w:color w:val="auto"/>
        </w:rPr>
        <w:t>otherwise, shall not prevent the concurrent assertion or employment of any other appropriate right or remedy. Section 5.14. Waiver of Stay or Extension Laws. The Company covenants that (to the extent that it may lawfully do so)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expressly waives (to the extent that it may lawfully do so) all benefit or advantage of any such law and covenants (to the extent it may lawfully do so) that it will not hinder, delay or impede the execution of any power herein granted to the trustee, but will suffer and permit the execution of every such power as though no such law had been enacted. Section 5.15. Undertaking for Costs.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any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5.15 shall not apply to any suit instituted by the trustee, to any suit instituted by any holder, or group of holders, holding in the aggregate more than 10% in principal amount of outstanding Securities of any series, or to any suit instituted by any holder for the enforcement of the payment of the principal of, or premium, if any, or interest, if any, on or Additional Amounts, if any, with respect to any Security on or after the respective Stated Maturities expressed in such Security (or, in the case of redemption, on or after the redemption date, or, in the case of repurchase by the Company at the option of the holder, on or after the date for repurchase). ARTICLE 6 THE TRUSTEE Section 6.1. Certain Duties and Responsibilities of the Trustee. (a) Except during the continuance of an Event of Default, the Trustee's duties and responsibilities under this Indenture shall be governed by Section 315(a) of the Trust Indenture Act and no implied duties shall be inferred against the Trustee. (b) In case an Event of Default has occurred and is continuing, the Trustee shall exercise the rights and powers vested in it by this Indenture, and shall use the same degree of care and skill in their exercise, as a prudent man would exercise or use under the circumstances in the conduct of his own affairs. Section 6.2. Rights of Trustee. Subject to the provisions of the Trust Indenture Act: (a) The Trustee may conclusively rely and shall be fully protected in acting or refraining from acting upon any document believed by it to be genuine and to have been signed 40</w:t>
      </w:r>
    </w:p>
    <w:p>
      <w:pPr>
        <w:sectPr>
          <w:pgSz w:w="11900" w:h="16838" w:orient="portrait"/>
          <w:cols w:equalWidth="0" w:num="1">
            <w:col w:w="10159"/>
          </w:cols>
          <w:pgMar w:left="300" w:top="318" w:right="1440" w:bottom="1440" w:gutter="0" w:footer="0" w:header="0"/>
        </w:sectPr>
      </w:pPr>
    </w:p>
    <w:bookmarkStart w:id="168" w:name="page169"/>
    <w:bookmarkEnd w:id="168"/>
    <w:p>
      <w:pPr>
        <w:jc w:val="center"/>
        <w:ind w:right="1639"/>
        <w:spacing w:after="0"/>
        <w:rPr>
          <w:sz w:val="20"/>
          <w:szCs w:val="20"/>
          <w:color w:val="auto"/>
        </w:rPr>
      </w:pPr>
      <w:r>
        <w:rPr>
          <w:rFonts w:ascii="Courier New" w:cs="Courier New" w:eastAsia="Courier New" w:hAnsi="Courier New"/>
          <w:sz w:val="16"/>
          <w:szCs w:val="16"/>
          <w:color w:val="auto"/>
        </w:rPr>
        <w:t>or presented by the proper party or parties. The Trustee need not investigate any</w:t>
      </w:r>
    </w:p>
    <w:p>
      <w:pPr>
        <w:spacing w:after="0" w:line="21" w:lineRule="exact"/>
        <w:rPr>
          <w:sz w:val="20"/>
          <w:szCs w:val="20"/>
          <w:color w:val="auto"/>
        </w:rPr>
      </w:pPr>
    </w:p>
    <w:p>
      <w:pPr>
        <w:jc w:val="center"/>
        <w:ind w:right="1639"/>
        <w:spacing w:after="0" w:line="268" w:lineRule="auto"/>
        <w:rPr>
          <w:sz w:val="20"/>
          <w:szCs w:val="20"/>
          <w:color w:val="auto"/>
        </w:rPr>
      </w:pPr>
      <w:r>
        <w:rPr>
          <w:rFonts w:ascii="Courier New" w:cs="Courier New" w:eastAsia="Courier New" w:hAnsi="Courier New"/>
          <w:sz w:val="16"/>
          <w:szCs w:val="16"/>
          <w:color w:val="auto"/>
        </w:rPr>
        <w:t>fact or matter stated in the document but the Trustee may, in its discretion,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or additional liability of any kind by reason of such inquiry. (b) Any request or direction of the Company mentioned herein shall be sufficiently evidenced by a Company Request or Company Order (other than delivery of any Security, together with any coupons appertaining thereto, to the Trustee for authentication and delivery pursuant to Section 3.3, which shall be sufficiently evidenced as provided therein) and any resolution of the Board of Directors may be sufficiently evidenced by a Board Resolution. (c) Before the Trustee acts or refrains from acting, it may consult with counsel of its own selection (who may be in-house counsel) or require an Officers' Certificate. The Trustee shall not be liable for any action it takes or omits to take in good faith in reliance on a Board Resolution, the written advice of counsel, who may be an attorney for the Company, an Officers' Certificate or an Opinion of Counsel. (d) The Trustee may act through agents or attorneys and shall not be responsible for the misconduct or negligence of any agent or attorney appointed with due care. (e) The Trustee shall not be liable for any action it takes or omits to take in good faith which it believes to be authorized or within its rights or powers. (f) The Trustee shall not be required to expend or risk its own funds or otherwise incur any financial liability in the performance of any of its duties hereunder, or in the exercise of its rights or powers. (g) The permissive rights of the Trustee to do things enumerated in this Indenture shall not be construed as a duty unless so specified herein. (h) The Trustee shall not be liable with respect to any action taken or omitted to be taken by it in good faith and without negligence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(i) 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the Trustee against the costs, expenses and liabilities which might be incurred by it in compliance with such request or direction. (j) The Trustee's rights to immunities and protection from liability hereunder and its rights to payment of its fees, indemnities and expenses shall survive termination of this Agreement and its resignation or removal. 41</w:t>
      </w:r>
    </w:p>
    <w:p>
      <w:pPr>
        <w:sectPr>
          <w:pgSz w:w="11900" w:h="16838" w:orient="portrait"/>
          <w:cols w:equalWidth="0" w:num="1">
            <w:col w:w="10159"/>
          </w:cols>
          <w:pgMar w:left="300" w:top="318" w:right="1440" w:bottom="1440" w:gutter="0" w:footer="0" w:header="0"/>
        </w:sectPr>
      </w:pPr>
    </w:p>
    <w:bookmarkStart w:id="169" w:name="page170"/>
    <w:bookmarkEnd w:id="169"/>
    <w:p>
      <w:pPr>
        <w:ind w:right="1639" w:firstLine="207"/>
        <w:spacing w:after="0" w:line="268" w:lineRule="auto"/>
        <w:tabs>
          <w:tab w:leader="none" w:pos="632"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privileges, protections, immunities and benefits given to the Trustee, including, without limitation, its right to be indemnified, are extended to, and shall be enforceable by, the Trustee in each of its capacities hereunder,</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 each agent, custodian and other Person employed to act hereunder. (l) In no</w:t>
      </w:r>
    </w:p>
    <w:p>
      <w:pPr>
        <w:spacing w:after="0" w:line="16" w:lineRule="exact"/>
        <w:rPr>
          <w:rFonts w:ascii="Courier New" w:cs="Courier New" w:eastAsia="Courier New" w:hAnsi="Courier New"/>
          <w:sz w:val="16"/>
          <w:szCs w:val="16"/>
          <w:color w:val="auto"/>
        </w:rPr>
      </w:pPr>
    </w:p>
    <w:p>
      <w:pPr>
        <w:ind w:left="3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event shall the Trustee be responsible or liable for special, indirect, or</w:t>
      </w:r>
    </w:p>
    <w:p>
      <w:pPr>
        <w:spacing w:after="0" w:line="4" w:lineRule="exact"/>
        <w:rPr>
          <w:rFonts w:ascii="Courier New" w:cs="Courier New" w:eastAsia="Courier New" w:hAnsi="Courier New"/>
          <w:sz w:val="16"/>
          <w:szCs w:val="16"/>
          <w:color w:val="auto"/>
        </w:rPr>
      </w:pPr>
    </w:p>
    <w:p>
      <w:pPr>
        <w:jc w:val="center"/>
        <w:ind w:right="163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consequential loss or damage of any kind whatsoever (including, but not limited to, loss of profit) irrespective of whether the Trustee has been advised of the likelihood of such loss or damage and regardless of the form of action. Section 6.3. Trustee May Hold Securities. The Trustee, any Paying Agent, any Registrar or any other agent of the Company, in its individual or any other capacity, may become the owner or pledgee of Securities and coupons and, subject to Sections 310(b) and 311 of the Trust Indenture Act, with which the Trustee shall comply, may otherwise deal with the Company and an Affiliate or Subsidiary of the Company with the same rights it would have if it were not Trustee, Paying Agent, Registrar or such other agent. Section 6.4. Money Held in Trust. Money held by the Trustee in trust hereunder need not be segregated from other funds except to the extent required by law. The Trustee shall be under no liability for interest on any money received by it hereunder except as otherwise agreed upon in writing with the Company. Section 6.5. Trustee's Disclaimer. The recitals contained herein and in the Securities, except the Trustee's certificate of authentication, shall be taken as the statements of the Company, and the Trustee assumes no responsibility for their correctness. The Trustee makes no representation as to the validity, adequacy or priority of this Indenture or the Securities or any coupon. The Trustee shall not be accountable for the Company's use of the proceeds from the Securities or for monies paid over to the Company pursuant to the Indenture. Section 6.6. Notice of Defaults. If a Default occurs and is continuing with respect to the Securities of any series and if it is actually known to a Responsible Officer of the Trustee, the Trustee shall, within 90 days after it occurs, transmit by mail, in the manner and to the extent provided in Section 313(c) of the Trust Indenture Act, notice of all Defaults known to it unless such Default shall have been cured or waived; provided, however, that in the case of a Default in payment on the Securities of any series, the Trustee may withhold the notice if and so long as a committee of its Responsible Officers in good faith determines that withholding such notice is in the interests of Holders of Securities of that series; and provided, further, that in the case of any Default of the character specified in Section 5.1(3) with respect to Securities of such series, no such notice to Holders shall be given until at least 30 days after the occurrence thereof. The Trustee shall not be deemed to have notice of a Default or an Event of Default unless (i) the Trustee has received written notice thereof from the Company or any Holder or (ii) a Responsible Officer of the Trustee shall have actual knowledge thereof as evidenced in writing. Except as otherwise expressly provided herein, the Trustee shall not be bound to ascertain or inquire as to the performance or observance of any of the terms, conditions, covenants or agreements herein, or of any of the documents executed in connection with the Securities, or as to the existence of a Default or an Event of Default</w:t>
      </w:r>
    </w:p>
    <w:p>
      <w:pPr>
        <w:spacing w:after="0" w:line="200" w:lineRule="exact"/>
        <w:rPr>
          <w:sz w:val="20"/>
          <w:szCs w:val="20"/>
          <w:color w:val="auto"/>
        </w:rPr>
      </w:pPr>
    </w:p>
    <w:p>
      <w:pPr>
        <w:spacing w:after="0" w:line="206" w:lineRule="exact"/>
        <w:rPr>
          <w:sz w:val="20"/>
          <w:szCs w:val="20"/>
          <w:color w:val="auto"/>
        </w:rPr>
      </w:pPr>
    </w:p>
    <w:p>
      <w:pPr>
        <w:ind w:left="3520"/>
        <w:spacing w:after="0"/>
        <w:rPr>
          <w:sz w:val="20"/>
          <w:szCs w:val="20"/>
          <w:color w:val="auto"/>
        </w:rPr>
      </w:pPr>
      <w:r>
        <w:rPr>
          <w:rFonts w:ascii="Courier New" w:cs="Courier New" w:eastAsia="Courier New" w:hAnsi="Courier New"/>
          <w:sz w:val="18"/>
          <w:szCs w:val="18"/>
          <w:color w:val="auto"/>
        </w:rPr>
        <w:t>thereunder. 42</w:t>
      </w:r>
    </w:p>
    <w:p>
      <w:pPr>
        <w:sectPr>
          <w:pgSz w:w="11900" w:h="16838" w:orient="portrait"/>
          <w:cols w:equalWidth="0" w:num="1">
            <w:col w:w="10159"/>
          </w:cols>
          <w:pgMar w:left="300" w:top="317" w:right="1440" w:bottom="1440" w:gutter="0" w:footer="0" w:header="0"/>
        </w:sectPr>
      </w:pPr>
    </w:p>
    <w:bookmarkStart w:id="170" w:name="page171"/>
    <w:bookmarkEnd w:id="170"/>
    <w:p>
      <w:pPr>
        <w:jc w:val="center"/>
        <w:ind w:right="1639"/>
        <w:spacing w:after="0" w:line="268" w:lineRule="auto"/>
        <w:rPr>
          <w:sz w:val="20"/>
          <w:szCs w:val="20"/>
          <w:color w:val="auto"/>
        </w:rPr>
      </w:pPr>
      <w:r>
        <w:rPr>
          <w:rFonts w:ascii="Courier New" w:cs="Courier New" w:eastAsia="Courier New" w:hAnsi="Courier New"/>
          <w:sz w:val="16"/>
          <w:szCs w:val="16"/>
          <w:color w:val="auto"/>
        </w:rPr>
        <w:t>Section 6.7. Reports by Trustee to Holders. Within 60 days after each May 15 of each year commencing with the first May 15 after the first issuance of Securities pursuant to this Indenture, the Trustee shall transmit by mail to all Holders of Securities as provided in Section 313(c) of the Trust Indenture Act a brief report dated as of such May 15 if required by and in compliance with Section 313(a) of the Trust Indenture Act. The Trustee shall also comply with Sections 313(b) and (d) of the Trust Indenture Act. Section 6.8. Securityholder Lists. The Trustee shall preserve in as current a form as is reasonably practicable the most recent list available to it of the names and addresses of Holders of Securities of each series. If the Trustee is not the Registrar, the Company shall furnish to the Trustee semiannually on or before the last day of June and December in each year, and at such other times as the Trustee may request in writing, a list, in such form and as of such date as the Trustee may reasonably require, containing all the information in the possession or control of the Registrar, the Company or any of its Paying Agents other than the Trustee as to the names and addresses of Holders of Securities of each such series. If there are Bearer Securities of any series outstanding, even if the Trustee is the Registrar, the Company shall furnish to the Trustee such a list containing such information with respect to Holders of such Bearer Securities only. Holders of Securities may communicate pursuant to Section 312(b) of the Trust Indenture Act with other Holders with respect to their rights under this Indenture or the Securities. The Company, the Trustee and all other Persons shall have the protection of Section 312(c) of the Trust Indenture Act. Section 6.9. Compensation and Indemnity. (a) The Company shall pay to the Trustee such compensation as the Company and the Trustee shall from time to time agree in writing for all services rendered by it hereunder. The Trustee's compensation shall not be limited by any law on compensation of a trustee of an express trust. The Company shall reimburse the Trustee upon request for all out-of-pocket expenses incurred by it in connection with the performance of its duties under this Indenture, except any such expense as shall be determined to have been caused by its own negligence or willful misconduct. Such expenses shall include the reasonable compensation and expenses of the Trustee's agents and counsel. (b) The Company shall fully indemnify the Trustee for, and hold it harmless against, any and all loss or liability, damage, claim or expense including taxes (other than taxes based upon or determined or measured by the income of the Trustee) incurred by it arising out of or in connection with its acceptance or administration of the trust or trusts hereunder, including the costs and expenses of defending itself against any claim or liability in connection with the exercise or performance of any of its powers or duties hereunder. The Trustee shall notify the Company promptly of any claim of which it has received written notice and for which it may seek indemnity.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shall not be unreasonably withheld. 43</w:t>
      </w:r>
    </w:p>
    <w:p>
      <w:pPr>
        <w:sectPr>
          <w:pgSz w:w="11900" w:h="16838" w:orient="portrait"/>
          <w:cols w:equalWidth="0" w:num="1">
            <w:col w:w="10159"/>
          </w:cols>
          <w:pgMar w:left="300" w:top="318" w:right="1440" w:bottom="1440" w:gutter="0" w:footer="0" w:header="0"/>
        </w:sectPr>
      </w:pPr>
    </w:p>
    <w:bookmarkStart w:id="171" w:name="page172"/>
    <w:bookmarkEnd w:id="171"/>
    <w:p>
      <w:pPr>
        <w:jc w:val="both"/>
        <w:ind w:left="40" w:right="1679" w:firstLine="61"/>
        <w:spacing w:after="0" w:line="268" w:lineRule="auto"/>
        <w:tabs>
          <w:tab w:leader="none" w:pos="514"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need not reimburse any expense or indemnify against any loss or liability determined by a court of competent jurisdiction to have been caused by the Trustee through its own negligence or willful misconduct. (d) To secure the</w:t>
      </w:r>
    </w:p>
    <w:p>
      <w:pPr>
        <w:jc w:val="center"/>
        <w:ind w:right="1639" w:firstLine="158"/>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obligations of the Company pursuant to this Section, the Trustee shall have a lien prior to the Securities of any series on all money or property held or collected by the Trustee, in its capacity as Trustee, except that held in trust to pay principal, premium, if any, and interest on and Additional Amounts, if any, with respect to particular Securities. When the Trustee incurs expenses or renders services in connection with an Event of Default specified in Section 5.1(5) or Section 5.1(6), the expenses (including the reasonable charges and expenses of its counsel) and the compensation for the services are intended to constitute expenses of administration under any applicable federal or state bankruptcy, insolvency or other similar law. The provisions of this Section shall survive the termination of this Indenture and the registration or removal of the Trustee. All indemnifications and releases from liability granted in this Article 6 to the Trustee shall extend to its directors, officers, employees and agents and to the Trustee and to each Paying Agent and Registrar. Whether or not expressly provided for herein, every provision of this Indenture relating to the conduct or affecting the liability of the Trustee shall be subject to the provisions of this Article 6. Section 6.10. Replacement of Trustee. (a) The resignation or removal of the Trustee and the appointment of a successor Trustee shall become effective only upon the successor Trustee's acceptance of appointment as provided in Section 6.11. (b) The Trustee may resign at any time with respect to the Securities of any series by giving written notice thereof to the Company. If the instrument of acceptance by a successor Trustee required by Section 6.11 shall not have been delivered to the Trustee within 30 days after the giving of such notice of resignation, the resigning Trustee may petition at the expense of the Company any court of competent jurisdiction for the appointment of a successor Trustee with respect to the Securities of such series.</w:t>
      </w:r>
    </w:p>
    <w:p>
      <w:pPr>
        <w:spacing w:after="0" w:line="391" w:lineRule="exact"/>
        <w:rPr>
          <w:rFonts w:ascii="Courier New" w:cs="Courier New" w:eastAsia="Courier New" w:hAnsi="Courier New"/>
          <w:sz w:val="16"/>
          <w:szCs w:val="16"/>
          <w:color w:val="auto"/>
        </w:rPr>
      </w:pPr>
    </w:p>
    <w:p>
      <w:pPr>
        <w:ind w:right="1639" w:firstLine="154"/>
        <w:spacing w:after="0" w:line="268" w:lineRule="auto"/>
        <w:tabs>
          <w:tab w:leader="none" w:pos="579"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a majority in aggregate principal amount of the Outstanding Securities of any series may remove the Trustee with respect to that series by so</w:t>
      </w:r>
    </w:p>
    <w:p>
      <w:pPr>
        <w:jc w:val="center"/>
        <w:ind w:left="100" w:right="1739" w:firstLine="10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notifying the Trustee and the Company and may appoint a successor Trustee for such series with the Company's consent. If the instrument of acceptance by a successor Trustee required by Section 6.11 shall not have been delivered to the Trustee within 30 days after the giving of such notice of removal, the Trustee being removed may petition at the expense of the Company any court of competent jurisdiction for the appointment of a successor Trustee with respect to the</w:t>
      </w:r>
    </w:p>
    <w:p>
      <w:pPr>
        <w:ind w:left="2740"/>
        <w:spacing w:after="0" w:line="234" w:lineRule="auto"/>
        <w:rPr>
          <w:sz w:val="20"/>
          <w:szCs w:val="20"/>
          <w:color w:val="auto"/>
        </w:rPr>
      </w:pPr>
      <w:r>
        <w:rPr>
          <w:rFonts w:ascii="Courier New" w:cs="Courier New" w:eastAsia="Courier New" w:hAnsi="Courier New"/>
          <w:sz w:val="18"/>
          <w:szCs w:val="18"/>
          <w:color w:val="auto"/>
        </w:rPr>
        <w:t>Securities of such series. 44</w:t>
      </w:r>
    </w:p>
    <w:p>
      <w:pPr>
        <w:sectPr>
          <w:pgSz w:w="11900" w:h="16838" w:orient="portrait"/>
          <w:cols w:equalWidth="0" w:num="1">
            <w:col w:w="10159"/>
          </w:cols>
          <w:pgMar w:left="300" w:top="317" w:right="1440" w:bottom="1440" w:gutter="0" w:footer="0" w:header="0"/>
        </w:sectPr>
      </w:pPr>
    </w:p>
    <w:bookmarkStart w:id="172" w:name="page173"/>
    <w:bookmarkEnd w:id="172"/>
    <w:p>
      <w:pPr>
        <w:ind w:left="320" w:right="1779" w:hanging="166"/>
        <w:spacing w:after="0" w:line="268" w:lineRule="auto"/>
        <w:tabs>
          <w:tab w:leader="none" w:pos="583"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(1) the Trustee fails to comply with Section 310(b) of the Trust Indenture Act after written request therefor by the Company or by any</w:t>
      </w:r>
    </w:p>
    <w:p>
      <w:pPr>
        <w:jc w:val="center"/>
        <w:ind w:right="1639"/>
        <w:spacing w:after="0" w:line="235" w:lineRule="auto"/>
        <w:rPr>
          <w:sz w:val="20"/>
          <w:szCs w:val="20"/>
          <w:color w:val="auto"/>
        </w:rPr>
      </w:pPr>
      <w:r>
        <w:rPr>
          <w:rFonts w:ascii="Courier New" w:cs="Courier New" w:eastAsia="Courier New" w:hAnsi="Courier New"/>
          <w:sz w:val="18"/>
          <w:szCs w:val="18"/>
          <w:color w:val="auto"/>
        </w:rPr>
        <w:t>Holder who has been a bona fide Holder of a Security for at least six months; (2) the Trustee shall cease to be eligible under Section 310(a) of the Trust</w:t>
      </w:r>
    </w:p>
    <w:p>
      <w:pPr>
        <w:spacing w:after="0" w:line="6" w:lineRule="exact"/>
        <w:rPr>
          <w:sz w:val="20"/>
          <w:szCs w:val="20"/>
          <w:color w:val="auto"/>
        </w:rPr>
      </w:pPr>
    </w:p>
    <w:p>
      <w:pPr>
        <w:jc w:val="center"/>
        <w:ind w:right="1639"/>
        <w:spacing w:after="0" w:line="268" w:lineRule="auto"/>
        <w:rPr>
          <w:sz w:val="20"/>
          <w:szCs w:val="20"/>
          <w:color w:val="auto"/>
        </w:rPr>
      </w:pPr>
      <w:r>
        <w:rPr>
          <w:rFonts w:ascii="Courier New" w:cs="Courier New" w:eastAsia="Courier New" w:hAnsi="Courier New"/>
          <w:sz w:val="16"/>
          <w:szCs w:val="16"/>
          <w:color w:val="auto"/>
        </w:rPr>
        <w:t>Indenture Act and shall fail to resign after written request therefor by the Company or by any Holder of a Security who has been a bona fide Holder of a Security for at least six months; or (3) the Trustee becomes incapable of acting, is adjudged a bankrupt or an insolvent or a receiver or public officer takes charge of the Trustee or its property or affairs for the purpose of rehabilitation, conservation or liquidation, then, in any such case, (i) the Company by or pursuant to a Board Resolution may remove the Trustee with respect to all Securities, or (ii) subject to Section 315(e) of the Trust Indenture Act,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 (e) if the Trustee resigns, is removed or becomes incapable of acting, or if a vacancy exists in the office of Trustee for any reason, with respect to Securities of one or more series, the Company, by or pursuant to Board Resolution, shall promptly appoint a successor Trustee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 Section 6.11. Acceptance of Appointment by Successor. (a) In case of the appointment hereunder of a successor Trustee with respect to all Securities, every such successor Trustee shall execute, acknowledge and deliver to the Company and to the retiring Trustee an instrument accepting such appointment. Thereupon, the resignation or removal of the retiring Trustee shall become effective, and the successor Trustee, 45</w:t>
      </w:r>
    </w:p>
    <w:p>
      <w:pPr>
        <w:sectPr>
          <w:pgSz w:w="11900" w:h="16838" w:orient="portrait"/>
          <w:cols w:equalWidth="0" w:num="1">
            <w:col w:w="10159"/>
          </w:cols>
          <w:pgMar w:left="300" w:top="318" w:right="1440" w:bottom="1440" w:gutter="0" w:footer="0" w:header="0"/>
        </w:sectPr>
      </w:pPr>
    </w:p>
    <w:bookmarkStart w:id="173" w:name="page174"/>
    <w:bookmarkEnd w:id="173"/>
    <w:p>
      <w:pPr>
        <w:jc w:val="both"/>
        <w:ind w:right="1639"/>
        <w:spacing w:after="0" w:line="268" w:lineRule="auto"/>
        <w:rPr>
          <w:sz w:val="20"/>
          <w:szCs w:val="20"/>
          <w:color w:val="auto"/>
        </w:rPr>
      </w:pPr>
      <w:r>
        <w:rPr>
          <w:rFonts w:ascii="Courier New" w:cs="Courier New" w:eastAsia="Courier New" w:hAnsi="Courier New"/>
          <w:sz w:val="16"/>
          <w:szCs w:val="16"/>
          <w:color w:val="auto"/>
        </w:rPr>
        <w:t>without further act, deed or conveyance, shall become vested with all the rights, powers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w:t>
      </w:r>
    </w:p>
    <w:p>
      <w:pPr>
        <w:spacing w:after="0" w:line="1" w:lineRule="exact"/>
        <w:rPr>
          <w:sz w:val="20"/>
          <w:szCs w:val="20"/>
          <w:color w:val="auto"/>
        </w:rPr>
      </w:pPr>
    </w:p>
    <w:p>
      <w:pPr>
        <w:jc w:val="center"/>
        <w:ind w:right="1639"/>
        <w:spacing w:after="0" w:line="268" w:lineRule="auto"/>
        <w:rPr>
          <w:sz w:val="20"/>
          <w:szCs w:val="20"/>
          <w:color w:val="auto"/>
        </w:rPr>
      </w:pPr>
      <w:r>
        <w:rPr>
          <w:rFonts w:ascii="Courier New" w:cs="Courier New" w:eastAsia="Courier New" w:hAnsi="Courier New"/>
          <w:sz w:val="16"/>
          <w:szCs w:val="16"/>
          <w:color w:val="auto"/>
        </w:rPr>
        <w:t>and deliver to such successor Trustee all property and money held by such retiring Trustee hereunder. (b) In case of the appointment hereunder of a successor Trustee with respect to the Securities of one or more (but not all) series, the Company, the retiring Trustee and such successor Trustee shall execute and deliver an indenture supplemental hereto wherein such successor Trustee shall accept such appointment and which (i) shall contain such provisions as shall be necessary or desirable to transfer and confirm to, and to vest in, such successor Trustee all the rights, powers, trusts and duties of the retiring Trustee with respect to the Securities of that or those series to which the appointment of such successor Trustee relates, (ii)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(c) Upon request of any such successor Trustee, the Company shall execute any and all instruments for more fully and certainly vesting in and confirming to such successor Trustee all such rights, powers and trusts referred to in paragraph (a) or (b) of this Section, as the case may be. (d) No successor Trustee shall accept its appointment unless at the time of such acceptance such successor Trustee shall be qualified and eligible under the Trust Indenture Act. (e) 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1.6. Each notice shall include the name of the successor Trustee with respect to the Securities of such series and the address of its Corporate Trust office. 46</w:t>
      </w:r>
    </w:p>
    <w:p>
      <w:pPr>
        <w:sectPr>
          <w:pgSz w:w="11900" w:h="16838" w:orient="portrait"/>
          <w:cols w:equalWidth="0" w:num="1">
            <w:col w:w="10159"/>
          </w:cols>
          <w:pgMar w:left="300" w:top="318" w:right="1440" w:bottom="1440" w:gutter="0" w:footer="0" w:header="0"/>
        </w:sectPr>
      </w:pPr>
    </w:p>
    <w:bookmarkStart w:id="174" w:name="page175"/>
    <w:bookmarkEnd w:id="174"/>
    <w:p>
      <w:pPr>
        <w:jc w:val="center"/>
        <w:ind w:right="1639"/>
        <w:spacing w:after="0" w:line="268" w:lineRule="auto"/>
        <w:rPr>
          <w:sz w:val="20"/>
          <w:szCs w:val="20"/>
          <w:color w:val="auto"/>
        </w:rPr>
      </w:pPr>
      <w:r>
        <w:rPr>
          <w:rFonts w:ascii="Courier New" w:cs="Courier New" w:eastAsia="Courier New" w:hAnsi="Courier New"/>
          <w:sz w:val="16"/>
          <w:szCs w:val="16"/>
          <w:color w:val="auto"/>
        </w:rPr>
        <w:t>Section 6.12. Eligibility; Disqualification. There shall at all times be a Trustee hereunder which shall be eligible to act as Trustee under Section 310(a)</w:t>
      </w:r>
    </w:p>
    <w:p>
      <w:pPr>
        <w:ind w:left="200" w:right="1739" w:hanging="99"/>
        <w:spacing w:after="0" w:line="268" w:lineRule="auto"/>
        <w:tabs>
          <w:tab w:leader="none" w:pos="516"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Trust Indenture Act and shall have a combined capital and surplus of at least $50,000,000 (or, in the case of a Trustee which is a subsidiary of a</w:t>
      </w:r>
    </w:p>
    <w:p>
      <w:pPr>
        <w:jc w:val="center"/>
        <w:ind w:right="1639"/>
        <w:spacing w:after="0" w:line="268" w:lineRule="auto"/>
        <w:rPr>
          <w:sz w:val="20"/>
          <w:szCs w:val="20"/>
          <w:color w:val="auto"/>
        </w:rPr>
      </w:pPr>
      <w:r>
        <w:rPr>
          <w:rFonts w:ascii="Courier New" w:cs="Courier New" w:eastAsia="Courier New" w:hAnsi="Courier New"/>
          <w:sz w:val="16"/>
          <w:szCs w:val="16"/>
          <w:color w:val="auto"/>
        </w:rPr>
        <w:t>bank holding company, which Trustee shall have a combined capital and surplus of at least $10,000,000 and whose ultimate parent bank holding company shall have a combined capital and surplus of at least $50,000,000). If such corporation (or ultimate parent bank holding company, as the case may be) publishes reports of condition at least annually, pursuant to law or the requirements of federal, state, territorial or District of Columbia supervising or examining authority, then for the purposes of this Section, the combined capital and surplus of such corporation (or ultimate parent bank holding company, as the case may be)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specified in this Article. Neither the Company nor any Person directly or indirectly controlling, controlled by or under common control with the Company shall serve as Trustee for the Securities of any series. Section 6.13. Merger, Conversion, Consolidation or Succession to Business.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Section 6.14. Appointment of Authenticating Agent. The Trustee may appoint an Authenticating Agent or Agents with respect to one or more series of Securities which shall be authorized to act on behalf of the Trustee to authenticate Securities of such series issued upon original issue, exchange, registration of transfer or partial redemption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except as may otherwise be provided pursuant to Section 3.1,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$50,000,000 and subject to supervision or examination by federal or state authorities. If such Authenticating Agent publishes reports of condition at least annually, 47</w:t>
      </w:r>
    </w:p>
    <w:p>
      <w:pPr>
        <w:sectPr>
          <w:pgSz w:w="11900" w:h="16838" w:orient="portrait"/>
          <w:cols w:equalWidth="0" w:num="1">
            <w:col w:w="10159"/>
          </w:cols>
          <w:pgMar w:left="300" w:top="318" w:right="1440" w:bottom="1440" w:gutter="0" w:footer="0" w:header="0"/>
        </w:sectPr>
      </w:pPr>
    </w:p>
    <w:bookmarkStart w:id="175" w:name="page176"/>
    <w:bookmarkEnd w:id="175"/>
    <w:p>
      <w:pPr>
        <w:jc w:val="center"/>
        <w:ind w:right="1639"/>
        <w:spacing w:after="0" w:line="268" w:lineRule="auto"/>
        <w:rPr>
          <w:sz w:val="20"/>
          <w:szCs w:val="20"/>
          <w:color w:val="auto"/>
        </w:rPr>
      </w:pPr>
      <w:r>
        <w:rPr>
          <w:rFonts w:ascii="Courier New" w:cs="Courier New" w:eastAsia="Courier New" w:hAnsi="Courier New"/>
          <w:sz w:val="16"/>
          <w:szCs w:val="16"/>
          <w:color w:val="auto"/>
        </w:rPr>
        <w:t>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 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 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 The Company agrees to pay to each Authenticating Agent from time to time reasonable compensation including reimbursement of its reasonable expenses for its services under this Section. 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 This is one of the Securities of the series described in the within-mentioned Indenture. Trustee By ------------------------------------- as Authenticating Agent By -------------</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Authorized Signatory Dated: ----------------------------</w:t>
      </w:r>
    </w:p>
    <w:p>
      <w:pPr>
        <w:spacing w:after="0" w:line="16" w:lineRule="exact"/>
        <w:rPr>
          <w:sz w:val="20"/>
          <w:szCs w:val="20"/>
          <w:color w:val="auto"/>
        </w:rPr>
      </w:pPr>
    </w:p>
    <w:p>
      <w:pPr>
        <w:ind w:left="3780"/>
        <w:spacing w:after="0"/>
        <w:rPr>
          <w:sz w:val="20"/>
          <w:szCs w:val="20"/>
          <w:color w:val="auto"/>
        </w:rPr>
      </w:pPr>
      <w:r>
        <w:rPr>
          <w:rFonts w:ascii="Courier New" w:cs="Courier New" w:eastAsia="Courier New" w:hAnsi="Courier New"/>
          <w:sz w:val="18"/>
          <w:szCs w:val="18"/>
          <w:color w:val="auto"/>
        </w:rPr>
        <w:t>------ 48</w:t>
      </w:r>
    </w:p>
    <w:p>
      <w:pPr>
        <w:sectPr>
          <w:pgSz w:w="11900" w:h="16838" w:orient="portrait"/>
          <w:cols w:equalWidth="0" w:num="1">
            <w:col w:w="10159"/>
          </w:cols>
          <w:pgMar w:left="300" w:top="317" w:right="1440" w:bottom="1440" w:gutter="0" w:footer="0" w:header="0"/>
        </w:sectPr>
      </w:pPr>
    </w:p>
    <w:bookmarkStart w:id="176" w:name="page177"/>
    <w:bookmarkEnd w:id="176"/>
    <w:p>
      <w:pPr>
        <w:jc w:val="center"/>
        <w:ind w:left="320" w:right="140"/>
        <w:spacing w:after="0" w:line="268" w:lineRule="auto"/>
        <w:rPr>
          <w:sz w:val="20"/>
          <w:szCs w:val="20"/>
          <w:color w:val="auto"/>
        </w:rPr>
      </w:pPr>
      <w:r>
        <w:rPr>
          <w:rFonts w:ascii="Courier New" w:cs="Courier New" w:eastAsia="Courier New" w:hAnsi="Courier New"/>
          <w:sz w:val="16"/>
          <w:szCs w:val="16"/>
          <w:color w:val="auto"/>
        </w:rPr>
        <w:t>ARTICLE 7 CONSOLIDATION, MERGER OR SALE BY THE COMPANY Section 7.1. Consolidation, Merger or Sale of Assets Permitted. The Company shall not consolidate or merge with or into, or sell, convey, assign, transfer, lease or otherwise dispose of all or substantially all of its assets to, any Person unless: (1) the Person formed by or surviving any such consolidation or merger</w:t>
      </w:r>
    </w:p>
    <w:p>
      <w:pPr>
        <w:spacing w:after="0" w:line="1" w:lineRule="exact"/>
        <w:rPr>
          <w:sz w:val="20"/>
          <w:szCs w:val="20"/>
          <w:color w:val="auto"/>
        </w:rPr>
      </w:pPr>
    </w:p>
    <w:p>
      <w:pPr>
        <w:jc w:val="center"/>
        <w:ind w:right="1639"/>
        <w:spacing w:after="0" w:line="268" w:lineRule="auto"/>
        <w:rPr>
          <w:sz w:val="20"/>
          <w:szCs w:val="20"/>
          <w:color w:val="auto"/>
        </w:rPr>
      </w:pPr>
      <w:r>
        <w:rPr>
          <w:rFonts w:ascii="Courier New" w:cs="Courier New" w:eastAsia="Courier New" w:hAnsi="Courier New"/>
          <w:sz w:val="16"/>
          <w:szCs w:val="16"/>
          <w:color w:val="auto"/>
        </w:rPr>
        <w:t>(if other than the Company), or which acquires the Company's assets, is a corporation organized and existing under the laws of the United States of America, any state thereof or the District of Columbia; (2) the Person formed by or surviving any such consolidation or merger (if other than the Company), or which acquires the Company's assets, expressly assumes by supplemental indenture all the obligations of the Company under the Securities and this Indenture; and</w:t>
      </w:r>
    </w:p>
    <w:p>
      <w:pPr>
        <w:spacing w:after="0" w:line="1" w:lineRule="exact"/>
        <w:rPr>
          <w:sz w:val="20"/>
          <w:szCs w:val="20"/>
          <w:color w:val="auto"/>
        </w:rPr>
      </w:pPr>
    </w:p>
    <w:p>
      <w:pPr>
        <w:ind w:left="100" w:right="1739" w:firstLine="107"/>
        <w:spacing w:after="0" w:line="268" w:lineRule="auto"/>
        <w:tabs>
          <w:tab w:leader="none" w:pos="627"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the transaction no Default or Event of Default shall have occurred and be continuing. The Company shall deliver to the</w:t>
      </w:r>
    </w:p>
    <w:p>
      <w:pPr>
        <w:jc w:val="center"/>
        <w:ind w:right="1639"/>
        <w:spacing w:after="0"/>
        <w:rPr>
          <w:sz w:val="20"/>
          <w:szCs w:val="20"/>
          <w:color w:val="auto"/>
        </w:rPr>
      </w:pPr>
      <w:r>
        <w:rPr>
          <w:rFonts w:ascii="Courier New" w:cs="Courier New" w:eastAsia="Courier New" w:hAnsi="Courier New"/>
          <w:sz w:val="16"/>
          <w:szCs w:val="16"/>
          <w:color w:val="auto"/>
        </w:rPr>
        <w:t>Trustee prior to the proposed transaction an Officers' Certificate and an Opinion</w:t>
      </w:r>
    </w:p>
    <w:p>
      <w:pPr>
        <w:spacing w:after="0" w:line="21" w:lineRule="exact"/>
        <w:rPr>
          <w:sz w:val="20"/>
          <w:szCs w:val="20"/>
          <w:color w:val="auto"/>
        </w:rPr>
      </w:pPr>
    </w:p>
    <w:p>
      <w:pPr>
        <w:jc w:val="center"/>
        <w:ind w:right="1639"/>
        <w:spacing w:after="0" w:line="269" w:lineRule="auto"/>
        <w:rPr>
          <w:sz w:val="20"/>
          <w:szCs w:val="20"/>
          <w:color w:val="auto"/>
        </w:rPr>
      </w:pPr>
      <w:r>
        <w:rPr>
          <w:rFonts w:ascii="Courier New" w:cs="Courier New" w:eastAsia="Courier New" w:hAnsi="Courier New"/>
          <w:sz w:val="16"/>
          <w:szCs w:val="16"/>
          <w:color w:val="auto"/>
        </w:rPr>
        <w:t>of Counsel each stating that the proposed transaction and such supplemental indenture comply with this Indenture and that all conditions precedent to the consummation of the transaction under this Indenture have been met. Section 7.2. Successor Person Substituted for Company. Upon any consolidation by the Company with or merger of the Company into any other Person or any sale, conveyance, assignment, transfer, lease or other disposition of all or substantially all of the assets of the Company to any Person in accordance with Section 7.1, the successor Person formed by such consolidation or into which the Company is merged or to which such sale, conveyance, assignment, transfer, lease or other disposition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released from all obligations and covenants under this Indenture, the Securities and the coupons. ARTICLE 8 SUPPLEMENTAL INDENTURES Section 8.1. Supplemental Indentures Without Consent of Holders. Without the consent of any Holders, the Company, when authorized by or pursuant to a Board Resolution, 49</w:t>
      </w:r>
    </w:p>
    <w:p>
      <w:pPr>
        <w:sectPr>
          <w:pgSz w:w="11900" w:h="16838" w:orient="portrait"/>
          <w:cols w:equalWidth="0" w:num="1">
            <w:col w:w="10159"/>
          </w:cols>
          <w:pgMar w:left="300" w:top="317" w:right="1440" w:bottom="1440" w:gutter="0" w:footer="0" w:header="0"/>
        </w:sectPr>
      </w:pPr>
    </w:p>
    <w:bookmarkStart w:id="177" w:name="page178"/>
    <w:bookmarkEnd w:id="177"/>
    <w:p>
      <w:pPr>
        <w:jc w:val="center"/>
        <w:ind w:right="1639"/>
        <w:spacing w:after="0" w:line="268" w:lineRule="auto"/>
        <w:rPr>
          <w:sz w:val="20"/>
          <w:szCs w:val="20"/>
          <w:color w:val="auto"/>
        </w:rPr>
      </w:pPr>
      <w:r>
        <w:rPr>
          <w:rFonts w:ascii="Courier New" w:cs="Courier New" w:eastAsia="Courier New" w:hAnsi="Courier New"/>
          <w:sz w:val="16"/>
          <w:szCs w:val="16"/>
          <w:color w:val="auto"/>
        </w:rPr>
        <w:t>and the Trustee, at any time and from time to time, may enter into indentures supplemental hereto, in form reasonably satisfactory to the Trustee, for any of the following purposes: (1) to evidence the succession of another Person to the Company and the assumption by any such successor of the covenants of the Company herein and in the Securities; or (2) to add to the covenants of the Company for</w:t>
      </w:r>
    </w:p>
    <w:p>
      <w:pPr>
        <w:spacing w:after="0" w:line="1" w:lineRule="exact"/>
        <w:rPr>
          <w:sz w:val="20"/>
          <w:szCs w:val="20"/>
          <w:color w:val="auto"/>
        </w:rPr>
      </w:pPr>
    </w:p>
    <w:p>
      <w:pPr>
        <w:jc w:val="center"/>
        <w:ind w:right="1639"/>
        <w:spacing w:after="0" w:line="269" w:lineRule="auto"/>
        <w:rPr>
          <w:sz w:val="20"/>
          <w:szCs w:val="20"/>
          <w:color w:val="auto"/>
        </w:rPr>
      </w:pPr>
      <w:r>
        <w:rPr>
          <w:rFonts w:ascii="Courier New" w:cs="Courier New" w:eastAsia="Courier New" w:hAnsi="Courier New"/>
          <w:sz w:val="16"/>
          <w:szCs w:val="16"/>
          <w:color w:val="auto"/>
        </w:rPr>
        <w:t>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 (3) to add any additional Events of Default with respect to all or any series of Securities; or (4) to add to or change any of the provisions of this Indenture to such extent as shall be necessary to facilitate the issuance of Bearer Securities (including, without limitation, to provide that Bearer Securities may be registrable as to principal only) or to facilitate the issuance of Securities in global form; or (5) to amend or supplement any provision contained herein or in any supplemental indenture (which amendment or supplement may apply to one or more series of Securities or to one or more Securities within any series as specified in such supplemental indenture), provided that such amendment or supplement does not apply to any Outstanding Security issued prior to the date of such supplemental indenture and entitled to the benefits of such provision; or (6) to secure the Securities; or (7) to establish the form or terms of Securities of any series as permitted by Sections 2.1 and 3.1; or (8)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 (9) if allowed without penalty under applicable laws and regulations, to permit payment in the United States of principal, premium, if any, or interest, if any, on Bearer Securities or coupons, if any; or (10) to cure any ambiguity or correct any mistake or to correct or supplement any provision herein which may be inconsistent with any other provision herein or to make any other provisions with respect to matters or questions arising under this Indenture, provided such action shall not adversely affect the interests of any Holder of Securities of any series; or 50</w:t>
      </w:r>
    </w:p>
    <w:p>
      <w:pPr>
        <w:sectPr>
          <w:pgSz w:w="11900" w:h="16838" w:orient="portrait"/>
          <w:cols w:equalWidth="0" w:num="1">
            <w:col w:w="10159"/>
          </w:cols>
          <w:pgMar w:left="300" w:top="318" w:right="1440" w:bottom="1440" w:gutter="0" w:footer="0" w:header="0"/>
        </w:sectPr>
      </w:pPr>
    </w:p>
    <w:bookmarkStart w:id="178" w:name="page179"/>
    <w:bookmarkEnd w:id="178"/>
    <w:p>
      <w:pPr>
        <w:ind w:left="100" w:right="1739" w:firstLine="107"/>
        <w:spacing w:after="0" w:line="268" w:lineRule="auto"/>
        <w:tabs>
          <w:tab w:leader="none" w:pos="73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any change to comply with the Trust Indenture Act of 1939 or any amendment thereof, or any requirement of the Securities and Exchange Commission</w:t>
      </w:r>
    </w:p>
    <w:p>
      <w:pPr>
        <w:jc w:val="both"/>
        <w:ind w:left="40" w:right="1679"/>
        <w:spacing w:after="0" w:line="268" w:lineRule="auto"/>
        <w:rPr>
          <w:sz w:val="20"/>
          <w:szCs w:val="20"/>
          <w:color w:val="auto"/>
        </w:rPr>
      </w:pPr>
      <w:r>
        <w:rPr>
          <w:rFonts w:ascii="Courier New" w:cs="Courier New" w:eastAsia="Courier New" w:hAnsi="Courier New"/>
          <w:sz w:val="16"/>
          <w:szCs w:val="16"/>
          <w:color w:val="auto"/>
        </w:rPr>
        <w:t>in connection with the qualification of this Indenture under the Trust Indenture Act of 1939 or any amendment thereof. Section 8.2. Supplemental Indentures With Consent of Holders. With the written consent of the Holders of a majority of the aggregate principal amount of the Outstanding Securities of each series affected by such supplemental indenture, by Act of said Holders delivered to the Company</w:t>
      </w:r>
    </w:p>
    <w:p>
      <w:pPr>
        <w:spacing w:after="0" w:line="1" w:lineRule="exact"/>
        <w:rPr>
          <w:sz w:val="20"/>
          <w:szCs w:val="20"/>
          <w:color w:val="auto"/>
        </w:rPr>
      </w:pPr>
    </w:p>
    <w:p>
      <w:pPr>
        <w:jc w:val="center"/>
        <w:ind w:right="1639"/>
        <w:spacing w:after="0" w:line="268" w:lineRule="auto"/>
        <w:rPr>
          <w:sz w:val="20"/>
          <w:szCs w:val="20"/>
          <w:color w:val="auto"/>
        </w:rPr>
      </w:pPr>
      <w:r>
        <w:rPr>
          <w:rFonts w:ascii="Courier New" w:cs="Courier New" w:eastAsia="Courier New" w:hAnsi="Courier New"/>
          <w:sz w:val="16"/>
          <w:szCs w:val="16"/>
          <w:color w:val="auto"/>
        </w:rPr>
        <w:t>and the Trustee, the Company (when authorized by or pursuant to a Board Resolution) and the Trustee may enter into an indenture or indentures supplemental hereto to add any provisions to or to change or eliminate any provisions of this Indenture or of any other indenture supplemental hereto or to modify the rights of the Holders of such Securities; provided, however, that without the consent of the Holder of each Outstanding Security affected thereby, an amendment under this Section may not: (1) change the Stated Maturity of the principal of or premium, if any, on or of any installment of principal of or premium, if any, or interest, if any, on, or Additional Amounts, if any, with respect to, any Security, or reduce the principal amount of, or any installment of principal of, or premium, if any, or interest, if any, on, or any Additional Amounts payable with respect to, any Security or the rate of interest on any Security, or reduce the amount of premium, if any, payable upon redemption of any Security or the repurchase by the Company of any Security at the option of the Holder thereof, or change the manner in which the amount of any principal thereof or premium, if any, or interest thereon or Additional Amounts, if any, with respect thereto is determined, or reduce the amount of the principal of any Original Issue Discount Security or Indexed Security that would be due and payable upon a declaration of acceleration of the Maturity thereof pursuant to Section 5.2, or change the currency in which any Securities or any premium or the interest thereon or Additional Amounts, if any, with respect thereto, is payable, or change the index, securities or commodities with reference to which or the formula by which the amount of principal or any premium or the interest thereon is determined, or impair the right to institute suit for the enforcement of any such payment on or after the Stated Maturity thereof (or, in the case of redemption, on or after the Redemption Date or, in the case of repurchase by the Company at the option of the Holder, on or after the date for repurchase); (2) 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(3) change any obligation of the Company to maintain an office or agency in the places and for the purposes specified in Section 9.2; or (4) make any change in Section 5.7 or this 8.2 except to increase any percentage or to provide that certain other provisions of this Indenture cannot be 51</w:t>
      </w:r>
    </w:p>
    <w:p>
      <w:pPr>
        <w:sectPr>
          <w:pgSz w:w="11900" w:h="16838" w:orient="portrait"/>
          <w:cols w:equalWidth="0" w:num="1">
            <w:col w:w="10159"/>
          </w:cols>
          <w:pgMar w:left="300" w:top="317" w:right="1440" w:bottom="1440" w:gutter="0" w:footer="0" w:header="0"/>
        </w:sectPr>
      </w:pPr>
    </w:p>
    <w:bookmarkStart w:id="179" w:name="page180"/>
    <w:bookmarkEnd w:id="179"/>
    <w:p>
      <w:pPr>
        <w:jc w:val="center"/>
        <w:ind w:right="1639"/>
        <w:spacing w:after="0" w:line="268" w:lineRule="auto"/>
        <w:rPr>
          <w:sz w:val="20"/>
          <w:szCs w:val="20"/>
          <w:color w:val="auto"/>
        </w:rPr>
      </w:pPr>
      <w:r>
        <w:rPr>
          <w:rFonts w:ascii="Courier New" w:cs="Courier New" w:eastAsia="Courier New" w:hAnsi="Courier New"/>
          <w:sz w:val="16"/>
          <w:szCs w:val="16"/>
          <w:color w:val="auto"/>
        </w:rPr>
        <w:t>modified or waived without the consent of the Holders of each Outstanding Security affected thereby. A supplemental indenture which changes or eliminates any covenant or other provision of this Indenture which has expressly been</w:t>
      </w:r>
    </w:p>
    <w:p>
      <w:pPr>
        <w:spacing w:after="0" w:line="1" w:lineRule="exact"/>
        <w:rPr>
          <w:sz w:val="20"/>
          <w:szCs w:val="20"/>
          <w:color w:val="auto"/>
        </w:rPr>
      </w:pPr>
    </w:p>
    <w:p>
      <w:pPr>
        <w:jc w:val="center"/>
        <w:ind w:right="1639"/>
        <w:spacing w:after="0" w:line="268" w:lineRule="auto"/>
        <w:rPr>
          <w:sz w:val="20"/>
          <w:szCs w:val="20"/>
          <w:color w:val="auto"/>
        </w:rPr>
      </w:pPr>
      <w:r>
        <w:rPr>
          <w:rFonts w:ascii="Courier New" w:cs="Courier New" w:eastAsia="Courier New" w:hAnsi="Courier New"/>
          <w:sz w:val="16"/>
          <w:szCs w:val="16"/>
          <w:color w:val="auto"/>
        </w:rPr>
        <w:t>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 It is not necessary under this Section 8.2 for the Holders to consent to the particular form of any proposed supplemental indenture, but it is sufficient if they consent to the substance thereof. Section 8.3. Compliance with Trust Indenture Act. Every amendment to this Indenture or the Securities of one or more series shall be set forth in a supplemental indenture that complies with the Trust Indenture Act as then in effect. Section 8.4. Execution of Supplemental Indentures. In executing, or accepting the additional trusts created by, any supplemental indenture permitted by this Article or the modification thereby of the trusts created by this Indenture, the Trustee shall be provided with, and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 Section 8.5. Effect of Supplemental Indentures.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 Section 8.6. Reference in Securities to Supplemental Indentures. Securities, including any coupons,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including any coupons of any series so modified as to conform, in the opinion of the Trustee and the Company, to any such supplemental indenture may be prepared and executed by the Company and authenticated and delivered by the Trustee in exchange for Outstanding Securities including any coupons of such series. ARTICLE 9 COVENANTS Section 9.1. Payment of Principal, Premium, if any, and Interest. The Company covenants and agrees for the benefit of the Holders of each series of Securities that it will duly and punctually pay the principal of, and premium, if any, and interest on, and Additional Amounts, if any, with respect to, the Securities of that series in accordance with the terms of the 52</w:t>
      </w:r>
    </w:p>
    <w:p>
      <w:pPr>
        <w:sectPr>
          <w:pgSz w:w="11900" w:h="16838" w:orient="portrait"/>
          <w:cols w:equalWidth="0" w:num="1">
            <w:col w:w="10159"/>
          </w:cols>
          <w:pgMar w:left="300" w:top="318" w:right="1440" w:bottom="1440" w:gutter="0" w:footer="0" w:header="0"/>
        </w:sectPr>
      </w:pPr>
    </w:p>
    <w:bookmarkStart w:id="180" w:name="page181"/>
    <w:bookmarkEnd w:id="180"/>
    <w:p>
      <w:pPr>
        <w:jc w:val="center"/>
        <w:ind w:right="1639"/>
        <w:spacing w:after="0" w:line="268" w:lineRule="auto"/>
        <w:rPr>
          <w:sz w:val="20"/>
          <w:szCs w:val="20"/>
          <w:color w:val="auto"/>
        </w:rPr>
      </w:pPr>
      <w:r>
        <w:rPr>
          <w:rFonts w:ascii="Courier New" w:cs="Courier New" w:eastAsia="Courier New" w:hAnsi="Courier New"/>
          <w:sz w:val="16"/>
          <w:szCs w:val="16"/>
          <w:color w:val="auto"/>
        </w:rPr>
        <w:t>Securities of such series, any coupons appertaining thereto and this Indenture. An installment of principal, premium, if any, interest or Additional Amounts, if any, shall be considered paid on the date it is due if the Trustee or Paying Agent holds on that date money designated for and sufficient to pay the installment. Section 9.2. Maintenance of Office or Agency. If Securities of a series are issued as Registered Securities, the Company will maintain in each Place of Payment for such series of Securities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If Securities of a series are issuable as Bearer Securities, the Company will maintain, (i) subject to any laws or regulations applicable thereto, an office or agency in a Place of Payment for that series which is located outside the United States where Securities of that series and related coupons may be presented and surrendered for payment; provided, however, that if the Securities of that series are listed on any stock exchange located outside the United States and such stock exchange shall so require, the Company will maintain a Paying Agent for the Securities of that series in any other required city located outside the United States, as the case may be, so long as the Securities of that series are listed on such exchange, and (ii) subject to any laws or regulations applicable thereto, an office or agency in a Place of Payment for that series which is located outside the United States, where Securities of that series may be surrendered for exchange and where notices and demands to or upon the Company in respect of the Securities of that series and this Indenture may be served. The Company will give prompt written notice to the Trustee of the location, and any change in the location, of any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 Unless otherwise specified as contemplated by Section 3.1, no payment of principal, premium or interest on Bearer Securities shall be made at any office or agency of the Company in the United States, by check mailed to any address in the United States, by transfer to an account located in the United States or upon presentation or surrender in the United States of a Bearer Security or coupon for payment, even if the payment would be credited to an account located outside the United States; provided, however, that, if the Securities of a series are denominated and payable in Dollars, payment of principal of and any premium or interest on any such Bearer Security shall be made at the office of the Company's Paying Agent in the Borough of Manhattan, The City of New York, if (but only if) payment in Dollars of the full amount of such principal, premium or interest, as the case may be, at all offices or agencies outside the United States maintained for the purpose by the Company in accordance with this Indenture is illegal or effectively precluded by exchange controls or other similar restrictions. The Company may also from time to time designate one or more other offices or agencies where the Securities (including any coupons, if any)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53</w:t>
      </w:r>
    </w:p>
    <w:p>
      <w:pPr>
        <w:sectPr>
          <w:pgSz w:w="11900" w:h="16838" w:orient="portrait"/>
          <w:cols w:equalWidth="0" w:num="1">
            <w:col w:w="10159"/>
          </w:cols>
          <w:pgMar w:left="300" w:top="317" w:right="1440" w:bottom="1440" w:gutter="0" w:footer="0" w:header="0"/>
        </w:sectPr>
      </w:pPr>
    </w:p>
    <w:bookmarkStart w:id="181" w:name="page182"/>
    <w:bookmarkEnd w:id="181"/>
    <w:p>
      <w:pPr>
        <w:jc w:val="center"/>
        <w:ind w:right="1639"/>
        <w:spacing w:after="0" w:line="268" w:lineRule="auto"/>
        <w:rPr>
          <w:sz w:val="20"/>
          <w:szCs w:val="20"/>
          <w:color w:val="auto"/>
        </w:rPr>
      </w:pPr>
      <w:r>
        <w:rPr>
          <w:rFonts w:ascii="Courier New" w:cs="Courier New" w:eastAsia="Courier New" w:hAnsi="Courier New"/>
          <w:sz w:val="16"/>
          <w:szCs w:val="16"/>
          <w:color w:val="auto"/>
        </w:rPr>
        <w:t>for Securities (including any coupons, if any) of any series for such purposes. The Company will give prompt written notice to the Trustee of any such designation or rescission and of any change in the location of any such other</w:t>
      </w:r>
    </w:p>
    <w:p>
      <w:pPr>
        <w:spacing w:after="0" w:line="1" w:lineRule="exact"/>
        <w:rPr>
          <w:sz w:val="20"/>
          <w:szCs w:val="20"/>
          <w:color w:val="auto"/>
        </w:rPr>
      </w:pPr>
    </w:p>
    <w:p>
      <w:pPr>
        <w:jc w:val="center"/>
        <w:ind w:right="1639"/>
        <w:spacing w:after="0" w:line="268" w:lineRule="auto"/>
        <w:rPr>
          <w:sz w:val="20"/>
          <w:szCs w:val="20"/>
          <w:color w:val="auto"/>
        </w:rPr>
      </w:pPr>
      <w:r>
        <w:rPr>
          <w:rFonts w:ascii="Courier New" w:cs="Courier New" w:eastAsia="Courier New" w:hAnsi="Courier New"/>
          <w:sz w:val="16"/>
          <w:szCs w:val="16"/>
          <w:color w:val="auto"/>
        </w:rPr>
        <w:t>office or agency. Unless otherwise provided in or pursuant to this Indenture, the Company hereby designates the Borough of Manhattan, The City of New York, as the Place of Payment for each series of Securities and initially appoints the Trustee, at its offices which on the date of this Indenture are located at The Bank of New York Trust Company, N.A., 101 Barclay Street, Floor 21W, New York, New York 10286, as the Company's agency in the Borough of Manhattan, The City of New York for the foregoing purposes and as Registrar and Paying Agent. The Company may subsequently appoint a different office or agency in the Borough of Manhattan, The City of New York and a different Registrar and Paying Agent for the Securities of any series. Section 9.3. Money for Securities Payments to Be Held in Trust; Unclaimed Money. If the Company shall at any time act as its own Paying Agent with respect to any series of Securities, it will, on or before each due date of the principal of, or premium, if any, or interest on, or Additional Amounts, if any, with respect to, any of the Securities of that series, segregate and hold in trust for the benefit of the Persons entitled thereto a sum sufficient to pay the principal, premium, if any, or interest so becoming due until such sums shall be paid to such Persons or otherwise disposed of as herein provided and will promptly notify the Trustee in writing of its action or failure so to act. The Company will cause each Paying Agent for any series of Securities other than the Trustee to execute and deliver to the Trustee an instrument in which such Paying Agent shall agree with the Trustee, subject to the provisions of this Section, that such Paying Agent will: (1) hold all sums held by it for the payment of the principal of, premium, if any, or interest on or Additional Amounts, if any, with respect to the Securities of that series in trust for the benefit of the Persons entitled thereto until such sums shall be paid to such Persons or otherwise disposed of as herein provided; (2) give the Trustee notice of any default by the Company (or any other obligor upon the Securities of that series) in the making of any payment of principal, premium, if any, or interest on the Securities; and (3) at any time during the continuance of any such default, upon the written request of the Trustee, forthwith pay to the Trustee all sums so held in trust by such Paying Agent. 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 54</w:t>
      </w:r>
    </w:p>
    <w:p>
      <w:pPr>
        <w:sectPr>
          <w:pgSz w:w="11900" w:h="16838" w:orient="portrait"/>
          <w:cols w:equalWidth="0" w:num="1">
            <w:col w:w="10159"/>
          </w:cols>
          <w:pgMar w:left="300" w:top="318" w:right="1440" w:bottom="1440" w:gutter="0" w:footer="0" w:header="0"/>
        </w:sectPr>
      </w:pPr>
    </w:p>
    <w:bookmarkStart w:id="182" w:name="page183"/>
    <w:bookmarkEnd w:id="182"/>
    <w:p>
      <w:pPr>
        <w:jc w:val="center"/>
        <w:ind w:right="1639"/>
        <w:spacing w:after="0" w:line="268" w:lineRule="auto"/>
        <w:rPr>
          <w:sz w:val="20"/>
          <w:szCs w:val="20"/>
          <w:color w:val="auto"/>
        </w:rPr>
      </w:pPr>
      <w:r>
        <w:rPr>
          <w:rFonts w:ascii="Courier New" w:cs="Courier New" w:eastAsia="Courier New" w:hAnsi="Courier New"/>
          <w:sz w:val="16"/>
          <w:szCs w:val="16"/>
          <w:color w:val="auto"/>
        </w:rPr>
        <w:t>Any money deposited with the Trustee or any Paying Agent, or then held by the Company, in trust for the payment of any principal, premium or interest on any Security of any series and remaining unclaimed for two years after such principal, premium, if any, or interest has become due and payable shall be paid to the Company on Company Request, or (if then held by the Company) shall be discharged from such trust; and the Holder of such Security and coupon, if any,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City of New York, or cause to be mailed to such Holder, notice that such money remains unclaimed and that, after a date specified therein, which shall not be less than 30 days from the date of such publication or mailing, any unclaimed balance of such money then remaining will be repaid to the Company. Section 9.4. Corporate Existence. Except as provided in Article 7, the Company will at all times do or cause to be done all things necessary to preserve and keep in full force and effect its corporate existence and its rights and franchises; provided that nothing in this Section 9.4 shall prevent the abandonment or termination of any right or franchise of the Company if, in the opinion of the Company, such abandonment or termination is in the best interests of the Company and not prejudicial in any material respect to the Holders of the Securities. Section 9.5. [Intentionally omitted] Section 9.6. Reports by the Company. The Company covenants: (a) To file with the Trustee, within 30 days after the Company is required to file the same with the Commission, copies of the annual reports and of the information, document and other reports (or copies of such portions of any of the foregoing as the Commission may from time to time by rules and regulations prescribe) which the Company is required to file with the Commission pursuant to Section 13 or Section 15(d) of the Securities Exchange Act of 1934, as amended; or, if the Company is not required to file information, documents or reports pursuant to either of such Sections, then to file with the Trustee and the Commission, in accordance with rules and regulations prescribed from time to time by the Commission, such of the supplementary and periodic information, documents and reports which may be required pursuant to Section 13 of the Securities Exchange Act of 1934, as amended, in respect of a security listed and registered on a national securities exchange as may be prescribed from time to time in such rules and regulations; (b) To file with the Trustee and the Commission, in accordance with the rules and regulations prescribed from time to time by the Commission, such additional information, documents and reports with respect to compliance by the Company with the conditions and covenants provided for in this Indenture, as may be required from time to time by such rules and regulations; and 55</w:t>
      </w:r>
    </w:p>
    <w:p>
      <w:pPr>
        <w:sectPr>
          <w:pgSz w:w="11900" w:h="16838" w:orient="portrait"/>
          <w:cols w:equalWidth="0" w:num="1">
            <w:col w:w="10159"/>
          </w:cols>
          <w:pgMar w:left="300" w:top="318" w:right="1440" w:bottom="1440" w:gutter="0" w:footer="0" w:header="0"/>
        </w:sectPr>
      </w:pPr>
    </w:p>
    <w:bookmarkStart w:id="183" w:name="page184"/>
    <w:bookmarkEnd w:id="183"/>
    <w:p>
      <w:pPr>
        <w:jc w:val="both"/>
        <w:ind w:left="200" w:right="1839" w:firstLine="7"/>
        <w:spacing w:after="0" w:line="268" w:lineRule="auto"/>
        <w:tabs>
          <w:tab w:leader="none" w:pos="62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transmit to all Holders of Securities, within 30 days after the filing thereof with the Trustee, in the manner and to the extent provided in Section</w:t>
      </w:r>
    </w:p>
    <w:p>
      <w:pPr>
        <w:ind w:left="100" w:right="1739"/>
        <w:spacing w:after="0" w:line="268" w:lineRule="auto"/>
        <w:rPr>
          <w:sz w:val="20"/>
          <w:szCs w:val="20"/>
          <w:color w:val="auto"/>
        </w:rPr>
      </w:pPr>
      <w:r>
        <w:rPr>
          <w:rFonts w:ascii="Courier New" w:cs="Courier New" w:eastAsia="Courier New" w:hAnsi="Courier New"/>
          <w:sz w:val="16"/>
          <w:szCs w:val="16"/>
          <w:color w:val="auto"/>
        </w:rPr>
        <w:t>313(c) of the Trust Indenture Act, such summaries of any information, documents and reports required to be filed by the Company pursuant to subsections (a) and</w:t>
      </w:r>
    </w:p>
    <w:p>
      <w:pPr>
        <w:jc w:val="both"/>
        <w:ind w:left="420" w:right="2059" w:firstLine="50"/>
        <w:spacing w:after="0" w:line="268" w:lineRule="auto"/>
        <w:tabs>
          <w:tab w:leader="none" w:pos="89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9.6, as may be required by the rules and regulations prescribed from time to time by the Commission. Delivery of such reports,</w:t>
      </w:r>
    </w:p>
    <w:p>
      <w:pPr>
        <w:jc w:val="center"/>
        <w:ind w:right="1639"/>
        <w:spacing w:after="0" w:line="268" w:lineRule="auto"/>
        <w:rPr>
          <w:sz w:val="20"/>
          <w:szCs w:val="20"/>
          <w:color w:val="auto"/>
        </w:rPr>
      </w:pPr>
      <w:r>
        <w:rPr>
          <w:rFonts w:ascii="Courier New" w:cs="Courier New" w:eastAsia="Courier New" w:hAnsi="Courier New"/>
          <w:sz w:val="16"/>
          <w:szCs w:val="16"/>
          <w:color w:val="auto"/>
        </w:rPr>
        <w:t>information and documents to the Trustee is for informational purposes only and the Trustee's receipt of such shall not constitute constructive notice of any information contained therein, including the Company's compliance with any of its covenants hereunder (as to which the Trustee is entitled to rely exclusively on Officers' Certificates). Section 9.7. Annual Review Certificate. The Company covenants and agrees to deliver to the Trustee, within 120 days after the end of each fiscal year of the Company, a certificate from the principal executive officer, principal financial officer or principal accounting officer as to his or her knowledge of the Company's compliance with all conditions and covenants under this Indenture. For purposes of this Section 9.7, such compliance shall be determined without regard to any period of grace or requirement of notice provided under this Indenture. Section 9.8. Limitation on Liens. (a) The Company will not, and will not permit any Subsidiary to, incur, assume or guarantee any Debt secured by a Lien on any shares of capital stock of any Restricted Subsidiary ("Secured Debt") (whether such capital stock is owned or outstanding at the date of this Indenture or thereafter acquired or issued, as the case may be) if, immediately after giving effect thereto, the aggregate principal amount of all Secured Debt (other than Excluded Debt) would exceed 15% of the Company's Consolidated Tangible Assets, unless the Company provides, concurrently with or prior to the incurrence, assumption or guarantee of such Secured Debt, that the Securities shall be secured equally and ratably with (or, at the option of the Company, prior to) such Secured Debt for so long as such Secured Debt is so secured. (b) The provisions set forth in Section 9.8(a) shall not apply to Debt secured by the following Liens ("Excluded Debt"): (i) Liens existing as of the date of this Indenture; (ii) Liens securing all or any portion of any Debt incurred (x) pursuant to the Credit Agreement, dated as of October 17, 2005, by and among the Company, as Borrower, Bank of America, N.A., as Administrative Agent, and various financial institutions and other persons from time to time parties thereto, as Lenders, as amended, supplemented or modified from time to time (the "Credit Agreement") or (y) pursuant to any Debt instrument or agreement ("Refinancing Debt") that in whole or in part refinances, refunds, repays, renews, replaces or extends the Credit Agreement or any Refinancing Debt; provided that the aggregate principal amount of Debt that shall constitute Excluded Debt under this Section 9.8(b)(ii) shall not exceed $400 million; (iii) Liens securing Debt owing by any Subsidiary to the Company or to any other Subsidiary; (iv) Liens on any shares of capital stock existing at the time of the direct or indirect acquisition thereof by the Company or any Subsidiary; and (v) Liens for the sole purpose of refinancing, refunding, repaying, renewing, replacing or extending in whole or in part any Debt secured by Liens referred to in the foregoing clauses (i), (iii) or (iv), inclusive, or in this clause (v); provided, however, that the principal amount of the Debt excluded pursuant to this clause (v) shall not 56</w:t>
      </w:r>
    </w:p>
    <w:p>
      <w:pPr>
        <w:sectPr>
          <w:pgSz w:w="11900" w:h="16838" w:orient="portrait"/>
          <w:cols w:equalWidth="0" w:num="1">
            <w:col w:w="10159"/>
          </w:cols>
          <w:pgMar w:left="300" w:top="317" w:right="1440" w:bottom="1440" w:gutter="0" w:footer="0" w:header="0"/>
        </w:sectPr>
      </w:pPr>
    </w:p>
    <w:bookmarkStart w:id="184" w:name="page185"/>
    <w:bookmarkEnd w:id="184"/>
    <w:p>
      <w:pPr>
        <w:jc w:val="center"/>
        <w:ind w:right="1639"/>
        <w:spacing w:after="0" w:line="268" w:lineRule="auto"/>
        <w:rPr>
          <w:sz w:val="20"/>
          <w:szCs w:val="20"/>
          <w:color w:val="auto"/>
        </w:rPr>
      </w:pPr>
      <w:r>
        <w:rPr>
          <w:rFonts w:ascii="Courier New" w:cs="Courier New" w:eastAsia="Courier New" w:hAnsi="Courier New"/>
          <w:sz w:val="16"/>
          <w:szCs w:val="16"/>
          <w:color w:val="auto"/>
        </w:rPr>
        <w:t>exceed the principal amount of Debt so secured at the time of such refinancing, refunding, repayment, renewal, replacement or extension. (c) Secured Debt</w:t>
      </w:r>
    </w:p>
    <w:p>
      <w:pPr>
        <w:jc w:val="center"/>
        <w:ind w:right="1639"/>
        <w:spacing w:after="0" w:line="268" w:lineRule="auto"/>
        <w:rPr>
          <w:sz w:val="20"/>
          <w:szCs w:val="20"/>
          <w:color w:val="auto"/>
        </w:rPr>
      </w:pPr>
      <w:r>
        <w:rPr>
          <w:rFonts w:ascii="Courier New" w:cs="Courier New" w:eastAsia="Courier New" w:hAnsi="Courier New"/>
          <w:sz w:val="16"/>
          <w:szCs w:val="16"/>
          <w:color w:val="auto"/>
        </w:rPr>
        <w:t>permitted under this Section 9.8 need not be permitted solely by reference to one provision permitting such Debt but may be permitted in part by one provision and in part by one or more other provisions (including without limitation in part under Section 9.8(a) and in part under one or more of the provisions of Section 9.8(b)). In the event that Debt or any portion thereof meets the criteria of more than one such provision, the Company shall classify such Debt in its sole discretion. Section 9.9. [Intentionally omitted]. Section 9.10. Taxes. The Company shall, and shall cause each of its Subsidiaries to, pay or discharge or cause to be paid or discharged prior to delinquency all taxes, assessments and governmental levies the non-payment of which would materially adversely affect the business, prospects, earnings, properties, assets or condition, financial or otherwise, of the Company and its Subsidiaries taken as a whole except those taxes, assessments and governmental levies whose amount, applicability or validity is being contested in good faith and by appropriate proceedings. Section 9.11. Additional Amounts. If any Securities of a series provide for the payment of Additional Amounts pursuant to Section 3.1(b)(18), the Company agrees to pay to the Holder of each such Security or any coupon appertaining thereto Additional Amounts as provided in or pursuant to this Indenture or such Securities. Whenever in this Indenture there is mentioned, in any context, the payment of the principal of or any premium or interest on, or in respect of, any Security of any series or any coupon appertaining thereto, such mention shall be deemed to include mention of the payment of any Additional Amounts provided by the terms of such series established hereby or pursuant hereto to the extent that, in such context, Additional Amounts are, were or would be payable in respect thereof pursuant to such terms, and express mention of the payment of Additional Amounts (if applicable) in any provision hereof shall not be construed as excluding Additional Amounts in those provisions hereof where such express mention is not made. Except as otherwise provided in or pursuant to this Indenture or the Securities of any series, if the Securities of a series provide for the payment of Additional Amounts, at least 10 days prior to the first Interest Payment Date with respect to such series of Securities (or if the Securities of such series shall not bear interest prior to Maturity, the first day on which a payment of principal is made), and at least 10 days prior to each date of payment of principal or interest if there has been any change with respect to the matters set forth in the below-mentioned Officers' Certificate, the Company shall furnish to the Trustee and the principal Paying Agent or Paying Agents, if other than the Trustee, an Officers' Certificate instructing the Trustee and such Paying Agent or Paying Agents whether such payment of principal of and premium, if any, or interest on the Securities of such series shall be made to Holders of Securities of such series or the coupons appertaining thereto who are United States Aliens without withholding for or on account of any tax, assessment or similar governmental charge described in the terms of the Securities of such series. If any such withholding shall be required, then such Officers' Certificate shall specify by country the amount, if any, required to be withheld on such payments to such Holders of Securities or coupons, and the Company agrees to pay to the Trustee or such 57</w:t>
      </w:r>
    </w:p>
    <w:p>
      <w:pPr>
        <w:sectPr>
          <w:pgSz w:w="11900" w:h="16838" w:orient="portrait"/>
          <w:cols w:equalWidth="0" w:num="1">
            <w:col w:w="10159"/>
          </w:cols>
          <w:pgMar w:left="300" w:top="318" w:right="1440" w:bottom="1440" w:gutter="0" w:footer="0" w:header="0"/>
        </w:sectPr>
      </w:pPr>
    </w:p>
    <w:bookmarkStart w:id="185" w:name="page186"/>
    <w:bookmarkEnd w:id="185"/>
    <w:p>
      <w:pPr>
        <w:jc w:val="center"/>
        <w:ind w:right="1639"/>
        <w:spacing w:after="0" w:line="268" w:lineRule="auto"/>
        <w:rPr>
          <w:sz w:val="20"/>
          <w:szCs w:val="20"/>
          <w:color w:val="auto"/>
        </w:rPr>
      </w:pPr>
      <w:r>
        <w:rPr>
          <w:rFonts w:ascii="Courier New" w:cs="Courier New" w:eastAsia="Courier New" w:hAnsi="Courier New"/>
          <w:sz w:val="16"/>
          <w:szCs w:val="16"/>
          <w:color w:val="auto"/>
        </w:rPr>
        <w:t>Paying Agent on or prior to the date such payment is due the Additional Amounts required by the terms of such Securities.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 Section 9.12. Calculation of Original Issue Discount. The Company shall file with the Trustee promptly at the end of each calendar year (i) written notice specifying the amount of original issue discount (including daily rates and accrual periods) accrued on Outstanding Securities as of the end of such year, and (ii) such other specific information relating to such original issue discount as may then be relevant under the Internal Revenue Code of 1986, as amended from time to time. ARTICLE 10 REDEMPTION Section 10.1. Applicability of Article. Securities (including coupons, if any) of any series which are redeemable before their Stated Maturity shall be redeemable in accordance with their terms and (except as otherwise specified as contemplated by Section 3.1 for Securities of any series) in accordance with this Article. Section 10.2. Election to Redeem; Notice to Trustee. The election of the Company to redeem any Securities, including coupons, if any, shall be evidenced by or pursuant to a Board Resolution. In the case of any redemption at the election of the Company of less than all the Securities or coupons, if any, of any series, the Company shall, at least 60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(i) prior to the expiration of any restriction on such redemption provided in the terms of such Securities or elsewhere in this Indenture or (ii) pursuant to an election of the Company which is subject to a condition specified in the terms of such Securities, the Company shall furnish the Trustee with an Officers' Certificate evidencing compliance with such restriction or condition. Section 10.3. Selection of Securities to Be Redeemed. Unless otherwise specified as contemplated by Section 3.1, if less than all the Securities (including coupons, if any) of a series with the same terms are to be redeemed, the Trustee, not more than 45 days prior to the Redemption Date, shall select the Securities of the series to be redeemed in such manner as the Trustee shall deem fair and appropriate. The Trustee shall make the selection from Securities of the series that are Outstanding and that have not previously been called for redemption and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The Trustee shall promptly notify the Company in writing of the Securities selected by the Trustee for redemption and, in the case of any Securities selected for partial redemption, the principal amount thereof to be redeemed. 58</w:t>
      </w:r>
    </w:p>
    <w:p>
      <w:pPr>
        <w:sectPr>
          <w:pgSz w:w="11900" w:h="16838" w:orient="portrait"/>
          <w:cols w:equalWidth="0" w:num="1">
            <w:col w:w="10159"/>
          </w:cols>
          <w:pgMar w:left="300" w:top="317" w:right="1440" w:bottom="1440" w:gutter="0" w:footer="0" w:header="0"/>
        </w:sectPr>
      </w:pPr>
    </w:p>
    <w:bookmarkStart w:id="186" w:name="page187"/>
    <w:bookmarkEnd w:id="186"/>
    <w:p>
      <w:pPr>
        <w:jc w:val="center"/>
        <w:ind w:right="1639"/>
        <w:spacing w:after="0"/>
        <w:rPr>
          <w:sz w:val="20"/>
          <w:szCs w:val="20"/>
          <w:color w:val="auto"/>
        </w:rPr>
      </w:pPr>
      <w:r>
        <w:rPr>
          <w:rFonts w:ascii="Courier New" w:cs="Courier New" w:eastAsia="Courier New" w:hAnsi="Courier New"/>
          <w:sz w:val="18"/>
          <w:szCs w:val="18"/>
          <w:color w:val="auto"/>
        </w:rPr>
        <w:t>For purposes of this Indenture, unless the context otherwise requires, all</w:t>
      </w:r>
    </w:p>
    <w:p>
      <w:pPr>
        <w:spacing w:after="0" w:line="4" w:lineRule="exact"/>
        <w:rPr>
          <w:sz w:val="20"/>
          <w:szCs w:val="20"/>
          <w:color w:val="auto"/>
        </w:rPr>
      </w:pPr>
    </w:p>
    <w:p>
      <w:pPr>
        <w:jc w:val="center"/>
        <w:ind w:right="1639"/>
        <w:spacing w:after="0" w:line="269" w:lineRule="auto"/>
        <w:rPr>
          <w:sz w:val="20"/>
          <w:szCs w:val="20"/>
          <w:color w:val="auto"/>
        </w:rPr>
      </w:pPr>
      <w:r>
        <w:rPr>
          <w:rFonts w:ascii="Courier New" w:cs="Courier New" w:eastAsia="Courier New" w:hAnsi="Courier New"/>
          <w:sz w:val="16"/>
          <w:szCs w:val="16"/>
          <w:color w:val="auto"/>
        </w:rPr>
        <w:t>provisions relating to the redemption of Securities (including coupons, if any) shall relate, in the case of any Securities (including coupons, if any) redeemed or to be redeemed only in part, to the portion of the principal amount of such Securities (including coupons, if any) which has been or is to be redeemed. Section 10.4. Notice of Redemption. Unless otherwise specified as contemplated by Section 3.1, notice of redemption shall be given in the manner provided in Section 1.6 not less than 30 days nor more than 60 days prior to the Redemption Date to the Holders of the Securities to be redeemed. All notices of redemption shall state: (1) the Redemption Date; (2) the Redemption Price; (3) if less than all the Outstanding Securities of a series are to be redeemed, the identification (and, in the case of partial redemption, the principal amounts) of the particular Security or Securities to be redeemed; (4) 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 (5) the Place or Places of Payment where such Securities, together in the case of Bearer Securities with all coupons appertaining thereto, if any, maturing after the Redemption Date, are to be surrendered for payment of the Redemption Price; (6) that Securities of the series called for redemption and all unmatured coupons, if any, appertaining thereto must be surrendered to the Paying Agent to collect the Redemption Price; (7) that, on the Redemption Date, the Redemption Price, together with (except as otherwise set forth in Section 10.6 or as may otherwise be specified with respect to such Securities pursuant to Section 3.1) accrued and unpaid interest, if any, on and Additional Amounts, if any, with respect to the Securities (or portions thereof) to be redeemed, will become due and payable upon each such Security, or the portion thereof, to be redeemed and, if applicable, that interest thereon will cease to accrue on and after said date; (8) that the redemption is for a sinking fund, if such is the case; (9) that, unless otherwise specified in such notice, Bearer Securities of any series, if any, surrendered for redemption must be accompanied by all coupons maturing subsequent to the Redemption Date or the amount of any such missing coupon 59</w:t>
      </w:r>
    </w:p>
    <w:p>
      <w:pPr>
        <w:sectPr>
          <w:pgSz w:w="11900" w:h="16838" w:orient="portrait"/>
          <w:cols w:equalWidth="0" w:num="1">
            <w:col w:w="10159"/>
          </w:cols>
          <w:pgMar w:left="300" w:top="312" w:right="1440" w:bottom="1440" w:gutter="0" w:footer="0" w:header="0"/>
        </w:sectPr>
      </w:pPr>
    </w:p>
    <w:bookmarkStart w:id="187" w:name="page188"/>
    <w:bookmarkEnd w:id="187"/>
    <w:p>
      <w:pPr>
        <w:jc w:val="center"/>
        <w:ind w:right="1639"/>
        <w:spacing w:after="0" w:line="268" w:lineRule="auto"/>
        <w:rPr>
          <w:sz w:val="20"/>
          <w:szCs w:val="20"/>
          <w:color w:val="auto"/>
        </w:rPr>
      </w:pPr>
      <w:r>
        <w:rPr>
          <w:rFonts w:ascii="Courier New" w:cs="Courier New" w:eastAsia="Courier New" w:hAnsi="Courier New"/>
          <w:sz w:val="16"/>
          <w:szCs w:val="16"/>
          <w:color w:val="auto"/>
        </w:rPr>
        <w:t>or coupons will be deducted from the Redemption Price, unless security or indemnity satisfactory to the Company, the Trustee and any Paying Agent is furnished; and (10) the CUSIP number, if any, of the Securities. Notice of redemption of Securities to be redeemed shall be given by the Company or, at the Company's request, by the Trustee in the name and at the expense of the Company. Section 10.5. Deposit of Redemption Price. On or prior to any Redemption Date, the Company shall deposit with the Trustee or with a Paying Agent (or, if the Company is acting as its own Paying Agent, which it may not do in the case of a sinking fund payment under Article 11, segregate and hold in trust as provided in Section 9.3) an amount of money in the currency in which the Securities of such series are payable (except as otherwise specified pursuant to Section 3.1 for the Securities of such series) sufficient to pay on the Redemption Date the Redemption Price of, and (unless the Redemption Date shall be an Interest Payment Date) interest accrued to the Redemption Date on, all Securities or portions thereof which are to be redeemed on that date. Unless any Security by its terms prohibits any sinking fund payment obligation from being satisfied by delivering and crediting Securities (including Securities redeemed otherwise than through a sinking fund), the Company may deliver such Securities to the Trustee for crediting against such payment obligation in accordance with the terms of such Securities and this Indenture. Section 10.6. Securities Payable on Redemption Date. Notice of redemption having been given as aforesaid, the Securities so to be redeemed shall, on the Redemption Date, become due and payable at the Redemption Price therein specified (together with (except as otherwise set forth in this Section 10.6 or as may otherwise be specified with respect to such Securities pursuant to Section 3.1) accrued interest, if any, thereon and Additional Amounts, if any, with respect thereto to the Redemption Date), and from and after such date (unless the Company shall default in the payment of the Redemption Price and accrued interest) such Securities shall cease to bear interest and the coupons for any such interest appertaining to any Bearer Security so to be redeemed, except to the extent provided below, shall be void. Except as provided in the next succeeding paragraph, upon surrender of any such Security, including coupons, if any, for redemption in accordance with said notice, such Security shall be paid by the Company at the Redemption Price, together with accrued interest and Additional Amounts, if any, to the Redemption Date; provided, however, that installments of interest on Bearer Securities whose Stated Maturity is on or prior to the Redemption Date shall be payable only at an office or agency located outside the United States (except as otherwise provided in Section 9.2) and, unless otherwise specified as contemplated by Section 3.1, only upon presentation and surrender of coupons for such interest; and provided, further, that, unless otherwise specified as contemplated by Section 3.1,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3.7. If any Bearer Security surrendered for redemption shall not be accompanied by all appurtenant coupons maturing after the Redemption Date, such Bearer Security may be paid 60</w:t>
      </w:r>
    </w:p>
    <w:p>
      <w:pPr>
        <w:sectPr>
          <w:pgSz w:w="11900" w:h="16838" w:orient="portrait"/>
          <w:cols w:equalWidth="0" w:num="1">
            <w:col w:w="10159"/>
          </w:cols>
          <w:pgMar w:left="300" w:top="318" w:right="1440" w:bottom="1440" w:gutter="0" w:footer="0" w:header="0"/>
        </w:sectPr>
      </w:pPr>
    </w:p>
    <w:bookmarkStart w:id="188" w:name="page189"/>
    <w:bookmarkEnd w:id="188"/>
    <w:p>
      <w:pPr>
        <w:jc w:val="center"/>
        <w:ind w:right="1639"/>
        <w:spacing w:after="0" w:line="268" w:lineRule="auto"/>
        <w:rPr>
          <w:sz w:val="20"/>
          <w:szCs w:val="20"/>
          <w:color w:val="auto"/>
        </w:rPr>
      </w:pPr>
      <w:r>
        <w:rPr>
          <w:rFonts w:ascii="Courier New" w:cs="Courier New" w:eastAsia="Courier New" w:hAnsi="Courier New"/>
          <w:sz w:val="16"/>
          <w:szCs w:val="16"/>
          <w:color w:val="auto"/>
        </w:rPr>
        <w:t>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Bearer Security shall surrender to the Trustee or any Paying Agent any such missing coupon in respect of which a deduction shall have been made from the Redemption Price, such Holder shall be entitled to receive the amount so deducted; provided, however, that interest represented by coupons shall be payable only at an office or agency located outside of the United States (except as otherwise provided pursuant to Section 9.2) and, unless otherwise specified as contemplated by Section 3.1, only upon presentation and surrender of those coupons. If any Security called for redemption shall not be so paid upon surrender thereof for redemption, the principal (and premium, if any) shall, until paid, bear interest from the Redemption Date at the rate borne by or prescribed therefor in the Security. Section 10.7. Securities Redeemed in Part. Upon surrender of a Security that is redeemed in part at any Place of Payment therefor (with, if the Company or the Trustee so required, due endorsement by, or a written instrument of transfer in form satisfactory to the Company and the Trustee duly executed by, the Holder thereof or his attorney duly authorized in writing), the Company shall execute and the Trustee shall authenticate and deliver to the Holder of that Security, without service charge, a new Security or Securities of the same series, having the same form, terms and Stated Maturity, in any authorized denomination equal in aggregate principal amount to the unredeemed portion of the principal amount of the Security surrendered. ARTICLE 11 SINKING FUNDS Section 11.1. Applicability of Article. The provisions of this Article shall be applicable to any sinking fund for the retirement of Securities of a series except as otherwise specified as contemplated by Section 3.1 for Securities of such series. 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11.2. Each sinking fund payment shall be applied to the redemption of Securities of any series as provided for by the terms of Securities of such series. Section 11.2. Satisfaction of Sinking Fund Payments with Securities. The Company (i) may deliver Outstanding Securities of a series (other than any previously called for redemption) together, in the case of Bearer Securities of such series, with all unmatured coupons appertaining thereto and (ii)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61</w:t>
      </w:r>
    </w:p>
    <w:p>
      <w:pPr>
        <w:sectPr>
          <w:pgSz w:w="11900" w:h="16838" w:orient="portrait"/>
          <w:cols w:equalWidth="0" w:num="1">
            <w:col w:w="10159"/>
          </w:cols>
          <w:pgMar w:left="300" w:top="318" w:right="1440" w:bottom="1440" w:gutter="0" w:footer="0" w:header="0"/>
        </w:sectPr>
      </w:pPr>
    </w:p>
    <w:bookmarkStart w:id="189" w:name="page190"/>
    <w:bookmarkEnd w:id="189"/>
    <w:p>
      <w:pPr>
        <w:jc w:val="center"/>
        <w:ind w:right="1639"/>
        <w:spacing w:after="0" w:line="269" w:lineRule="auto"/>
        <w:rPr>
          <w:sz w:val="20"/>
          <w:szCs w:val="20"/>
          <w:color w:val="auto"/>
        </w:rPr>
      </w:pPr>
      <w:r>
        <w:rPr>
          <w:rFonts w:ascii="Courier New" w:cs="Courier New" w:eastAsia="Courier New" w:hAnsi="Courier New"/>
          <w:sz w:val="16"/>
          <w:szCs w:val="16"/>
          <w:color w:val="auto"/>
        </w:rPr>
        <w:t>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 Section 11.3. Redemption of Securities for Sinking Fund. Not less than 60 days prior to each sinking fund payment date for any series of Securities, the Company will deliver to the Trustee an Officers' Certificate specifying the amount of the next ensuing sinking fund payment for that series pursuant to the terms of that series, the portion thereof, if any, which is to be satisfied by payment of cash and the portion thereof, if any, which is to be satisfied by delivering and crediting Securities of that series pursuant to Section 11.2 and will also deliver to the Trustee any Securities to be so delivered. Not less than 30 days before each such sinking fund payment date the Trustee shall select the Securities to be redeemed upon such sinking fund payment date in the manner specified in Section 10.3 and cause notice of the redemption thereof to be given in the name of and at the expense of the Company in the manner provided in Section 10.4. Such notice having been duly given, the redemption of such Securities shall be made upon the terms and in the manner stated in Sections 10.6 and 10.7. This Indenture may be executed in any number of counterparts, each of which shall be an original, but such counterparts shall together constitute but one instrument. [Remainder of page intentionally left blank.] 62</w:t>
      </w:r>
    </w:p>
    <w:p>
      <w:pPr>
        <w:sectPr>
          <w:pgSz w:w="11900" w:h="16838" w:orient="portrait"/>
          <w:cols w:equalWidth="0" w:num="1">
            <w:col w:w="10159"/>
          </w:cols>
          <w:pgMar w:left="300" w:top="318" w:right="1440" w:bottom="1440" w:gutter="0" w:footer="0" w:header="0"/>
        </w:sectPr>
      </w:pPr>
    </w:p>
    <w:bookmarkStart w:id="190" w:name="page191"/>
    <w:bookmarkEnd w:id="190"/>
    <w:p>
      <w:pPr>
        <w:jc w:val="center"/>
        <w:ind w:right="1639"/>
        <w:spacing w:after="0"/>
        <w:rPr>
          <w:sz w:val="20"/>
          <w:szCs w:val="20"/>
          <w:color w:val="auto"/>
        </w:rPr>
      </w:pPr>
      <w:r>
        <w:rPr>
          <w:rFonts w:ascii="Courier New" w:cs="Courier New" w:eastAsia="Courier New" w:hAnsi="Courier New"/>
          <w:sz w:val="18"/>
          <w:szCs w:val="18"/>
          <w:color w:val="auto"/>
        </w:rPr>
        <w:t>IN WITNESS WHEREOF, the parties hereto have caused this Indenture to be duly</w:t>
      </w:r>
    </w:p>
    <w:p>
      <w:pPr>
        <w:spacing w:after="0" w:line="4" w:lineRule="exact"/>
        <w:rPr>
          <w:sz w:val="20"/>
          <w:szCs w:val="20"/>
          <w:color w:val="auto"/>
        </w:rPr>
      </w:pPr>
    </w:p>
    <w:p>
      <w:pPr>
        <w:jc w:val="center"/>
        <w:ind w:right="1639"/>
        <w:spacing w:after="0" w:line="268" w:lineRule="auto"/>
        <w:rPr>
          <w:sz w:val="20"/>
          <w:szCs w:val="20"/>
          <w:color w:val="auto"/>
        </w:rPr>
      </w:pPr>
      <w:r>
        <w:rPr>
          <w:rFonts w:ascii="Courier New" w:cs="Courier New" w:eastAsia="Courier New" w:hAnsi="Courier New"/>
          <w:sz w:val="16"/>
          <w:szCs w:val="16"/>
          <w:color w:val="auto"/>
        </w:rPr>
        <w:t>executed all as of the day and year first above written. FIDELITY NATIONAL TITLE GROUP, INC. By: /s/ Anthony J. Park ------------------------------------ Name:</w:t>
      </w:r>
    </w:p>
    <w:p>
      <w:pPr>
        <w:ind w:left="160" w:right="1639" w:hanging="157"/>
        <w:spacing w:after="0" w:line="237" w:lineRule="auto"/>
        <w:rPr>
          <w:sz w:val="20"/>
          <w:szCs w:val="20"/>
          <w:color w:val="auto"/>
        </w:rPr>
      </w:pPr>
      <w:r>
        <w:rPr>
          <w:rFonts w:ascii="Courier New" w:cs="Courier New" w:eastAsia="Courier New" w:hAnsi="Courier New"/>
          <w:sz w:val="18"/>
          <w:szCs w:val="18"/>
          <w:color w:val="auto"/>
        </w:rPr>
        <w:t>Anthony J. Park Title: Chief Financial Officer Attest: By: /s/ Todd C. Johnson -- --------------------------------- Name: Todd C. Johnson Title: Senior Vice President and Secretary THE BANK OF NEW YORK TRUST COMPANY, N.A. By: /s/ Sean Julien ------------------------------------ Name: Sean Julien Title: Assistant Treasurer 63</w:t>
      </w:r>
    </w:p>
    <w:p>
      <w:pPr>
        <w:sectPr>
          <w:pgSz w:w="11900" w:h="16838" w:orient="portrait"/>
          <w:cols w:equalWidth="0" w:num="1">
            <w:col w:w="10159"/>
          </w:cols>
          <w:pgMar w:left="300" w:top="312" w:right="1440" w:bottom="1440" w:gutter="0" w:footer="0" w:header="0"/>
        </w:sectPr>
      </w:pPr>
    </w:p>
    <w:bookmarkStart w:id="191" w:name="page192"/>
    <w:bookmarkEnd w:id="191"/>
    <w:p>
      <w:pPr>
        <w:jc w:val="right"/>
        <w:ind w:right="1679"/>
        <w:spacing w:after="0"/>
        <w:rPr>
          <w:sz w:val="20"/>
          <w:szCs w:val="20"/>
          <w:color w:val="auto"/>
        </w:rPr>
      </w:pPr>
      <w:r>
        <w:rPr>
          <w:rFonts w:ascii="Courier New" w:cs="Courier New" w:eastAsia="Courier New" w:hAnsi="Courier New"/>
          <w:sz w:val="18"/>
          <w:szCs w:val="18"/>
          <w:color w:val="auto"/>
        </w:rPr>
        <w:t>EXHIBIT 10.2</w:t>
      </w:r>
    </w:p>
    <w:p>
      <w:pPr>
        <w:spacing w:after="0" w:line="207"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EXECUTION DRAFT</w:t>
      </w:r>
    </w:p>
    <w:p>
      <w:pPr>
        <w:spacing w:after="0" w:line="218"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AMENDED AND RESTATED CORPORATE SERVICES AGREEMENT</w:t>
      </w:r>
    </w:p>
    <w:p>
      <w:pPr>
        <w:spacing w:after="0" w:line="207" w:lineRule="exact"/>
        <w:rPr>
          <w:sz w:val="20"/>
          <w:szCs w:val="20"/>
          <w:color w:val="auto"/>
        </w:rPr>
      </w:pPr>
    </w:p>
    <w:p>
      <w:pPr>
        <w:ind w:left="60" w:right="1739" w:firstLine="1475"/>
        <w:spacing w:after="0" w:line="268" w:lineRule="auto"/>
        <w:rPr>
          <w:sz w:val="20"/>
          <w:szCs w:val="20"/>
          <w:color w:val="auto"/>
        </w:rPr>
      </w:pPr>
      <w:r>
        <w:rPr>
          <w:rFonts w:ascii="Courier New" w:cs="Courier New" w:eastAsia="Courier New" w:hAnsi="Courier New"/>
          <w:sz w:val="16"/>
          <w:szCs w:val="16"/>
          <w:color w:val="auto"/>
        </w:rPr>
        <w:t>This Amended and Restated Corporate Services Agreement (this "Agreement") is effective as of February 1, 2006 (the "Effective Date"), by and</w:t>
      </w:r>
    </w:p>
    <w:p>
      <w:pPr>
        <w:jc w:val="center"/>
        <w:ind w:right="1679"/>
        <w:spacing w:after="0" w:line="235" w:lineRule="auto"/>
        <w:rPr>
          <w:sz w:val="20"/>
          <w:szCs w:val="20"/>
          <w:color w:val="auto"/>
        </w:rPr>
      </w:pPr>
      <w:r>
        <w:rPr>
          <w:rFonts w:ascii="Courier New" w:cs="Courier New" w:eastAsia="Courier New" w:hAnsi="Courier New"/>
          <w:sz w:val="18"/>
          <w:szCs w:val="18"/>
          <w:color w:val="auto"/>
        </w:rPr>
        <w:t>between FIDELITY NATIONAL TITLE GROUP, INC., a Delaware corporation ("FNT" or "PROVIDING PARTY"), and FIDELITY NATIONAL FINANCIAL, INC., a Delaware</w:t>
      </w:r>
    </w:p>
    <w:p>
      <w:pPr>
        <w:spacing w:after="0" w:line="6" w:lineRule="exact"/>
        <w:rPr>
          <w:sz w:val="20"/>
          <w:szCs w:val="20"/>
          <w:color w:val="auto"/>
        </w:rPr>
      </w:pPr>
    </w:p>
    <w:p>
      <w:pPr>
        <w:ind w:left="320" w:right="1999"/>
        <w:spacing w:after="0" w:line="290" w:lineRule="auto"/>
        <w:rPr>
          <w:sz w:val="20"/>
          <w:szCs w:val="20"/>
          <w:color w:val="auto"/>
        </w:rPr>
      </w:pPr>
      <w:r>
        <w:rPr>
          <w:rFonts w:ascii="Courier New" w:cs="Courier New" w:eastAsia="Courier New" w:hAnsi="Courier New"/>
          <w:sz w:val="16"/>
          <w:szCs w:val="16"/>
          <w:color w:val="auto"/>
        </w:rPr>
        <w:t>corporation ("FNF" or "RECEIVING PARTY"). FNT and FNF shall be referred to together in this Agreement as the "Parties" and individually as a "Party."</w:t>
      </w:r>
    </w:p>
    <w:p>
      <w:pPr>
        <w:spacing w:after="0" w:line="170" w:lineRule="exact"/>
        <w:rPr>
          <w:sz w:val="20"/>
          <w:szCs w:val="20"/>
          <w:color w:val="auto"/>
        </w:rPr>
      </w:pPr>
    </w:p>
    <w:p>
      <w:pPr>
        <w:jc w:val="both"/>
        <w:ind w:left="220" w:right="1899" w:firstLine="1054"/>
        <w:spacing w:after="0" w:line="279" w:lineRule="auto"/>
        <w:rPr>
          <w:sz w:val="20"/>
          <w:szCs w:val="20"/>
          <w:color w:val="auto"/>
        </w:rPr>
      </w:pPr>
      <w:r>
        <w:rPr>
          <w:rFonts w:ascii="Courier New" w:cs="Courier New" w:eastAsia="Courier New" w:hAnsi="Courier New"/>
          <w:sz w:val="16"/>
          <w:szCs w:val="16"/>
          <w:color w:val="auto"/>
        </w:rPr>
        <w:t>WHEREAS, the Parties previously entered into a Corporate Services Agreement dated as of September 27, 2005 (the Prior CSA Agreement") for the provision of certain corporate services, as more fully described herein; and</w:t>
      </w:r>
    </w:p>
    <w:p>
      <w:pPr>
        <w:spacing w:after="0" w:line="178" w:lineRule="exact"/>
        <w:rPr>
          <w:sz w:val="20"/>
          <w:szCs w:val="20"/>
          <w:color w:val="auto"/>
        </w:rPr>
      </w:pPr>
    </w:p>
    <w:p>
      <w:pPr>
        <w:ind w:left="3380" w:right="1739" w:hanging="2370"/>
        <w:spacing w:after="0" w:line="235" w:lineRule="auto"/>
        <w:rPr>
          <w:sz w:val="20"/>
          <w:szCs w:val="20"/>
          <w:color w:val="auto"/>
        </w:rPr>
      </w:pPr>
      <w:r>
        <w:rPr>
          <w:rFonts w:ascii="Courier New" w:cs="Courier New" w:eastAsia="Courier New" w:hAnsi="Courier New"/>
          <w:sz w:val="18"/>
          <w:szCs w:val="18"/>
          <w:color w:val="auto"/>
        </w:rPr>
        <w:t>WHEREAS, the Parties wish to amend and restate the Prior CSA Agreement in its entirety;</w:t>
      </w:r>
    </w:p>
    <w:p>
      <w:pPr>
        <w:spacing w:after="0" w:line="208" w:lineRule="exact"/>
        <w:rPr>
          <w:sz w:val="20"/>
          <w:szCs w:val="20"/>
          <w:color w:val="auto"/>
        </w:rPr>
      </w:pPr>
    </w:p>
    <w:p>
      <w:pPr>
        <w:ind w:left="60" w:right="1739" w:firstLine="1528"/>
        <w:spacing w:after="0" w:line="268" w:lineRule="auto"/>
        <w:rPr>
          <w:sz w:val="20"/>
          <w:szCs w:val="20"/>
          <w:color w:val="auto"/>
        </w:rPr>
      </w:pPr>
      <w:r>
        <w:rPr>
          <w:rFonts w:ascii="Courier New" w:cs="Courier New" w:eastAsia="Courier New" w:hAnsi="Courier New"/>
          <w:sz w:val="16"/>
          <w:szCs w:val="16"/>
          <w:color w:val="auto"/>
        </w:rPr>
        <w:t>NOW THEREFORE, in consideration of the premises, and of the representations, warranties, covenants and agreements set forth herein, and for other good and valuable consideration, the receipt and sufficiency of which are</w:t>
      </w:r>
    </w:p>
    <w:p>
      <w:pPr>
        <w:ind w:left="1220"/>
        <w:spacing w:after="0" w:line="233" w:lineRule="auto"/>
        <w:rPr>
          <w:sz w:val="20"/>
          <w:szCs w:val="20"/>
          <w:color w:val="auto"/>
        </w:rPr>
      </w:pPr>
      <w:r>
        <w:rPr>
          <w:rFonts w:ascii="Courier New" w:cs="Courier New" w:eastAsia="Courier New" w:hAnsi="Courier New"/>
          <w:sz w:val="18"/>
          <w:szCs w:val="18"/>
          <w:color w:val="auto"/>
        </w:rPr>
        <w:t>hereby acknowledged, the Parties hereto agree as follows:</w:t>
      </w:r>
    </w:p>
    <w:p>
      <w:pPr>
        <w:spacing w:after="0" w:line="202" w:lineRule="exact"/>
        <w:rPr>
          <w:sz w:val="20"/>
          <w:szCs w:val="20"/>
          <w:color w:val="auto"/>
        </w:rPr>
      </w:pPr>
    </w:p>
    <w:p>
      <w:pPr>
        <w:ind w:left="5640"/>
        <w:spacing w:after="0"/>
        <w:rPr>
          <w:sz w:val="20"/>
          <w:szCs w:val="20"/>
          <w:color w:val="auto"/>
        </w:rPr>
      </w:pPr>
      <w:r>
        <w:rPr>
          <w:rFonts w:ascii="Courier New" w:cs="Courier New" w:eastAsia="Courier New" w:hAnsi="Courier New"/>
          <w:sz w:val="18"/>
          <w:szCs w:val="18"/>
          <w:color w:val="auto"/>
        </w:rPr>
        <w:t>ARTICLE I</w:t>
      </w:r>
    </w:p>
    <w:p>
      <w:pPr>
        <w:ind w:left="4900"/>
        <w:spacing w:after="0" w:line="238" w:lineRule="auto"/>
        <w:rPr>
          <w:sz w:val="20"/>
          <w:szCs w:val="20"/>
          <w:color w:val="auto"/>
        </w:rPr>
      </w:pPr>
      <w:r>
        <w:rPr>
          <w:rFonts w:ascii="Courier New" w:cs="Courier New" w:eastAsia="Courier New" w:hAnsi="Courier New"/>
          <w:sz w:val="18"/>
          <w:szCs w:val="18"/>
          <w:color w:val="auto"/>
        </w:rPr>
        <w:t>CORPORATE SERVICES</w:t>
      </w:r>
    </w:p>
    <w:p>
      <w:pPr>
        <w:spacing w:after="0" w:line="207" w:lineRule="exact"/>
        <w:rPr>
          <w:sz w:val="20"/>
          <w:szCs w:val="20"/>
          <w:color w:val="auto"/>
        </w:rPr>
      </w:pPr>
    </w:p>
    <w:p>
      <w:pPr>
        <w:ind w:left="120" w:right="1779" w:firstLine="1264"/>
        <w:spacing w:after="0" w:line="268" w:lineRule="auto"/>
        <w:rPr>
          <w:sz w:val="20"/>
          <w:szCs w:val="20"/>
          <w:color w:val="auto"/>
        </w:rPr>
      </w:pPr>
      <w:r>
        <w:rPr>
          <w:rFonts w:ascii="Courier New" w:cs="Courier New" w:eastAsia="Courier New" w:hAnsi="Courier New"/>
          <w:sz w:val="16"/>
          <w:szCs w:val="16"/>
          <w:color w:val="auto"/>
        </w:rPr>
        <w:t>1.1 Corporate Services. This Agreement sets forth the terms and conditions for the provision by PROVIDING PARTY to RECEIVING PARTY of various corporate services and products, as more fully described below and in Schedule</w:t>
      </w:r>
    </w:p>
    <w:p>
      <w:pPr>
        <w:spacing w:after="0" w:line="1" w:lineRule="exact"/>
        <w:rPr>
          <w:sz w:val="20"/>
          <w:szCs w:val="20"/>
          <w:color w:val="auto"/>
        </w:rPr>
      </w:pPr>
    </w:p>
    <w:p>
      <w:pPr>
        <w:jc w:val="center"/>
        <w:ind w:left="360" w:right="260"/>
        <w:spacing w:after="0" w:line="236" w:lineRule="auto"/>
        <w:rPr>
          <w:sz w:val="20"/>
          <w:szCs w:val="20"/>
          <w:color w:val="auto"/>
        </w:rPr>
      </w:pPr>
      <w:r>
        <w:rPr>
          <w:rFonts w:ascii="Courier New" w:cs="Courier New" w:eastAsia="Courier New" w:hAnsi="Courier New"/>
          <w:sz w:val="18"/>
          <w:szCs w:val="18"/>
          <w:color w:val="auto"/>
        </w:rPr>
        <w:t>1.1(a) attached hereto (the Scheduled Services, the Omitted Services, the Resumed Services and Special Projects (as defined below), collectively, the "Corporate Services").</w:t>
      </w:r>
    </w:p>
    <w:p>
      <w:pPr>
        <w:spacing w:after="0" w:line="209" w:lineRule="exact"/>
        <w:rPr>
          <w:sz w:val="20"/>
          <w:szCs w:val="20"/>
          <w:color w:val="auto"/>
        </w:rPr>
      </w:pPr>
    </w:p>
    <w:p>
      <w:pPr>
        <w:ind w:left="60" w:right="1739" w:firstLine="1950"/>
        <w:spacing w:after="0" w:line="268" w:lineRule="auto"/>
        <w:tabs>
          <w:tab w:leader="none" w:pos="243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PARTY, through its Subsidiaries and Affiliates (each as defined below), and their respective employees, agents or contractors, shall provide or cause to be provided to RECEIVING PARTY and its Subsidiaries</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all services set forth on Schedule 1.1(a) (the "Scheduled Services") on and</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Effective Date (with such services to be provided to RECEIVING PARTY's</w:t>
      </w:r>
    </w:p>
    <w:p>
      <w:pPr>
        <w:spacing w:after="0" w:line="21" w:lineRule="exact"/>
        <w:rPr>
          <w:rFonts w:ascii="Courier New" w:cs="Courier New" w:eastAsia="Courier New" w:hAnsi="Courier New"/>
          <w:sz w:val="16"/>
          <w:szCs w:val="16"/>
          <w:color w:val="auto"/>
        </w:rPr>
      </w:pPr>
    </w:p>
    <w:p>
      <w:pPr>
        <w:jc w:val="center"/>
        <w:ind w:left="120" w:right="1779" w:firstLine="158"/>
        <w:spacing w:after="0" w:line="27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Subsidiaries as they become Subsidiaries of RECEIVING PARTY, subject to the exception in clause (ii) of Section 1.2(a)). RECEIVING PARTY shall pay fees to PROVIDING PARTY for providing the Scheduled Services or causing the Scheduled Services to be provided as set forth in Schedule 1.1(a). For purposes of this Agreement, "Subsidiary" means, with respect to either Party, any</w:t>
      </w:r>
    </w:p>
    <w:p>
      <w:pPr>
        <w:spacing w:after="0" w:line="200" w:lineRule="exact"/>
        <w:rPr>
          <w:sz w:val="20"/>
          <w:szCs w:val="20"/>
          <w:color w:val="auto"/>
        </w:rPr>
      </w:pPr>
    </w:p>
    <w:p>
      <w:pPr>
        <w:spacing w:after="0" w:line="384"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119"/>
          </w:cols>
          <w:pgMar w:left="340" w:top="339" w:right="1440" w:bottom="1440" w:gutter="0" w:footer="0" w:header="0"/>
        </w:sectPr>
      </w:pPr>
    </w:p>
    <w:bookmarkStart w:id="192" w:name="page193"/>
    <w:bookmarkEnd w:id="192"/>
    <w:p>
      <w:pPr>
        <w:jc w:val="center"/>
        <w:ind w:right="1679"/>
        <w:spacing w:after="0" w:line="238" w:lineRule="auto"/>
        <w:rPr>
          <w:sz w:val="20"/>
          <w:szCs w:val="20"/>
          <w:color w:val="auto"/>
        </w:rPr>
      </w:pPr>
      <w:r>
        <w:rPr>
          <w:rFonts w:ascii="Courier New" w:cs="Courier New" w:eastAsia="Courier New" w:hAnsi="Courier New"/>
          <w:sz w:val="18"/>
          <w:szCs w:val="18"/>
          <w:color w:val="auto"/>
        </w:rPr>
        <w:t>corporation, partnership, company or other entity of which such Party controls or owns, directly or indirectly, more than fifty percent (50%) of the stock or other equity interest entitled to vote on the election of the members to the board of directors or similar governing body, provided however, that with respect to the RECEIVING PARTY, "Subsidiary" shall not include (X) Certegy, Inc., Fidelity National Information Services, Inc. or any of their respective Subsidiaries (collectively, "FIS") or (Y) PROVIDING PARTY or any of its Subsidiaries; and "Affiliate" means, with respect to either Party, any corporation, partnership, company, or other entity that directly, or indirectly through one or more intermediaries, controls, is controlled by, or is under common control with, such specified Party, except that (i) in the case of RECEIVING PARTY, "Affiliate" shall not include PROVIDING PARTY or any of its Subsidiaries, or FIS or any of its Subsidiaries, and (ii) in the case of PROVIDING PARTY, "Affiliate" shall not include FIS or any of its Subsidiaries, or FNF or any FNF Subsidiary that is not a direct or indirect Subsidiary of PROVIDING PARTY. As used herein, "control" means the possession, directly or indirectly, of the power to direct or cause the direction of the management and policies of such entity, whether through ownership of voting securities or other interests, by contract or otherwise.</w:t>
      </w:r>
    </w:p>
    <w:p>
      <w:pPr>
        <w:spacing w:after="0" w:line="210" w:lineRule="exact"/>
        <w:rPr>
          <w:sz w:val="20"/>
          <w:szCs w:val="20"/>
          <w:color w:val="auto"/>
        </w:rPr>
      </w:pPr>
    </w:p>
    <w:p>
      <w:pPr>
        <w:jc w:val="both"/>
        <w:ind w:right="1679" w:firstLine="1957"/>
        <w:spacing w:after="0" w:line="268" w:lineRule="auto"/>
        <w:tabs>
          <w:tab w:leader="none" w:pos="237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PARTY, through its Subsidiaries and Affiliates, and their respective employees, agents or contractors, shall provide or cause to be provided to RECEIVING PARTY and its Subsidiaries all services that PROVIDING</w:t>
      </w:r>
    </w:p>
    <w:p>
      <w:pPr>
        <w:jc w:val="center"/>
        <w:ind w:right="1679" w:firstLine="474"/>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PARTY was performing for RECEIVING PARTY and its Subsidiaries as of the Effective Date that pertain to and are a part of Scheduled Services under Section 1.1(a) (with such services to be provided to RECEIVING PARTY's Subsidiaries as they become Subsidiaries of RECEIVING PARTY, subject to the exception in clause (ii) of Section 1.2(a)), which are not expressly included in the list of Scheduled Services in Schedule 1.1(a), but are required to conduct the business of RECEIVING PARTY and its Subsidiaries (the "Omitted Services"), unless RECEIVING PARTY consents in writing to the termination of such services. Such Omitted Services shall be added to Schedule 1.1(a) and thereby become Scheduled Services, as soon as reasonably practicable after the Effective Date by the Parties. In the event that RECEIVING PARTY or its Subsidiaries had been allocated charges or otherwise paid PROVIDING PARTY or its Subsidiaries for such Omitted Services immediately prior to the Effective Date, RECEIVING PARTY shall pay to PROVIDING PARTY for providing the Omitted Services or causing the Omitted Services to be provided hereunder fees equal to the actual fees paid for such Omitted Services immediately preceding the Effective Date; provided, that payment of such fees by RECEIVING PARTY for the Omitted Services provided hereunder shall be retroactive to the first day of the calendar quarter in which either Party identifies such services as Omitted Services, but in no event shall RECEIVING PARTY be required to pay for any Omitted Services provided hereunder by PROVIDING PARTY or its Subsidiaries or Affiliates prior to the Effective Date. In the event that RECEIVING PARTY or its Subsidiaries had not been allocated charges or otherwise paid PROVIDING PARTY or its Subsidiaries or Affiliates for such Omitted Services immediately prior to the Effective Date, the Parties shall negotiate in good faith a fee to be based on the cost of providing such Omitted Services, which shall in no event be less than the Default Fee (as defined below); provided, that payment of such fees by RECEIVING PARTY for the Omitted Services provided hereunder by PROVIDING PARTY shall be retroactive to the first day of the calendar quarter in which either Party identifies such services as Omitted Services, but in no event shall RECEIVING PARTY be required to pay for any such Omitted Services provided hereunder by PROVIDING PARTY or its Subsidiaries or Affiliates prior to the Effective Date. The "Default Fee" means an amount equal to one hundred fifty percent (150%) of the salary of each full-time employee, on an hourly basis, who provides the applicable Corporate Service or Transition Assistance (as defined in Section</w:t>
      </w:r>
    </w:p>
    <w:p>
      <w:pPr>
        <w:spacing w:after="0" w:line="200" w:lineRule="exact"/>
        <w:rPr>
          <w:sz w:val="20"/>
          <w:szCs w:val="20"/>
          <w:color w:val="auto"/>
        </w:rPr>
      </w:pPr>
    </w:p>
    <w:p>
      <w:pPr>
        <w:spacing w:after="0" w:line="206" w:lineRule="exact"/>
        <w:rPr>
          <w:sz w:val="20"/>
          <w:szCs w:val="20"/>
          <w:color w:val="auto"/>
        </w:rPr>
      </w:pPr>
    </w:p>
    <w:p>
      <w:pPr>
        <w:ind w:left="3960"/>
        <w:spacing w:after="0"/>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right="1679" w:firstLine="2115"/>
        <w:spacing w:after="0" w:line="268" w:lineRule="auto"/>
        <w:tabs>
          <w:tab w:leader="none" w:pos="2528"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RECEIVING PARTY's written request, PROVIDING PARTY, through its Subsidiaries and Affiliates, and their respective employees, agents or contractors, shall use commercially reasonable efforts to provide or cause to</w:t>
      </w:r>
    </w:p>
    <w:p>
      <w:pPr>
        <w:ind w:left="2960"/>
        <w:spacing w:after="0" w:line="233" w:lineRule="auto"/>
        <w:rPr>
          <w:sz w:val="20"/>
          <w:szCs w:val="20"/>
          <w:color w:val="auto"/>
        </w:rPr>
      </w:pPr>
      <w:r>
        <w:rPr>
          <w:rFonts w:ascii="Courier New" w:cs="Courier New" w:eastAsia="Courier New" w:hAnsi="Courier New"/>
          <w:sz w:val="18"/>
          <w:szCs w:val="18"/>
          <w:color w:val="auto"/>
        </w:rPr>
        <w:t>be provided to RECEIVING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119"/>
          </w:cols>
          <w:pgMar w:left="340" w:top="520" w:right="1440" w:bottom="1440" w:gutter="0" w:footer="0" w:header="0"/>
        </w:sectPr>
      </w:pPr>
    </w:p>
    <w:bookmarkStart w:id="193" w:name="page194"/>
    <w:bookmarkEnd w:id="193"/>
    <w:p>
      <w:pPr>
        <w:jc w:val="center"/>
        <w:ind w:right="1679"/>
        <w:spacing w:after="0" w:line="237" w:lineRule="auto"/>
        <w:rPr>
          <w:sz w:val="20"/>
          <w:szCs w:val="20"/>
          <w:color w:val="auto"/>
        </w:rPr>
      </w:pPr>
      <w:r>
        <w:rPr>
          <w:rFonts w:ascii="Courier New" w:cs="Courier New" w:eastAsia="Courier New" w:hAnsi="Courier New"/>
          <w:sz w:val="18"/>
          <w:szCs w:val="18"/>
          <w:color w:val="auto"/>
        </w:rPr>
        <w:t>PARTY and its Subsidiaries any Scheduled Service that has been terminated at RECEIVING PARTY's request pursuant to Section 2.2 (the "Resumed Services"); provided, that PROVIDING PARTY shall have no obligation to provide a Resumed Service if providing such Resumed Service will have a material adverse impact on the other Corporate Services. Schedule 1.1(a) shall from time to time be amended to reflect the resumption of a Resumed Service and the Resumed Service shall be set forth thereon as a Scheduled Service.</w:t>
      </w:r>
    </w:p>
    <w:p>
      <w:pPr>
        <w:spacing w:after="0" w:line="211" w:lineRule="exact"/>
        <w:rPr>
          <w:sz w:val="20"/>
          <w:szCs w:val="20"/>
          <w:color w:val="auto"/>
        </w:rPr>
      </w:pPr>
    </w:p>
    <w:p>
      <w:pPr>
        <w:ind w:left="60" w:right="1739" w:firstLine="2055"/>
        <w:spacing w:after="0" w:line="268" w:lineRule="auto"/>
        <w:tabs>
          <w:tab w:leader="none" w:pos="2536"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RECEIVING PARTY's written request, PROVIDING PARTY, through its Subsidiaries and Affiliates, and their respective employees, agents or contractors, shall use commercially reasonable efforts to provide additional</w:t>
      </w:r>
    </w:p>
    <w:p>
      <w:pPr>
        <w:jc w:val="center"/>
        <w:ind w:right="1679" w:firstLine="158"/>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services that are not described in the Schedule 1.1(a) and that are neither Omitted Services nor Resumed Services ("Special Projects"). RECEIVING PARTY shall submit a written request to PROVIDING PARTY specifying the nature of the Special Project and requesting an estimate of the costs applicable for such Special Project and the expected time frame for completion. PROVIDING PARTY shall respond promptly to such written request, but in no event later than twenty (20) days, with a written estimate of the cost of providing such Special Project and the expected time frame for completion (the "Cost Estimate"). If RECEIVING PARTY provides written approval of the Cost Estimate within ten (10) days after PROVIDING PARTY delivers the Cost Estimate, then within a commercially reasonable time after receipt of RECEIVING PARTY's written request, PROVIDING PARTY shall begin providing the Special Project; provided, that PROVIDING PARTY shall have no obligation to provide a Special Project where, in its reasonable discretion and prior to providing the Cost Estimate, it has determined and notified RECEIVING PARTY in writing that (i) it would not be feasible to provide such Special Project, given reasonable priority to other demands on its resources and capacity both under this Agreement or otherwise or</w:t>
      </w:r>
    </w:p>
    <w:p>
      <w:pPr>
        <w:spacing w:after="0" w:line="193" w:lineRule="exact"/>
        <w:rPr>
          <w:rFonts w:ascii="Courier New" w:cs="Courier New" w:eastAsia="Courier New" w:hAnsi="Courier New"/>
          <w:sz w:val="16"/>
          <w:szCs w:val="16"/>
          <w:color w:val="auto"/>
        </w:rPr>
      </w:pPr>
    </w:p>
    <w:p>
      <w:pPr>
        <w:ind w:left="580" w:hanging="519"/>
        <w:spacing w:after="0"/>
        <w:tabs>
          <w:tab w:leader="none" w:pos="5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lacks the experience or qualifications to provide such Special Project.</w:t>
      </w:r>
    </w:p>
    <w:p>
      <w:pPr>
        <w:spacing w:after="0" w:line="224" w:lineRule="exact"/>
        <w:rPr>
          <w:sz w:val="20"/>
          <w:szCs w:val="20"/>
          <w:color w:val="auto"/>
        </w:rPr>
      </w:pPr>
    </w:p>
    <w:p>
      <w:pPr>
        <w:jc w:val="both"/>
        <w:ind w:right="1679" w:firstLine="948"/>
        <w:spacing w:after="0" w:line="268" w:lineRule="auto"/>
        <w:rPr>
          <w:sz w:val="20"/>
          <w:szCs w:val="20"/>
          <w:color w:val="auto"/>
        </w:rPr>
      </w:pPr>
      <w:r>
        <w:rPr>
          <w:rFonts w:ascii="Courier New" w:cs="Courier New" w:eastAsia="Courier New" w:hAnsi="Courier New"/>
          <w:sz w:val="16"/>
          <w:szCs w:val="16"/>
          <w:color w:val="auto"/>
        </w:rPr>
        <w:t>1.2 Provision of Corporate Services; Excused Performance. To the extent commercially reasonable, the Parties will work together and begin the process of migrating the Corporate Services from PROVIDING PARTY to RECEIVING PARTY, one or</w:t>
      </w:r>
    </w:p>
    <w:p>
      <w:pPr>
        <w:spacing w:after="0" w:line="1"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more of its Subsidiaries or Affiliates or a third party (at RECEIVING PARTY's direction) such that the completion of the migration of the Corporate Services from PROVIDING PARTY to RECEIVING PARTY, one or more of its Subsidiaries or Affiliates or a third party, as the case may be, shall occur prior to the end of the Term. PROVIDING PARTY shall provide or cause to be provided each of the Corporate Services through the expiration of the Term, except (i) as automatically modified by earlier termination of a Corporate Service by RECEIVING PARTY in accordance with this Agreement, (ii) for Corporate Services to or for the benefit of any entity which ceases to be a Subsidiary of RECEIVING PARTY prior to the end of the Term, or (iii) as otherwise agreed to by the Parties in writing.</w:t>
      </w:r>
    </w:p>
    <w:p>
      <w:pPr>
        <w:spacing w:after="0" w:line="210" w:lineRule="exact"/>
        <w:rPr>
          <w:sz w:val="20"/>
          <w:szCs w:val="20"/>
          <w:color w:val="auto"/>
        </w:rPr>
      </w:pPr>
    </w:p>
    <w:p>
      <w:pPr>
        <w:ind w:left="2900"/>
        <w:spacing w:after="0"/>
        <w:rPr>
          <w:sz w:val="20"/>
          <w:szCs w:val="20"/>
          <w:color w:val="auto"/>
        </w:rPr>
      </w:pPr>
      <w:r>
        <w:rPr>
          <w:rFonts w:ascii="Courier New" w:cs="Courier New" w:eastAsia="Courier New" w:hAnsi="Courier New"/>
          <w:sz w:val="18"/>
          <w:szCs w:val="18"/>
          <w:color w:val="auto"/>
        </w:rPr>
        <w:t>1.3 Third Party Vendors; Consents.</w:t>
      </w:r>
    </w:p>
    <w:p>
      <w:pPr>
        <w:spacing w:after="0" w:line="207" w:lineRule="exact"/>
        <w:rPr>
          <w:sz w:val="20"/>
          <w:szCs w:val="20"/>
          <w:color w:val="auto"/>
        </w:rPr>
      </w:pPr>
    </w:p>
    <w:p>
      <w:pPr>
        <w:ind w:left="120" w:right="1779" w:firstLine="2048"/>
        <w:spacing w:after="0" w:line="268" w:lineRule="auto"/>
        <w:tabs>
          <w:tab w:leader="none" w:pos="2596"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PARTY shall use its commercially reasonable efforts to keep and maintain in effect its relationships with its vendors that are integral to the provision of the Corporate Services. PROVIDING PARTY shall</w:t>
      </w:r>
    </w:p>
    <w:p>
      <w:pPr>
        <w:spacing w:after="0" w:line="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use commercially reasonable efforts to procure any waivers, permits, consents or</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sublicenses required by third party licensors, vendors or service providers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existing agreements with such third parties in order to provide 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119"/>
          </w:cols>
          <w:pgMar w:left="340" w:top="520" w:right="1440" w:bottom="1440" w:gutter="0" w:footer="0" w:header="0"/>
        </w:sectPr>
      </w:pPr>
    </w:p>
    <w:bookmarkStart w:id="194" w:name="page195"/>
    <w:bookmarkEnd w:id="194"/>
    <w:p>
      <w:pPr>
        <w:jc w:val="center"/>
        <w:ind w:right="1679"/>
        <w:spacing w:after="0"/>
        <w:rPr>
          <w:sz w:val="20"/>
          <w:szCs w:val="20"/>
          <w:color w:val="auto"/>
        </w:rPr>
      </w:pPr>
      <w:r>
        <w:rPr>
          <w:rFonts w:ascii="Courier New" w:cs="Courier New" w:eastAsia="Courier New" w:hAnsi="Courier New"/>
          <w:sz w:val="18"/>
          <w:szCs w:val="18"/>
          <w:color w:val="auto"/>
        </w:rPr>
        <w:t>Corporate Services hereunder ("Third Party Consents"). In the event that</w:t>
      </w:r>
    </w:p>
    <w:p>
      <w:pPr>
        <w:spacing w:after="0" w:line="4" w:lineRule="exact"/>
        <w:rPr>
          <w:sz w:val="20"/>
          <w:szCs w:val="20"/>
          <w:color w:val="auto"/>
        </w:rPr>
      </w:pPr>
    </w:p>
    <w:p>
      <w:pPr>
        <w:jc w:val="center"/>
        <w:ind w:right="1679"/>
        <w:spacing w:after="0" w:line="268" w:lineRule="auto"/>
        <w:rPr>
          <w:sz w:val="20"/>
          <w:szCs w:val="20"/>
          <w:color w:val="auto"/>
        </w:rPr>
      </w:pPr>
      <w:r>
        <w:rPr>
          <w:rFonts w:ascii="Courier New" w:cs="Courier New" w:eastAsia="Courier New" w:hAnsi="Courier New"/>
          <w:sz w:val="16"/>
          <w:szCs w:val="16"/>
          <w:color w:val="auto"/>
        </w:rPr>
        <w:t>PROVIDING PARTY is unable to procure such Third Party Consents on commercially reasonable terms, PROVIDING PARTY agrees to so notify RECEIVING PARTY, and to assist RECEIVING PARTY with the transition to another vendor. If, after the Effective Date, any one or more vendors (i) terminates its contractual relationship with PROVIDING PARTY or ceases to provide the products or services associated with the Corporate Services or (ii) notifies PROVIDING PARTY of its desire or plan to terminate its contractual relationship with PROVIDING PARTY or</w:t>
      </w:r>
    </w:p>
    <w:p>
      <w:pPr>
        <w:spacing w:after="0" w:line="1" w:lineRule="exact"/>
        <w:rPr>
          <w:sz w:val="20"/>
          <w:szCs w:val="20"/>
          <w:color w:val="auto"/>
        </w:rPr>
      </w:pPr>
    </w:p>
    <w:p>
      <w:pPr>
        <w:jc w:val="center"/>
        <w:ind w:left="160" w:right="1839" w:firstLine="7"/>
        <w:spacing w:after="0" w:line="275" w:lineRule="auto"/>
        <w:tabs>
          <w:tab w:leader="none" w:pos="79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ceases providing the products or services associated with the Corporate Services, then, in either case, PROVIDING PARTY agrees to so notify RECEIVING PARTY, and to assist RECEIVING PARTY with the transition to another vendor so that RECEIVING PARTY may continue to receive similar products and services.</w:t>
      </w:r>
    </w:p>
    <w:p>
      <w:pPr>
        <w:spacing w:after="0" w:line="182" w:lineRule="exact"/>
        <w:rPr>
          <w:rFonts w:ascii="Courier New" w:cs="Courier New" w:eastAsia="Courier New" w:hAnsi="Courier New"/>
          <w:sz w:val="16"/>
          <w:szCs w:val="16"/>
          <w:color w:val="auto"/>
        </w:rPr>
      </w:pPr>
    </w:p>
    <w:p>
      <w:pPr>
        <w:jc w:val="both"/>
        <w:ind w:left="280" w:right="1939" w:firstLine="1941"/>
        <w:spacing w:after="0" w:line="268" w:lineRule="auto"/>
        <w:tabs>
          <w:tab w:leader="none" w:pos="2650"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PARTY shall not be required to transfer or assign to RECEIVING PARTY any third party software licenses or any hardware</w:t>
      </w:r>
    </w:p>
    <w:p>
      <w:pPr>
        <w:jc w:val="center"/>
        <w:ind w:right="1679"/>
        <w:spacing w:after="0" w:line="290" w:lineRule="auto"/>
        <w:rPr>
          <w:sz w:val="20"/>
          <w:szCs w:val="20"/>
          <w:color w:val="auto"/>
        </w:rPr>
      </w:pPr>
      <w:r>
        <w:rPr>
          <w:rFonts w:ascii="Courier New" w:cs="Courier New" w:eastAsia="Courier New" w:hAnsi="Courier New"/>
          <w:sz w:val="16"/>
          <w:szCs w:val="16"/>
          <w:color w:val="auto"/>
        </w:rPr>
        <w:t>owned by PROVIDING PARTY or its Subsidiaries or Affiliates in connection with the provision of the Corporate Services or at the conclusion of the Term.</w:t>
      </w:r>
    </w:p>
    <w:p>
      <w:pPr>
        <w:spacing w:after="0" w:line="16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1.4 Dispute Resolution.</w:t>
      </w:r>
    </w:p>
    <w:p>
      <w:pPr>
        <w:spacing w:after="0" w:line="207" w:lineRule="exact"/>
        <w:rPr>
          <w:sz w:val="20"/>
          <w:szCs w:val="20"/>
          <w:color w:val="auto"/>
        </w:rPr>
      </w:pPr>
    </w:p>
    <w:p>
      <w:pPr>
        <w:ind w:left="480" w:right="1779" w:firstLine="1530"/>
        <w:spacing w:after="0" w:line="268" w:lineRule="auto"/>
        <w:tabs>
          <w:tab w:leader="none" w:pos="2429"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Amicable Resolution. PROVIDING PARTY and RECEIVING PARTY mutually desire that friendly collaboration will continue between them.</w:t>
      </w:r>
    </w:p>
    <w:p>
      <w:pPr>
        <w:jc w:val="center"/>
        <w:ind w:right="1679"/>
        <w:spacing w:after="0" w:line="238" w:lineRule="auto"/>
        <w:rPr>
          <w:sz w:val="20"/>
          <w:szCs w:val="20"/>
          <w:color w:val="auto"/>
        </w:rPr>
      </w:pPr>
      <w:r>
        <w:rPr>
          <w:rFonts w:ascii="Courier New" w:cs="Courier New" w:eastAsia="Courier New" w:hAnsi="Courier New"/>
          <w:sz w:val="18"/>
          <w:szCs w:val="18"/>
          <w:color w:val="auto"/>
        </w:rPr>
        <w:t>Accordingly, they will try to resolve in an amicable manner all disagreements and misunderstandings connected with their respective rights and obligations under this Agreement, including any amendments hereto. In furtherance thereof, in the event of any dispute or disagreement (a "Dispute") between PROVIDING PARTY and RECEIVING PARTY in connection with this Agreement (including, without limitation, the standards of performance, delay of performance or non-performance of obligations, or payment or non-payment of fees hereunder), then the Dispute, upon written request of either Party, will be referred for resolution to the president (or similar position) of the division implicated by the matter for each of PROVIDING PARTY and RECEIVING PARTY, which presidents will have fifteen (15) days to resolve such Dispute. If the presidents of the relevant divisions for each of PROVIDING PARTY and RECEIVING PARTY do not agree to a resolution of such Dispute within fifteen (15) days after the reference of the matter to them, such presidents of the relevant divisions will refer such matter to the president of each of PROVIDING PARTY and RECEIVING PARTY for final resolution. Notwithstanding anything to the contrary in this Section 1.4, any amendment to the terms of this Agreement may only be effected in accordance with Section 11.10.</w:t>
      </w:r>
    </w:p>
    <w:p>
      <w:pPr>
        <w:spacing w:after="0" w:line="209" w:lineRule="exact"/>
        <w:rPr>
          <w:sz w:val="20"/>
          <w:szCs w:val="20"/>
          <w:color w:val="auto"/>
        </w:rPr>
      </w:pPr>
    </w:p>
    <w:p>
      <w:pPr>
        <w:ind w:left="160" w:right="1679" w:firstLine="1745"/>
        <w:spacing w:after="0" w:line="268" w:lineRule="auto"/>
        <w:tabs>
          <w:tab w:leader="none" w:pos="2319"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Arbitration. In the event that the Dispute is not resolved in a friendly manner as set forth in Section 1.4(a), either Party involved in</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Dispute may submit the dispute to binding arbitration pursuant to this</w:t>
      </w:r>
    </w:p>
    <w:p>
      <w:pPr>
        <w:spacing w:after="0" w:line="5"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Section 1.4(b). All Disputes submitted to arbitration pursuant to this Section 1.4(b) shall be resolved in accordance with the Commercial Arbitration Rules of the American Arbitration Association, unless the Parties involved mutually agree to utilize an alternate set of rules, in which event all references herein to the American Arbitration Association shall be deemed modified accordingly. Expedited rules shall apply regardless of the amount at issue. Arbitration proceedings hereunder may be initiated by either Party making a written request to the American Arbitration Association, together with any appropriate filing fee, at the office of the American Arbitration Association in Orlando, Florida. All arbitration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119"/>
          </w:cols>
          <w:pgMar w:left="340" w:top="514" w:right="1440" w:bottom="1440" w:gutter="0" w:footer="0" w:header="0"/>
        </w:sectPr>
      </w:pPr>
    </w:p>
    <w:bookmarkStart w:id="195" w:name="page196"/>
    <w:bookmarkEnd w:id="195"/>
    <w:p>
      <w:pPr>
        <w:jc w:val="center"/>
        <w:ind w:right="1679"/>
        <w:spacing w:after="0" w:line="269" w:lineRule="auto"/>
        <w:rPr>
          <w:sz w:val="20"/>
          <w:szCs w:val="20"/>
          <w:color w:val="auto"/>
        </w:rPr>
      </w:pPr>
      <w:r>
        <w:rPr>
          <w:rFonts w:ascii="Courier New" w:cs="Courier New" w:eastAsia="Courier New" w:hAnsi="Courier New"/>
          <w:sz w:val="16"/>
          <w:szCs w:val="16"/>
          <w:color w:val="auto"/>
        </w:rPr>
        <w:t>proceedings shall be held in the city of Jacksonville, Florida in a location to be specified by the arbitrators (or any place agreed to by the Parties and the arbitrators). The arbitration shall be by a single qualified arbitrator experienced in the matters at issue, such arbitrator to be mutually agreed upon by PROVIDING PARTY and RECEIVING PARTY. If PROVIDING PARTY and RECEIVING PARTY fail to agree on an arbitrator within thirty (30) days after notice of commencement of arbitration, the American Arbitration Association shall, upon the request of either Party to the Dispute, appoint the arbitrator. Any order or determination of the arbitral tribunal shall be final and binding upon the Parties to the arbitration as to matters submitted and may be enforced by either Party to the Dispute in any court having jurisdiction over the subject matter or over either Party. All costs and expenses incurred in connection with any such arbitration proceeding (including reasonable attorneys' fees) shall be borne by the Party incurring such costs. The use of any alternative dispute resolution procedures hereunder will not be construed under the doctrines of laches, waiver or estoppel to affect adversely the rights of either Party.</w:t>
      </w:r>
    </w:p>
    <w:p>
      <w:pPr>
        <w:spacing w:after="0" w:line="397" w:lineRule="exact"/>
        <w:rPr>
          <w:sz w:val="20"/>
          <w:szCs w:val="20"/>
          <w:color w:val="auto"/>
        </w:rPr>
      </w:pPr>
    </w:p>
    <w:p>
      <w:pPr>
        <w:ind w:left="320" w:right="1899" w:firstLine="1795"/>
        <w:spacing w:after="0" w:line="268" w:lineRule="auto"/>
        <w:tabs>
          <w:tab w:leader="none" w:pos="2532"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Non-Exclusive Remedy. Nothing in this Section 1.4 will prevent either PROVIDING PARTY or RECEIVING PARTY from immediately seeking</w:t>
      </w:r>
    </w:p>
    <w:p>
      <w:pPr>
        <w:jc w:val="both"/>
        <w:ind w:right="1679"/>
        <w:spacing w:after="0" w:line="268" w:lineRule="auto"/>
        <w:rPr>
          <w:sz w:val="20"/>
          <w:szCs w:val="20"/>
          <w:color w:val="auto"/>
        </w:rPr>
      </w:pPr>
      <w:r>
        <w:rPr>
          <w:rFonts w:ascii="Courier New" w:cs="Courier New" w:eastAsia="Courier New" w:hAnsi="Courier New"/>
          <w:sz w:val="16"/>
          <w:szCs w:val="16"/>
          <w:color w:val="auto"/>
        </w:rPr>
        <w:t>injunctive or interim relief in the event (i) of any actual or threatened breach of any of the provisions of Article VIII or (ii) that the Dispute relates to, or involves a claim of, actual or threatened infringement of intellectual property. All such actions for injunctive or interim relief shall be brought in a court of competent jurisdiction in accordance with Section 11.6. Such remedy shall not be</w:t>
      </w:r>
    </w:p>
    <w:p>
      <w:pPr>
        <w:spacing w:after="0" w:line="1" w:lineRule="exact"/>
        <w:rPr>
          <w:sz w:val="20"/>
          <w:szCs w:val="20"/>
          <w:color w:val="auto"/>
        </w:rPr>
      </w:pPr>
    </w:p>
    <w:p>
      <w:pPr>
        <w:jc w:val="center"/>
        <w:ind w:right="1679"/>
        <w:spacing w:after="0" w:line="236" w:lineRule="auto"/>
        <w:rPr>
          <w:sz w:val="20"/>
          <w:szCs w:val="20"/>
          <w:color w:val="auto"/>
        </w:rPr>
      </w:pPr>
      <w:r>
        <w:rPr>
          <w:rFonts w:ascii="Courier New" w:cs="Courier New" w:eastAsia="Courier New" w:hAnsi="Courier New"/>
          <w:sz w:val="18"/>
          <w:szCs w:val="18"/>
          <w:color w:val="auto"/>
        </w:rPr>
        <w:t>deemed to be the exclusive remedy for breach of this Agreement, and further remedies may be pursued in accordance with Section 1.4(a) and Section 1.4(b) above.</w:t>
      </w:r>
    </w:p>
    <w:p>
      <w:pPr>
        <w:spacing w:after="0" w:line="203" w:lineRule="exact"/>
        <w:rPr>
          <w:sz w:val="20"/>
          <w:szCs w:val="20"/>
          <w:color w:val="auto"/>
        </w:rPr>
      </w:pPr>
    </w:p>
    <w:p>
      <w:pPr>
        <w:ind w:left="3020" w:hanging="430"/>
        <w:spacing w:after="0"/>
        <w:tabs>
          <w:tab w:leader="none" w:pos="302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Commencement of Dispute Resolution Procedure.</w:t>
      </w:r>
    </w:p>
    <w:p>
      <w:pPr>
        <w:spacing w:after="0" w:line="4" w:lineRule="exact"/>
        <w:rPr>
          <w:rFonts w:ascii="Courier New" w:cs="Courier New" w:eastAsia="Courier New" w:hAnsi="Courier New"/>
          <w:sz w:val="18"/>
          <w:szCs w:val="18"/>
          <w:color w:val="auto"/>
        </w:rPr>
      </w:pPr>
    </w:p>
    <w:p>
      <w:pPr>
        <w:jc w:val="center"/>
        <w:ind w:left="160" w:right="1739" w:hanging="106"/>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Notwithstanding anything to the contrary in this Agreement, PROVIDING PARTY and RECEIVING PARTY, but none of their respective Subsidiaries or Affiliates, are entitled to commence a dispute resolution procedure under this Agreement, whether pursuant to Article XI, this Section 1.4 or otherwise, and each Party will cause its respective Affiliates not to commence any dispute resolution procedure other than through such Party as provided in this Section 1.4(d).</w:t>
      </w:r>
    </w:p>
    <w:p>
      <w:pPr>
        <w:spacing w:after="0" w:line="185" w:lineRule="exact"/>
        <w:rPr>
          <w:rFonts w:ascii="Courier New" w:cs="Courier New" w:eastAsia="Courier New" w:hAnsi="Courier New"/>
          <w:sz w:val="18"/>
          <w:szCs w:val="18"/>
          <w:color w:val="auto"/>
        </w:rPr>
      </w:pPr>
    </w:p>
    <w:p>
      <w:pPr>
        <w:jc w:val="both"/>
        <w:ind w:right="1679" w:firstLine="2010"/>
        <w:spacing w:after="0" w:line="268" w:lineRule="auto"/>
        <w:tabs>
          <w:tab w:leader="none" w:pos="2423"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RECEIVING PARTY shall continue to make all payments due and owing under Article III for Corporate Services not the subject of a Dispute and shall not off-set such fees by the amount of fees for Corporate</w:t>
      </w:r>
    </w:p>
    <w:p>
      <w:pPr>
        <w:ind w:left="1860"/>
        <w:spacing w:after="0" w:line="233" w:lineRule="auto"/>
        <w:rPr>
          <w:sz w:val="20"/>
          <w:szCs w:val="20"/>
          <w:color w:val="auto"/>
        </w:rPr>
      </w:pPr>
      <w:r>
        <w:rPr>
          <w:rFonts w:ascii="Courier New" w:cs="Courier New" w:eastAsia="Courier New" w:hAnsi="Courier New"/>
          <w:sz w:val="18"/>
          <w:szCs w:val="18"/>
          <w:color w:val="auto"/>
        </w:rPr>
        <w:t>Services that are the subject of the Dispute.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1.5 Standard of Services.</w:t>
      </w:r>
    </w:p>
    <w:p>
      <w:pPr>
        <w:spacing w:after="0" w:line="207" w:lineRule="exact"/>
        <w:rPr>
          <w:sz w:val="20"/>
          <w:szCs w:val="20"/>
          <w:color w:val="auto"/>
        </w:rPr>
      </w:pPr>
    </w:p>
    <w:p>
      <w:pPr>
        <w:ind w:left="320" w:right="1779" w:firstLine="1690"/>
        <w:spacing w:after="0" w:line="268" w:lineRule="auto"/>
        <w:tabs>
          <w:tab w:leader="none" w:pos="2427"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PARTY shall perform the Corporate Services for RECEIVING PARTY in a professional and competent manner, using standards of</w:t>
      </w:r>
    </w:p>
    <w:p>
      <w:pPr>
        <w:ind w:left="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performance consistent with its performance of such services for itself.</w:t>
      </w:r>
    </w:p>
    <w:p>
      <w:pPr>
        <w:spacing w:after="0" w:line="207" w:lineRule="exact"/>
        <w:rPr>
          <w:rFonts w:ascii="Courier New" w:cs="Courier New" w:eastAsia="Courier New" w:hAnsi="Courier New"/>
          <w:sz w:val="16"/>
          <w:szCs w:val="16"/>
          <w:color w:val="auto"/>
        </w:rPr>
      </w:pPr>
    </w:p>
    <w:p>
      <w:pPr>
        <w:ind w:left="160" w:right="1679" w:firstLine="1745"/>
        <w:spacing w:after="0" w:line="268" w:lineRule="auto"/>
        <w:tabs>
          <w:tab w:leader="none" w:pos="2319"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PROVIDING PARTY shall maintain a disaster recovery program for the Corporate Services substantially consistent with the</w:t>
      </w:r>
    </w:p>
    <w:p>
      <w:pPr>
        <w:jc w:val="center"/>
        <w:ind w:left="160" w:right="1839" w:firstLine="263"/>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disaster recovery program in place for such Corporate Services as of the Effective Date. For the avoidance of doubt, the disaster recovery program maintained by PROVIDING PARTY will not include a business continuity program.</w:t>
      </w:r>
    </w:p>
    <w:p>
      <w:pPr>
        <w:spacing w:after="0" w:line="200" w:lineRule="exact"/>
        <w:rPr>
          <w:sz w:val="20"/>
          <w:szCs w:val="20"/>
          <w:color w:val="auto"/>
        </w:rPr>
      </w:pPr>
    </w:p>
    <w:p>
      <w:pPr>
        <w:spacing w:after="0" w:line="37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119"/>
          </w:cols>
          <w:pgMar w:left="340" w:top="520" w:right="1440" w:bottom="1440" w:gutter="0" w:footer="0" w:header="0"/>
        </w:sectPr>
      </w:pPr>
    </w:p>
    <w:bookmarkStart w:id="196" w:name="page197"/>
    <w:bookmarkEnd w:id="196"/>
    <w:p>
      <w:pPr>
        <w:ind w:left="440" w:right="1779" w:firstLine="1570"/>
        <w:spacing w:after="0" w:line="268" w:lineRule="auto"/>
        <w:tabs>
          <w:tab w:leader="none" w:pos="244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RECEIVING PARTY provides PROVIDING PARTY with written notice ("Shortfall Notice") of the occurrence of any Significant Service</w:t>
      </w:r>
    </w:p>
    <w:p>
      <w:pPr>
        <w:jc w:val="center"/>
        <w:ind w:right="1679"/>
        <w:spacing w:after="0" w:line="271" w:lineRule="auto"/>
        <w:rPr>
          <w:sz w:val="20"/>
          <w:szCs w:val="20"/>
          <w:color w:val="auto"/>
        </w:rPr>
      </w:pPr>
      <w:r>
        <w:rPr>
          <w:rFonts w:ascii="Courier New" w:cs="Courier New" w:eastAsia="Courier New" w:hAnsi="Courier New"/>
          <w:sz w:val="16"/>
          <w:szCs w:val="16"/>
          <w:color w:val="auto"/>
        </w:rPr>
        <w:t>Shortfall (as defined below), as determined by RECEIVING PARTY in good faith, PROVIDING PARTY shall rectify such Significant Service Shortfall as soon as reasonably possible. For purposes of this Section 1.5(c), a "Significant Service Shortfall" shall be deemed to have occurred if the timing or quality of performance of Corporate Services provided by PROVIDING PARTY hereunder falls below the standard required by Section 1.5(a) hereof; provided that PROVIDING PARTY's obligations under this Agreement shall be relieved to the extent, and for the duration of, any force majeure event as set forth in Article V.</w:t>
      </w:r>
    </w:p>
    <w:p>
      <w:pPr>
        <w:spacing w:after="0" w:line="186" w:lineRule="exact"/>
        <w:rPr>
          <w:sz w:val="20"/>
          <w:szCs w:val="20"/>
          <w:color w:val="auto"/>
        </w:rPr>
      </w:pPr>
    </w:p>
    <w:p>
      <w:pPr>
        <w:ind w:left="60" w:right="1739" w:firstLine="1106"/>
        <w:spacing w:after="0" w:line="275" w:lineRule="auto"/>
        <w:rPr>
          <w:sz w:val="20"/>
          <w:szCs w:val="20"/>
          <w:color w:val="auto"/>
        </w:rPr>
      </w:pPr>
      <w:r>
        <w:rPr>
          <w:rFonts w:ascii="Courier New" w:cs="Courier New" w:eastAsia="Courier New" w:hAnsi="Courier New"/>
          <w:sz w:val="16"/>
          <w:szCs w:val="16"/>
          <w:color w:val="auto"/>
        </w:rPr>
        <w:t>1.6 Response Time. PROVIDING PARTY shall respond to and resolve any problems in connection with the Corporate Services for RECEIVING PARTY within a commercially reasonable period of time, using response and proposed resolution times consistent with its response and resolution of such problems for itself.</w:t>
      </w:r>
    </w:p>
    <w:p>
      <w:pPr>
        <w:spacing w:after="0" w:line="182" w:lineRule="exact"/>
        <w:rPr>
          <w:sz w:val="20"/>
          <w:szCs w:val="20"/>
          <w:color w:val="auto"/>
        </w:rPr>
      </w:pPr>
    </w:p>
    <w:p>
      <w:pPr>
        <w:ind w:left="60" w:right="1739" w:firstLine="1370"/>
        <w:spacing w:after="0" w:line="268" w:lineRule="auto"/>
        <w:rPr>
          <w:sz w:val="20"/>
          <w:szCs w:val="20"/>
          <w:color w:val="auto"/>
        </w:rPr>
      </w:pPr>
      <w:r>
        <w:rPr>
          <w:rFonts w:ascii="Courier New" w:cs="Courier New" w:eastAsia="Courier New" w:hAnsi="Courier New"/>
          <w:sz w:val="16"/>
          <w:szCs w:val="16"/>
          <w:color w:val="auto"/>
        </w:rPr>
        <w:t>1.7 Ownership of Materials; Results and Proceeds. All data and information submitted to PROVIDING PARTY by RECEIVING PARTY, in connection with the Corporate Services or the Transition Assistance (as defined in Section 2.3)</w:t>
      </w:r>
    </w:p>
    <w:p>
      <w:pPr>
        <w:jc w:val="center"/>
        <w:ind w:right="1679"/>
        <w:spacing w:after="0" w:line="233" w:lineRule="auto"/>
        <w:rPr>
          <w:sz w:val="20"/>
          <w:szCs w:val="20"/>
          <w:color w:val="auto"/>
        </w:rPr>
      </w:pPr>
      <w:r>
        <w:rPr>
          <w:rFonts w:ascii="Courier New" w:cs="Courier New" w:eastAsia="Courier New" w:hAnsi="Courier New"/>
          <w:sz w:val="18"/>
          <w:szCs w:val="18"/>
          <w:color w:val="auto"/>
        </w:rPr>
        <w:t>(the "RECEIVING PARTY Data"), and all results and proceeds of the Corporate</w:t>
      </w:r>
    </w:p>
    <w:p>
      <w:pPr>
        <w:spacing w:after="0" w:line="5" w:lineRule="exact"/>
        <w:rPr>
          <w:sz w:val="20"/>
          <w:szCs w:val="20"/>
          <w:color w:val="auto"/>
        </w:rPr>
      </w:pPr>
    </w:p>
    <w:p>
      <w:pPr>
        <w:jc w:val="center"/>
        <w:ind w:right="1679"/>
        <w:spacing w:after="0" w:line="268" w:lineRule="auto"/>
        <w:rPr>
          <w:sz w:val="20"/>
          <w:szCs w:val="20"/>
          <w:color w:val="auto"/>
        </w:rPr>
      </w:pPr>
      <w:r>
        <w:rPr>
          <w:rFonts w:ascii="Courier New" w:cs="Courier New" w:eastAsia="Courier New" w:hAnsi="Courier New"/>
          <w:sz w:val="16"/>
          <w:szCs w:val="16"/>
          <w:color w:val="auto"/>
        </w:rPr>
        <w:t>Services and the Transition Assistance with regard to the RECEIVING PARTY Data, is and will remain, as between the Parties, the property of RECEIVING PARTY.</w:t>
      </w:r>
    </w:p>
    <w:p>
      <w:pPr>
        <w:jc w:val="center"/>
        <w:ind w:right="1679"/>
        <w:spacing w:after="0" w:line="236" w:lineRule="auto"/>
        <w:rPr>
          <w:sz w:val="20"/>
          <w:szCs w:val="20"/>
          <w:color w:val="auto"/>
        </w:rPr>
      </w:pPr>
      <w:r>
        <w:rPr>
          <w:rFonts w:ascii="Courier New" w:cs="Courier New" w:eastAsia="Courier New" w:hAnsi="Courier New"/>
          <w:sz w:val="18"/>
          <w:szCs w:val="18"/>
          <w:color w:val="auto"/>
        </w:rPr>
        <w:t>PROVIDING PARTY shall not and shall not permit its Subsidiaries or Affiliates to use RECEIVING PARTY Data for any purpose other than to provide the Corporate Services or Transition Assistance.</w:t>
      </w:r>
    </w:p>
    <w:p>
      <w:pPr>
        <w:spacing w:after="0" w:line="203" w:lineRule="exact"/>
        <w:rPr>
          <w:sz w:val="20"/>
          <w:szCs w:val="20"/>
          <w:color w:val="auto"/>
        </w:rPr>
      </w:pPr>
    </w:p>
    <w:p>
      <w:pPr>
        <w:ind w:left="5540"/>
        <w:spacing w:after="0"/>
        <w:rPr>
          <w:sz w:val="20"/>
          <w:szCs w:val="20"/>
          <w:color w:val="auto"/>
        </w:rPr>
      </w:pPr>
      <w:r>
        <w:rPr>
          <w:rFonts w:ascii="Courier New" w:cs="Courier New" w:eastAsia="Courier New" w:hAnsi="Courier New"/>
          <w:sz w:val="18"/>
          <w:szCs w:val="18"/>
          <w:color w:val="auto"/>
        </w:rPr>
        <w:t>ARTICLE II</w:t>
      </w:r>
    </w:p>
    <w:p>
      <w:pPr>
        <w:ind w:left="3960"/>
        <w:spacing w:after="0" w:line="238" w:lineRule="auto"/>
        <w:rPr>
          <w:sz w:val="20"/>
          <w:szCs w:val="20"/>
          <w:color w:val="auto"/>
        </w:rPr>
      </w:pPr>
      <w:r>
        <w:rPr>
          <w:rFonts w:ascii="Courier New" w:cs="Courier New" w:eastAsia="Courier New" w:hAnsi="Courier New"/>
          <w:sz w:val="18"/>
          <w:szCs w:val="18"/>
          <w:color w:val="auto"/>
        </w:rPr>
        <w:t>TERM AND TRANSITION ASSISTANCE</w:t>
      </w:r>
    </w:p>
    <w:p>
      <w:pPr>
        <w:spacing w:after="0" w:line="207" w:lineRule="exact"/>
        <w:rPr>
          <w:sz w:val="20"/>
          <w:szCs w:val="20"/>
          <w:color w:val="auto"/>
        </w:rPr>
      </w:pPr>
    </w:p>
    <w:p>
      <w:pPr>
        <w:ind w:left="320" w:right="1739" w:firstLine="685"/>
        <w:spacing w:after="0" w:line="268" w:lineRule="auto"/>
        <w:rPr>
          <w:sz w:val="20"/>
          <w:szCs w:val="20"/>
          <w:color w:val="auto"/>
        </w:rPr>
      </w:pPr>
      <w:r>
        <w:rPr>
          <w:rFonts w:ascii="Courier New" w:cs="Courier New" w:eastAsia="Courier New" w:hAnsi="Courier New"/>
          <w:sz w:val="16"/>
          <w:szCs w:val="16"/>
          <w:color w:val="auto"/>
        </w:rPr>
        <w:t>2.1 Term. The term (the "Term") of this Agreement shall commence as of the date hereof and shall continue until the date on which the last of the</w:t>
      </w:r>
    </w:p>
    <w:p>
      <w:pPr>
        <w:jc w:val="center"/>
        <w:ind w:right="1679"/>
        <w:spacing w:after="0" w:line="237" w:lineRule="auto"/>
        <w:rPr>
          <w:sz w:val="20"/>
          <w:szCs w:val="20"/>
          <w:color w:val="auto"/>
        </w:rPr>
      </w:pPr>
      <w:r>
        <w:rPr>
          <w:rFonts w:ascii="Courier New" w:cs="Courier New" w:eastAsia="Courier New" w:hAnsi="Courier New"/>
          <w:sz w:val="18"/>
          <w:szCs w:val="18"/>
          <w:color w:val="auto"/>
        </w:rPr>
        <w:t>Scheduled Services under this Agreement is terminated or the date on which this Agreement is terminated by mutual agreement of the Parties, whichever is earlier (in either case, the "Termination Date"); provided, however, that in no event shall the Term:</w:t>
      </w:r>
    </w:p>
    <w:p>
      <w:pPr>
        <w:spacing w:after="0" w:line="207" w:lineRule="exact"/>
        <w:rPr>
          <w:sz w:val="20"/>
          <w:szCs w:val="20"/>
          <w:color w:val="auto"/>
        </w:rPr>
      </w:pPr>
    </w:p>
    <w:p>
      <w:pPr>
        <w:ind w:right="1679" w:firstLine="2063"/>
        <w:spacing w:after="0" w:line="268" w:lineRule="auto"/>
        <w:tabs>
          <w:tab w:leader="none" w:pos="2476"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expire later than the date that is six (6) months after any event or circumstance causing FNF to own or control, directly or indirectly,</w:t>
      </w:r>
    </w:p>
    <w:p>
      <w:pPr>
        <w:ind w:left="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fifty percent (50%) or less of the stock, or other equity interest entitled to</w:t>
      </w:r>
    </w:p>
    <w:p>
      <w:pPr>
        <w:spacing w:after="0" w:line="16" w:lineRule="exact"/>
        <w:rPr>
          <w:rFonts w:ascii="Courier New" w:cs="Courier New" w:eastAsia="Courier New" w:hAnsi="Courier New"/>
          <w:sz w:val="16"/>
          <w:szCs w:val="16"/>
          <w:color w:val="auto"/>
        </w:rPr>
      </w:pPr>
    </w:p>
    <w:p>
      <w:pPr>
        <w:ind w:left="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vote on the election of the members to the board of directors or similar</w:t>
      </w:r>
    </w:p>
    <w:p>
      <w:pPr>
        <w:ind w:left="2860"/>
        <w:spacing w:after="0"/>
        <w:rPr>
          <w:sz w:val="20"/>
          <w:szCs w:val="20"/>
          <w:color w:val="auto"/>
        </w:rPr>
      </w:pPr>
      <w:r>
        <w:rPr>
          <w:rFonts w:ascii="Courier New" w:cs="Courier New" w:eastAsia="Courier New" w:hAnsi="Courier New"/>
          <w:sz w:val="18"/>
          <w:szCs w:val="18"/>
          <w:color w:val="auto"/>
        </w:rPr>
        <w:t>governing body, of FNT, or</w:t>
      </w:r>
    </w:p>
    <w:p>
      <w:pPr>
        <w:spacing w:after="0" w:line="206" w:lineRule="exact"/>
        <w:rPr>
          <w:sz w:val="20"/>
          <w:szCs w:val="20"/>
          <w:color w:val="auto"/>
        </w:rPr>
      </w:pPr>
    </w:p>
    <w:p>
      <w:pPr>
        <w:jc w:val="both"/>
        <w:ind w:left="120" w:right="1779" w:firstLine="1890"/>
        <w:spacing w:after="0" w:line="268" w:lineRule="auto"/>
        <w:tabs>
          <w:tab w:leader="none" w:pos="2437"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 with respect to any entity that ceases to be a Subsidiary of RECEIVING PARTY prior to the end of the Term, from and after the</w:t>
      </w:r>
    </w:p>
    <w:p>
      <w:pPr>
        <w:ind w:left="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that such entity ceases to be a Subsidiary of RECEIVING PARTY.</w:t>
      </w:r>
    </w:p>
    <w:p>
      <w:pPr>
        <w:spacing w:after="0" w:line="202"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2.2 Termination.</w:t>
      </w:r>
    </w:p>
    <w:p>
      <w:pPr>
        <w:spacing w:after="0" w:line="207" w:lineRule="exact"/>
        <w:rPr>
          <w:sz w:val="20"/>
          <w:szCs w:val="20"/>
          <w:color w:val="auto"/>
        </w:rPr>
      </w:pPr>
    </w:p>
    <w:p>
      <w:pPr>
        <w:ind w:left="280" w:right="1739" w:firstLine="1677"/>
        <w:spacing w:after="0" w:line="268" w:lineRule="auto"/>
        <w:tabs>
          <w:tab w:leader="none" w:pos="2387"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RECEIVING PARTY is not able to complete its transition of the Corporate Services by the Termination Date, then upon written notice</w:t>
      </w:r>
    </w:p>
    <w:p>
      <w:pPr>
        <w:jc w:val="center"/>
        <w:ind w:right="1679"/>
        <w:spacing w:after="0" w:line="236" w:lineRule="auto"/>
        <w:rPr>
          <w:sz w:val="20"/>
          <w:szCs w:val="20"/>
          <w:color w:val="auto"/>
        </w:rPr>
      </w:pPr>
      <w:r>
        <w:rPr>
          <w:rFonts w:ascii="Courier New" w:cs="Courier New" w:eastAsia="Courier New" w:hAnsi="Courier New"/>
          <w:sz w:val="18"/>
          <w:szCs w:val="18"/>
          <w:color w:val="auto"/>
        </w:rPr>
        <w:t>provided to PROVIDING PARTY at least thirty (30) days prior to the Termination Date, RECEIVING PARTY shall have the right to request and cause PROVIDING PARTY to provide up to thirty (30) days 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119"/>
          </w:cols>
          <w:pgMar w:left="340" w:top="520" w:right="1440" w:bottom="1440" w:gutter="0" w:footer="0" w:header="0"/>
        </w:sectPr>
      </w:pPr>
    </w:p>
    <w:bookmarkStart w:id="197" w:name="page198"/>
    <w:bookmarkEnd w:id="197"/>
    <w:p>
      <w:pPr>
        <w:jc w:val="center"/>
        <w:ind w:right="1679"/>
        <w:spacing w:after="0" w:line="235" w:lineRule="auto"/>
        <w:rPr>
          <w:sz w:val="20"/>
          <w:szCs w:val="20"/>
          <w:color w:val="auto"/>
        </w:rPr>
      </w:pPr>
      <w:r>
        <w:rPr>
          <w:rFonts w:ascii="Courier New" w:cs="Courier New" w:eastAsia="Courier New" w:hAnsi="Courier New"/>
          <w:sz w:val="18"/>
          <w:szCs w:val="18"/>
          <w:color w:val="auto"/>
        </w:rPr>
        <w:t>additional Corporate Services to RECEIVING PARTY; provided, that RECEIVING PARTY shall pay for all such additional Corporate Services.</w:t>
      </w:r>
    </w:p>
    <w:p>
      <w:pPr>
        <w:spacing w:after="0" w:line="208" w:lineRule="exact"/>
        <w:rPr>
          <w:sz w:val="20"/>
          <w:szCs w:val="20"/>
          <w:color w:val="auto"/>
        </w:rPr>
      </w:pPr>
    </w:p>
    <w:p>
      <w:pPr>
        <w:ind w:left="280" w:right="1679" w:firstLine="1625"/>
        <w:spacing w:after="0" w:line="268" w:lineRule="auto"/>
        <w:tabs>
          <w:tab w:leader="none" w:pos="2334"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RECEIVING PARTY wishes to terminate a Corporate Service (or a portion thereof) on a date that is earlier than the Termination Date, RECEIVING PARTY shall provide written notice (the "Termination Notice") to</w:t>
      </w:r>
    </w:p>
    <w:p>
      <w:pPr>
        <w:spacing w:after="0" w:line="1" w:lineRule="exact"/>
        <w:rPr>
          <w:sz w:val="20"/>
          <w:szCs w:val="20"/>
          <w:color w:val="auto"/>
        </w:rPr>
      </w:pPr>
    </w:p>
    <w:p>
      <w:pPr>
        <w:jc w:val="center"/>
        <w:ind w:right="1679"/>
        <w:spacing w:after="0" w:line="269" w:lineRule="auto"/>
        <w:rPr>
          <w:sz w:val="20"/>
          <w:szCs w:val="20"/>
          <w:color w:val="auto"/>
        </w:rPr>
      </w:pPr>
      <w:r>
        <w:rPr>
          <w:rFonts w:ascii="Courier New" w:cs="Courier New" w:eastAsia="Courier New" w:hAnsi="Courier New"/>
          <w:sz w:val="16"/>
          <w:szCs w:val="16"/>
          <w:color w:val="auto"/>
        </w:rPr>
        <w:t>PROVIDING PARTY of a proposed termination date for such Corporate Service (or portion thereof), at least ninety (90) days prior to such proposed termination date. Upon receipt of such notice, PROVIDING PARTY shall promptly provide notice to RECEIVING PARTY (the "Termination Dispute Notice") in the event that PROVIDING PARTY believes in good faith that, notwithstanding PROVIDING PARTY using its commercially reasonable efforts, the requested termination will have a material adverse impact on other Corporate Services and the scope of such adverse impact. In such event, the Parties will resolve the dispute in accordance with Section 1.4. If PROVIDING PARTY does not provide the Termination Dispute Notice, based on the standards set forth above, within ten (10) days of the date on which the Termination Notice was received, then, effective on the termination date proposed by RECEIVING PARTY in its Termination Notice, such Corporate Service (or portion thereof) shall be discontinued (thereafter, a "Discontinued Corporate Service") and deemed deleted from the Scheduled Services to be provided hereunder and thereafter, this Agreement shall be of no further force and effect with respect to the Discontinued Corporate Service (or portion thereof), except as to obligations accrued prior to the date of discontinuation of such Corporate Service (or portion thereof). Upon the occurrence of any Discontinued Corporate Service, the Parties shall promptly update Schedule</w:t>
      </w:r>
    </w:p>
    <w:p>
      <w:pPr>
        <w:spacing w:after="0" w:line="192" w:lineRule="exact"/>
        <w:rPr>
          <w:sz w:val="20"/>
          <w:szCs w:val="20"/>
          <w:color w:val="auto"/>
        </w:rPr>
      </w:pPr>
    </w:p>
    <w:p>
      <w:pPr>
        <w:jc w:val="center"/>
        <w:ind w:left="360" w:right="100"/>
        <w:spacing w:after="0" w:line="235" w:lineRule="auto"/>
        <w:rPr>
          <w:sz w:val="20"/>
          <w:szCs w:val="20"/>
          <w:color w:val="auto"/>
        </w:rPr>
      </w:pPr>
      <w:r>
        <w:rPr>
          <w:rFonts w:ascii="Courier New" w:cs="Courier New" w:eastAsia="Courier New" w:hAnsi="Courier New"/>
          <w:sz w:val="18"/>
          <w:szCs w:val="18"/>
          <w:color w:val="auto"/>
        </w:rPr>
        <w:t>1.1(a) to reflect the discontinuation, and the Corporate Service Fees shall be adjusted in accordance therewith and the provisions of Article III.</w:t>
      </w:r>
    </w:p>
    <w:p>
      <w:pPr>
        <w:spacing w:after="0" w:line="6" w:lineRule="exact"/>
        <w:rPr>
          <w:sz w:val="20"/>
          <w:szCs w:val="20"/>
          <w:color w:val="auto"/>
        </w:rPr>
      </w:pPr>
    </w:p>
    <w:p>
      <w:pPr>
        <w:jc w:val="center"/>
        <w:ind w:left="360" w:right="100"/>
        <w:spacing w:after="0" w:line="237" w:lineRule="auto"/>
        <w:rPr>
          <w:sz w:val="20"/>
          <w:szCs w:val="20"/>
          <w:color w:val="auto"/>
        </w:rPr>
      </w:pPr>
      <w:r>
        <w:rPr>
          <w:rFonts w:ascii="Courier New" w:cs="Courier New" w:eastAsia="Courier New" w:hAnsi="Courier New"/>
          <w:sz w:val="18"/>
          <w:szCs w:val="18"/>
          <w:color w:val="auto"/>
        </w:rPr>
        <w:t>Notwithstanding anything to the contrary contained herein, at any time that employees of PROVIDING PARTY or its Subsidiaries or Affiliates move to a department within RECEIVING PARTY or its Subsidiaries or Affiliates (an "Employee Shift"), a proportional portion of the relevant Corporate Service shall be deemed automatically terminated. If a Corporate Service, or portion thereof, is terminated as a result of an Employee Shift, then such termination shall take effect as of the date of the Employee Shift, and the adjustment in Corporate Service Fees shall also take effect as of the date of the Employee Shift.</w:t>
      </w:r>
    </w:p>
    <w:p>
      <w:pPr>
        <w:spacing w:after="0" w:line="214" w:lineRule="exact"/>
        <w:rPr>
          <w:sz w:val="20"/>
          <w:szCs w:val="20"/>
          <w:color w:val="auto"/>
        </w:rPr>
      </w:pPr>
    </w:p>
    <w:p>
      <w:pPr>
        <w:ind w:left="160" w:right="1679" w:firstLine="1745"/>
        <w:spacing w:after="0" w:line="268" w:lineRule="auto"/>
        <w:tabs>
          <w:tab w:leader="none" w:pos="2319"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all Corporate Services shall have been terminated under this Section 2.2 prior to the expiration of the Term, then either Party shall</w:t>
      </w:r>
    </w:p>
    <w:p>
      <w:pPr>
        <w:jc w:val="center"/>
        <w:ind w:right="1679"/>
        <w:spacing w:after="0" w:line="236" w:lineRule="auto"/>
        <w:rPr>
          <w:sz w:val="20"/>
          <w:szCs w:val="20"/>
          <w:color w:val="auto"/>
        </w:rPr>
      </w:pPr>
      <w:r>
        <w:rPr>
          <w:rFonts w:ascii="Courier New" w:cs="Courier New" w:eastAsia="Courier New" w:hAnsi="Courier New"/>
          <w:sz w:val="18"/>
          <w:szCs w:val="18"/>
          <w:color w:val="auto"/>
        </w:rPr>
        <w:t>have the right to terminate this Agreement by giving written notice to the other Party, which termination shall be effective upon delivery as provided in Section 6.1.</w:t>
      </w:r>
    </w:p>
    <w:p>
      <w:pPr>
        <w:spacing w:after="0" w:line="209" w:lineRule="exact"/>
        <w:rPr>
          <w:sz w:val="20"/>
          <w:szCs w:val="20"/>
          <w:color w:val="auto"/>
        </w:rPr>
      </w:pPr>
    </w:p>
    <w:p>
      <w:pPr>
        <w:ind w:left="280" w:right="1839" w:firstLine="843"/>
        <w:spacing w:after="0" w:line="268" w:lineRule="auto"/>
        <w:rPr>
          <w:sz w:val="20"/>
          <w:szCs w:val="20"/>
          <w:color w:val="auto"/>
        </w:rPr>
      </w:pPr>
      <w:r>
        <w:rPr>
          <w:rFonts w:ascii="Courier New" w:cs="Courier New" w:eastAsia="Courier New" w:hAnsi="Courier New"/>
          <w:sz w:val="16"/>
          <w:szCs w:val="16"/>
          <w:color w:val="auto"/>
        </w:rPr>
        <w:t>2.3 Transition Assistance. In preparation for the discontinuation of any Corporate Service provided under this Agreement, PROVIDING PARTY shall,</w:t>
      </w:r>
    </w:p>
    <w:p>
      <w:pPr>
        <w:jc w:val="center"/>
        <w:ind w:right="1679"/>
        <w:spacing w:after="0" w:line="270" w:lineRule="auto"/>
        <w:rPr>
          <w:sz w:val="20"/>
          <w:szCs w:val="20"/>
          <w:color w:val="auto"/>
        </w:rPr>
      </w:pPr>
      <w:r>
        <w:rPr>
          <w:rFonts w:ascii="Courier New" w:cs="Courier New" w:eastAsia="Courier New" w:hAnsi="Courier New"/>
          <w:sz w:val="16"/>
          <w:szCs w:val="16"/>
          <w:color w:val="auto"/>
        </w:rPr>
        <w:t>consistent with its obligations to provide Corporate Services hereunder and with the cooperation and assistance of RECEIVING PARTY, use commercially reasonable efforts to provide such knowledge transfer services and to take such steps as are reasonably required in order to facilitate a smooth and efficient transition and/or migration of records to RECEIVING PARTY or its Subsidiaries or Affiliates (or at RECEIVING PARTY's direction, to a third party) and responsibilities so as to minimize any disruption of services ("Transition Assistance"). RECEIVING PARTY shall cooperate with PROVIDING PARTY to allow PROVIDING PARTY to complete the Transition Assistance as early as is commercially reasonable to do so. Fees for any Transition Assistance shall be determined in accordance with the calculation formula and methods applicable to the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119"/>
          </w:cols>
          <w:pgMar w:left="340" w:top="520" w:right="1440" w:bottom="1440" w:gutter="0" w:footer="0" w:header="0"/>
        </w:sectPr>
      </w:pPr>
    </w:p>
    <w:bookmarkStart w:id="198" w:name="page199"/>
    <w:bookmarkEnd w:id="198"/>
    <w:p>
      <w:pPr>
        <w:jc w:val="center"/>
        <w:ind w:right="1679"/>
        <w:spacing w:after="0" w:line="290" w:lineRule="auto"/>
        <w:rPr>
          <w:sz w:val="20"/>
          <w:szCs w:val="20"/>
          <w:color w:val="auto"/>
        </w:rPr>
      </w:pPr>
      <w:r>
        <w:rPr>
          <w:rFonts w:ascii="Courier New" w:cs="Courier New" w:eastAsia="Courier New" w:hAnsi="Courier New"/>
          <w:sz w:val="16"/>
          <w:szCs w:val="16"/>
          <w:color w:val="auto"/>
        </w:rPr>
        <w:t>Scheduled Services that are most similar in nature to the Transition Assistance being so provided, as set forth on the applicable section of Schedule 1.1(a).</w:t>
      </w:r>
    </w:p>
    <w:p>
      <w:pPr>
        <w:spacing w:after="0" w:line="170" w:lineRule="exact"/>
        <w:rPr>
          <w:sz w:val="20"/>
          <w:szCs w:val="20"/>
          <w:color w:val="auto"/>
        </w:rPr>
      </w:pPr>
    </w:p>
    <w:p>
      <w:pPr>
        <w:ind w:left="220" w:right="1899" w:firstLine="1264"/>
        <w:spacing w:after="0" w:line="268" w:lineRule="auto"/>
        <w:rPr>
          <w:sz w:val="20"/>
          <w:szCs w:val="20"/>
          <w:color w:val="auto"/>
        </w:rPr>
      </w:pPr>
      <w:r>
        <w:rPr>
          <w:rFonts w:ascii="Courier New" w:cs="Courier New" w:eastAsia="Courier New" w:hAnsi="Courier New"/>
          <w:sz w:val="16"/>
          <w:szCs w:val="16"/>
          <w:color w:val="auto"/>
        </w:rPr>
        <w:t>2.4 Return of Materials. As a Corporate Service or Transition Assistance is terminated, each Party will return all materials and property owned by the other Party, including, without limitation, all RECEIVING PARTY Data, if any, and materials and property of a proprietary nature involving a</w:t>
      </w:r>
    </w:p>
    <w:p>
      <w:pPr>
        <w:spacing w:after="0" w:line="1" w:lineRule="exact"/>
        <w:rPr>
          <w:sz w:val="20"/>
          <w:szCs w:val="20"/>
          <w:color w:val="auto"/>
        </w:rPr>
      </w:pPr>
    </w:p>
    <w:p>
      <w:pPr>
        <w:jc w:val="center"/>
        <w:ind w:right="1679"/>
        <w:spacing w:after="0" w:line="238" w:lineRule="auto"/>
        <w:rPr>
          <w:sz w:val="20"/>
          <w:szCs w:val="20"/>
          <w:color w:val="auto"/>
        </w:rPr>
      </w:pPr>
      <w:r>
        <w:rPr>
          <w:rFonts w:ascii="Courier New" w:cs="Courier New" w:eastAsia="Courier New" w:hAnsi="Courier New"/>
          <w:sz w:val="18"/>
          <w:szCs w:val="18"/>
          <w:color w:val="auto"/>
        </w:rPr>
        <w:t>Party or its Subsidiaries or Affiliates relevant to the provision or receipt of that Corporate Service or Transition Assistance and no longer needed regarding the performance of other Corporate Services or other Transition Assistance under this Agreement, and will do so (and will cause its Subsidiaries and Affiliates to do so) within thirty (30) days after the applicable termination. Upon the end of the Term, each Party will return all material and property of a proprietary nature involving the other Party or its Subsidiaries, in its possession or control (or the possession or control of an Affiliate as a result of the Services provided hereunder) within thirty (30) days after the end of the Term. In addition, upon RECEIVING PARTY's request, PROVIDING PARTY agrees to provide to RECEIVING PARTY copies of RECEIVING PARTY's Data, files and records on magnetic media, or such other media as the Parties shall agree upon, to the extent practicable. PROVIDING PARTY may retain archival copies of RECEIVING PARTY's Data, files and records.</w:t>
      </w:r>
    </w:p>
    <w:p>
      <w:pPr>
        <w:spacing w:after="0" w:line="202"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ARTICLE III</w:t>
      </w:r>
    </w:p>
    <w:p>
      <w:pPr>
        <w:ind w:left="2540"/>
        <w:spacing w:after="0" w:line="238" w:lineRule="auto"/>
        <w:rPr>
          <w:sz w:val="20"/>
          <w:szCs w:val="20"/>
          <w:color w:val="auto"/>
        </w:rPr>
      </w:pPr>
      <w:r>
        <w:rPr>
          <w:rFonts w:ascii="Courier New" w:cs="Courier New" w:eastAsia="Courier New" w:hAnsi="Courier New"/>
          <w:sz w:val="18"/>
          <w:szCs w:val="18"/>
          <w:color w:val="auto"/>
        </w:rPr>
        <w:t>COMPENSATION AND PAYMENTS FOR CORPORATE SERVICES</w:t>
      </w:r>
    </w:p>
    <w:p>
      <w:pPr>
        <w:spacing w:after="0" w:line="202" w:lineRule="exact"/>
        <w:rPr>
          <w:sz w:val="20"/>
          <w:szCs w:val="20"/>
          <w:color w:val="auto"/>
        </w:rPr>
      </w:pPr>
    </w:p>
    <w:p>
      <w:pPr>
        <w:ind w:left="2580"/>
        <w:spacing w:after="0"/>
        <w:rPr>
          <w:sz w:val="20"/>
          <w:szCs w:val="20"/>
          <w:color w:val="auto"/>
        </w:rPr>
      </w:pPr>
      <w:r>
        <w:rPr>
          <w:rFonts w:ascii="Courier New" w:cs="Courier New" w:eastAsia="Courier New" w:hAnsi="Courier New"/>
          <w:sz w:val="18"/>
          <w:szCs w:val="18"/>
          <w:color w:val="auto"/>
        </w:rPr>
        <w:t>3.1 Compensation for Corporate Services.</w:t>
      </w:r>
    </w:p>
    <w:p>
      <w:pPr>
        <w:spacing w:after="0" w:line="207" w:lineRule="exact"/>
        <w:rPr>
          <w:sz w:val="20"/>
          <w:szCs w:val="20"/>
          <w:color w:val="auto"/>
        </w:rPr>
      </w:pPr>
    </w:p>
    <w:p>
      <w:pPr>
        <w:jc w:val="both"/>
        <w:ind w:right="1679" w:firstLine="1957"/>
        <w:spacing w:after="0" w:line="268" w:lineRule="auto"/>
        <w:tabs>
          <w:tab w:leader="none" w:pos="237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the payment terms described in Section 3.2 below, RECEIVING PARTY agrees to timely pay PROVIDING PARTY, as compensation</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 the Corporate Services provided hereunder, all fees as contemplated in</w:t>
      </w:r>
    </w:p>
    <w:p>
      <w:pPr>
        <w:spacing w:after="0" w:line="4"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1.1 (the "Corporate Service Fees") and in Section 2.3 (the "Transition</w:t>
      </w:r>
    </w:p>
    <w:p>
      <w:pPr>
        <w:spacing w:after="0" w:line="1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Assistance Fees").</w:t>
      </w:r>
    </w:p>
    <w:p>
      <w:pPr>
        <w:spacing w:after="0" w:line="207" w:lineRule="exact"/>
        <w:rPr>
          <w:sz w:val="20"/>
          <w:szCs w:val="20"/>
          <w:color w:val="auto"/>
        </w:rPr>
      </w:pPr>
    </w:p>
    <w:p>
      <w:pPr>
        <w:ind w:left="60" w:right="1739" w:firstLine="2003"/>
        <w:spacing w:after="0" w:line="268" w:lineRule="auto"/>
        <w:tabs>
          <w:tab w:leader="none" w:pos="2483"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the foregoing, the Parties acknowledge that RECEIVING PARTY is also obligated to pay, or reimburse PROVIDING PARTY for its payment of, all Out of Pocket Costs (as defined below); provided, however,</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that the incurrence of any liability by RECEIVING PARTY or any of its</w:t>
      </w:r>
    </w:p>
    <w:p>
      <w:pPr>
        <w:spacing w:after="0" w:line="4" w:lineRule="exact"/>
        <w:rPr>
          <w:rFonts w:ascii="Courier New" w:cs="Courier New" w:eastAsia="Courier New" w:hAnsi="Courier New"/>
          <w:sz w:val="16"/>
          <w:szCs w:val="16"/>
          <w:color w:val="auto"/>
        </w:rPr>
      </w:pPr>
    </w:p>
    <w:p>
      <w:pPr>
        <w:jc w:val="center"/>
        <w:ind w:right="16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Subsidiaries for any New Out of Pocket Cost (as defined below) that requires the payment by RECEIVING PARTY or one of its Subsidiaries of more than $200,000, on an annualized basis, shall require either (i) the prior approval of a full-time employee of RECEIVING PARTY or one of its Subsidiaries, or (ii) the subsequent approval of the chief accounting officer of RECEIVING PARTY (or his/her designee) after his/her receipt of the Monthly Recap Report (as defined in Section 3.3) provided to RECEIVING PARTY for the calendar month in which the New Out of Pocket Cost was incurred or paid by PROVIDING PARTY on behalf of RECEIVING PARTY. If (x) PROVIDING PARTY has not obtained the prior approval of a full-time employee of RECEIVING PARTY or one of its Subsidiaries before incurring or paying any New Out of Pocket Cost that exceeds $200,000 on an annualized basis, and (y) after receiving and reviewing the applicable Monthly Recap Report, the chief accounting officer of RECEIVING PARTY (or his/her designee) has not expressly approved the New Out of Pocket Cost in question, then RECEIVING PARTY shall be entitled to dispute the New Out of Pocket Cost until the close of the next audit cycle, provided that if PROVIDING PARTY disagrees with RECEIVING PARTY's dispute of the New Out of Pocket Cost, then</w:t>
      </w:r>
    </w:p>
    <w:p>
      <w:pPr>
        <w:spacing w:after="0" w:line="18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PROVDING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119"/>
          </w:cols>
          <w:pgMar w:left="340" w:top="520" w:right="1440" w:bottom="1440" w:gutter="0" w:footer="0" w:header="0"/>
        </w:sectPr>
      </w:pPr>
    </w:p>
    <w:bookmarkStart w:id="199" w:name="page200"/>
    <w:bookmarkEnd w:id="199"/>
    <w:p>
      <w:pPr>
        <w:jc w:val="center"/>
        <w:ind w:right="1679"/>
        <w:spacing w:after="0" w:line="237" w:lineRule="auto"/>
        <w:rPr>
          <w:sz w:val="20"/>
          <w:szCs w:val="20"/>
          <w:color w:val="auto"/>
        </w:rPr>
      </w:pPr>
      <w:r>
        <w:rPr>
          <w:rFonts w:ascii="Courier New" w:cs="Courier New" w:eastAsia="Courier New" w:hAnsi="Courier New"/>
          <w:sz w:val="18"/>
          <w:szCs w:val="18"/>
          <w:color w:val="auto"/>
        </w:rPr>
        <w:t>PARTY shall be entitled to exercise its rights under the dispute resolution provisions set forth in Section 1.4. For purposes hereof, the term "Out of Pocket Costs" means all fees, costs or other expenses payable by RECEIVING PARTY or its Subsidiaries to third parties that are not Affiliates of PROVIDING PARTY in connection with the Corporate Services provided hereunder; and the term "New Out of Pocket Cost" means any Out of Pocket Cost incurred after the Effective Date that is not a continuation of services provided to FNF or one of its Subsidiaries in the ordinary course of business consistent with past practices and for which FNF had paid or reimbursed a portion thereof prior to the Effective Date.</w:t>
      </w:r>
    </w:p>
    <w:p>
      <w:pPr>
        <w:spacing w:after="0" w:line="215" w:lineRule="exact"/>
        <w:rPr>
          <w:sz w:val="20"/>
          <w:szCs w:val="20"/>
          <w:color w:val="auto"/>
        </w:rPr>
      </w:pPr>
    </w:p>
    <w:p>
      <w:pPr>
        <w:ind w:right="1679" w:firstLine="1053"/>
        <w:spacing w:after="0" w:line="268" w:lineRule="auto"/>
        <w:rPr>
          <w:sz w:val="20"/>
          <w:szCs w:val="20"/>
          <w:color w:val="auto"/>
        </w:rPr>
      </w:pPr>
      <w:r>
        <w:rPr>
          <w:rFonts w:ascii="Courier New" w:cs="Courier New" w:eastAsia="Courier New" w:hAnsi="Courier New"/>
          <w:sz w:val="16"/>
          <w:szCs w:val="16"/>
          <w:color w:val="auto"/>
        </w:rPr>
        <w:t>3.2 Payment Terms. PROVIDING PARTY shall invoice RECEIVING PARTY on a monthly basis in arrears for Corporate Service Fees, Transition Assistance Fees,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and Total Allocated FAS 123 Charges, as calculated in accordance with Section 3.1 and Schedule 1.1(a) (it being understood that the Total Allocated FAS 123 Charges are non-cash items treated by RECEIVING PARTY as a contribution to capital by PROVIDING PARTY with no commensurate issuance of any equity in connection therewith). Each monthly invoice shall list all Corporate Services and FNF Costs in the format of Schedule 3.1(e). In addition, PROVIDING PARTY shall promptly notify RECEIVING PARTY, no more frequently than monthly, of the aggregate amount of Out of Pocket Costs to be reimbursed or paid. RECEIVING PARTY shall pay by electronic funds transfer or other method satisfactory to PROVIDING PARTY and RECEIVING PARTY, in full, the monthly amount so invoiced and the Out of Pocket Costs incurred, within thirty (30) days after the date on which PROVIDING PARTY's monthly invoice or notification of Out of Pocket Costs, as the case may be, was received. All invoices shall include, without limitation, the category of applicable Corporate Service or Transition Assistance Service (as the case may be), a brief description of the Out of Pocket Costs (if applicable), the billing period, and such other information as RECEIVING PARTY may reasonably request. Should RECEIVING PARTY dispute any portion of the amount due on any invoice or require any adjustment to an invoiced amount, or dispute any Out of Pocket Costs for which it received notification, then RECEIVING PARTY shall notify PROVIDING PARTY in writing of the nature and basis of the dispute and/or adjustment as soon as reasonably possible using, if necessary, the dispute resolution procedures set forth in Section 1.4. The Parties shall use their reasonable best efforts to resolve the dispute prior to the payment due date.</w:t>
      </w:r>
    </w:p>
    <w:p>
      <w:pPr>
        <w:spacing w:after="0" w:line="211" w:lineRule="exact"/>
        <w:rPr>
          <w:sz w:val="20"/>
          <w:szCs w:val="20"/>
          <w:color w:val="auto"/>
        </w:rPr>
      </w:pPr>
    </w:p>
    <w:p>
      <w:pPr>
        <w:ind w:left="60" w:right="1739" w:firstLine="1317"/>
        <w:spacing w:after="0" w:line="268" w:lineRule="auto"/>
        <w:rPr>
          <w:sz w:val="20"/>
          <w:szCs w:val="20"/>
          <w:color w:val="auto"/>
        </w:rPr>
      </w:pPr>
      <w:r>
        <w:rPr>
          <w:rFonts w:ascii="Courier New" w:cs="Courier New" w:eastAsia="Courier New" w:hAnsi="Courier New"/>
          <w:sz w:val="16"/>
          <w:szCs w:val="16"/>
          <w:color w:val="auto"/>
        </w:rPr>
        <w:t>3.3 Fee Reports. On or before the twentieth (20th) calendar day following the last day of each calendar month, PROVIDING PARTY will provide to the chief accounting officer of RECEIVING PARTY (or his/her designee) a summary</w:t>
      </w:r>
    </w:p>
    <w:p>
      <w:pPr>
        <w:spacing w:after="0" w:line="1"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recap report (the "Monthly Recap Report") showing for the calendar month then ended all Corporate Service Fees, Transition Assistance Fees, Out of Pocket Costs, Total Allocated FAS 123 Charges (if applicable) and any other charges incurred by, and cost allocations made by, PROVIDING PARTY for or on behalf of RECEIVING PARTY for Corporate Services pursuant to this Agreement. The Monthly Recap Report will list each PROVIDING PARTY accounting cost center that provided Corporate Services hereunder during the month and the amount of the costs allocated or incurred by each such cost center to RECEIVING PARTY for such calendar month. In addition, the Monthly Recap Report will also show the monthly aggregate cost trend for the trailing 12-month period.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119"/>
          </w:cols>
          <w:pgMar w:left="340" w:top="520" w:right="1440" w:bottom="1440" w:gutter="0" w:footer="0" w:header="0"/>
        </w:sectPr>
      </w:pPr>
    </w:p>
    <w:bookmarkStart w:id="200" w:name="page201"/>
    <w:bookmarkEnd w:id="200"/>
    <w:p>
      <w:pPr>
        <w:ind w:left="440" w:right="1739" w:firstLine="579"/>
        <w:spacing w:after="0" w:line="268" w:lineRule="auto"/>
        <w:rPr>
          <w:sz w:val="20"/>
          <w:szCs w:val="20"/>
          <w:color w:val="auto"/>
        </w:rPr>
      </w:pPr>
      <w:r>
        <w:rPr>
          <w:rFonts w:ascii="Courier New" w:cs="Courier New" w:eastAsia="Courier New" w:hAnsi="Courier New"/>
          <w:sz w:val="16"/>
          <w:szCs w:val="16"/>
          <w:color w:val="auto"/>
        </w:rPr>
        <w:t>3.4 Audit Rights. Upon reasonable advance notice from RECEIVING PARTY, PROVIDING PARTY shall permit RECEIVING PARTY to perform annual audits of</w:t>
      </w:r>
    </w:p>
    <w:p>
      <w:pPr>
        <w:jc w:val="center"/>
        <w:ind w:left="360" w:right="100"/>
        <w:spacing w:after="0" w:line="237" w:lineRule="auto"/>
        <w:rPr>
          <w:sz w:val="20"/>
          <w:szCs w:val="20"/>
          <w:color w:val="auto"/>
        </w:rPr>
      </w:pPr>
      <w:r>
        <w:rPr>
          <w:rFonts w:ascii="Courier New" w:cs="Courier New" w:eastAsia="Courier New" w:hAnsi="Courier New"/>
          <w:sz w:val="18"/>
          <w:szCs w:val="18"/>
          <w:color w:val="auto"/>
        </w:rPr>
        <w:t>PROVIDING PARTY's records only with respect to amounts invoiced and Out of Pocket Costs invoiced pursuant to this Article III. Such audits shall be conducted during PROVIDING PARTY's regular office hours and without disruption to PROVIDING PARTY's business operations and shall be performed at RECEIVING PARTY's sole expense.</w:t>
      </w:r>
    </w:p>
    <w:p>
      <w:pPr>
        <w:spacing w:after="0" w:line="203" w:lineRule="exact"/>
        <w:rPr>
          <w:sz w:val="20"/>
          <w:szCs w:val="20"/>
          <w:color w:val="auto"/>
        </w:rPr>
      </w:pPr>
    </w:p>
    <w:p>
      <w:pPr>
        <w:ind w:left="5540"/>
        <w:spacing w:after="0"/>
        <w:rPr>
          <w:sz w:val="20"/>
          <w:szCs w:val="20"/>
          <w:color w:val="auto"/>
        </w:rPr>
      </w:pPr>
      <w:r>
        <w:rPr>
          <w:rFonts w:ascii="Courier New" w:cs="Courier New" w:eastAsia="Courier New" w:hAnsi="Courier New"/>
          <w:sz w:val="18"/>
          <w:szCs w:val="18"/>
          <w:color w:val="auto"/>
        </w:rPr>
        <w:t>ARTICLE IV</w:t>
      </w:r>
    </w:p>
    <w:p>
      <w:pPr>
        <w:ind w:left="4540"/>
        <w:spacing w:after="0" w:line="238" w:lineRule="auto"/>
        <w:rPr>
          <w:sz w:val="20"/>
          <w:szCs w:val="20"/>
          <w:color w:val="auto"/>
        </w:rPr>
      </w:pPr>
      <w:r>
        <w:rPr>
          <w:rFonts w:ascii="Courier New" w:cs="Courier New" w:eastAsia="Courier New" w:hAnsi="Courier New"/>
          <w:sz w:val="18"/>
          <w:szCs w:val="18"/>
          <w:color w:val="auto"/>
        </w:rPr>
        <w:t>LIMITATION OF LIABILITY</w:t>
      </w:r>
    </w:p>
    <w:p>
      <w:pPr>
        <w:spacing w:after="0" w:line="207" w:lineRule="exact"/>
        <w:rPr>
          <w:sz w:val="20"/>
          <w:szCs w:val="20"/>
          <w:color w:val="auto"/>
        </w:rPr>
      </w:pPr>
    </w:p>
    <w:p>
      <w:pPr>
        <w:ind w:left="380" w:right="1739" w:firstLine="632"/>
        <w:spacing w:after="0" w:line="268" w:lineRule="auto"/>
        <w:rPr>
          <w:sz w:val="20"/>
          <w:szCs w:val="20"/>
          <w:color w:val="auto"/>
        </w:rPr>
      </w:pPr>
      <w:r>
        <w:rPr>
          <w:rFonts w:ascii="Courier New" w:cs="Courier New" w:eastAsia="Courier New" w:hAnsi="Courier New"/>
          <w:sz w:val="16"/>
          <w:szCs w:val="16"/>
          <w:color w:val="auto"/>
        </w:rPr>
        <w:t>4.1 LIMITATION OF LIABILITY. THE LIABILITY OF EITHER PARTY FOR A CLAIM ASSERTED BY THE OTHER PARTY BASED ON BREACH OF ANY COVENANT, AGREEMENT OR</w:t>
      </w:r>
    </w:p>
    <w:p>
      <w:pPr>
        <w:jc w:val="center"/>
        <w:ind w:right="1679"/>
        <w:spacing w:after="0" w:line="233" w:lineRule="auto"/>
        <w:rPr>
          <w:sz w:val="20"/>
          <w:szCs w:val="20"/>
          <w:color w:val="auto"/>
        </w:rPr>
      </w:pPr>
      <w:r>
        <w:rPr>
          <w:rFonts w:ascii="Courier New" w:cs="Courier New" w:eastAsia="Courier New" w:hAnsi="Courier New"/>
          <w:sz w:val="18"/>
          <w:szCs w:val="18"/>
          <w:color w:val="auto"/>
        </w:rPr>
        <w:t>UNDERTAKING REQUIRED BY THIS AGREEMENT SHALL NOT EXCEED, IN THE AGGREGATE, THE</w:t>
      </w:r>
    </w:p>
    <w:p>
      <w:pPr>
        <w:spacing w:after="0" w:line="5"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FEES PAYABLE BY RECEIVING PARTY TO PROVIDING PARTY DURING THE ONE (1) YEAR PERIOD PRECEDING THE BREACH FOR THE PARTICULAR CORPORATE SERVICE AFFECTED BY SUCH BREACH UNDER THIS AGREEMENT; PROVIDED THAT SUCH LIMITATION SHALL NOT APPLY IN RESPECT OF ANY CLAIMS BASED ON A PARTY'S (i) GROSS NEGLIGENCE, (ii) WILLFUL MISCONDUCT, (iii) IMPROPER USE OR DISCLOSURE OF CUSTOMER INFORMATION, (iv) VIOLATIONS OF LAW, OR (v) INFRINGEMENT OF THE INTELLECTUAL PROPERTY RIGHTS OF A PERSON OR ENTITY WHO IS NOT A PARTY HERETO OR THE SUBSIDIARY OR AFFILIATE OF A PARTY HERETO.</w:t>
      </w:r>
    </w:p>
    <w:p>
      <w:pPr>
        <w:spacing w:after="0" w:line="212" w:lineRule="exact"/>
        <w:rPr>
          <w:sz w:val="20"/>
          <w:szCs w:val="20"/>
          <w:color w:val="auto"/>
        </w:rPr>
      </w:pPr>
    </w:p>
    <w:p>
      <w:pPr>
        <w:ind w:left="160" w:right="1839" w:firstLine="1211"/>
        <w:spacing w:after="0" w:line="268" w:lineRule="auto"/>
        <w:rPr>
          <w:sz w:val="20"/>
          <w:szCs w:val="20"/>
          <w:color w:val="auto"/>
        </w:rPr>
      </w:pPr>
      <w:r>
        <w:rPr>
          <w:rFonts w:ascii="Courier New" w:cs="Courier New" w:eastAsia="Courier New" w:hAnsi="Courier New"/>
          <w:sz w:val="16"/>
          <w:szCs w:val="16"/>
          <w:color w:val="auto"/>
        </w:rPr>
        <w:t>4.2 DAMAGES. NEITHER PARTY SHALL BE LIABLE TO THE OTHER FOR ANY INDIRECT, SPECIAL, PUNITIVE, OR CONSEQUENTIAL DAMAGE OF ANY KIND WHATSOEVER; PROVIDED, HOWEVER, THAT TO THE EXTENT AN INDEMNIFIED PARTY UNDER ARTICLE X IS</w:t>
      </w:r>
    </w:p>
    <w:p>
      <w:pPr>
        <w:spacing w:after="0" w:line="1"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REQUIRED TO PAY ANY SPECIAL, INCIDENTAL, INDIRECT, COLLATERAL, CONSEQUENTIAL OR PUNITIVE DAMAGES OR LOST PROFITS TO A PERSON OR ENTITY WHO IS NOT A PARTY OR A SUBSIDIARY OR AFFILIATE OF THE INDEMNIFIED PARTY IN CONNECTION WITH A THIRD PARTY CLAIM, SUCH DAMAGES WILL CONSTITUTE DIRECT DAMAGES AND WILL NOT BE SUBJECT TO THE LIMITATION SET FORTH IN THIS ARTICLE IV.</w:t>
      </w:r>
    </w:p>
    <w:p>
      <w:pPr>
        <w:spacing w:after="0" w:line="203" w:lineRule="exact"/>
        <w:rPr>
          <w:sz w:val="20"/>
          <w:szCs w:val="20"/>
          <w:color w:val="auto"/>
        </w:rPr>
      </w:pPr>
    </w:p>
    <w:p>
      <w:pPr>
        <w:ind w:left="5640"/>
        <w:spacing w:after="0"/>
        <w:rPr>
          <w:sz w:val="20"/>
          <w:szCs w:val="20"/>
          <w:color w:val="auto"/>
        </w:rPr>
      </w:pPr>
      <w:r>
        <w:rPr>
          <w:rFonts w:ascii="Courier New" w:cs="Courier New" w:eastAsia="Courier New" w:hAnsi="Courier New"/>
          <w:sz w:val="18"/>
          <w:szCs w:val="18"/>
          <w:color w:val="auto"/>
        </w:rPr>
        <w:t>ARTICLE V</w:t>
      </w:r>
    </w:p>
    <w:p>
      <w:pPr>
        <w:ind w:left="5320"/>
        <w:spacing w:after="0" w:line="238" w:lineRule="auto"/>
        <w:rPr>
          <w:sz w:val="20"/>
          <w:szCs w:val="20"/>
          <w:color w:val="auto"/>
        </w:rPr>
      </w:pPr>
      <w:r>
        <w:rPr>
          <w:rFonts w:ascii="Courier New" w:cs="Courier New" w:eastAsia="Courier New" w:hAnsi="Courier New"/>
          <w:sz w:val="18"/>
          <w:szCs w:val="18"/>
          <w:color w:val="auto"/>
        </w:rPr>
        <w:t>FORCE MAJEURE</w:t>
      </w:r>
    </w:p>
    <w:p>
      <w:pPr>
        <w:spacing w:after="0" w:line="207" w:lineRule="exact"/>
        <w:rPr>
          <w:sz w:val="20"/>
          <w:szCs w:val="20"/>
          <w:color w:val="auto"/>
        </w:rPr>
      </w:pPr>
    </w:p>
    <w:p>
      <w:pPr>
        <w:ind w:left="120" w:right="1779" w:firstLine="1317"/>
        <w:spacing w:after="0" w:line="268" w:lineRule="auto"/>
        <w:rPr>
          <w:sz w:val="20"/>
          <w:szCs w:val="20"/>
          <w:color w:val="auto"/>
        </w:rPr>
      </w:pPr>
      <w:r>
        <w:rPr>
          <w:rFonts w:ascii="Courier New" w:cs="Courier New" w:eastAsia="Courier New" w:hAnsi="Courier New"/>
          <w:sz w:val="16"/>
          <w:szCs w:val="16"/>
          <w:color w:val="auto"/>
        </w:rPr>
        <w:t>Neither Party shall be held liable for any delay or failure in performance of any part of this Agreement from any cause beyond its reasonable</w:t>
      </w:r>
    </w:p>
    <w:p>
      <w:pPr>
        <w:jc w:val="center"/>
        <w:ind w:right="1679"/>
        <w:spacing w:after="0"/>
        <w:rPr>
          <w:sz w:val="20"/>
          <w:szCs w:val="20"/>
          <w:color w:val="auto"/>
        </w:rPr>
      </w:pPr>
      <w:r>
        <w:rPr>
          <w:rFonts w:ascii="Courier New" w:cs="Courier New" w:eastAsia="Courier New" w:hAnsi="Courier New"/>
          <w:sz w:val="16"/>
          <w:szCs w:val="16"/>
          <w:color w:val="auto"/>
        </w:rPr>
        <w:t>control and without its fault or negligence, including, but not limited to, acts</w:t>
      </w:r>
    </w:p>
    <w:p>
      <w:pPr>
        <w:spacing w:after="0" w:line="21" w:lineRule="exact"/>
        <w:rPr>
          <w:sz w:val="20"/>
          <w:szCs w:val="20"/>
          <w:color w:val="auto"/>
        </w:rPr>
      </w:pPr>
    </w:p>
    <w:p>
      <w:pPr>
        <w:jc w:val="center"/>
        <w:ind w:left="360" w:right="100"/>
        <w:spacing w:after="0" w:line="237" w:lineRule="auto"/>
        <w:rPr>
          <w:sz w:val="20"/>
          <w:szCs w:val="20"/>
          <w:color w:val="auto"/>
        </w:rPr>
      </w:pPr>
      <w:r>
        <w:rPr>
          <w:rFonts w:ascii="Courier New" w:cs="Courier New" w:eastAsia="Courier New" w:hAnsi="Courier New"/>
          <w:sz w:val="18"/>
          <w:szCs w:val="18"/>
          <w:color w:val="auto"/>
        </w:rPr>
        <w:t>of God, acts of civil or military authority, embargoes, epidemics, war, terrorist acts, riots, insurrections, fires, explosions, earthquakes, hurricanes, tornadoes, nuclear accidents, floods, strikes, terrorism and power blackouts. Upon the occurrence of a condition described in this Article, the Party whose performance is prevented shall give written notice to the other Party, and the Parties shall promptly confer, in good faith, to agree upon equitable, reasonable action to minimize the impact, on both Parties, of such conditions.</w:t>
      </w:r>
    </w:p>
    <w:p>
      <w:pPr>
        <w:spacing w:after="0" w:line="200" w:lineRule="exact"/>
        <w:rPr>
          <w:sz w:val="20"/>
          <w:szCs w:val="20"/>
          <w:color w:val="auto"/>
        </w:rPr>
      </w:pPr>
    </w:p>
    <w:p>
      <w:pPr>
        <w:spacing w:after="0" w:line="209" w:lineRule="exact"/>
        <w:rPr>
          <w:sz w:val="20"/>
          <w:szCs w:val="20"/>
          <w:color w:val="auto"/>
        </w:rPr>
      </w:pPr>
    </w:p>
    <w:p>
      <w:pPr>
        <w:ind w:left="61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119"/>
          </w:cols>
          <w:pgMar w:left="340" w:top="520" w:right="1440" w:bottom="1440" w:gutter="0" w:footer="0" w:header="0"/>
        </w:sectPr>
      </w:pPr>
    </w:p>
    <w:bookmarkStart w:id="201" w:name="page202"/>
    <w:bookmarkEnd w:id="201"/>
    <w:p>
      <w:pPr>
        <w:ind w:left="5540"/>
        <w:spacing w:after="0"/>
        <w:rPr>
          <w:sz w:val="20"/>
          <w:szCs w:val="20"/>
          <w:color w:val="auto"/>
        </w:rPr>
      </w:pPr>
      <w:r>
        <w:rPr>
          <w:rFonts w:ascii="Courier New" w:cs="Courier New" w:eastAsia="Courier New" w:hAnsi="Courier New"/>
          <w:sz w:val="18"/>
          <w:szCs w:val="18"/>
          <w:color w:val="auto"/>
        </w:rPr>
        <w:t>ARTICLE VI</w:t>
      </w:r>
    </w:p>
    <w:p>
      <w:pPr>
        <w:ind w:left="4860"/>
        <w:spacing w:after="0" w:line="238" w:lineRule="auto"/>
        <w:rPr>
          <w:sz w:val="20"/>
          <w:szCs w:val="20"/>
          <w:color w:val="auto"/>
        </w:rPr>
      </w:pPr>
      <w:r>
        <w:rPr>
          <w:rFonts w:ascii="Courier New" w:cs="Courier New" w:eastAsia="Courier New" w:hAnsi="Courier New"/>
          <w:sz w:val="18"/>
          <w:szCs w:val="18"/>
          <w:color w:val="auto"/>
        </w:rPr>
        <w:t>NOTICES AND DEMANDS</w:t>
      </w:r>
    </w:p>
    <w:p>
      <w:pPr>
        <w:spacing w:after="0" w:line="207" w:lineRule="exact"/>
        <w:rPr>
          <w:sz w:val="20"/>
          <w:szCs w:val="20"/>
          <w:color w:val="auto"/>
        </w:rPr>
      </w:pPr>
    </w:p>
    <w:p>
      <w:pPr>
        <w:ind w:right="1679" w:firstLine="1422"/>
        <w:spacing w:after="0" w:line="268" w:lineRule="auto"/>
        <w:rPr>
          <w:sz w:val="20"/>
          <w:szCs w:val="20"/>
          <w:color w:val="auto"/>
        </w:rPr>
      </w:pPr>
      <w:r>
        <w:rPr>
          <w:rFonts w:ascii="Courier New" w:cs="Courier New" w:eastAsia="Courier New" w:hAnsi="Courier New"/>
          <w:sz w:val="16"/>
          <w:szCs w:val="16"/>
          <w:color w:val="auto"/>
        </w:rPr>
        <w:t>6.1 Notices. Except as otherwise provided under this Agreement (including Schedule 1.1(a)), all notices, demands or requests which may be given</w:t>
      </w:r>
    </w:p>
    <w:p>
      <w:pPr>
        <w:jc w:val="center"/>
        <w:ind w:right="1679"/>
        <w:spacing w:after="0" w:line="273" w:lineRule="auto"/>
        <w:rPr>
          <w:sz w:val="20"/>
          <w:szCs w:val="20"/>
          <w:color w:val="auto"/>
        </w:rPr>
      </w:pPr>
      <w:r>
        <w:rPr>
          <w:rFonts w:ascii="Courier New" w:cs="Courier New" w:eastAsia="Courier New" w:hAnsi="Courier New"/>
          <w:sz w:val="16"/>
          <w:szCs w:val="16"/>
          <w:color w:val="auto"/>
        </w:rPr>
        <w:t>by a Party to the other Party shall be in writing and shall be deemed to have been duly given on the date delivered in person, or sent via telefax, or on the next business day if sent by overnight courier, or on the date of the third business day after deposit, postage prepaid, in the United States Mail via Certified Mail return receipt requested, and addressed as set forth below:</w:t>
      </w:r>
    </w:p>
    <w:p>
      <w:pPr>
        <w:spacing w:after="0" w:line="179"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8"/>
          <w:szCs w:val="18"/>
          <w:color w:val="auto"/>
        </w:rPr>
        <w:t>If to RECEIVING PARTY, to:</w:t>
      </w:r>
    </w:p>
    <w:p>
      <w:pPr>
        <w:spacing w:after="0" w:line="201"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8"/>
          <w:szCs w:val="18"/>
          <w:color w:val="auto"/>
        </w:rPr>
        <w:t>Fidelity National Financial, Inc.</w:t>
      </w:r>
    </w:p>
    <w:p>
      <w:pPr>
        <w:jc w:val="center"/>
        <w:ind w:right="719"/>
        <w:spacing w:after="0" w:line="238" w:lineRule="auto"/>
        <w:rPr>
          <w:sz w:val="20"/>
          <w:szCs w:val="20"/>
          <w:color w:val="auto"/>
        </w:rPr>
      </w:pPr>
      <w:r>
        <w:rPr>
          <w:rFonts w:ascii="Courier New" w:cs="Courier New" w:eastAsia="Courier New" w:hAnsi="Courier New"/>
          <w:sz w:val="18"/>
          <w:szCs w:val="18"/>
          <w:color w:val="auto"/>
        </w:rPr>
        <w:t>601 Riverside Avenue</w:t>
      </w:r>
    </w:p>
    <w:p>
      <w:pPr>
        <w:jc w:val="center"/>
        <w:ind w:right="719"/>
        <w:spacing w:after="0"/>
        <w:rPr>
          <w:sz w:val="20"/>
          <w:szCs w:val="20"/>
          <w:color w:val="auto"/>
        </w:rPr>
      </w:pPr>
      <w:r>
        <w:rPr>
          <w:rFonts w:ascii="Courier New" w:cs="Courier New" w:eastAsia="Courier New" w:hAnsi="Courier New"/>
          <w:sz w:val="18"/>
          <w:szCs w:val="18"/>
          <w:color w:val="auto"/>
        </w:rPr>
        <w:t>Jacksonville, Florida 32204</w:t>
      </w:r>
    </w:p>
    <w:p>
      <w:pPr>
        <w:jc w:val="center"/>
        <w:ind w:right="719"/>
        <w:spacing w:after="0" w:line="237" w:lineRule="auto"/>
        <w:rPr>
          <w:sz w:val="20"/>
          <w:szCs w:val="20"/>
          <w:color w:val="auto"/>
        </w:rPr>
      </w:pPr>
      <w:r>
        <w:rPr>
          <w:rFonts w:ascii="Courier New" w:cs="Courier New" w:eastAsia="Courier New" w:hAnsi="Courier New"/>
          <w:sz w:val="18"/>
          <w:szCs w:val="18"/>
          <w:color w:val="auto"/>
        </w:rPr>
        <w:t>Attention: General Counsel</w:t>
      </w:r>
    </w:p>
    <w:p>
      <w:pPr>
        <w:spacing w:after="0" w:line="202"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8"/>
          <w:szCs w:val="18"/>
          <w:color w:val="auto"/>
        </w:rPr>
        <w:t>If to PROVIDING PARTY, to:</w:t>
      </w:r>
    </w:p>
    <w:p>
      <w:pPr>
        <w:spacing w:after="0" w:line="201"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8"/>
          <w:szCs w:val="18"/>
          <w:color w:val="auto"/>
        </w:rPr>
        <w:t>Fidelity National Title Group, Inc.</w:t>
      </w:r>
    </w:p>
    <w:p>
      <w:pPr>
        <w:jc w:val="center"/>
        <w:ind w:right="719"/>
        <w:spacing w:after="0" w:line="238" w:lineRule="auto"/>
        <w:rPr>
          <w:sz w:val="20"/>
          <w:szCs w:val="20"/>
          <w:color w:val="auto"/>
        </w:rPr>
      </w:pPr>
      <w:r>
        <w:rPr>
          <w:rFonts w:ascii="Courier New" w:cs="Courier New" w:eastAsia="Courier New" w:hAnsi="Courier New"/>
          <w:sz w:val="18"/>
          <w:szCs w:val="18"/>
          <w:color w:val="auto"/>
        </w:rPr>
        <w:t>601 Riverside Avenue</w:t>
      </w:r>
    </w:p>
    <w:p>
      <w:pPr>
        <w:jc w:val="center"/>
        <w:ind w:right="719"/>
        <w:spacing w:after="0"/>
        <w:rPr>
          <w:sz w:val="20"/>
          <w:szCs w:val="20"/>
          <w:color w:val="auto"/>
        </w:rPr>
      </w:pPr>
      <w:r>
        <w:rPr>
          <w:rFonts w:ascii="Courier New" w:cs="Courier New" w:eastAsia="Courier New" w:hAnsi="Courier New"/>
          <w:sz w:val="18"/>
          <w:szCs w:val="18"/>
          <w:color w:val="auto"/>
        </w:rPr>
        <w:t>Jacksonville, Florida 32204</w:t>
      </w:r>
    </w:p>
    <w:p>
      <w:pPr>
        <w:jc w:val="center"/>
        <w:ind w:right="719"/>
        <w:spacing w:after="0" w:line="237" w:lineRule="auto"/>
        <w:rPr>
          <w:sz w:val="20"/>
          <w:szCs w:val="20"/>
          <w:color w:val="auto"/>
        </w:rPr>
      </w:pPr>
      <w:r>
        <w:rPr>
          <w:rFonts w:ascii="Courier New" w:cs="Courier New" w:eastAsia="Courier New" w:hAnsi="Courier New"/>
          <w:sz w:val="18"/>
          <w:szCs w:val="18"/>
          <w:color w:val="auto"/>
        </w:rPr>
        <w:t>Attention: General Counsel</w:t>
      </w:r>
    </w:p>
    <w:p>
      <w:pPr>
        <w:spacing w:after="0" w:line="207"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The address to which such notices, demands, requests, elections or other communications are to be given by either Party may be changed by written notice given by such Party to the other Party pursuant to Section 6.1 and this Section 6.2.</w:t>
      </w:r>
    </w:p>
    <w:p>
      <w:pPr>
        <w:spacing w:after="0" w:line="202"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ARTICLE VII</w:t>
      </w:r>
    </w:p>
    <w:p>
      <w:pPr>
        <w:ind w:left="5700"/>
        <w:spacing w:after="0" w:line="238" w:lineRule="auto"/>
        <w:rPr>
          <w:sz w:val="20"/>
          <w:szCs w:val="20"/>
          <w:color w:val="auto"/>
        </w:rPr>
      </w:pPr>
      <w:r>
        <w:rPr>
          <w:rFonts w:ascii="Courier New" w:cs="Courier New" w:eastAsia="Courier New" w:hAnsi="Courier New"/>
          <w:sz w:val="18"/>
          <w:szCs w:val="18"/>
          <w:color w:val="auto"/>
        </w:rPr>
        <w:t>REMEDIES</w:t>
      </w:r>
    </w:p>
    <w:p>
      <w:pPr>
        <w:spacing w:after="0" w:line="207" w:lineRule="exact"/>
        <w:rPr>
          <w:sz w:val="20"/>
          <w:szCs w:val="20"/>
          <w:color w:val="auto"/>
        </w:rPr>
      </w:pPr>
    </w:p>
    <w:p>
      <w:pPr>
        <w:ind w:left="60" w:right="1739" w:firstLine="1001"/>
        <w:spacing w:after="0" w:line="268" w:lineRule="auto"/>
        <w:rPr>
          <w:sz w:val="20"/>
          <w:szCs w:val="20"/>
          <w:color w:val="auto"/>
        </w:rPr>
      </w:pPr>
      <w:r>
        <w:rPr>
          <w:rFonts w:ascii="Courier New" w:cs="Courier New" w:eastAsia="Courier New" w:hAnsi="Courier New"/>
          <w:sz w:val="16"/>
          <w:szCs w:val="16"/>
          <w:color w:val="auto"/>
        </w:rPr>
        <w:t>7.1 Remedies Upon Material Breach. In the event of material breach of any provision of this Agreement by a Party, the non-defaulting Party shall give</w:t>
      </w:r>
    </w:p>
    <w:p>
      <w:pPr>
        <w:ind w:left="2060"/>
        <w:spacing w:after="0" w:line="233" w:lineRule="auto"/>
        <w:rPr>
          <w:sz w:val="20"/>
          <w:szCs w:val="20"/>
          <w:color w:val="auto"/>
        </w:rPr>
      </w:pPr>
      <w:r>
        <w:rPr>
          <w:rFonts w:ascii="Courier New" w:cs="Courier New" w:eastAsia="Courier New" w:hAnsi="Courier New"/>
          <w:sz w:val="18"/>
          <w:szCs w:val="18"/>
          <w:color w:val="auto"/>
        </w:rPr>
        <w:t>the defaulting Party written notice, and:</w:t>
      </w:r>
    </w:p>
    <w:p>
      <w:pPr>
        <w:spacing w:after="0" w:line="208" w:lineRule="exact"/>
        <w:rPr>
          <w:sz w:val="20"/>
          <w:szCs w:val="20"/>
          <w:color w:val="auto"/>
        </w:rPr>
      </w:pPr>
    </w:p>
    <w:p>
      <w:pPr>
        <w:jc w:val="both"/>
        <w:ind w:right="1679" w:firstLine="1957"/>
        <w:spacing w:after="0" w:line="268" w:lineRule="auto"/>
        <w:tabs>
          <w:tab w:leader="none" w:pos="237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breach is for RECEIVING PARTY's non-payment of an amount that is not in dispute, the defaulting Party shall cure the breach within thirty (30) calendar days of such notice. If the defaulting Party does not cure such breach by such date, then the defaulting Party shall pay the non-defaulting Party the undisputed amount, any interest that has accrued hereunder through the</w:t>
      </w:r>
    </w:p>
    <w:p>
      <w:pPr>
        <w:jc w:val="center"/>
        <w:ind w:left="120" w:right="177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expiration of the cure period plus an additional amount of interest equal to four percent (4%) per annum above the "prime rate" as announced in the most recent edition of the Wall Street Journal. The Parties agree that this rate of interest constitutes reasonable liquidated damages and not an unenforceable</w:t>
      </w:r>
    </w:p>
    <w:p>
      <w:pPr>
        <w:ind w:left="3800"/>
        <w:spacing w:after="0" w:line="234" w:lineRule="auto"/>
        <w:rPr>
          <w:sz w:val="20"/>
          <w:szCs w:val="20"/>
          <w:color w:val="auto"/>
        </w:rPr>
      </w:pPr>
      <w:r>
        <w:rPr>
          <w:rFonts w:ascii="Courier New" w:cs="Courier New" w:eastAsia="Courier New" w:hAnsi="Courier New"/>
          <w:sz w:val="18"/>
          <w:szCs w:val="18"/>
          <w:color w:val="auto"/>
        </w:rPr>
        <w:t>penalty.</w:t>
      </w:r>
    </w:p>
    <w:p>
      <w:pPr>
        <w:spacing w:after="0" w:line="207" w:lineRule="exact"/>
        <w:rPr>
          <w:sz w:val="20"/>
          <w:szCs w:val="20"/>
          <w:color w:val="auto"/>
        </w:rPr>
      </w:pPr>
    </w:p>
    <w:p>
      <w:pPr>
        <w:ind w:left="60" w:right="1739" w:firstLine="2213"/>
        <w:spacing w:after="0" w:line="268" w:lineRule="auto"/>
        <w:tabs>
          <w:tab w:leader="none" w:pos="2694"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breach is for any other material failure to perform in accordance with this Agreement, the defaulting Party shall cure such</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breach within thirty (30) calendar days of the date of such notice. If the</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defaulting Party does not cure such breach within such period,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1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119"/>
          </w:cols>
          <w:pgMar w:left="340" w:top="514" w:right="1440" w:bottom="1440" w:gutter="0" w:footer="0" w:header="0"/>
        </w:sectPr>
      </w:pPr>
    </w:p>
    <w:bookmarkStart w:id="202" w:name="page203"/>
    <w:bookmarkEnd w:id="202"/>
    <w:p>
      <w:pPr>
        <w:jc w:val="center"/>
        <w:ind w:right="1679"/>
        <w:spacing w:after="0"/>
        <w:rPr>
          <w:sz w:val="20"/>
          <w:szCs w:val="20"/>
          <w:color w:val="auto"/>
        </w:rPr>
      </w:pPr>
      <w:r>
        <w:rPr>
          <w:rFonts w:ascii="Courier New" w:cs="Courier New" w:eastAsia="Courier New" w:hAnsi="Courier New"/>
          <w:sz w:val="18"/>
          <w:szCs w:val="18"/>
          <w:color w:val="auto"/>
        </w:rPr>
        <w:t>then the defaulting Party shall pay the non-defaulting Party all of the</w:t>
      </w:r>
    </w:p>
    <w:p>
      <w:pPr>
        <w:jc w:val="center"/>
        <w:ind w:right="1679"/>
        <w:spacing w:after="0" w:line="238" w:lineRule="auto"/>
        <w:rPr>
          <w:sz w:val="20"/>
          <w:szCs w:val="20"/>
          <w:color w:val="auto"/>
        </w:rPr>
      </w:pPr>
      <w:r>
        <w:rPr>
          <w:rFonts w:ascii="Courier New" w:cs="Courier New" w:eastAsia="Courier New" w:hAnsi="Courier New"/>
          <w:sz w:val="18"/>
          <w:szCs w:val="18"/>
          <w:color w:val="auto"/>
        </w:rPr>
        <w:t>non-defaulting Party's actual damages, subject to Article IV above.</w:t>
      </w:r>
    </w:p>
    <w:p>
      <w:pPr>
        <w:spacing w:after="0" w:line="207"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7.2 Survival Upon Expiration or Termination. The provisions of Section</w:t>
      </w:r>
    </w:p>
    <w:p>
      <w:pPr>
        <w:spacing w:after="0" w:line="16" w:lineRule="exact"/>
        <w:rPr>
          <w:sz w:val="20"/>
          <w:szCs w:val="20"/>
          <w:color w:val="auto"/>
        </w:rPr>
      </w:pPr>
    </w:p>
    <w:p>
      <w:pPr>
        <w:ind w:left="480"/>
        <w:spacing w:after="0"/>
        <w:rPr>
          <w:sz w:val="20"/>
          <w:szCs w:val="20"/>
          <w:color w:val="auto"/>
        </w:rPr>
      </w:pPr>
      <w:r>
        <w:rPr>
          <w:rFonts w:ascii="Courier New" w:cs="Courier New" w:eastAsia="Courier New" w:hAnsi="Courier New"/>
          <w:sz w:val="18"/>
          <w:szCs w:val="18"/>
          <w:color w:val="auto"/>
        </w:rPr>
        <w:t>1.4 (Dispute Resolution), Section 2.4 (Return of Materials), Article IV</w:t>
      </w:r>
    </w:p>
    <w:p>
      <w:pPr>
        <w:jc w:val="center"/>
        <w:ind w:right="1679"/>
        <w:spacing w:after="0" w:line="238" w:lineRule="auto"/>
        <w:rPr>
          <w:sz w:val="20"/>
          <w:szCs w:val="20"/>
          <w:color w:val="auto"/>
        </w:rPr>
      </w:pPr>
      <w:r>
        <w:rPr>
          <w:rFonts w:ascii="Courier New" w:cs="Courier New" w:eastAsia="Courier New" w:hAnsi="Courier New"/>
          <w:sz w:val="18"/>
          <w:szCs w:val="18"/>
          <w:color w:val="auto"/>
        </w:rPr>
        <w:t>(Limitation of Liability), Article VI (Notices and Demands), this Section 7.2,</w:t>
      </w:r>
    </w:p>
    <w:p>
      <w:pPr>
        <w:spacing w:after="0" w:line="5" w:lineRule="exact"/>
        <w:rPr>
          <w:sz w:val="20"/>
          <w:szCs w:val="20"/>
          <w:color w:val="auto"/>
        </w:rPr>
      </w:pPr>
    </w:p>
    <w:p>
      <w:pPr>
        <w:jc w:val="center"/>
        <w:ind w:right="1679"/>
        <w:spacing w:after="0" w:line="236" w:lineRule="auto"/>
        <w:rPr>
          <w:sz w:val="20"/>
          <w:szCs w:val="20"/>
          <w:color w:val="auto"/>
        </w:rPr>
      </w:pPr>
      <w:r>
        <w:rPr>
          <w:rFonts w:ascii="Courier New" w:cs="Courier New" w:eastAsia="Courier New" w:hAnsi="Courier New"/>
          <w:sz w:val="18"/>
          <w:szCs w:val="18"/>
          <w:color w:val="auto"/>
        </w:rPr>
        <w:t>Article VIII (Confidentiality), Article X (Indemnification) and Article XI (Miscellaneous) shall survive the termination or expiration of this Agreement unless otherwise agreed to in writing by both Parties.</w:t>
      </w:r>
    </w:p>
    <w:p>
      <w:pPr>
        <w:spacing w:after="0" w:line="203"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ARTICLE VIII</w:t>
      </w:r>
    </w:p>
    <w:p>
      <w:pPr>
        <w:ind w:left="5180"/>
        <w:spacing w:after="0" w:line="238" w:lineRule="auto"/>
        <w:rPr>
          <w:sz w:val="20"/>
          <w:szCs w:val="20"/>
          <w:color w:val="auto"/>
        </w:rPr>
      </w:pPr>
      <w:r>
        <w:rPr>
          <w:rFonts w:ascii="Courier New" w:cs="Courier New" w:eastAsia="Courier New" w:hAnsi="Courier New"/>
          <w:sz w:val="18"/>
          <w:szCs w:val="18"/>
          <w:color w:val="auto"/>
        </w:rPr>
        <w:t>CONFIDENTIALITY</w:t>
      </w:r>
    </w:p>
    <w:p>
      <w:pPr>
        <w:spacing w:after="0" w:line="207" w:lineRule="exact"/>
        <w:rPr>
          <w:sz w:val="20"/>
          <w:szCs w:val="20"/>
          <w:color w:val="auto"/>
        </w:rPr>
      </w:pPr>
    </w:p>
    <w:p>
      <w:pPr>
        <w:ind w:left="160" w:right="1839" w:firstLine="948"/>
        <w:spacing w:after="0" w:line="268" w:lineRule="auto"/>
        <w:rPr>
          <w:sz w:val="20"/>
          <w:szCs w:val="20"/>
          <w:color w:val="auto"/>
        </w:rPr>
      </w:pPr>
      <w:r>
        <w:rPr>
          <w:rFonts w:ascii="Courier New" w:cs="Courier New" w:eastAsia="Courier New" w:hAnsi="Courier New"/>
          <w:sz w:val="16"/>
          <w:szCs w:val="16"/>
          <w:color w:val="auto"/>
        </w:rPr>
        <w:t>8.1 Confidential Information. Each Party shall use at least the same standard of care in the protection of Confidential Information of the other Party as it uses to protect its own confidential or proprietary information; provided that such Confidential Information shall be protected in at least a reasonable manner. For purposes of this Agreement, "Confidential Information"</w:t>
      </w:r>
    </w:p>
    <w:p>
      <w:pPr>
        <w:spacing w:after="0" w:line="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includes all confidential or proprietary information and documentation of either</w:t>
      </w:r>
    </w:p>
    <w:p>
      <w:pPr>
        <w:spacing w:after="0" w:line="21" w:lineRule="exact"/>
        <w:rPr>
          <w:sz w:val="20"/>
          <w:szCs w:val="20"/>
          <w:color w:val="auto"/>
        </w:rPr>
      </w:pPr>
    </w:p>
    <w:p>
      <w:pPr>
        <w:jc w:val="center"/>
        <w:ind w:right="1679"/>
        <w:spacing w:after="0" w:line="269" w:lineRule="auto"/>
        <w:rPr>
          <w:sz w:val="20"/>
          <w:szCs w:val="20"/>
          <w:color w:val="auto"/>
        </w:rPr>
      </w:pPr>
      <w:r>
        <w:rPr>
          <w:rFonts w:ascii="Courier New" w:cs="Courier New" w:eastAsia="Courier New" w:hAnsi="Courier New"/>
          <w:sz w:val="16"/>
          <w:szCs w:val="16"/>
          <w:color w:val="auto"/>
        </w:rPr>
        <w:t>Party, including the terms of this Agreement, including with respect to each Party, all of its software, data, financial information all reports, exhibits and other documentation prepared by any of its Subsidiaries or Affiliates. Each Party shall use the Confidential Information of the other Party only in connection with the purposes of this Agreement and shall make such Confidential Information available only to its employees, subcontractors, or agents having a "need to know" with respect to such purpose. Each Party shall advise its respective employees, subcontractors, and agents of such Party's obligations under this Agreement. The obligations in this Section 8.1 will not restrict disclosure by a Party pursuant to applicable law, or by order or request of any court or government agency; provided that prior to such disclosure the Party making such disclosure shall (a) immediately give notice to the other Party, (b) cooperate with the other Party in challenging the right to such access and (c) only provide such information as is required by law, court order or a final, non-appealable ruling of a court of proper jurisdiction. Confidential Information of a Party will not be afforded the protection of this Article VIII if such Confidential Information was (A) developed by the other Party independently as shown by its written business records regularly kept, (B) rightfully obtained by the other Party without restriction from a third party,</w:t>
      </w:r>
    </w:p>
    <w:p>
      <w:pPr>
        <w:spacing w:after="0" w:line="192" w:lineRule="exact"/>
        <w:rPr>
          <w:sz w:val="20"/>
          <w:szCs w:val="20"/>
          <w:color w:val="auto"/>
        </w:rPr>
      </w:pPr>
    </w:p>
    <w:p>
      <w:pPr>
        <w:ind w:left="580" w:right="1779" w:hanging="466"/>
        <w:spacing w:after="0" w:line="268" w:lineRule="auto"/>
        <w:tabs>
          <w:tab w:leader="none" w:pos="527"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publicly available other than through the fault or negligence of the other Party or (D) released by the Party that owns or has the rights to the</w:t>
      </w:r>
    </w:p>
    <w:p>
      <w:pPr>
        <w:ind w:left="1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Confidential Information without restriction to anyone.</w:t>
      </w:r>
    </w:p>
    <w:p>
      <w:pPr>
        <w:spacing w:after="0" w:line="207" w:lineRule="exact"/>
        <w:rPr>
          <w:sz w:val="20"/>
          <w:szCs w:val="20"/>
          <w:color w:val="auto"/>
        </w:rPr>
      </w:pPr>
    </w:p>
    <w:p>
      <w:pPr>
        <w:ind w:left="60" w:right="1739" w:firstLine="1054"/>
        <w:spacing w:after="0" w:line="268" w:lineRule="auto"/>
        <w:rPr>
          <w:sz w:val="20"/>
          <w:szCs w:val="20"/>
          <w:color w:val="auto"/>
        </w:rPr>
      </w:pPr>
      <w:r>
        <w:rPr>
          <w:rFonts w:ascii="Courier New" w:cs="Courier New" w:eastAsia="Courier New" w:hAnsi="Courier New"/>
          <w:sz w:val="16"/>
          <w:szCs w:val="16"/>
          <w:color w:val="auto"/>
        </w:rPr>
        <w:t>8.2 Work Product Privilege. RECEIVING PARTY represents and PROVIDING PARTY acknowledges that, in the course of providing Corporate Services pursuant</w:t>
      </w:r>
    </w:p>
    <w:p>
      <w:pPr>
        <w:jc w:val="center"/>
        <w:ind w:right="1679"/>
        <w:spacing w:after="0" w:line="268" w:lineRule="auto"/>
        <w:rPr>
          <w:sz w:val="20"/>
          <w:szCs w:val="20"/>
          <w:color w:val="auto"/>
        </w:rPr>
      </w:pPr>
      <w:r>
        <w:rPr>
          <w:rFonts w:ascii="Courier New" w:cs="Courier New" w:eastAsia="Courier New" w:hAnsi="Courier New"/>
          <w:sz w:val="16"/>
          <w:szCs w:val="16"/>
          <w:color w:val="auto"/>
        </w:rPr>
        <w:t>to this Agreement, PROVIDING PARTY may have access to (a) documents, data, databases or communications that are subject to attorney client privilege and/or</w:t>
      </w:r>
    </w:p>
    <w:p>
      <w:pPr>
        <w:ind w:left="60" w:right="1739" w:firstLine="317"/>
        <w:spacing w:after="0" w:line="268" w:lineRule="auto"/>
        <w:tabs>
          <w:tab w:leader="none" w:pos="798"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privileged work product prepared by or on behalf of the Affiliates of RECEIVING PARTY in anticipation of litigation with third parties (collectively,</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"Privileged Work Product") and RECEIVING PARTY represents and PROVIDING</w:t>
      </w:r>
    </w:p>
    <w:p>
      <w:pPr>
        <w:spacing w:after="0" w:line="4" w:lineRule="exact"/>
        <w:rPr>
          <w:rFonts w:ascii="Courier New" w:cs="Courier New" w:eastAsia="Courier New" w:hAnsi="Courier New"/>
          <w:sz w:val="16"/>
          <w:szCs w:val="16"/>
          <w:color w:val="auto"/>
        </w:rPr>
      </w:pPr>
    </w:p>
    <w:p>
      <w:pPr>
        <w:jc w:val="both"/>
        <w:ind w:left="60" w:right="17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PARTY understands that all Privileged Work Product is protected from disclosure by Rule 26 of the Federal Rules of Civil Procedure and the equivalent rules and regulations under the law chosen to govern the construction of this Agreement.</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RECEIVING PARTY represents and PROVIDING PARTY understands the importance of</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maintaining the strict confidentiality of the Privileged Work Product to protect</w:t>
      </w:r>
    </w:p>
    <w:p>
      <w:pPr>
        <w:spacing w:after="0" w:line="16"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the attorney client privilege, work</w:t>
      </w:r>
    </w:p>
    <w:p>
      <w:pPr>
        <w:spacing w:after="0" w:line="200" w:lineRule="exact"/>
        <w:rPr>
          <w:sz w:val="20"/>
          <w:szCs w:val="20"/>
          <w:color w:val="auto"/>
        </w:rPr>
      </w:pPr>
    </w:p>
    <w:p>
      <w:pPr>
        <w:spacing w:after="0" w:line="204" w:lineRule="exact"/>
        <w:rPr>
          <w:sz w:val="20"/>
          <w:szCs w:val="20"/>
          <w:color w:val="auto"/>
        </w:rPr>
      </w:pPr>
    </w:p>
    <w:p>
      <w:pPr>
        <w:ind w:left="61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119"/>
          </w:cols>
          <w:pgMar w:left="340" w:top="515" w:right="1440" w:bottom="1440" w:gutter="0" w:footer="0" w:header="0"/>
        </w:sectPr>
      </w:pPr>
    </w:p>
    <w:bookmarkStart w:id="203" w:name="page204"/>
    <w:bookmarkEnd w:id="203"/>
    <w:p>
      <w:pPr>
        <w:jc w:val="center"/>
        <w:ind w:right="1679"/>
        <w:spacing w:after="0" w:line="268" w:lineRule="auto"/>
        <w:rPr>
          <w:sz w:val="20"/>
          <w:szCs w:val="20"/>
          <w:color w:val="auto"/>
        </w:rPr>
      </w:pPr>
      <w:r>
        <w:rPr>
          <w:rFonts w:ascii="Courier New" w:cs="Courier New" w:eastAsia="Courier New" w:hAnsi="Courier New"/>
          <w:sz w:val="16"/>
          <w:szCs w:val="16"/>
          <w:color w:val="auto"/>
        </w:rPr>
        <w:t>product doctrine and other privileges and rights associated with such Privileged Work Product pursuant to such Rule 26 and the equivalent rules and regulations under the law chosen to govern the construction of this Agreement. After PROVIDING PARTY is notified or otherwise becomes aware that documents, data, database, or communications are Privileged Work Product, only PROVIDING PARTY personnel for whom such access is necessary for the purposes of providing Services to RECEIVING PARTY as provided in this Agreement shall have access to such Privileged Work Product. Should PROVIDING PARTY ever be notified of any judicial or other proceeding seeking to obtain access to Privileged Work Product, PROVIDING PARTY shall (A) immediately give notice to RECEIVING PARTY,</w:t>
      </w:r>
    </w:p>
    <w:p>
      <w:pPr>
        <w:spacing w:after="0" w:line="2" w:lineRule="exact"/>
        <w:rPr>
          <w:sz w:val="20"/>
          <w:szCs w:val="20"/>
          <w:color w:val="auto"/>
        </w:rPr>
      </w:pPr>
    </w:p>
    <w:p>
      <w:pPr>
        <w:ind w:left="540" w:hanging="426"/>
        <w:spacing w:after="0"/>
        <w:tabs>
          <w:tab w:leader="none" w:pos="54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cooperate with RECEIVING PARTY in challenging the right to such access and</w:t>
      </w:r>
    </w:p>
    <w:p>
      <w:pPr>
        <w:spacing w:after="0" w:line="21" w:lineRule="exact"/>
        <w:rPr>
          <w:rFonts w:ascii="Courier New" w:cs="Courier New" w:eastAsia="Courier New" w:hAnsi="Courier New"/>
          <w:sz w:val="16"/>
          <w:szCs w:val="16"/>
          <w:color w:val="auto"/>
        </w:rPr>
      </w:pPr>
    </w:p>
    <w:p>
      <w:pPr>
        <w:ind w:left="120" w:right="1779" w:firstLine="152"/>
        <w:spacing w:after="0" w:line="268" w:lineRule="auto"/>
        <w:tabs>
          <w:tab w:leader="none" w:pos="699"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only provide such information as is required by a final, non-appealable ruling of a court of proper jurisdiction. RECEIVING PARTY shall pay all of the cost incurred by PROVIDING PARTY in complying with the immediately preceding</w:t>
      </w:r>
    </w:p>
    <w:p>
      <w:pPr>
        <w:spacing w:after="0" w:line="1" w:lineRule="exact"/>
        <w:rPr>
          <w:sz w:val="20"/>
          <w:szCs w:val="20"/>
          <w:color w:val="auto"/>
        </w:rPr>
      </w:pPr>
    </w:p>
    <w:p>
      <w:pPr>
        <w:jc w:val="center"/>
        <w:ind w:right="1679"/>
        <w:spacing w:after="0" w:line="238" w:lineRule="auto"/>
        <w:rPr>
          <w:sz w:val="20"/>
          <w:szCs w:val="20"/>
          <w:color w:val="auto"/>
        </w:rPr>
      </w:pPr>
      <w:r>
        <w:rPr>
          <w:rFonts w:ascii="Courier New" w:cs="Courier New" w:eastAsia="Courier New" w:hAnsi="Courier New"/>
          <w:sz w:val="18"/>
          <w:szCs w:val="18"/>
          <w:color w:val="auto"/>
        </w:rPr>
        <w:t>sentence. RECEIVING PARTY has the right and duty to represent PROVIDING PARTY in such resistance or to select and compensate counsel to so represent PROVIDING PARTY or to reimburse PROVIDING PARTY for reasonable attorneys' fees and expenses as such fees and expenses are incurred in resisting such access. If PROVIDING PARTY is ultimately required, pursuant to an order of a court of competent jurisdiction, to produce documents, disclose data, or otherwise act in contravention of the confidentiality obligations imposed in this Article VIII, or otherwise with respect to maintaining the confidentiality, proprietary nature, and secrecy of Privileged Work Product, PROVIDING PARTY is not liable for breach of such obligation to the extent such liability does not result from failure of PROVIDING PARTY to abide by the terms of this Article VIII. All Privileged Work Product is the property of RECEIVING PARTY and will be deemed Confidential Information, except as specifically authorized in this Agreement or as shall be required by law.</w:t>
      </w:r>
    </w:p>
    <w:p>
      <w:pPr>
        <w:spacing w:after="0" w:line="208" w:lineRule="exact"/>
        <w:rPr>
          <w:sz w:val="20"/>
          <w:szCs w:val="20"/>
          <w:color w:val="auto"/>
        </w:rPr>
      </w:pPr>
    </w:p>
    <w:p>
      <w:pPr>
        <w:ind w:right="1679" w:firstLine="1212"/>
        <w:spacing w:after="0" w:line="268" w:lineRule="auto"/>
        <w:rPr>
          <w:sz w:val="20"/>
          <w:szCs w:val="20"/>
          <w:color w:val="auto"/>
        </w:rPr>
      </w:pPr>
      <w:r>
        <w:rPr>
          <w:rFonts w:ascii="Courier New" w:cs="Courier New" w:eastAsia="Courier New" w:hAnsi="Courier New"/>
          <w:sz w:val="16"/>
          <w:szCs w:val="16"/>
          <w:color w:val="auto"/>
        </w:rPr>
        <w:t>8.3 Unauthorized Acts. Each Party shall (a) notify the other Party promptly of any unauthorized possession, use, or knowledge of any Confidential Information by any person which shall become known to it, any attempt by any person to gain possession of Confidential Information without authorization or any attempt to use or acquire knowledge of any Confidential Information without authorization (collectively, "Unauthorized Access"), (b) promptly furnish to the</w:t>
      </w:r>
    </w:p>
    <w:p>
      <w:pPr>
        <w:spacing w:after="0" w:line="1"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other Party full details of the Unauthorized Access and use reasonable efforts to assist the other Party in investigating or preventing the reoccurrence of any Unauthorized Access, (c) cooperate with the other Party in any litigation and investigation against third parties deemed necessary by such Party to protect its proprietary rights, and (d) use commercially reasonable efforts to prevent a reoccurrence of any such Unauthorized Access.</w:t>
      </w:r>
    </w:p>
    <w:p>
      <w:pPr>
        <w:spacing w:after="0" w:line="210" w:lineRule="exact"/>
        <w:rPr>
          <w:sz w:val="20"/>
          <w:szCs w:val="20"/>
          <w:color w:val="auto"/>
        </w:rPr>
      </w:pPr>
    </w:p>
    <w:p>
      <w:pPr>
        <w:jc w:val="both"/>
        <w:ind w:left="160" w:right="1839" w:firstLine="1001"/>
        <w:spacing w:after="0" w:line="268" w:lineRule="auto"/>
        <w:rPr>
          <w:sz w:val="20"/>
          <w:szCs w:val="20"/>
          <w:color w:val="auto"/>
        </w:rPr>
      </w:pPr>
      <w:r>
        <w:rPr>
          <w:rFonts w:ascii="Courier New" w:cs="Courier New" w:eastAsia="Courier New" w:hAnsi="Courier New"/>
          <w:sz w:val="16"/>
          <w:szCs w:val="16"/>
          <w:color w:val="auto"/>
        </w:rPr>
        <w:t>8.4 Publicity. Except as required by law or national stock exchange rule or as allowed by any Ancillary Agreement, neither Party shall issue any press release, distribute any advertising, or make any public announcement or disclosure (a) identifying the other Party by name, trademark or otherwise or</w:t>
      </w:r>
    </w:p>
    <w:p>
      <w:pPr>
        <w:spacing w:after="0" w:line="1" w:lineRule="exact"/>
        <w:rPr>
          <w:sz w:val="20"/>
          <w:szCs w:val="20"/>
          <w:color w:val="auto"/>
        </w:rPr>
      </w:pPr>
    </w:p>
    <w:p>
      <w:pPr>
        <w:ind w:right="1679" w:firstLine="114"/>
        <w:spacing w:after="0" w:line="268" w:lineRule="auto"/>
        <w:tabs>
          <w:tab w:leader="none" w:pos="527"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concerning this Agreement without the other Party's prior written consent. Notwithstanding the foregoing sentence, in the event either Party is required to</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issue a press release relating to this Agreement or any of the transactions</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contemplated by this Agreement, or by the laws or regulations of any</w:t>
      </w:r>
    </w:p>
    <w:p>
      <w:pPr>
        <w:spacing w:after="0" w:line="4" w:lineRule="exact"/>
        <w:rPr>
          <w:rFonts w:ascii="Courier New" w:cs="Courier New" w:eastAsia="Courier New" w:hAnsi="Courier New"/>
          <w:sz w:val="16"/>
          <w:szCs w:val="16"/>
          <w:color w:val="auto"/>
        </w:rPr>
      </w:pPr>
    </w:p>
    <w:p>
      <w:pPr>
        <w:jc w:val="center"/>
        <w:ind w:left="60" w:right="173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governmental authority, agency or self-regulatory agency, such Party shall (A) give notice and a copy of the proposed press release to the other Party as far in advance as reasonably possible, but in any event not less than five (5) days prior to publication of such press release and (B) make any changes to such press release reasonably requested by the other Party. In addition, RECEIVING</w:t>
      </w:r>
    </w:p>
    <w:p>
      <w:pPr>
        <w:ind w:left="3120"/>
        <w:spacing w:after="0" w:line="234" w:lineRule="auto"/>
        <w:rPr>
          <w:sz w:val="20"/>
          <w:szCs w:val="20"/>
          <w:color w:val="auto"/>
        </w:rPr>
      </w:pPr>
      <w:r>
        <w:rPr>
          <w:rFonts w:ascii="Courier New" w:cs="Courier New" w:eastAsia="Courier New" w:hAnsi="Courier New"/>
          <w:sz w:val="18"/>
          <w:szCs w:val="18"/>
          <w:color w:val="auto"/>
        </w:rPr>
        <w:t>PARTY may communicate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18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119"/>
          </w:cols>
          <w:pgMar w:left="340" w:top="520" w:right="1440" w:bottom="1440" w:gutter="0" w:footer="0" w:header="0"/>
        </w:sectPr>
      </w:pPr>
    </w:p>
    <w:bookmarkStart w:id="204" w:name="page205"/>
    <w:bookmarkEnd w:id="204"/>
    <w:p>
      <w:pPr>
        <w:jc w:val="center"/>
        <w:ind w:right="1679"/>
        <w:spacing w:after="0" w:line="237" w:lineRule="auto"/>
        <w:rPr>
          <w:sz w:val="20"/>
          <w:szCs w:val="20"/>
          <w:color w:val="auto"/>
        </w:rPr>
      </w:pPr>
      <w:r>
        <w:rPr>
          <w:rFonts w:ascii="Courier New" w:cs="Courier New" w:eastAsia="Courier New" w:hAnsi="Courier New"/>
          <w:sz w:val="18"/>
          <w:szCs w:val="18"/>
          <w:color w:val="auto"/>
        </w:rPr>
        <w:t>the existence of the business relationship contemplated by the terms of this Agreement internally within PROVIDING PARTY's organization and orally and in writing communicate PROVIDING PARTY's identity as a reference with potential and existing customers.</w:t>
      </w:r>
    </w:p>
    <w:p>
      <w:pPr>
        <w:spacing w:after="0" w:line="207" w:lineRule="exact"/>
        <w:rPr>
          <w:sz w:val="20"/>
          <w:szCs w:val="20"/>
          <w:color w:val="auto"/>
        </w:rPr>
      </w:pPr>
    </w:p>
    <w:p>
      <w:pPr>
        <w:ind w:left="120" w:right="1779" w:firstLine="1264"/>
        <w:spacing w:after="0" w:line="268" w:lineRule="auto"/>
        <w:rPr>
          <w:sz w:val="20"/>
          <w:szCs w:val="20"/>
          <w:color w:val="auto"/>
        </w:rPr>
      </w:pPr>
      <w:r>
        <w:rPr>
          <w:rFonts w:ascii="Courier New" w:cs="Courier New" w:eastAsia="Courier New" w:hAnsi="Courier New"/>
          <w:sz w:val="16"/>
          <w:szCs w:val="16"/>
          <w:color w:val="auto"/>
        </w:rPr>
        <w:t>8.5 Data Privacy. (a) Where, in connection with this Agreement, PROVIDING PARTY processes or stores information about a living individual that</w:t>
      </w:r>
    </w:p>
    <w:p>
      <w:pPr>
        <w:jc w:val="center"/>
        <w:ind w:right="1679"/>
        <w:spacing w:after="0" w:line="233" w:lineRule="auto"/>
        <w:rPr>
          <w:sz w:val="20"/>
          <w:szCs w:val="20"/>
          <w:color w:val="auto"/>
        </w:rPr>
      </w:pPr>
      <w:r>
        <w:rPr>
          <w:rFonts w:ascii="Courier New" w:cs="Courier New" w:eastAsia="Courier New" w:hAnsi="Courier New"/>
          <w:sz w:val="18"/>
          <w:szCs w:val="18"/>
          <w:color w:val="auto"/>
        </w:rPr>
        <w:t>is held in automatically processable form (for example in a computerized</w:t>
      </w:r>
    </w:p>
    <w:p>
      <w:pPr>
        <w:spacing w:after="0" w:line="5"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database) or in a structured manual filing system ("Personal Data"), on behalf of any Subsidiaries of RECEIVING PARTY or their clients, then PROVIDING PARTY shall implement appropriate measures to protect those personal data against accidental or unlawful destruction or accidental loss, alteration, unauthorized disclosure or access and shall use such data solely for purposes of carrying out its obligations under this Agreement.</w:t>
      </w:r>
    </w:p>
    <w:p>
      <w:pPr>
        <w:spacing w:after="0" w:line="210" w:lineRule="exact"/>
        <w:rPr>
          <w:sz w:val="20"/>
          <w:szCs w:val="20"/>
          <w:color w:val="auto"/>
        </w:rPr>
      </w:pPr>
    </w:p>
    <w:p>
      <w:pPr>
        <w:ind w:left="120" w:right="1779" w:firstLine="2153"/>
        <w:spacing w:after="0" w:line="268" w:lineRule="auto"/>
        <w:tabs>
          <w:tab w:leader="none" w:pos="2701"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RECEIVING PARTY may instruct PROVIDING PARTY, where PROVIDING PARTY processes Personal Data on behalf of Subsidiaries of RECEIVING PARTY, to take such steps to preserve data privacy in the processing of those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Personal Data as are reasonably necessary for the performance of this Agreement.</w:t>
      </w:r>
    </w:p>
    <w:p>
      <w:pPr>
        <w:spacing w:after="0" w:line="224" w:lineRule="exact"/>
        <w:rPr>
          <w:sz w:val="20"/>
          <w:szCs w:val="20"/>
          <w:color w:val="auto"/>
        </w:rPr>
      </w:pPr>
    </w:p>
    <w:p>
      <w:pPr>
        <w:ind w:left="440" w:right="1839" w:firstLine="1623"/>
        <w:spacing w:after="0" w:line="268" w:lineRule="auto"/>
        <w:tabs>
          <w:tab w:leader="none" w:pos="2494"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Subsidiaries of RECEIVING PARTY may, in connection with this Agreement, collect Personal Data in relation to PROVIDING PARTY and</w:t>
      </w:r>
    </w:p>
    <w:p>
      <w:pPr>
        <w:jc w:val="center"/>
        <w:ind w:right="1679"/>
        <w:spacing w:after="0" w:line="269" w:lineRule="auto"/>
        <w:rPr>
          <w:sz w:val="20"/>
          <w:szCs w:val="20"/>
          <w:color w:val="auto"/>
        </w:rPr>
      </w:pPr>
      <w:r>
        <w:rPr>
          <w:rFonts w:ascii="Courier New" w:cs="Courier New" w:eastAsia="Courier New" w:hAnsi="Courier New"/>
          <w:sz w:val="16"/>
          <w:szCs w:val="16"/>
          <w:color w:val="auto"/>
        </w:rPr>
        <w:t>PROVIDING PARTY's employees, directors and other officers involved in providing Corporate Services hereunder. Such Personal Data may be collected from PROVIDING PARTY, its employees, its directors, its officers, or from other (for example, published) sources; and some limited personal data may be collected indirectly at RECEIVING PARTY's (or Subsidiaries of RECEIVING PARTY's) locations from monitoring devices or by other means (e.g., telephone logs, closed circuit TV and door entry systems). Nothing in this Section 8.5(c) obligates PROVIDING PARTY or PROVIDING PARTY's employees, directors or other officers to provide Personal Data requested by RECEIVING PARTY. The Subsidiaries of RECEIVING PARTY may use and disclose any such data disclosed by PROVIDING PARTY solely for purposes connected with this Agreement and for the relevant purposes specified in the data privacy policy of the Subsidiary of RECEIVING PARTY (a copy of which is available on request.) RECEIVING PARTY will maintain the same level of protection for Personal Data collected from PROVIDING PARTY (and PROVIDING PARTY's employees, directors and officers, as appropriate) as RECEIVING PARTY maintains with its own Personal Data, and will implement appropriate administrative, physical and technical measures to protect the personal data collected from PROVIDING PARTY and PROVIDING PARTY's employees, directors and other officers against accidental or unlawful destruction or accidental loss, alternation, unauthorized disclosure or access.</w:t>
      </w:r>
    </w:p>
    <w:p>
      <w:pPr>
        <w:spacing w:after="0" w:line="389" w:lineRule="exact"/>
        <w:rPr>
          <w:sz w:val="20"/>
          <w:szCs w:val="20"/>
          <w:color w:val="auto"/>
        </w:rPr>
      </w:pPr>
    </w:p>
    <w:p>
      <w:pPr>
        <w:ind w:left="5540"/>
        <w:spacing w:after="0"/>
        <w:rPr>
          <w:sz w:val="20"/>
          <w:szCs w:val="20"/>
          <w:color w:val="auto"/>
        </w:rPr>
      </w:pPr>
      <w:r>
        <w:rPr>
          <w:rFonts w:ascii="Courier New" w:cs="Courier New" w:eastAsia="Courier New" w:hAnsi="Courier New"/>
          <w:sz w:val="18"/>
          <w:szCs w:val="18"/>
          <w:color w:val="auto"/>
        </w:rPr>
        <w:t>ARTICLE IX</w:t>
      </w:r>
    </w:p>
    <w:p>
      <w:pPr>
        <w:ind w:left="3120"/>
        <w:spacing w:after="0" w:line="238" w:lineRule="auto"/>
        <w:rPr>
          <w:sz w:val="20"/>
          <w:szCs w:val="20"/>
          <w:color w:val="auto"/>
        </w:rPr>
      </w:pPr>
      <w:r>
        <w:rPr>
          <w:rFonts w:ascii="Courier New" w:cs="Courier New" w:eastAsia="Courier New" w:hAnsi="Courier New"/>
          <w:sz w:val="18"/>
          <w:szCs w:val="18"/>
          <w:color w:val="auto"/>
        </w:rPr>
        <w:t>REPRESENTATIONS, WARRANTIES AND COVENANTS</w:t>
      </w:r>
    </w:p>
    <w:p>
      <w:pPr>
        <w:spacing w:after="0" w:line="207" w:lineRule="exact"/>
        <w:rPr>
          <w:sz w:val="20"/>
          <w:szCs w:val="20"/>
          <w:color w:val="auto"/>
        </w:rPr>
      </w:pPr>
    </w:p>
    <w:p>
      <w:pPr>
        <w:ind w:left="220" w:right="1679" w:firstLine="738"/>
        <w:spacing w:after="0" w:line="268" w:lineRule="auto"/>
        <w:rPr>
          <w:sz w:val="20"/>
          <w:szCs w:val="20"/>
          <w:color w:val="auto"/>
        </w:rPr>
      </w:pPr>
      <w:r>
        <w:rPr>
          <w:rFonts w:ascii="Courier New" w:cs="Courier New" w:eastAsia="Courier New" w:hAnsi="Courier New"/>
          <w:sz w:val="16"/>
          <w:szCs w:val="16"/>
          <w:color w:val="auto"/>
        </w:rPr>
        <w:t>EXCEPT FOR THE REPRESENTATIONS, WARRANTIES AND COVENANTS EXPRESSLY MADE IN THIS AGREEMENT, PROVIDING PARTY HAS NOT MADE AND DOES NOT HEREBY MAKE ANY</w:t>
      </w:r>
    </w:p>
    <w:p>
      <w:pPr>
        <w:jc w:val="center"/>
        <w:ind w:right="1679"/>
        <w:spacing w:after="0" w:line="236" w:lineRule="auto"/>
        <w:rPr>
          <w:sz w:val="20"/>
          <w:szCs w:val="20"/>
          <w:color w:val="auto"/>
        </w:rPr>
      </w:pPr>
      <w:r>
        <w:rPr>
          <w:rFonts w:ascii="Courier New" w:cs="Courier New" w:eastAsia="Courier New" w:hAnsi="Courier New"/>
          <w:sz w:val="18"/>
          <w:szCs w:val="18"/>
          <w:color w:val="auto"/>
        </w:rPr>
        <w:t>EXPRESS OR IMPLIED REPRESENTATIONS, WARRANTIES OR COVENANTS, STATUTORY OR OTHERWISE, OF ANY NATURE, INCLUDING WITH RESPECT TO THE WARRANTIES OF MERCHANTABILITY,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18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119"/>
          </w:cols>
          <w:pgMar w:left="340" w:top="520" w:right="1440" w:bottom="1440" w:gutter="0" w:footer="0" w:header="0"/>
        </w:sectPr>
      </w:pPr>
    </w:p>
    <w:bookmarkStart w:id="205" w:name="page206"/>
    <w:bookmarkEnd w:id="205"/>
    <w:p>
      <w:pPr>
        <w:jc w:val="center"/>
        <w:ind w:right="1679"/>
        <w:spacing w:after="0"/>
        <w:rPr>
          <w:sz w:val="20"/>
          <w:szCs w:val="20"/>
          <w:color w:val="auto"/>
        </w:rPr>
      </w:pPr>
      <w:r>
        <w:rPr>
          <w:rFonts w:ascii="Courier New" w:cs="Courier New" w:eastAsia="Courier New" w:hAnsi="Courier New"/>
          <w:sz w:val="18"/>
          <w:szCs w:val="18"/>
          <w:color w:val="auto"/>
        </w:rPr>
        <w:t>QUALITY, QUANTITY, SUITABILITY OR FITNESS FOR ANY PARTICULAR PURPOSE OR THE</w:t>
      </w:r>
    </w:p>
    <w:p>
      <w:pPr>
        <w:spacing w:after="0" w:line="4"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RESULTS OBTAINED OF THE CONTINUING BUSINESS. ALL OTHER REPRESENTATIONS, WARRANTIES, AND COVENANTS, EXPRESS OR IMPLIED, STATUTORY, COMMON LAW OR OTHERWISE, OF ANY NATURE, INCLUDING WITH RESPECT TO THE WARRANTIES OF MERCHANTABILITY, QUALITY, QUANTITY, SUITABILITY OR FITNESS FOR ANY PARTICULAR PURPOSE OR THE RESULTS OBTAINED OF THE CONTINUING BUSINESS ARE HEREBY DISCLAIMED BY PROVIDING PARTY.</w:t>
      </w:r>
    </w:p>
    <w:p>
      <w:pPr>
        <w:spacing w:after="0" w:line="204" w:lineRule="exact"/>
        <w:rPr>
          <w:sz w:val="20"/>
          <w:szCs w:val="20"/>
          <w:color w:val="auto"/>
        </w:rPr>
      </w:pPr>
    </w:p>
    <w:p>
      <w:pPr>
        <w:ind w:left="5640"/>
        <w:spacing w:after="0"/>
        <w:rPr>
          <w:sz w:val="20"/>
          <w:szCs w:val="20"/>
          <w:color w:val="auto"/>
        </w:rPr>
      </w:pPr>
      <w:r>
        <w:rPr>
          <w:rFonts w:ascii="Courier New" w:cs="Courier New" w:eastAsia="Courier New" w:hAnsi="Courier New"/>
          <w:sz w:val="18"/>
          <w:szCs w:val="18"/>
          <w:color w:val="auto"/>
        </w:rPr>
        <w:t>ARTICLE X</w:t>
      </w:r>
    </w:p>
    <w:p>
      <w:pPr>
        <w:ind w:left="5180"/>
        <w:spacing w:after="0" w:line="238" w:lineRule="auto"/>
        <w:rPr>
          <w:sz w:val="20"/>
          <w:szCs w:val="20"/>
          <w:color w:val="auto"/>
        </w:rPr>
      </w:pPr>
      <w:r>
        <w:rPr>
          <w:rFonts w:ascii="Courier New" w:cs="Courier New" w:eastAsia="Courier New" w:hAnsi="Courier New"/>
          <w:sz w:val="18"/>
          <w:szCs w:val="18"/>
          <w:color w:val="auto"/>
        </w:rPr>
        <w:t>INDEMNIFICATION</w:t>
      </w:r>
    </w:p>
    <w:p>
      <w:pPr>
        <w:spacing w:after="0" w:line="202" w:lineRule="exact"/>
        <w:rPr>
          <w:sz w:val="20"/>
          <w:szCs w:val="20"/>
          <w:color w:val="auto"/>
        </w:rPr>
      </w:pPr>
    </w:p>
    <w:p>
      <w:pPr>
        <w:ind w:left="3600"/>
        <w:spacing w:after="0"/>
        <w:rPr>
          <w:sz w:val="20"/>
          <w:szCs w:val="20"/>
          <w:color w:val="auto"/>
        </w:rPr>
      </w:pPr>
      <w:r>
        <w:rPr>
          <w:rFonts w:ascii="Courier New" w:cs="Courier New" w:eastAsia="Courier New" w:hAnsi="Courier New"/>
          <w:sz w:val="18"/>
          <w:szCs w:val="18"/>
          <w:color w:val="auto"/>
        </w:rPr>
        <w:t>10.1 Indemnification.</w:t>
      </w:r>
    </w:p>
    <w:p>
      <w:pPr>
        <w:spacing w:after="0" w:line="207" w:lineRule="exact"/>
        <w:rPr>
          <w:sz w:val="20"/>
          <w:szCs w:val="20"/>
          <w:color w:val="auto"/>
        </w:rPr>
      </w:pPr>
    </w:p>
    <w:p>
      <w:pPr>
        <w:ind w:left="320" w:right="1899" w:firstLine="1795"/>
        <w:spacing w:after="0" w:line="268" w:lineRule="auto"/>
        <w:tabs>
          <w:tab w:leader="none" w:pos="2532"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Article IV, RECEIVING PARTY will indemnify, defend and hold harmless PROVIDING PARTY, each Subsidiary and Affiliate of</w:t>
      </w:r>
    </w:p>
    <w:p>
      <w:pPr>
        <w:jc w:val="center"/>
        <w:ind w:right="1679"/>
        <w:spacing w:after="0" w:line="236" w:lineRule="auto"/>
        <w:rPr>
          <w:sz w:val="20"/>
          <w:szCs w:val="20"/>
          <w:color w:val="auto"/>
        </w:rPr>
      </w:pPr>
      <w:r>
        <w:rPr>
          <w:rFonts w:ascii="Courier New" w:cs="Courier New" w:eastAsia="Courier New" w:hAnsi="Courier New"/>
          <w:sz w:val="18"/>
          <w:szCs w:val="18"/>
          <w:color w:val="auto"/>
        </w:rPr>
        <w:t>PROVIDING PARTY, each of their respective past and present directors, officers, employees, agents, consultants, advisors, accountants and attorneys ("Representatives"), and each of their respective successors and assigns</w:t>
      </w:r>
    </w:p>
    <w:p>
      <w:pPr>
        <w:spacing w:after="0" w:line="6" w:lineRule="exact"/>
        <w:rPr>
          <w:sz w:val="20"/>
          <w:szCs w:val="20"/>
          <w:color w:val="auto"/>
        </w:rPr>
      </w:pPr>
    </w:p>
    <w:p>
      <w:pPr>
        <w:jc w:val="center"/>
        <w:ind w:left="360" w:right="100"/>
        <w:spacing w:after="0" w:line="275" w:lineRule="auto"/>
        <w:rPr>
          <w:sz w:val="20"/>
          <w:szCs w:val="20"/>
          <w:color w:val="auto"/>
        </w:rPr>
      </w:pPr>
      <w:r>
        <w:rPr>
          <w:rFonts w:ascii="Courier New" w:cs="Courier New" w:eastAsia="Courier New" w:hAnsi="Courier New"/>
          <w:sz w:val="16"/>
          <w:szCs w:val="16"/>
          <w:color w:val="auto"/>
        </w:rPr>
        <w:t>(collectively, the "PROVIDING PARTY Indemnified Parties") from and against any and all Damages (as defined below) incurred or suffered by the PROVIDING PARTY Indemnified Parties arising or resulting from the provision of Corporate Services hereunder, which Damages shall be reduced to the extent of:</w:t>
      </w:r>
    </w:p>
    <w:p>
      <w:pPr>
        <w:spacing w:after="0" w:line="182" w:lineRule="exact"/>
        <w:rPr>
          <w:sz w:val="20"/>
          <w:szCs w:val="20"/>
          <w:color w:val="auto"/>
        </w:rPr>
      </w:pPr>
    </w:p>
    <w:p>
      <w:pPr>
        <w:ind w:left="1900" w:right="1679" w:firstLine="1163"/>
        <w:spacing w:after="0" w:line="290" w:lineRule="auto"/>
        <w:tabs>
          <w:tab w:leader="none" w:pos="3480"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Damages caused or contributed to by PROVIDING PARTY's negligence, willful misconduct or violation or law; or</w:t>
      </w:r>
    </w:p>
    <w:p>
      <w:pPr>
        <w:spacing w:after="0" w:line="169" w:lineRule="exact"/>
        <w:rPr>
          <w:rFonts w:ascii="Courier New" w:cs="Courier New" w:eastAsia="Courier New" w:hAnsi="Courier New"/>
          <w:sz w:val="16"/>
          <w:szCs w:val="16"/>
          <w:color w:val="auto"/>
        </w:rPr>
      </w:pPr>
    </w:p>
    <w:p>
      <w:pPr>
        <w:ind w:left="3380" w:right="1739" w:hanging="475"/>
        <w:spacing w:after="0" w:line="235" w:lineRule="auto"/>
        <w:tabs>
          <w:tab w:leader="none" w:pos="3432"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Damages caused or contributed to by a breach of this Agreement by PROVIDING PARTY.</w:t>
      </w:r>
    </w:p>
    <w:p>
      <w:pPr>
        <w:spacing w:after="0" w:line="208"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"Damages" means, subject to Article IV hereof, all losses, claims, demands, damages, liabilities, judgments, dues, penalties, assessments, fines (civil, criminal or administrative), costs, liens, forfeitures, settlements, fees or expenses (including reasonable attorneys' fees and expenses and any other expenses reasonably incurred in connection with investigating, prosecuting or defending a claim or Action).</w:t>
      </w:r>
    </w:p>
    <w:p>
      <w:pPr>
        <w:spacing w:after="0" w:line="210" w:lineRule="exact"/>
        <w:rPr>
          <w:sz w:val="20"/>
          <w:szCs w:val="20"/>
          <w:color w:val="auto"/>
        </w:rPr>
      </w:pPr>
    </w:p>
    <w:p>
      <w:pPr>
        <w:ind w:right="1679" w:firstLine="2115"/>
        <w:spacing w:after="0" w:line="268" w:lineRule="auto"/>
        <w:tabs>
          <w:tab w:leader="none" w:pos="2528"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this Section 10.1(b), PROVIDING PARTY will have no liability to RECEIVING PARTY for or in connection with any of</w:t>
      </w:r>
    </w:p>
    <w:p>
      <w:pPr>
        <w:jc w:val="center"/>
        <w:ind w:right="1679" w:firstLine="211"/>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Corporate Services rendered hereunder or for any actions or omissions of PROVIDING PARTY in connection with the provision of any Corporate Services hereunder. Subject to the provisions hereof and subject to Article IV, PROVIDING PARTY will indemnify, defend and hold harmless RECEIVING PARTY, each Subsidiary and Affiliate of RECEIVING PARTY, each of their respective past and present Representatives, and each of their respective successors and assigns (collectively, the "RECEIVING PARTY Indemnified Parties") from and against any and all Damages incurred or suffered by the RECEIVING PARTY Indemnified Parties</w:t>
      </w:r>
    </w:p>
    <w:p>
      <w:pPr>
        <w:ind w:left="1580"/>
        <w:spacing w:after="0" w:line="235" w:lineRule="auto"/>
        <w:rPr>
          <w:sz w:val="20"/>
          <w:szCs w:val="20"/>
          <w:color w:val="auto"/>
        </w:rPr>
      </w:pPr>
      <w:r>
        <w:rPr>
          <w:rFonts w:ascii="Courier New" w:cs="Courier New" w:eastAsia="Courier New" w:hAnsi="Courier New"/>
          <w:sz w:val="18"/>
          <w:szCs w:val="18"/>
          <w:color w:val="auto"/>
        </w:rPr>
        <w:t>arising or resulting from either of the following:</w:t>
      </w:r>
    </w:p>
    <w:p>
      <w:pPr>
        <w:spacing w:after="0" w:line="200" w:lineRule="exact"/>
        <w:rPr>
          <w:sz w:val="20"/>
          <w:szCs w:val="20"/>
          <w:color w:val="auto"/>
        </w:rPr>
      </w:pPr>
    </w:p>
    <w:p>
      <w:pPr>
        <w:spacing w:after="0" w:line="204" w:lineRule="exact"/>
        <w:rPr>
          <w:sz w:val="20"/>
          <w:szCs w:val="20"/>
          <w:color w:val="auto"/>
        </w:rPr>
      </w:pPr>
    </w:p>
    <w:p>
      <w:pPr>
        <w:ind w:left="618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119"/>
          </w:cols>
          <w:pgMar w:left="340" w:top="514" w:right="1440" w:bottom="1440" w:gutter="0" w:footer="0" w:header="0"/>
        </w:sectPr>
      </w:pPr>
    </w:p>
    <w:bookmarkStart w:id="206" w:name="page207"/>
    <w:bookmarkEnd w:id="206"/>
    <w:p>
      <w:pPr>
        <w:ind w:left="2060" w:right="1839" w:firstLine="1109"/>
        <w:spacing w:after="0" w:line="268" w:lineRule="auto"/>
        <w:tabs>
          <w:tab w:leader="none" w:pos="3588"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that PROVIDING PARTY's use of the software or other intellectual property used to provide the Corporate Services or Transition Assistance, or any results</w:t>
      </w:r>
    </w:p>
    <w:p>
      <w:pPr>
        <w:ind w:left="2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proceeds of such Corporate Services or Transition</w:t>
      </w:r>
    </w:p>
    <w:p>
      <w:pPr>
        <w:spacing w:after="0" w:line="4" w:lineRule="exact"/>
        <w:rPr>
          <w:rFonts w:ascii="Courier New" w:cs="Courier New" w:eastAsia="Courier New" w:hAnsi="Courier New"/>
          <w:sz w:val="16"/>
          <w:szCs w:val="16"/>
          <w:color w:val="auto"/>
        </w:rPr>
      </w:pPr>
    </w:p>
    <w:p>
      <w:pPr>
        <w:jc w:val="center"/>
        <w:ind w:left="2020" w:right="17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Assistance, infringes, misappropriates or otherwise violates any United States patent, copyright, trademark, trade secret or other intellectual property rights; provided, that such</w:t>
      </w:r>
    </w:p>
    <w:p>
      <w:pPr>
        <w:spacing w:after="0" w:line="1" w:lineRule="exact"/>
        <w:rPr>
          <w:sz w:val="20"/>
          <w:szCs w:val="20"/>
          <w:color w:val="auto"/>
        </w:rPr>
      </w:pPr>
    </w:p>
    <w:p>
      <w:pPr>
        <w:jc w:val="center"/>
        <w:ind w:left="2240" w:right="60"/>
        <w:spacing w:after="0" w:line="237" w:lineRule="auto"/>
        <w:rPr>
          <w:sz w:val="20"/>
          <w:szCs w:val="20"/>
          <w:color w:val="auto"/>
        </w:rPr>
      </w:pPr>
      <w:r>
        <w:rPr>
          <w:rFonts w:ascii="Courier New" w:cs="Courier New" w:eastAsia="Courier New" w:hAnsi="Courier New"/>
          <w:sz w:val="18"/>
          <w:szCs w:val="18"/>
          <w:color w:val="auto"/>
        </w:rPr>
        <w:t>intellectual property indemnity shall not apply to the extent that any such claim arises out of any modification to such software or other intellectual property made by RECEIVING PARTY without PROVIDING PARTY's authorization or participation, or</w:t>
      </w:r>
    </w:p>
    <w:p>
      <w:pPr>
        <w:spacing w:after="0" w:line="209" w:lineRule="exact"/>
        <w:rPr>
          <w:sz w:val="20"/>
          <w:szCs w:val="20"/>
          <w:color w:val="auto"/>
        </w:rPr>
      </w:pPr>
    </w:p>
    <w:p>
      <w:pPr>
        <w:ind w:left="1900" w:right="1679" w:firstLine="1216"/>
        <w:spacing w:after="0" w:line="268" w:lineRule="auto"/>
        <w:tabs>
          <w:tab w:leader="none" w:pos="3638"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PARTY's gross negligence, willful misconduct, improper use or disclosure of customer information</w:t>
      </w:r>
    </w:p>
    <w:p>
      <w:pPr>
        <w:jc w:val="center"/>
        <w:ind w:right="-220"/>
        <w:spacing w:after="0" w:line="233" w:lineRule="auto"/>
        <w:rPr>
          <w:sz w:val="20"/>
          <w:szCs w:val="20"/>
          <w:color w:val="auto"/>
        </w:rPr>
      </w:pPr>
      <w:r>
        <w:rPr>
          <w:rFonts w:ascii="Courier New" w:cs="Courier New" w:eastAsia="Courier New" w:hAnsi="Courier New"/>
          <w:sz w:val="18"/>
          <w:szCs w:val="18"/>
          <w:color w:val="auto"/>
        </w:rPr>
        <w:t>or violations of law;</w:t>
      </w:r>
    </w:p>
    <w:p>
      <w:pPr>
        <w:spacing w:after="0" w:line="208"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provided, that in each of the cases described in subclauses (i) through (ii) above, the amount of Damages incurred or sustained by RECEIVING PARTY shall be reduced to the extent such Damages shall have been caused or contributed to by any action or omission of RECEIVING PARTY in amounts equal to RECEIVING PARTY's equitable share of such Damages determined in accordance with its relative culpability for such Damages or the relative fault of RECEIVING PARTY or its Subsidiaries.</w:t>
      </w:r>
    </w:p>
    <w:p>
      <w:pPr>
        <w:spacing w:after="0" w:line="205"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10.2 Indemnification Procedures.</w:t>
      </w:r>
    </w:p>
    <w:p>
      <w:pPr>
        <w:spacing w:after="0" w:line="207" w:lineRule="exact"/>
        <w:rPr>
          <w:sz w:val="20"/>
          <w:szCs w:val="20"/>
          <w:color w:val="auto"/>
        </w:rPr>
      </w:pPr>
    </w:p>
    <w:p>
      <w:pPr>
        <w:ind w:left="120" w:right="1779" w:firstLine="2048"/>
        <w:spacing w:after="0" w:line="268" w:lineRule="auto"/>
        <w:tabs>
          <w:tab w:leader="none" w:pos="2596"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 Notice. A Party that seeks indemnity under this Article X (an "Indemnified Party") will give written notice (a "Claim Notice")</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the Party from whom indemnification is sought (an "Indemnifying Party"),</w:t>
      </w:r>
    </w:p>
    <w:p>
      <w:pPr>
        <w:spacing w:after="0" w:line="5"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whether the Damages sought arise from matters solely between the Parties or from</w:t>
      </w:r>
    </w:p>
    <w:p>
      <w:pPr>
        <w:spacing w:after="0" w:line="21"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Third Party Claims. The Claim Notice must contain (i) a description and, if known, estimated amount (the "Claimed Amount") of any Damages incurred or reasonably expected to be incurred by the Indemnified Party, (ii) a reasonable explanation of the basis for the Claim Notice to the extent of facts then known by the Indemnified Party, and (iii) a demand for payment of those Damages. No delay or deficiency on the part of the Indemnified Party in so notifying the Indemnifying Party will relieve the Indemnifying Party of any liability for Damages or obligation hereunder except to the extent of any Damages caused by or arising out of such failure.</w:t>
      </w:r>
    </w:p>
    <w:p>
      <w:pPr>
        <w:spacing w:after="0" w:line="214" w:lineRule="exact"/>
        <w:rPr>
          <w:sz w:val="20"/>
          <w:szCs w:val="20"/>
          <w:color w:val="auto"/>
        </w:rPr>
      </w:pPr>
    </w:p>
    <w:p>
      <w:pPr>
        <w:ind w:left="540" w:right="1679" w:firstLine="1365"/>
        <w:spacing w:after="0" w:line="268" w:lineRule="auto"/>
        <w:tabs>
          <w:tab w:leader="none" w:pos="2331"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Response to Notice of Claim. Within thirty (30) days after delivery of a Claim Notice, the Indemnifying Party will deliver to the</w:t>
      </w:r>
    </w:p>
    <w:p>
      <w:pPr>
        <w:jc w:val="center"/>
        <w:ind w:right="1679"/>
        <w:spacing w:after="0" w:line="233" w:lineRule="auto"/>
        <w:rPr>
          <w:sz w:val="20"/>
          <w:szCs w:val="20"/>
          <w:color w:val="auto"/>
        </w:rPr>
      </w:pPr>
      <w:r>
        <w:rPr>
          <w:rFonts w:ascii="Courier New" w:cs="Courier New" w:eastAsia="Courier New" w:hAnsi="Courier New"/>
          <w:sz w:val="18"/>
          <w:szCs w:val="18"/>
          <w:color w:val="auto"/>
        </w:rPr>
        <w:t>Indemnified Party a written response in which the Indemnifying Party will</w:t>
      </w:r>
    </w:p>
    <w:p>
      <w:pPr>
        <w:spacing w:after="0" w:line="5"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either: (i) agree that the Indemnified Party is entitled to receive all of the Claimed Amount and, in which case, the Indemnifying Party will pay the Claimed Amount in accordance with a payment and distribution method reasonably acceptable to the Indemnified Party; or (ii) dispute that the Indemnified Party is entitled to receive all or any portion of the Claimed Amount, in which case, the Parties will resort to the dispute resolution procedures set forth in Section 1.4.</w:t>
      </w:r>
    </w:p>
    <w:p>
      <w:pPr>
        <w:spacing w:after="0" w:line="211" w:lineRule="exact"/>
        <w:rPr>
          <w:sz w:val="20"/>
          <w:szCs w:val="20"/>
          <w:color w:val="auto"/>
        </w:rPr>
      </w:pPr>
    </w:p>
    <w:p>
      <w:pPr>
        <w:ind w:left="120" w:right="1679" w:firstLine="1785"/>
        <w:spacing w:after="0" w:line="268" w:lineRule="auto"/>
        <w:tabs>
          <w:tab w:leader="none" w:pos="2332"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Contested Claims. In the event that the Indemnifying Party disputes the Claimed Amount, as soon as practicable but in no event later than</w:t>
      </w:r>
    </w:p>
    <w:p>
      <w:pPr>
        <w:jc w:val="center"/>
        <w:ind w:right="1679"/>
        <w:spacing w:after="0" w:line="279" w:lineRule="auto"/>
        <w:rPr>
          <w:sz w:val="20"/>
          <w:szCs w:val="20"/>
          <w:color w:val="auto"/>
        </w:rPr>
      </w:pPr>
      <w:r>
        <w:rPr>
          <w:rFonts w:ascii="Courier New" w:cs="Courier New" w:eastAsia="Courier New" w:hAnsi="Courier New"/>
          <w:sz w:val="16"/>
          <w:szCs w:val="16"/>
          <w:color w:val="auto"/>
        </w:rPr>
        <w:t>ten (10) days after the receipt of the notice referenced in Section 10.2(b)(ii) hereof, the Parties will begin the process to resolve the matter in accordance with the dispute resolution provisions of Section 1.4 hereof. Upon</w:t>
      </w:r>
    </w:p>
    <w:p>
      <w:pPr>
        <w:spacing w:after="0" w:line="200" w:lineRule="exact"/>
        <w:rPr>
          <w:sz w:val="20"/>
          <w:szCs w:val="20"/>
          <w:color w:val="auto"/>
        </w:rPr>
      </w:pPr>
    </w:p>
    <w:p>
      <w:pPr>
        <w:spacing w:after="0" w:line="378" w:lineRule="exact"/>
        <w:rPr>
          <w:sz w:val="20"/>
          <w:szCs w:val="20"/>
          <w:color w:val="auto"/>
        </w:rPr>
      </w:pPr>
    </w:p>
    <w:p>
      <w:pPr>
        <w:ind w:left="618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119"/>
          </w:cols>
          <w:pgMar w:left="340" w:top="520" w:right="1440" w:bottom="1440" w:gutter="0" w:footer="0" w:header="0"/>
        </w:sectPr>
      </w:pPr>
    </w:p>
    <w:bookmarkStart w:id="207" w:name="page208"/>
    <w:bookmarkEnd w:id="207"/>
    <w:p>
      <w:pPr>
        <w:jc w:val="center"/>
        <w:ind w:right="2219"/>
        <w:spacing w:after="0"/>
        <w:rPr>
          <w:sz w:val="20"/>
          <w:szCs w:val="20"/>
          <w:color w:val="auto"/>
        </w:rPr>
      </w:pPr>
      <w:r>
        <w:rPr>
          <w:rFonts w:ascii="Courier New" w:cs="Courier New" w:eastAsia="Courier New" w:hAnsi="Courier New"/>
          <w:sz w:val="16"/>
          <w:szCs w:val="16"/>
          <w:color w:val="auto"/>
        </w:rPr>
        <w:t>ultimate resolution thereof, the Parties will take such actions as are</w:t>
      </w:r>
    </w:p>
    <w:p>
      <w:pPr>
        <w:spacing w:after="0" w:line="1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8"/>
          <w:szCs w:val="18"/>
          <w:color w:val="auto"/>
        </w:rPr>
        <w:t>reasonably necessary to comply with such agreement or instructions.</w:t>
      </w:r>
    </w:p>
    <w:p>
      <w:pPr>
        <w:spacing w:after="0" w:line="201" w:lineRule="exact"/>
        <w:rPr>
          <w:sz w:val="20"/>
          <w:szCs w:val="20"/>
          <w:color w:val="auto"/>
        </w:rPr>
      </w:pPr>
    </w:p>
    <w:p>
      <w:pPr>
        <w:ind w:left="3840" w:hanging="421"/>
        <w:spacing w:after="0"/>
        <w:tabs>
          <w:tab w:leader="none" w:pos="3840"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Claims.</w:t>
      </w:r>
    </w:p>
    <w:p>
      <w:pPr>
        <w:spacing w:after="0" w:line="206" w:lineRule="exact"/>
        <w:rPr>
          <w:rFonts w:ascii="Courier New" w:cs="Courier New" w:eastAsia="Courier New" w:hAnsi="Courier New"/>
          <w:sz w:val="18"/>
          <w:szCs w:val="18"/>
          <w:color w:val="auto"/>
        </w:rPr>
      </w:pPr>
    </w:p>
    <w:p>
      <w:pPr>
        <w:ind w:left="1580" w:right="1739" w:firstLine="785"/>
        <w:spacing w:after="0" w:line="268" w:lineRule="auto"/>
        <w:tabs>
          <w:tab w:leader="none" w:pos="2791"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Indemnified Party receives notice or otherwise learns of the assertion by a person or</w:t>
      </w:r>
    </w:p>
    <w:p>
      <w:pPr>
        <w:jc w:val="center"/>
        <w:ind w:right="319"/>
        <w:spacing w:after="0"/>
        <w:rPr>
          <w:sz w:val="20"/>
          <w:szCs w:val="20"/>
          <w:color w:val="auto"/>
        </w:rPr>
      </w:pPr>
      <w:r>
        <w:rPr>
          <w:rFonts w:ascii="Courier New" w:cs="Courier New" w:eastAsia="Courier New" w:hAnsi="Courier New"/>
          <w:sz w:val="16"/>
          <w:szCs w:val="16"/>
          <w:color w:val="auto"/>
        </w:rPr>
        <w:t>entity who is not a Party hereto or a Subsidiary or Affiliate</w:t>
      </w:r>
    </w:p>
    <w:p>
      <w:pPr>
        <w:spacing w:after="0" w:line="21" w:lineRule="exact"/>
        <w:rPr>
          <w:sz w:val="20"/>
          <w:szCs w:val="20"/>
          <w:color w:val="auto"/>
        </w:rPr>
      </w:pPr>
    </w:p>
    <w:p>
      <w:pPr>
        <w:jc w:val="center"/>
        <w:ind w:left="2240"/>
        <w:spacing w:after="0" w:line="269" w:lineRule="auto"/>
        <w:rPr>
          <w:sz w:val="20"/>
          <w:szCs w:val="20"/>
          <w:color w:val="auto"/>
        </w:rPr>
      </w:pPr>
      <w:r>
        <w:rPr>
          <w:rFonts w:ascii="Courier New" w:cs="Courier New" w:eastAsia="Courier New" w:hAnsi="Courier New"/>
          <w:sz w:val="16"/>
          <w:szCs w:val="16"/>
          <w:color w:val="auto"/>
        </w:rPr>
        <w:t>of a Party hereto of any claim or the commencement of any action (a "Third-Party Claim") with respect to which the Indemnifying Party may be obligated to provide indemnification under this Article X, the Indemnified Party will give written notification to the Indemnifying Party of the Third-Party Claim. Such notification will be given within fifteen (15) days after receipt by the Indemnified Party of notice of such Third-Party Claim, will be accompanied by reasonable supporting documentation submitted by such third party (to the extent then in the possession of the Indemnified Party) and will describe in reasonable detail (to the extent known by the Indemnified Party) the facts constituting the basis for such Third-Party Claim and the amount of the claimed Damages; provided, however, that no delay or deficiency on the part of the Indemnified Party in so notifying the Indemnifying Party will relieve the Indemnifying Party of any liability for Damages or obligation hereunder except to the extent of any Damages caused by or arising out of such failure. Within twenty (20) days after delivery of such notification, the Indemnifying Party may, upon written notice thereof to the Indemnified Party, assume control of the defense of such Third-Party Claim with counsel reasonably satisfactory to the Indemnified Party. During any period in which the Indemnifying Party has not so assumed control of such defense, the Indemnified Party will control such defense.</w:t>
      </w:r>
    </w:p>
    <w:p>
      <w:pPr>
        <w:spacing w:after="0" w:line="200" w:lineRule="exact"/>
        <w:rPr>
          <w:sz w:val="20"/>
          <w:szCs w:val="20"/>
          <w:color w:val="auto"/>
        </w:rPr>
      </w:pPr>
    </w:p>
    <w:p>
      <w:pPr>
        <w:spacing w:after="0" w:line="395" w:lineRule="exact"/>
        <w:rPr>
          <w:sz w:val="20"/>
          <w:szCs w:val="20"/>
          <w:color w:val="auto"/>
        </w:rPr>
      </w:pPr>
    </w:p>
    <w:p>
      <w:pPr>
        <w:ind w:left="1520" w:right="1839" w:firstLine="1056"/>
        <w:spacing w:after="0" w:line="268" w:lineRule="auto"/>
        <w:tabs>
          <w:tab w:leader="none" w:pos="310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Party not controlling such defense (the "Non-controlling Party") may participate therein at its own</w:t>
      </w:r>
    </w:p>
    <w:p>
      <w:pPr>
        <w:jc w:val="center"/>
        <w:ind w:right="319"/>
        <w:spacing w:after="0" w:line="233" w:lineRule="auto"/>
        <w:rPr>
          <w:sz w:val="20"/>
          <w:szCs w:val="20"/>
          <w:color w:val="auto"/>
        </w:rPr>
      </w:pPr>
      <w:r>
        <w:rPr>
          <w:rFonts w:ascii="Courier New" w:cs="Courier New" w:eastAsia="Courier New" w:hAnsi="Courier New"/>
          <w:sz w:val="18"/>
          <w:szCs w:val="18"/>
          <w:color w:val="auto"/>
        </w:rPr>
        <w:t>expense.</w:t>
      </w:r>
    </w:p>
    <w:p>
      <w:pPr>
        <w:spacing w:after="0" w:line="208" w:lineRule="exact"/>
        <w:rPr>
          <w:sz w:val="20"/>
          <w:szCs w:val="20"/>
          <w:color w:val="auto"/>
        </w:rPr>
      </w:pPr>
    </w:p>
    <w:p>
      <w:pPr>
        <w:ind w:left="1680" w:right="1999" w:firstLine="1054"/>
        <w:spacing w:after="0" w:line="268" w:lineRule="auto"/>
        <w:tabs>
          <w:tab w:leader="none" w:pos="3365"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Party controlling such defense (the "Controlling Party") will keep the Non-controlling Party</w:t>
      </w:r>
    </w:p>
    <w:p>
      <w:pPr>
        <w:jc w:val="center"/>
        <w:ind w:left="2240"/>
        <w:spacing w:after="0" w:line="237" w:lineRule="auto"/>
        <w:rPr>
          <w:sz w:val="20"/>
          <w:szCs w:val="20"/>
          <w:color w:val="auto"/>
        </w:rPr>
      </w:pPr>
      <w:r>
        <w:rPr>
          <w:rFonts w:ascii="Courier New" w:cs="Courier New" w:eastAsia="Courier New" w:hAnsi="Courier New"/>
          <w:sz w:val="18"/>
          <w:szCs w:val="18"/>
          <w:color w:val="auto"/>
        </w:rPr>
        <w:t>reasonably advised of the status of such Third-Party Claim and the defense thereof and will consider in good faith recommendations made by the Non-controlling Party with respect thereto. The Non-controlling Party will furnish the</w:t>
      </w:r>
    </w:p>
    <w:p>
      <w:pPr>
        <w:spacing w:after="0" w:line="5" w:lineRule="exact"/>
        <w:rPr>
          <w:sz w:val="20"/>
          <w:szCs w:val="20"/>
          <w:color w:val="auto"/>
        </w:rPr>
      </w:pPr>
    </w:p>
    <w:p>
      <w:pPr>
        <w:jc w:val="center"/>
        <w:ind w:left="2260" w:right="100"/>
        <w:spacing w:after="0" w:line="271" w:lineRule="auto"/>
        <w:rPr>
          <w:sz w:val="20"/>
          <w:szCs w:val="20"/>
          <w:color w:val="auto"/>
        </w:rPr>
      </w:pPr>
      <w:r>
        <w:rPr>
          <w:rFonts w:ascii="Courier New" w:cs="Courier New" w:eastAsia="Courier New" w:hAnsi="Courier New"/>
          <w:sz w:val="16"/>
          <w:szCs w:val="16"/>
          <w:color w:val="auto"/>
        </w:rPr>
        <w:t>Controlling Party with such Information as it may have with respect to such Third-Party Claim (including copies of any summons, complaint or other pleading which may have been served on such Party and any written claim, demand, invoice, billing or other document evidencing or asserting the same) and will otherwise cooperate with and assist the Controlling Party in the defense of such Third-Party Claim.</w:t>
      </w:r>
    </w:p>
    <w:p>
      <w:pPr>
        <w:spacing w:after="0" w:line="188" w:lineRule="exact"/>
        <w:rPr>
          <w:sz w:val="20"/>
          <w:szCs w:val="20"/>
          <w:color w:val="auto"/>
        </w:rPr>
      </w:pPr>
    </w:p>
    <w:p>
      <w:pPr>
        <w:ind w:left="1420" w:right="1739" w:firstLine="1103"/>
        <w:spacing w:after="0" w:line="268" w:lineRule="auto"/>
        <w:tabs>
          <w:tab w:leader="none" w:pos="3053"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Indemnifying Party will not agree to any settlement of, or the entry of any judgment arising from, any</w:t>
      </w:r>
    </w:p>
    <w:p>
      <w:pPr>
        <w:jc w:val="center"/>
        <w:ind w:left="1420" w:right="1739" w:firstLine="105"/>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such Third-Party Claim without the prior written consent of the Indemnified Party, which consent will not be unreasonably withheld or delayed; provided, however, that the consent of the Indemnified Party will not be required if (A) the Indemnifying Party agrees in writing to pay any amounts payable pursuant to such settlement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64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579"/>
          </w:cols>
          <w:pgMar w:left="880" w:top="520" w:right="1440" w:bottom="1440" w:gutter="0" w:footer="0" w:header="0"/>
        </w:sectPr>
      </w:pPr>
    </w:p>
    <w:bookmarkStart w:id="208" w:name="page209"/>
    <w:bookmarkEnd w:id="208"/>
    <w:p>
      <w:pPr>
        <w:jc w:val="center"/>
        <w:ind w:left="2240" w:right="60"/>
        <w:spacing w:after="0" w:line="237" w:lineRule="auto"/>
        <w:rPr>
          <w:sz w:val="20"/>
          <w:szCs w:val="20"/>
          <w:color w:val="auto"/>
        </w:rPr>
      </w:pPr>
      <w:r>
        <w:rPr>
          <w:rFonts w:ascii="Courier New" w:cs="Courier New" w:eastAsia="Courier New" w:hAnsi="Courier New"/>
          <w:sz w:val="18"/>
          <w:szCs w:val="18"/>
          <w:color w:val="auto"/>
        </w:rPr>
        <w:t>or judgment, and (B) such settlement or judgment includes a full, complete and unconditional release of the Indemnified Party from further Liability. The Indemnified Party will not agree to any settlement of, or the entry of any judgment arising from, any such Third-Party Claim without the prior written consent of the Indemnifying Party, which consent will not be unreasonably withheld or delayed.</w:t>
      </w:r>
    </w:p>
    <w:p>
      <w:pPr>
        <w:spacing w:after="0" w:line="205" w:lineRule="exact"/>
        <w:rPr>
          <w:sz w:val="20"/>
          <w:szCs w:val="20"/>
          <w:color w:val="auto"/>
        </w:rPr>
      </w:pPr>
    </w:p>
    <w:p>
      <w:pPr>
        <w:ind w:left="5540"/>
        <w:spacing w:after="0"/>
        <w:rPr>
          <w:sz w:val="20"/>
          <w:szCs w:val="20"/>
          <w:color w:val="auto"/>
        </w:rPr>
      </w:pPr>
      <w:r>
        <w:rPr>
          <w:rFonts w:ascii="Courier New" w:cs="Courier New" w:eastAsia="Courier New" w:hAnsi="Courier New"/>
          <w:sz w:val="18"/>
          <w:szCs w:val="18"/>
          <w:color w:val="auto"/>
        </w:rPr>
        <w:t>ARTICLE XI</w:t>
      </w:r>
    </w:p>
    <w:p>
      <w:pPr>
        <w:ind w:left="5320"/>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left="120" w:right="1779" w:firstLine="1001"/>
        <w:spacing w:after="0" w:line="268" w:lineRule="auto"/>
        <w:rPr>
          <w:sz w:val="20"/>
          <w:szCs w:val="20"/>
          <w:color w:val="auto"/>
        </w:rPr>
      </w:pPr>
      <w:r>
        <w:rPr>
          <w:rFonts w:ascii="Courier New" w:cs="Courier New" w:eastAsia="Courier New" w:hAnsi="Courier New"/>
          <w:sz w:val="16"/>
          <w:szCs w:val="16"/>
          <w:color w:val="auto"/>
        </w:rPr>
        <w:t>11.1 Relationship of the Parties. The Parties declare and agree that each Party is engaged in a business that is independent from that of the other</w:t>
      </w:r>
    </w:p>
    <w:p>
      <w:pPr>
        <w:jc w:val="center"/>
        <w:ind w:right="1679"/>
        <w:spacing w:after="0" w:line="271" w:lineRule="auto"/>
        <w:rPr>
          <w:sz w:val="20"/>
          <w:szCs w:val="20"/>
          <w:color w:val="auto"/>
        </w:rPr>
      </w:pPr>
      <w:r>
        <w:rPr>
          <w:rFonts w:ascii="Courier New" w:cs="Courier New" w:eastAsia="Courier New" w:hAnsi="Courier New"/>
          <w:sz w:val="16"/>
          <w:szCs w:val="16"/>
          <w:color w:val="auto"/>
        </w:rPr>
        <w:t>Party and each Party shall perform its obligations as an independent contractor. It is expressly understood and agreed that RECEIVING PARTY and PROVIDING PARTY are not partners, and nothing contained herein is intended to create an agency relationship or a partnership or joint venture with respect to the Corporate Services. Neither Party is an agent of the other and neither Party has any authority to represent or bind the other Party as to any matters, except as authorized herein or in writing by such other Party from time to time.</w:t>
      </w:r>
    </w:p>
    <w:p>
      <w:pPr>
        <w:spacing w:after="0" w:line="188" w:lineRule="exact"/>
        <w:rPr>
          <w:sz w:val="20"/>
          <w:szCs w:val="20"/>
          <w:color w:val="auto"/>
        </w:rPr>
      </w:pPr>
    </w:p>
    <w:p>
      <w:pPr>
        <w:ind w:left="160" w:right="1839" w:firstLine="1001"/>
        <w:spacing w:after="0" w:line="268" w:lineRule="auto"/>
        <w:rPr>
          <w:sz w:val="20"/>
          <w:szCs w:val="20"/>
          <w:color w:val="auto"/>
        </w:rPr>
      </w:pPr>
      <w:r>
        <w:rPr>
          <w:rFonts w:ascii="Courier New" w:cs="Courier New" w:eastAsia="Courier New" w:hAnsi="Courier New"/>
          <w:sz w:val="16"/>
          <w:szCs w:val="16"/>
          <w:color w:val="auto"/>
        </w:rPr>
        <w:t>11.2 Employees. (a) PROVIDING PARTY shall be solely responsible for payment of compensation to its employees and, as between the Parties, for its</w:t>
      </w:r>
    </w:p>
    <w:p>
      <w:pPr>
        <w:jc w:val="center"/>
        <w:ind w:right="1679"/>
        <w:spacing w:after="0" w:line="237" w:lineRule="auto"/>
        <w:rPr>
          <w:sz w:val="20"/>
          <w:szCs w:val="20"/>
          <w:color w:val="auto"/>
        </w:rPr>
      </w:pPr>
      <w:r>
        <w:rPr>
          <w:rFonts w:ascii="Courier New" w:cs="Courier New" w:eastAsia="Courier New" w:hAnsi="Courier New"/>
          <w:sz w:val="18"/>
          <w:szCs w:val="18"/>
          <w:color w:val="auto"/>
        </w:rPr>
        <w:t>Subsidiaries' employees and for any injury to them in the course of their employment. PROVIDING PARTY shall assume full responsibility for payment of all federal, state and local taxes or contributions imposed or required under unemployment insurance, social security and income tax laws with respect to such persons.</w:t>
      </w:r>
    </w:p>
    <w:p>
      <w:pPr>
        <w:spacing w:after="0" w:line="209" w:lineRule="exact"/>
        <w:rPr>
          <w:sz w:val="20"/>
          <w:szCs w:val="20"/>
          <w:color w:val="auto"/>
        </w:rPr>
      </w:pPr>
    </w:p>
    <w:p>
      <w:pPr>
        <w:jc w:val="both"/>
        <w:ind w:right="1679" w:firstLine="1905"/>
        <w:spacing w:after="0" w:line="268" w:lineRule="auto"/>
        <w:tabs>
          <w:tab w:leader="none" w:pos="2318"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RECEIVING PARTY shall be solely responsible for payment of compensation to its employees and, as between the Parties, for its Subsidiaries'</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employees and for any injury to them in the course of their employment.</w:t>
      </w:r>
    </w:p>
    <w:p>
      <w:pPr>
        <w:spacing w:after="0" w:line="4" w:lineRule="exact"/>
        <w:rPr>
          <w:rFonts w:ascii="Courier New" w:cs="Courier New" w:eastAsia="Courier New" w:hAnsi="Courier New"/>
          <w:sz w:val="16"/>
          <w:szCs w:val="16"/>
          <w:color w:val="auto"/>
        </w:rPr>
      </w:pPr>
    </w:p>
    <w:p>
      <w:pPr>
        <w:jc w:val="both"/>
        <w:ind w:left="160" w:right="1839" w:firstLine="52"/>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RECEIVING PARTY shall assume full responsibility for payment of all federal, state and local taxes or contributions imposed or required under unemployment insurance, social security and income tax laws with respect to such persons.</w:t>
      </w:r>
    </w:p>
    <w:p>
      <w:pPr>
        <w:spacing w:after="0" w:line="178" w:lineRule="exact"/>
        <w:rPr>
          <w:sz w:val="20"/>
          <w:szCs w:val="20"/>
          <w:color w:val="auto"/>
        </w:rPr>
      </w:pPr>
    </w:p>
    <w:p>
      <w:pPr>
        <w:ind w:right="1679" w:firstLine="1159"/>
        <w:spacing w:after="0" w:line="268" w:lineRule="auto"/>
        <w:rPr>
          <w:sz w:val="20"/>
          <w:szCs w:val="20"/>
          <w:color w:val="auto"/>
        </w:rPr>
      </w:pPr>
      <w:r>
        <w:rPr>
          <w:rFonts w:ascii="Courier New" w:cs="Courier New" w:eastAsia="Courier New" w:hAnsi="Courier New"/>
          <w:sz w:val="16"/>
          <w:szCs w:val="16"/>
          <w:color w:val="auto"/>
        </w:rPr>
        <w:t>11.3 Assignment. Neither Party may, in connection with a sale of an asset to which one or more of the Corporate Services relate, assign, transfer or</w:t>
      </w:r>
    </w:p>
    <w:p>
      <w:pPr>
        <w:jc w:val="center"/>
        <w:ind w:right="1679"/>
        <w:spacing w:after="0" w:line="237" w:lineRule="auto"/>
        <w:rPr>
          <w:sz w:val="20"/>
          <w:szCs w:val="20"/>
          <w:color w:val="auto"/>
        </w:rPr>
      </w:pPr>
      <w:r>
        <w:rPr>
          <w:rFonts w:ascii="Courier New" w:cs="Courier New" w:eastAsia="Courier New" w:hAnsi="Courier New"/>
          <w:sz w:val="18"/>
          <w:szCs w:val="18"/>
          <w:color w:val="auto"/>
        </w:rPr>
        <w:t>convey any right, obligation or duty, in whole or in part, or of any other interest under this Agreement relating to such Corporate Services without the prior written consent of the other Party. All obligations and duties of a Party under this Agreement shall be binding on all successors in interest and permitted assigns of such Party. Each Party may use its Subsidiaries or Affiliates or subcontractors to perform the Corporate Services; provided that such use shall not relieve such assigning Party of liability for its responsibilities and obligations.</w:t>
      </w:r>
    </w:p>
    <w:p>
      <w:pPr>
        <w:spacing w:after="0" w:line="212" w:lineRule="exact"/>
        <w:rPr>
          <w:sz w:val="20"/>
          <w:szCs w:val="20"/>
          <w:color w:val="auto"/>
        </w:rPr>
      </w:pPr>
    </w:p>
    <w:p>
      <w:pPr>
        <w:ind w:right="1679" w:firstLine="1001"/>
        <w:spacing w:after="0" w:line="268" w:lineRule="auto"/>
        <w:rPr>
          <w:sz w:val="20"/>
          <w:szCs w:val="20"/>
          <w:color w:val="auto"/>
        </w:rPr>
      </w:pPr>
      <w:r>
        <w:rPr>
          <w:rFonts w:ascii="Courier New" w:cs="Courier New" w:eastAsia="Courier New" w:hAnsi="Courier New"/>
          <w:sz w:val="16"/>
          <w:szCs w:val="16"/>
          <w:color w:val="auto"/>
        </w:rPr>
        <w:t>11.4 Severability. In the event that any one or more of the provisions contained herein shall for any reason be held to be unenforceable in any respect</w:t>
      </w:r>
    </w:p>
    <w:p>
      <w:pPr>
        <w:jc w:val="center"/>
        <w:ind w:right="1679"/>
        <w:spacing w:after="0" w:line="236" w:lineRule="auto"/>
        <w:rPr>
          <w:sz w:val="20"/>
          <w:szCs w:val="20"/>
          <w:color w:val="auto"/>
        </w:rPr>
      </w:pPr>
      <w:r>
        <w:rPr>
          <w:rFonts w:ascii="Courier New" w:cs="Courier New" w:eastAsia="Courier New" w:hAnsi="Courier New"/>
          <w:sz w:val="18"/>
          <w:szCs w:val="18"/>
          <w:color w:val="auto"/>
        </w:rPr>
        <w:t>under law, such unenforceability shall not affect any other provision of this Agreement, and this Agreement shall be construed as if such unenforceable provision or provisions had never been contained herein.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18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119"/>
          </w:cols>
          <w:pgMar w:left="340" w:top="520" w:right="1440" w:bottom="1440" w:gutter="0" w:footer="0" w:header="0"/>
        </w:sectPr>
      </w:pPr>
    </w:p>
    <w:bookmarkStart w:id="209" w:name="page210"/>
    <w:bookmarkEnd w:id="209"/>
    <w:p>
      <w:pPr>
        <w:ind w:left="380" w:right="1839" w:firstLine="737"/>
        <w:spacing w:after="0" w:line="268" w:lineRule="auto"/>
        <w:rPr>
          <w:sz w:val="20"/>
          <w:szCs w:val="20"/>
          <w:color w:val="auto"/>
        </w:rPr>
      </w:pPr>
      <w:r>
        <w:rPr>
          <w:rFonts w:ascii="Courier New" w:cs="Courier New" w:eastAsia="Courier New" w:hAnsi="Courier New"/>
          <w:sz w:val="16"/>
          <w:szCs w:val="16"/>
          <w:color w:val="auto"/>
        </w:rPr>
        <w:t>11.5 Third Party Beneficiaries. The provisions of this Agreement are for the benefit of the Parties and their Affiliates and not for any other</w:t>
      </w:r>
    </w:p>
    <w:p>
      <w:pPr>
        <w:jc w:val="center"/>
        <w:ind w:right="1679"/>
        <w:spacing w:after="0" w:line="236" w:lineRule="auto"/>
        <w:rPr>
          <w:sz w:val="20"/>
          <w:szCs w:val="20"/>
          <w:color w:val="auto"/>
        </w:rPr>
      </w:pPr>
      <w:r>
        <w:rPr>
          <w:rFonts w:ascii="Courier New" w:cs="Courier New" w:eastAsia="Courier New" w:hAnsi="Courier New"/>
          <w:sz w:val="18"/>
          <w:szCs w:val="18"/>
          <w:color w:val="auto"/>
        </w:rPr>
        <w:t>person. However, should any third party institute proceedings, this Agreement shall not provide any such person with any remedy, claim, liability, reimbursement, cause of action, or other right.</w:t>
      </w:r>
    </w:p>
    <w:p>
      <w:pPr>
        <w:spacing w:after="0" w:line="209" w:lineRule="exact"/>
        <w:rPr>
          <w:sz w:val="20"/>
          <w:szCs w:val="20"/>
          <w:color w:val="auto"/>
        </w:rPr>
      </w:pPr>
    </w:p>
    <w:p>
      <w:pPr>
        <w:jc w:val="both"/>
        <w:ind w:left="160" w:right="1779" w:firstLine="895"/>
        <w:spacing w:after="0" w:line="268" w:lineRule="auto"/>
        <w:rPr>
          <w:sz w:val="20"/>
          <w:szCs w:val="20"/>
          <w:color w:val="auto"/>
        </w:rPr>
      </w:pPr>
      <w:r>
        <w:rPr>
          <w:rFonts w:ascii="Courier New" w:cs="Courier New" w:eastAsia="Courier New" w:hAnsi="Courier New"/>
          <w:sz w:val="16"/>
          <w:szCs w:val="16"/>
          <w:color w:val="auto"/>
        </w:rPr>
        <w:t>11.6 Governing Law. This Agreement shall be governed by and construed in accordance with the laws of the State of Florida, without giving effect to such State's laws and principles regarding the conflict of laws. Subject to</w:t>
      </w:r>
    </w:p>
    <w:p>
      <w:pPr>
        <w:spacing w:after="0" w:line="1"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Section 1.4, if any Dispute arises out of or in connection with this Agreement, except as expressly contemplated by another provision of this Agreement, the Parties irrevocably (a) consent and submit to the exclusive jurisdiction of federal and state courts located in Jacksonville, Florida, (b) waive any objection to that choice of forum based on venue or to the effect that the forum is not convenient and (c) WAIVE TO THE FULLEST EXTENT PERMITTED BY LAW ANY RIGHT TO TRIAL OR ADJUDICATION BY JURY.</w:t>
      </w:r>
    </w:p>
    <w:p>
      <w:pPr>
        <w:spacing w:after="0" w:line="211" w:lineRule="exact"/>
        <w:rPr>
          <w:sz w:val="20"/>
          <w:szCs w:val="20"/>
          <w:color w:val="auto"/>
        </w:rPr>
      </w:pPr>
    </w:p>
    <w:p>
      <w:pPr>
        <w:ind w:left="160" w:right="1839" w:firstLine="1159"/>
        <w:spacing w:after="0" w:line="268" w:lineRule="auto"/>
        <w:rPr>
          <w:sz w:val="20"/>
          <w:szCs w:val="20"/>
          <w:color w:val="auto"/>
        </w:rPr>
      </w:pPr>
      <w:r>
        <w:rPr>
          <w:rFonts w:ascii="Courier New" w:cs="Courier New" w:eastAsia="Courier New" w:hAnsi="Courier New"/>
          <w:sz w:val="16"/>
          <w:szCs w:val="16"/>
          <w:color w:val="auto"/>
        </w:rPr>
        <w:t>11.7 Executed in Counterparts. This Agreement may be executed in counterparts, each of which shall be an original, but such counterparts shall</w:t>
      </w:r>
    </w:p>
    <w:p>
      <w:pPr>
        <w:ind w:left="1580"/>
        <w:spacing w:after="0" w:line="233" w:lineRule="auto"/>
        <w:rPr>
          <w:sz w:val="20"/>
          <w:szCs w:val="20"/>
          <w:color w:val="auto"/>
        </w:rPr>
      </w:pPr>
      <w:r>
        <w:rPr>
          <w:rFonts w:ascii="Courier New" w:cs="Courier New" w:eastAsia="Courier New" w:hAnsi="Courier New"/>
          <w:sz w:val="18"/>
          <w:szCs w:val="18"/>
          <w:color w:val="auto"/>
        </w:rPr>
        <w:t>together constitute but one and the same document.</w:t>
      </w:r>
    </w:p>
    <w:p>
      <w:pPr>
        <w:spacing w:after="0" w:line="208" w:lineRule="exact"/>
        <w:rPr>
          <w:sz w:val="20"/>
          <w:szCs w:val="20"/>
          <w:color w:val="auto"/>
        </w:rPr>
      </w:pPr>
    </w:p>
    <w:p>
      <w:pPr>
        <w:ind w:right="1679" w:firstLine="948"/>
        <w:spacing w:after="0" w:line="268" w:lineRule="auto"/>
        <w:rPr>
          <w:sz w:val="20"/>
          <w:szCs w:val="20"/>
          <w:color w:val="auto"/>
        </w:rPr>
      </w:pPr>
      <w:r>
        <w:rPr>
          <w:rFonts w:ascii="Courier New" w:cs="Courier New" w:eastAsia="Courier New" w:hAnsi="Courier New"/>
          <w:sz w:val="16"/>
          <w:szCs w:val="16"/>
          <w:color w:val="auto"/>
        </w:rPr>
        <w:t>11.8 Construction. The headings and numbering of articles, sections and paragraphs in this Agreement are for convenience only and shall not be construed</w:t>
      </w:r>
    </w:p>
    <w:p>
      <w:pPr>
        <w:jc w:val="center"/>
        <w:ind w:right="1679"/>
        <w:spacing w:after="0" w:line="233" w:lineRule="auto"/>
        <w:rPr>
          <w:sz w:val="20"/>
          <w:szCs w:val="20"/>
          <w:color w:val="auto"/>
        </w:rPr>
      </w:pPr>
      <w:r>
        <w:rPr>
          <w:rFonts w:ascii="Courier New" w:cs="Courier New" w:eastAsia="Courier New" w:hAnsi="Courier New"/>
          <w:sz w:val="18"/>
          <w:szCs w:val="18"/>
          <w:color w:val="auto"/>
        </w:rPr>
        <w:t>to define or limit any of the terms or affect the scope, meaning, or</w:t>
      </w:r>
    </w:p>
    <w:p>
      <w:pPr>
        <w:spacing w:after="0" w:line="5"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interpretation of this Agreement or the particular Article or Section to which they relate. This Agreement and the provisions contained herein shall not be construed or interpreted for or against any Party because that Party drafted or caused its legal representative to draft any of its provisions.</w:t>
      </w:r>
    </w:p>
    <w:p>
      <w:pPr>
        <w:spacing w:after="0" w:line="207" w:lineRule="exact"/>
        <w:rPr>
          <w:sz w:val="20"/>
          <w:szCs w:val="20"/>
          <w:color w:val="auto"/>
        </w:rPr>
      </w:pPr>
    </w:p>
    <w:p>
      <w:pPr>
        <w:ind w:right="1679" w:firstLine="1264"/>
        <w:spacing w:after="0" w:line="268" w:lineRule="auto"/>
        <w:rPr>
          <w:sz w:val="20"/>
          <w:szCs w:val="20"/>
          <w:color w:val="auto"/>
        </w:rPr>
      </w:pPr>
      <w:r>
        <w:rPr>
          <w:rFonts w:ascii="Courier New" w:cs="Courier New" w:eastAsia="Courier New" w:hAnsi="Courier New"/>
          <w:sz w:val="16"/>
          <w:szCs w:val="16"/>
          <w:color w:val="auto"/>
        </w:rPr>
        <w:t>11.9 Entire Agreement. This Agreement, including all attachments, constitutes the entire Agreement between the Parties with respect to the subject</w:t>
      </w:r>
    </w:p>
    <w:p>
      <w:pPr>
        <w:jc w:val="center"/>
        <w:ind w:right="1679"/>
        <w:spacing w:after="0" w:line="233" w:lineRule="auto"/>
        <w:rPr>
          <w:sz w:val="20"/>
          <w:szCs w:val="20"/>
          <w:color w:val="auto"/>
        </w:rPr>
      </w:pPr>
      <w:r>
        <w:rPr>
          <w:rFonts w:ascii="Courier New" w:cs="Courier New" w:eastAsia="Courier New" w:hAnsi="Courier New"/>
          <w:sz w:val="18"/>
          <w:szCs w:val="18"/>
          <w:color w:val="auto"/>
        </w:rPr>
        <w:t>matter hereof, and supersedes all prior oral or written agreements,</w:t>
      </w:r>
    </w:p>
    <w:p>
      <w:pPr>
        <w:jc w:val="center"/>
        <w:ind w:right="1679"/>
        <w:spacing w:after="0"/>
        <w:rPr>
          <w:sz w:val="20"/>
          <w:szCs w:val="20"/>
          <w:color w:val="auto"/>
        </w:rPr>
      </w:pPr>
      <w:r>
        <w:rPr>
          <w:rFonts w:ascii="Courier New" w:cs="Courier New" w:eastAsia="Courier New" w:hAnsi="Courier New"/>
          <w:sz w:val="18"/>
          <w:szCs w:val="18"/>
          <w:color w:val="auto"/>
        </w:rPr>
        <w:t>representations, statements, negotiations, understandings, proposals and</w:t>
      </w:r>
    </w:p>
    <w:p>
      <w:pPr>
        <w:spacing w:after="0" w:line="4"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undertakings, with respect to the subject matter hereof. Without limiting the foregoing, the Parties expressly acknowledge that this Agreement, together with the Exhibits and Schedules hereto, is intended to amend and restate the Prior CSA Agreement in its entirety, and upon the effectiveness of this Agreement, the Prior CSA Agreement shall be deemed to have been superseded and replaced in its entirety by this Agreement.</w:t>
      </w:r>
    </w:p>
    <w:p>
      <w:pPr>
        <w:spacing w:after="0" w:line="210" w:lineRule="exact"/>
        <w:rPr>
          <w:sz w:val="20"/>
          <w:szCs w:val="20"/>
          <w:color w:val="auto"/>
        </w:rPr>
      </w:pPr>
    </w:p>
    <w:p>
      <w:pPr>
        <w:ind w:left="60" w:right="1679" w:firstLine="896"/>
        <w:spacing w:after="0" w:line="268" w:lineRule="auto"/>
        <w:rPr>
          <w:sz w:val="20"/>
          <w:szCs w:val="20"/>
          <w:color w:val="auto"/>
        </w:rPr>
      </w:pPr>
      <w:r>
        <w:rPr>
          <w:rFonts w:ascii="Courier New" w:cs="Courier New" w:eastAsia="Courier New" w:hAnsi="Courier New"/>
          <w:sz w:val="16"/>
          <w:szCs w:val="16"/>
          <w:color w:val="auto"/>
        </w:rPr>
        <w:t>11.10 Amendments and Waivers. The Parties may amend this Agreement only by a written agreement signed by each Party and that identifies itself as an amendment to this Agreement. No waiver of any provisions of this Agreement and no consent to any default under this Agreement shall be effective unless the same shall be in writing and signed by or on behalf of the Party against whom such waiver or consent is claimed. No course of dealing or failure of any Party</w:t>
      </w:r>
    </w:p>
    <w:p>
      <w:pPr>
        <w:spacing w:after="0" w:line="1" w:lineRule="exact"/>
        <w:rPr>
          <w:sz w:val="20"/>
          <w:szCs w:val="20"/>
          <w:color w:val="auto"/>
        </w:rPr>
      </w:pPr>
    </w:p>
    <w:p>
      <w:pPr>
        <w:jc w:val="center"/>
        <w:ind w:left="360" w:right="100"/>
        <w:spacing w:after="0" w:line="237" w:lineRule="auto"/>
        <w:rPr>
          <w:sz w:val="20"/>
          <w:szCs w:val="20"/>
          <w:color w:val="auto"/>
        </w:rPr>
      </w:pPr>
      <w:r>
        <w:rPr>
          <w:rFonts w:ascii="Courier New" w:cs="Courier New" w:eastAsia="Courier New" w:hAnsi="Courier New"/>
          <w:sz w:val="18"/>
          <w:szCs w:val="18"/>
          <w:color w:val="auto"/>
        </w:rPr>
        <w:t>to strictly enforce any term, right or condition of this Agreement shall be construed as a waiver of such term, right or condition. Waiver by either Party of any default by the other Party shall not be deemed a waiver of any other default.</w:t>
      </w:r>
    </w:p>
    <w:p>
      <w:pPr>
        <w:spacing w:after="0" w:line="207" w:lineRule="exact"/>
        <w:rPr>
          <w:sz w:val="20"/>
          <w:szCs w:val="20"/>
          <w:color w:val="auto"/>
        </w:rPr>
      </w:pPr>
    </w:p>
    <w:p>
      <w:pPr>
        <w:ind w:left="280" w:right="1899" w:firstLine="895"/>
        <w:spacing w:after="0" w:line="268" w:lineRule="auto"/>
        <w:rPr>
          <w:sz w:val="20"/>
          <w:szCs w:val="20"/>
          <w:color w:val="auto"/>
        </w:rPr>
      </w:pPr>
      <w:r>
        <w:rPr>
          <w:rFonts w:ascii="Courier New" w:cs="Courier New" w:eastAsia="Courier New" w:hAnsi="Courier New"/>
          <w:sz w:val="16"/>
          <w:szCs w:val="16"/>
          <w:color w:val="auto"/>
        </w:rPr>
        <w:t>11.11 Remedies Cumulative. Unless otherwise provided for under this Agreement, all rights of termination or cancellation, or other remedies set</w:t>
      </w:r>
    </w:p>
    <w:p>
      <w:pPr>
        <w:jc w:val="center"/>
        <w:ind w:right="1679"/>
        <w:spacing w:after="0" w:line="235" w:lineRule="auto"/>
        <w:rPr>
          <w:sz w:val="20"/>
          <w:szCs w:val="20"/>
          <w:color w:val="auto"/>
        </w:rPr>
      </w:pPr>
      <w:r>
        <w:rPr>
          <w:rFonts w:ascii="Courier New" w:cs="Courier New" w:eastAsia="Courier New" w:hAnsi="Courier New"/>
          <w:sz w:val="18"/>
          <w:szCs w:val="18"/>
          <w:color w:val="auto"/>
        </w:rPr>
        <w:t>forth in this Agreement, are cumulative and are not intended to be exclusive of other remedies to which the injured Party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18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119"/>
          </w:cols>
          <w:pgMar w:left="340" w:top="520" w:right="1440" w:bottom="1440" w:gutter="0" w:footer="0" w:header="0"/>
        </w:sectPr>
      </w:pPr>
    </w:p>
    <w:bookmarkStart w:id="210" w:name="page211"/>
    <w:bookmarkEnd w:id="210"/>
    <w:p>
      <w:pPr>
        <w:jc w:val="center"/>
        <w:ind w:right="1679"/>
        <w:spacing w:after="0" w:line="237" w:lineRule="auto"/>
        <w:rPr>
          <w:sz w:val="20"/>
          <w:szCs w:val="20"/>
          <w:color w:val="auto"/>
        </w:rPr>
      </w:pPr>
      <w:r>
        <w:rPr>
          <w:rFonts w:ascii="Courier New" w:cs="Courier New" w:eastAsia="Courier New" w:hAnsi="Courier New"/>
          <w:sz w:val="18"/>
          <w:szCs w:val="18"/>
          <w:color w:val="auto"/>
        </w:rPr>
        <w:t>be entitled by law or equity in case of any breach or threatened breach by the other Party of any provision in this Agreement. Unless otherwise provided for under this Agreement, use of one or more remedies shall not bar use of any other remedy for the purpose of enforcing any provision of this Agreement.</w:t>
      </w:r>
    </w:p>
    <w:p>
      <w:pPr>
        <w:spacing w:after="0" w:line="207" w:lineRule="exact"/>
        <w:rPr>
          <w:sz w:val="20"/>
          <w:szCs w:val="20"/>
          <w:color w:val="auto"/>
        </w:rPr>
      </w:pPr>
    </w:p>
    <w:p>
      <w:pPr>
        <w:ind w:left="280" w:right="1779" w:firstLine="790"/>
        <w:spacing w:after="0" w:line="268" w:lineRule="auto"/>
        <w:rPr>
          <w:sz w:val="20"/>
          <w:szCs w:val="20"/>
          <w:color w:val="auto"/>
        </w:rPr>
      </w:pPr>
      <w:r>
        <w:rPr>
          <w:rFonts w:ascii="Courier New" w:cs="Courier New" w:eastAsia="Courier New" w:hAnsi="Courier New"/>
          <w:sz w:val="16"/>
          <w:szCs w:val="16"/>
          <w:color w:val="auto"/>
        </w:rPr>
        <w:t>11.12 Taxes. All charges and fees to be paid to PROVIDING PARTY under this Agreement are exclusive of any applicable taxes required by law to be collected from RECEIVING PARTY (including, without limitation, withholding,</w:t>
      </w:r>
    </w:p>
    <w:p>
      <w:pPr>
        <w:spacing w:after="0" w:line="1"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sales, use, excise, or services tax, which may be assessed on the provision of Corporate Services). In the event that a withholding, sales, use, excise, or services tax is assessed on the provision of any of the Corporate Services under this Agreement, RECEIVING PARTY will pay directly, reimburse or indemnify PROVIDING PARTY for such tax, plus any applicable interest and penalties. The Parties will cooperate with each other in determining the extent to which any tax is due and owing under the circumstances, and shall provide and make available to each other any resale certificate, information regarding out-of-state use of materials, services or sale, and other exemption certificates or information reasonably requested by either Party.</w:t>
      </w:r>
    </w:p>
    <w:p>
      <w:pPr>
        <w:spacing w:after="0" w:line="215" w:lineRule="exact"/>
        <w:rPr>
          <w:sz w:val="20"/>
          <w:szCs w:val="20"/>
          <w:color w:val="auto"/>
        </w:rPr>
      </w:pPr>
    </w:p>
    <w:p>
      <w:pPr>
        <w:ind w:left="540" w:right="2159" w:firstLine="896"/>
        <w:spacing w:after="0" w:line="268" w:lineRule="auto"/>
        <w:rPr>
          <w:sz w:val="20"/>
          <w:szCs w:val="20"/>
          <w:color w:val="auto"/>
        </w:rPr>
      </w:pPr>
      <w:r>
        <w:rPr>
          <w:rFonts w:ascii="Courier New" w:cs="Courier New" w:eastAsia="Courier New" w:hAnsi="Courier New"/>
          <w:sz w:val="16"/>
          <w:szCs w:val="16"/>
          <w:color w:val="auto"/>
        </w:rPr>
        <w:t>11.13 Changes in Law. PROVIDING PARTY's obligations to provide Corporate Services hereunder are to provide such Corporate Services in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accordance with applicable laws as in effect on the date of this Agreement. Each Party reserves the right to take all actions in order to ensure that the Corporate Services and Transition Assistance are provided in accordance with any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80"/>
        <w:spacing w:after="0"/>
        <w:rPr>
          <w:sz w:val="20"/>
          <w:szCs w:val="20"/>
          <w:color w:val="auto"/>
        </w:rPr>
      </w:pPr>
      <w:r>
        <w:rPr>
          <w:rFonts w:ascii="Courier New" w:cs="Courier New" w:eastAsia="Courier New" w:hAnsi="Courier New"/>
          <w:sz w:val="18"/>
          <w:szCs w:val="18"/>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18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119"/>
          </w:cols>
          <w:pgMar w:left="340" w:top="520" w:right="1440" w:bottom="1440" w:gutter="0" w:footer="0" w:header="0"/>
        </w:sectPr>
      </w:pPr>
    </w:p>
    <w:bookmarkStart w:id="211" w:name="page212"/>
    <w:bookmarkEnd w:id="211"/>
    <w:p>
      <w:pPr>
        <w:ind w:right="1679" w:firstLine="1317"/>
        <w:spacing w:after="0" w:line="268" w:lineRule="auto"/>
        <w:rPr>
          <w:sz w:val="20"/>
          <w:szCs w:val="20"/>
          <w:color w:val="auto"/>
        </w:rPr>
      </w:pPr>
      <w:r>
        <w:rPr>
          <w:rFonts w:ascii="Courier New" w:cs="Courier New" w:eastAsia="Courier New" w:hAnsi="Courier New"/>
          <w:sz w:val="16"/>
          <w:szCs w:val="16"/>
          <w:color w:val="auto"/>
        </w:rPr>
        <w:t>IN WITNESS WHEREOF, the Parties, acting through their authorized officers, have caused this Agreement to be duly executed and delivered as of the</w:t>
      </w:r>
    </w:p>
    <w:p>
      <w:pPr>
        <w:ind w:left="2900"/>
        <w:spacing w:after="0" w:line="233" w:lineRule="auto"/>
        <w:rPr>
          <w:sz w:val="20"/>
          <w:szCs w:val="20"/>
          <w:color w:val="auto"/>
        </w:rPr>
      </w:pPr>
      <w:r>
        <w:rPr>
          <w:rFonts w:ascii="Courier New" w:cs="Courier New" w:eastAsia="Courier New" w:hAnsi="Courier New"/>
          <w:sz w:val="18"/>
          <w:szCs w:val="18"/>
          <w:color w:val="auto"/>
        </w:rPr>
        <w:t>date first above written.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600"/>
        <w:spacing w:after="0"/>
        <w:rPr>
          <w:sz w:val="20"/>
          <w:szCs w:val="20"/>
          <w:color w:val="auto"/>
        </w:rPr>
      </w:pPr>
      <w:r>
        <w:rPr>
          <w:rFonts w:ascii="Courier New" w:cs="Courier New" w:eastAsia="Courier New" w:hAnsi="Courier New"/>
          <w:sz w:val="18"/>
          <w:szCs w:val="18"/>
          <w:color w:val="auto"/>
        </w:rPr>
        <w:t>PROVIDING PARTY:</w:t>
      </w:r>
    </w:p>
    <w:p>
      <w:pPr>
        <w:spacing w:after="0" w:line="201" w:lineRule="exact"/>
        <w:rPr>
          <w:sz w:val="20"/>
          <w:szCs w:val="20"/>
          <w:color w:val="auto"/>
        </w:rPr>
      </w:pPr>
    </w:p>
    <w:p>
      <w:pPr>
        <w:ind w:left="4060"/>
        <w:spacing w:after="0"/>
        <w:rPr>
          <w:sz w:val="20"/>
          <w:szCs w:val="20"/>
          <w:color w:val="auto"/>
        </w:rPr>
      </w:pPr>
      <w:r>
        <w:rPr>
          <w:rFonts w:ascii="Courier New" w:cs="Courier New" w:eastAsia="Courier New" w:hAnsi="Courier New"/>
          <w:sz w:val="18"/>
          <w:szCs w:val="18"/>
          <w:color w:val="auto"/>
        </w:rPr>
        <w:t>FIDELITY NATIONAL TITLE GROUP, INC.</w:t>
      </w:r>
    </w:p>
    <w:p>
      <w:pPr>
        <w:spacing w:after="0" w:line="200" w:lineRule="exact"/>
        <w:rPr>
          <w:sz w:val="20"/>
          <w:szCs w:val="20"/>
          <w:color w:val="auto"/>
        </w:rPr>
      </w:pPr>
    </w:p>
    <w:p>
      <w:pPr>
        <w:spacing w:after="0" w:line="204"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By</w:t>
      </w:r>
    </w:p>
    <w:p>
      <w:pPr>
        <w:ind w:left="4160"/>
        <w:spacing w:after="0" w:line="238" w:lineRule="auto"/>
        <w:rPr>
          <w:sz w:val="20"/>
          <w:szCs w:val="20"/>
          <w:color w:val="auto"/>
        </w:rPr>
      </w:pPr>
      <w:r>
        <w:rPr>
          <w:rFonts w:ascii="Courier New" w:cs="Courier New" w:eastAsia="Courier New" w:hAnsi="Courier New"/>
          <w:sz w:val="18"/>
          <w:szCs w:val="18"/>
          <w:color w:val="auto"/>
        </w:rPr>
        <w:t>-----------------------------------</w:t>
      </w:r>
    </w:p>
    <w:p>
      <w:pPr>
        <w:jc w:val="center"/>
        <w:ind w:left="820"/>
        <w:spacing w:after="0"/>
        <w:rPr>
          <w:sz w:val="20"/>
          <w:szCs w:val="20"/>
          <w:color w:val="auto"/>
        </w:rPr>
      </w:pPr>
      <w:r>
        <w:rPr>
          <w:rFonts w:ascii="Courier New" w:cs="Courier New" w:eastAsia="Courier New" w:hAnsi="Courier New"/>
          <w:sz w:val="18"/>
          <w:szCs w:val="18"/>
          <w:color w:val="auto"/>
        </w:rPr>
        <w:t>Raymond R. Quirk</w:t>
      </w:r>
    </w:p>
    <w:p>
      <w:pPr>
        <w:jc w:val="center"/>
        <w:ind w:left="82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4" w:lineRule="exact"/>
        <w:rPr>
          <w:sz w:val="20"/>
          <w:szCs w:val="20"/>
          <w:color w:val="auto"/>
        </w:rPr>
      </w:pPr>
    </w:p>
    <w:p>
      <w:pPr>
        <w:jc w:val="center"/>
        <w:ind w:left="600"/>
        <w:spacing w:after="0"/>
        <w:rPr>
          <w:sz w:val="20"/>
          <w:szCs w:val="20"/>
          <w:color w:val="auto"/>
        </w:rPr>
      </w:pPr>
      <w:r>
        <w:rPr>
          <w:rFonts w:ascii="Courier New" w:cs="Courier New" w:eastAsia="Courier New" w:hAnsi="Courier New"/>
          <w:sz w:val="18"/>
          <w:szCs w:val="18"/>
          <w:color w:val="auto"/>
        </w:rPr>
        <w:t>RECEIVING PARTY:</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FIDELITY NATIONAL FINANCIAL INC.</w:t>
      </w:r>
    </w:p>
    <w:p>
      <w:pPr>
        <w:spacing w:after="0" w:line="200" w:lineRule="exact"/>
        <w:rPr>
          <w:sz w:val="20"/>
          <w:szCs w:val="20"/>
          <w:color w:val="auto"/>
        </w:rPr>
      </w:pPr>
    </w:p>
    <w:p>
      <w:pPr>
        <w:spacing w:after="0" w:line="204"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By</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jc w:val="center"/>
        <w:ind w:left="820"/>
        <w:spacing w:after="0"/>
        <w:rPr>
          <w:sz w:val="20"/>
          <w:szCs w:val="20"/>
          <w:color w:val="auto"/>
        </w:rPr>
      </w:pPr>
      <w:r>
        <w:rPr>
          <w:rFonts w:ascii="Courier New" w:cs="Courier New" w:eastAsia="Courier New" w:hAnsi="Courier New"/>
          <w:sz w:val="18"/>
          <w:szCs w:val="18"/>
          <w:color w:val="auto"/>
        </w:rPr>
        <w:t>Peter A. Sadowski</w:t>
      </w:r>
    </w:p>
    <w:p>
      <w:pPr>
        <w:jc w:val="center"/>
        <w:ind w:left="820"/>
        <w:spacing w:after="0" w:line="237" w:lineRule="auto"/>
        <w:rPr>
          <w:sz w:val="20"/>
          <w:szCs w:val="20"/>
          <w:color w:val="auto"/>
        </w:rPr>
      </w:pPr>
      <w:r>
        <w:rPr>
          <w:rFonts w:ascii="Courier New" w:cs="Courier New" w:eastAsia="Courier New" w:hAnsi="Courier New"/>
          <w:sz w:val="18"/>
          <w:szCs w:val="18"/>
          <w:color w:val="auto"/>
        </w:rPr>
        <w:t>Executive Vice President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540"/>
        <w:spacing w:after="0"/>
        <w:rPr>
          <w:sz w:val="20"/>
          <w:szCs w:val="20"/>
          <w:color w:val="auto"/>
        </w:rPr>
      </w:pPr>
      <w:r>
        <w:rPr>
          <w:rFonts w:ascii="Courier New" w:cs="Courier New" w:eastAsia="Courier New" w:hAnsi="Courier New"/>
          <w:sz w:val="18"/>
          <w:szCs w:val="18"/>
          <w:color w:val="auto"/>
        </w:rPr>
        <w:t>LLGM JK232522</w:t>
      </w:r>
    </w:p>
    <w:p>
      <w:pPr>
        <w:spacing w:after="0" w:line="200" w:lineRule="exact"/>
        <w:rPr>
          <w:sz w:val="20"/>
          <w:szCs w:val="20"/>
          <w:color w:val="auto"/>
        </w:rPr>
      </w:pPr>
    </w:p>
    <w:p>
      <w:pPr>
        <w:spacing w:after="0" w:line="204" w:lineRule="exact"/>
        <w:rPr>
          <w:sz w:val="20"/>
          <w:szCs w:val="20"/>
          <w:color w:val="auto"/>
        </w:rPr>
      </w:pPr>
    </w:p>
    <w:p>
      <w:pPr>
        <w:ind w:left="618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119"/>
          </w:cols>
          <w:pgMar w:left="340" w:top="520" w:right="1440" w:bottom="1440" w:gutter="0" w:footer="0" w:header="0"/>
        </w:sectPr>
      </w:pPr>
    </w:p>
    <w:bookmarkStart w:id="212" w:name="page213"/>
    <w:bookmarkEnd w:id="212"/>
    <w:p>
      <w:pPr>
        <w:ind w:left="4440"/>
        <w:spacing w:after="0"/>
        <w:rPr>
          <w:sz w:val="20"/>
          <w:szCs w:val="20"/>
          <w:color w:val="auto"/>
        </w:rPr>
      </w:pPr>
      <w:r>
        <w:rPr>
          <w:rFonts w:ascii="Courier New" w:cs="Courier New" w:eastAsia="Courier New" w:hAnsi="Courier New"/>
          <w:sz w:val="18"/>
          <w:szCs w:val="18"/>
          <w:color w:val="auto"/>
        </w:rPr>
        <w:t>DEFINITIONS AND FORMULAS</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FOR PURPOSES OF CALCULATING COST ALLOCATION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For purposes of this Agreement and the Corporate Service Schedules:</w:t>
      </w:r>
    </w:p>
    <w:p>
      <w:pPr>
        <w:spacing w:after="0" w:line="207" w:lineRule="exact"/>
        <w:rPr>
          <w:sz w:val="20"/>
          <w:szCs w:val="20"/>
          <w:color w:val="auto"/>
        </w:rPr>
      </w:pPr>
    </w:p>
    <w:p>
      <w:pPr>
        <w:jc w:val="center"/>
        <w:ind w:left="360" w:right="100"/>
        <w:spacing w:after="0" w:line="237" w:lineRule="auto"/>
        <w:rPr>
          <w:sz w:val="20"/>
          <w:szCs w:val="20"/>
          <w:color w:val="auto"/>
        </w:rPr>
      </w:pPr>
      <w:r>
        <w:rPr>
          <w:rFonts w:ascii="Courier New" w:cs="Courier New" w:eastAsia="Courier New" w:hAnsi="Courier New"/>
          <w:sz w:val="18"/>
          <w:szCs w:val="18"/>
          <w:color w:val="auto"/>
        </w:rPr>
        <w:t>"Direct Employee Compensation" of an employee means the aggregate of such employee's salary, overtime, cash bonus and commission compensation, payroll taxes attributable thereto, group insurance charges and benefits paid by the employer on behalf of or for the benefit of the employee, contributions to any 401k programs or accounts on behalf of or for the benefit of the employee, together with the employee's pro rata portion of the benefits administration expenses (including expenses for prizes or awards allocable to the employee) incurred by the employer.</w:t>
      </w:r>
    </w:p>
    <w:p>
      <w:pPr>
        <w:spacing w:after="0" w:line="21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"Full Departmental Costs", allocated with respect to any department/cost center</w:t>
      </w:r>
    </w:p>
    <w:p>
      <w:pPr>
        <w:spacing w:after="0" w:line="21" w:lineRule="exact"/>
        <w:rPr>
          <w:sz w:val="20"/>
          <w:szCs w:val="20"/>
          <w:color w:val="auto"/>
        </w:rPr>
      </w:pPr>
    </w:p>
    <w:p>
      <w:pPr>
        <w:jc w:val="center"/>
        <w:ind w:right="1679"/>
        <w:spacing w:after="0" w:line="238" w:lineRule="auto"/>
        <w:rPr>
          <w:sz w:val="20"/>
          <w:szCs w:val="20"/>
          <w:color w:val="auto"/>
        </w:rPr>
      </w:pPr>
      <w:r>
        <w:rPr>
          <w:rFonts w:ascii="Courier New" w:cs="Courier New" w:eastAsia="Courier New" w:hAnsi="Courier New"/>
          <w:sz w:val="18"/>
          <w:szCs w:val="18"/>
          <w:color w:val="auto"/>
        </w:rPr>
        <w:t>of PROVIDING PARTY with FNT Servicing Employees, means any and all costs incurred by or allocated to that department/cost center other than Direct Employee Compensation of the employees in the department/cost center. Full Departmental Costs include office furniture and equipment, office space and facilities expenses, repairs &amp; maintenance expenses, rent and leasehold improvements, utilities, telecommunications and IT equipment, insurance costs, depreciation, amortization, real property and personal property taxes, advertising and promotional expenses (if any), postage, courier and shipping expenses, printing, reproduction, stationary, and office supplies, travel and entertainment expenses, educational, training and recruiting expenses, professional dues and subscriptions, fees, general costs and expenses incurred in connection with the Services that are included in administrative overhead, and the other similar costs that are generally characterized as "overhead"', in each case as allocated to the department/cost center in accordance with PROVIDING PARTY's current overhead cost allocation policy.</w:t>
      </w:r>
    </w:p>
    <w:p>
      <w:pPr>
        <w:spacing w:after="0" w:line="208" w:lineRule="exact"/>
        <w:rPr>
          <w:sz w:val="20"/>
          <w:szCs w:val="20"/>
          <w:color w:val="auto"/>
        </w:rPr>
      </w:pPr>
    </w:p>
    <w:p>
      <w:pPr>
        <w:jc w:val="center"/>
        <w:ind w:right="1679"/>
        <w:spacing w:after="0" w:line="270" w:lineRule="auto"/>
        <w:rPr>
          <w:sz w:val="20"/>
          <w:szCs w:val="20"/>
          <w:color w:val="auto"/>
        </w:rPr>
      </w:pPr>
      <w:r>
        <w:rPr>
          <w:rFonts w:ascii="Courier New" w:cs="Courier New" w:eastAsia="Courier New" w:hAnsi="Courier New"/>
          <w:sz w:val="16"/>
          <w:szCs w:val="16"/>
          <w:color w:val="auto"/>
        </w:rPr>
        <w:t>"Limited Departmental Costs", allocated with respect to any department/cost center of PROVIDING PARTY with FNF Transferred Employees, means any and all costs incurred by or allocated to that department/cost center that are directly related to the physical location of the FNF Transferred Employee within an FNT department/cost center. Limited Departmental Costs include telecommunications and IT equipment, office furniture and equipment, office space and facilities expenses, repairs &amp; maintenance expenses, rent and leasehold improvements, utilities, data processing charges and expenses, rental expenses and charges paid to Fidelity Asset Management, Inc. for use of certain office assets and equipment, all as shown on the accounting cost center reports, it being understood that in no event shall any costs be allocated to, or paid by, RECEIVING PARTY hereunder with respect any Transferred Employee to the extent that an equivalent amount of the same cost item is otherwise being allocated to and paid by RECEIVING PARTY with respect to such Transferred Employee.</w:t>
      </w:r>
    </w:p>
    <w:p>
      <w:pPr>
        <w:spacing w:after="0" w:line="388" w:lineRule="exact"/>
        <w:rPr>
          <w:sz w:val="20"/>
          <w:szCs w:val="20"/>
          <w:color w:val="auto"/>
        </w:rPr>
      </w:pPr>
    </w:p>
    <w:p>
      <w:pPr>
        <w:jc w:val="center"/>
        <w:ind w:right="1679"/>
        <w:spacing w:after="0" w:line="236" w:lineRule="auto"/>
        <w:rPr>
          <w:sz w:val="20"/>
          <w:szCs w:val="20"/>
          <w:color w:val="auto"/>
        </w:rPr>
      </w:pPr>
      <w:r>
        <w:rPr>
          <w:rFonts w:ascii="Courier New" w:cs="Courier New" w:eastAsia="Courier New" w:hAnsi="Courier New"/>
          <w:sz w:val="18"/>
          <w:szCs w:val="18"/>
          <w:color w:val="auto"/>
        </w:rPr>
        <w:t>"Servicing Employee" means an employee of PROVIDING PARTY or its Subsidiaries or its Affiliates who provides services to RECEIVING PARTY and its Subsidiaries under this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18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119"/>
          </w:cols>
          <w:pgMar w:left="340" w:top="515" w:right="1440" w:bottom="1440" w:gutter="0" w:footer="0" w:header="0"/>
        </w:sectPr>
      </w:pPr>
    </w:p>
    <w:bookmarkStart w:id="213" w:name="page214"/>
    <w:bookmarkEnd w:id="213"/>
    <w:p>
      <w:pPr>
        <w:jc w:val="center"/>
        <w:ind w:right="1679"/>
        <w:spacing w:after="0" w:line="237" w:lineRule="auto"/>
        <w:rPr>
          <w:sz w:val="20"/>
          <w:szCs w:val="20"/>
          <w:color w:val="auto"/>
        </w:rPr>
      </w:pPr>
      <w:r>
        <w:rPr>
          <w:rFonts w:ascii="Courier New" w:cs="Courier New" w:eastAsia="Courier New" w:hAnsi="Courier New"/>
          <w:sz w:val="18"/>
          <w:szCs w:val="18"/>
          <w:color w:val="auto"/>
        </w:rPr>
        <w:t>"Transferred Employee" means an employee of RECEIVING PARTY or its Subsidiaries who is not a Servicing Employee of PROVIDING PARTY, but who is physically located within a PROVIDING PARTY department/cost center, such as persons who are former PROVIDING PARTY employees who have been transferred or migrated to RECEIVING PARTY but whose office is still housed with their former department/cost center.</w:t>
      </w:r>
    </w:p>
    <w:p>
      <w:pPr>
        <w:spacing w:after="0" w:line="210" w:lineRule="exact"/>
        <w:rPr>
          <w:sz w:val="20"/>
          <w:szCs w:val="20"/>
          <w:color w:val="auto"/>
        </w:rPr>
      </w:pPr>
    </w:p>
    <w:p>
      <w:pPr>
        <w:jc w:val="center"/>
        <w:ind w:right="1679"/>
        <w:spacing w:after="0" w:line="236" w:lineRule="auto"/>
        <w:rPr>
          <w:sz w:val="20"/>
          <w:szCs w:val="20"/>
          <w:color w:val="auto"/>
        </w:rPr>
      </w:pPr>
      <w:r>
        <w:rPr>
          <w:rFonts w:ascii="Courier New" w:cs="Courier New" w:eastAsia="Courier New" w:hAnsi="Courier New"/>
          <w:sz w:val="18"/>
          <w:szCs w:val="18"/>
          <w:color w:val="auto"/>
        </w:rPr>
        <w:t>"Standard Allocation", for purposes of the Services provided under this Agreement and the Schedules hereto, including the Cost Allocation section of the Schedules, shall be calculated as follows:</w:t>
      </w:r>
    </w:p>
    <w:p>
      <w:pPr>
        <w:spacing w:after="0" w:line="203" w:lineRule="exact"/>
        <w:rPr>
          <w:sz w:val="20"/>
          <w:szCs w:val="20"/>
          <w:color w:val="auto"/>
        </w:rPr>
      </w:pPr>
    </w:p>
    <w:p>
      <w:pPr>
        <w:ind w:left="2220" w:hanging="947"/>
        <w:spacing w:after="0"/>
        <w:tabs>
          <w:tab w:leader="none" w:pos="222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 of Pocket Costs: Direct Charges. Out of Pocket Costs</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incurred by or on behalf of RECEIVING PARTY or its</w:t>
      </w:r>
    </w:p>
    <w:p>
      <w:pPr>
        <w:spacing w:after="0" w:line="5" w:lineRule="exact"/>
        <w:rPr>
          <w:sz w:val="20"/>
          <w:szCs w:val="20"/>
          <w:color w:val="auto"/>
        </w:rPr>
      </w:pPr>
    </w:p>
    <w:p>
      <w:pPr>
        <w:jc w:val="center"/>
        <w:ind w:left="2260" w:right="100"/>
        <w:spacing w:after="0" w:line="236" w:lineRule="auto"/>
        <w:rPr>
          <w:sz w:val="20"/>
          <w:szCs w:val="20"/>
          <w:color w:val="auto"/>
        </w:rPr>
      </w:pPr>
      <w:r>
        <w:rPr>
          <w:rFonts w:ascii="Courier New" w:cs="Courier New" w:eastAsia="Courier New" w:hAnsi="Courier New"/>
          <w:sz w:val="18"/>
          <w:szCs w:val="18"/>
          <w:color w:val="auto"/>
        </w:rPr>
        <w:t>Subsidiary(s) are charged directly to it and are not part of the Services under this Agreement or the payments to be made for Services hereunder.</w:t>
      </w:r>
    </w:p>
    <w:p>
      <w:pPr>
        <w:spacing w:after="0" w:line="209" w:lineRule="exact"/>
        <w:rPr>
          <w:sz w:val="20"/>
          <w:szCs w:val="20"/>
          <w:color w:val="auto"/>
        </w:rPr>
      </w:pPr>
    </w:p>
    <w:p>
      <w:pPr>
        <w:jc w:val="center"/>
        <w:ind w:left="1900" w:right="1679" w:hanging="785"/>
        <w:spacing w:after="0" w:line="268" w:lineRule="auto"/>
        <w:tabs>
          <w:tab w:leader="none" w:pos="2058"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 Employee Compensation: Allocation Based on Work Time Percentage. The Direct Employee Compensation of each PROVIDING PARTY Servicing Employee shall be allocated to RECEIVING PARTY based on the percentage of work time that such Servicing Employee spends in providing the applicable Services to RECEIVING PARTY and its Subsidiaries. Allocations as of the</w:t>
      </w:r>
    </w:p>
    <w:p>
      <w:pPr>
        <w:spacing w:after="0" w:line="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Effective Date will be those reflected in the data and results</w:t>
      </w:r>
    </w:p>
    <w:p>
      <w:pPr>
        <w:spacing w:after="0" w:line="16"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of October 1, 2005.</w:t>
      </w:r>
    </w:p>
    <w:p>
      <w:pPr>
        <w:spacing w:after="0" w:line="207" w:lineRule="exact"/>
        <w:rPr>
          <w:sz w:val="20"/>
          <w:szCs w:val="20"/>
          <w:color w:val="auto"/>
        </w:rPr>
      </w:pPr>
    </w:p>
    <w:p>
      <w:pPr>
        <w:jc w:val="center"/>
        <w:ind w:left="2240"/>
        <w:spacing w:after="0" w:line="237" w:lineRule="auto"/>
        <w:rPr>
          <w:sz w:val="20"/>
          <w:szCs w:val="20"/>
          <w:color w:val="auto"/>
        </w:rPr>
      </w:pPr>
      <w:r>
        <w:rPr>
          <w:rFonts w:ascii="Courier New" w:cs="Courier New" w:eastAsia="Courier New" w:hAnsi="Courier New"/>
          <w:sz w:val="18"/>
          <w:szCs w:val="18"/>
          <w:color w:val="auto"/>
        </w:rPr>
        <w:t>By way of example, for a Servicing Employee of PROVIDING PARTY who has an annual salary of $50,000, a cash bonus of $20,000, and benefits of $10,000, and who spends 40% of his work time on providing Services under this Agreement, the Direct Employee Compensation allocation would be calculated as follows:</w:t>
      </w: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($50,000 + $20,000 + $10,000) x 40% = $32,000</w:t>
      </w:r>
    </w:p>
    <w:p>
      <w:pPr>
        <w:spacing w:after="0" w:line="207"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In this example, RECEIVING PARTY would be allocated $32,000 of</w:t>
      </w:r>
    </w:p>
    <w:p>
      <w:pPr>
        <w:spacing w:after="0" w:line="16"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Direct Employee Compensation for this Servicing Employee.</w:t>
      </w:r>
    </w:p>
    <w:p>
      <w:pPr>
        <w:spacing w:after="0" w:line="201" w:lineRule="exact"/>
        <w:rPr>
          <w:sz w:val="20"/>
          <w:szCs w:val="20"/>
          <w:color w:val="auto"/>
        </w:rPr>
      </w:pPr>
    </w:p>
    <w:p>
      <w:pPr>
        <w:ind w:left="2440" w:hanging="957"/>
        <w:spacing w:after="0"/>
        <w:tabs>
          <w:tab w:leader="none" w:pos="24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 Departmental (Overhead) Costs for FNT Servicing</w:t>
      </w:r>
    </w:p>
    <w:p>
      <w:pPr>
        <w:jc w:val="center"/>
        <w:ind w:right="-220"/>
        <w:spacing w:after="0" w:line="238" w:lineRule="auto"/>
        <w:rPr>
          <w:sz w:val="20"/>
          <w:szCs w:val="20"/>
          <w:color w:val="auto"/>
        </w:rPr>
      </w:pPr>
      <w:r>
        <w:rPr>
          <w:rFonts w:ascii="Courier New" w:cs="Courier New" w:eastAsia="Courier New" w:hAnsi="Courier New"/>
          <w:sz w:val="18"/>
          <w:szCs w:val="18"/>
          <w:color w:val="auto"/>
        </w:rPr>
        <w:t>Employees: Allocation based on Employee Head Count and</w:t>
      </w:r>
    </w:p>
    <w:p>
      <w:pPr>
        <w:spacing w:after="0" w:line="5" w:lineRule="exact"/>
        <w:rPr>
          <w:sz w:val="20"/>
          <w:szCs w:val="20"/>
          <w:color w:val="auto"/>
        </w:rPr>
      </w:pPr>
    </w:p>
    <w:p>
      <w:pPr>
        <w:jc w:val="center"/>
        <w:ind w:left="2240"/>
        <w:spacing w:after="0" w:line="270" w:lineRule="auto"/>
        <w:rPr>
          <w:sz w:val="20"/>
          <w:szCs w:val="20"/>
          <w:color w:val="auto"/>
        </w:rPr>
      </w:pPr>
      <w:r>
        <w:rPr>
          <w:rFonts w:ascii="Courier New" w:cs="Courier New" w:eastAsia="Courier New" w:hAnsi="Courier New"/>
          <w:sz w:val="16"/>
          <w:szCs w:val="16"/>
          <w:color w:val="auto"/>
        </w:rPr>
        <w:t>Percentage of Work Time. In addition to the Direct Employee Compensation, Full Departmental Costs of each department/cost center of PROVIDING PARTY that has Servicing Employees shall be allocated to RECEIVING PARTY based on the employee head count of the Servicing Employees and the average percentage of work time that the Servicing Employees in that department/cost center spend on providing services to RECEIVING PARTY. Under this methodology, RECEIVING PARTY is charged for a percentage of the total Full Departmental Costs that reflects the headcount number of Servicing Employees in that department/cost center, in relation to the aggregate headcount of all employees in the department/cost center,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18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119"/>
          </w:cols>
          <w:pgMar w:left="340" w:top="520" w:right="1440" w:bottom="1440" w:gutter="0" w:footer="0" w:header="0"/>
        </w:sectPr>
      </w:pPr>
    </w:p>
    <w:bookmarkStart w:id="214" w:name="page215"/>
    <w:bookmarkEnd w:id="214"/>
    <w:p>
      <w:pPr>
        <w:ind w:left="960" w:right="1739" w:hanging="104"/>
        <w:spacing w:after="0" w:line="279" w:lineRule="auto"/>
        <w:rPr>
          <w:sz w:val="20"/>
          <w:szCs w:val="20"/>
          <w:color w:val="auto"/>
        </w:rPr>
      </w:pPr>
      <w:r>
        <w:rPr>
          <w:rFonts w:ascii="Courier New" w:cs="Courier New" w:eastAsia="Courier New" w:hAnsi="Courier New"/>
          <w:sz w:val="16"/>
          <w:szCs w:val="16"/>
          <w:color w:val="auto"/>
        </w:rPr>
        <w:t>taking into account average percentage of work time that each Servicing Employee in the department/cost center spends in providing services to RECEIVING PARTY and its Subsidiaries.</w:t>
      </w:r>
    </w:p>
    <w:p>
      <w:pPr>
        <w:spacing w:after="0" w:line="173"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8"/>
          <w:szCs w:val="18"/>
          <w:color w:val="auto"/>
        </w:rPr>
        <w:t>By way of example, assume that in a PROVIDING PARTY</w:t>
      </w:r>
    </w:p>
    <w:p>
      <w:pPr>
        <w:spacing w:after="0" w:line="4" w:lineRule="exact"/>
        <w:rPr>
          <w:sz w:val="20"/>
          <w:szCs w:val="20"/>
          <w:color w:val="auto"/>
        </w:rPr>
      </w:pPr>
    </w:p>
    <w:p>
      <w:pPr>
        <w:jc w:val="center"/>
        <w:ind w:left="800" w:right="1679"/>
        <w:spacing w:after="0" w:line="271" w:lineRule="auto"/>
        <w:rPr>
          <w:sz w:val="20"/>
          <w:szCs w:val="20"/>
          <w:color w:val="auto"/>
        </w:rPr>
      </w:pPr>
      <w:r>
        <w:rPr>
          <w:rFonts w:ascii="Courier New" w:cs="Courier New" w:eastAsia="Courier New" w:hAnsi="Courier New"/>
          <w:sz w:val="16"/>
          <w:szCs w:val="16"/>
          <w:color w:val="auto"/>
        </w:rPr>
        <w:t>department/cost center, there are 20 employees, 4 of whom are Servicing Employees, with 2 of those 4 Servicing Employees spending 50% of their work time providing Services to RECEIVING PARTY and its Subsidiaries, and the other 2 of those 4 Servicing Employees spending 10% of their work time providing Services to RECEIVING PARTY and its Subsidiaries. Let's also assume that we need to allocate $100 of office supplies. The portion of the Full Departmental Costs that will be allocated to RECEIVING PARTY is determined as follows:</w:t>
      </w:r>
    </w:p>
    <w:p>
      <w:pPr>
        <w:spacing w:after="0" w:line="178"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8"/>
          <w:szCs w:val="18"/>
          <w:color w:val="auto"/>
        </w:rPr>
        <w:t>First, determine the department/cost center's Servicing</w:t>
      </w:r>
    </w:p>
    <w:p>
      <w:pPr>
        <w:jc w:val="center"/>
        <w:ind w:right="879"/>
        <w:spacing w:after="0" w:line="238" w:lineRule="auto"/>
        <w:rPr>
          <w:sz w:val="20"/>
          <w:szCs w:val="20"/>
          <w:color w:val="auto"/>
        </w:rPr>
      </w:pPr>
      <w:r>
        <w:rPr>
          <w:rFonts w:ascii="Courier New" w:cs="Courier New" w:eastAsia="Courier New" w:hAnsi="Courier New"/>
          <w:sz w:val="18"/>
          <w:szCs w:val="18"/>
          <w:color w:val="auto"/>
        </w:rPr>
        <w:t>Employee headcount allocable to RECEIVING PARTY:</w:t>
      </w:r>
    </w:p>
    <w:p>
      <w:pPr>
        <w:spacing w:after="0" w:line="207"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6"/>
          <w:szCs w:val="16"/>
          <w:color w:val="auto"/>
        </w:rPr>
        <w:t>4 Servicing Employees / 20 department/cost center employees =</w:t>
      </w:r>
    </w:p>
    <w:p>
      <w:pPr>
        <w:spacing w:after="0" w:line="16"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8"/>
          <w:szCs w:val="18"/>
          <w:color w:val="auto"/>
        </w:rPr>
        <w:t>20%.</w:t>
      </w:r>
    </w:p>
    <w:p>
      <w:pPr>
        <w:spacing w:after="0" w:line="207" w:lineRule="exact"/>
        <w:rPr>
          <w:sz w:val="20"/>
          <w:szCs w:val="20"/>
          <w:color w:val="auto"/>
        </w:rPr>
      </w:pPr>
    </w:p>
    <w:p>
      <w:pPr>
        <w:jc w:val="center"/>
        <w:ind w:left="800" w:right="1679"/>
        <w:spacing w:after="0" w:line="236" w:lineRule="auto"/>
        <w:rPr>
          <w:sz w:val="20"/>
          <w:szCs w:val="20"/>
          <w:color w:val="auto"/>
        </w:rPr>
      </w:pPr>
      <w:r>
        <w:rPr>
          <w:rFonts w:ascii="Courier New" w:cs="Courier New" w:eastAsia="Courier New" w:hAnsi="Courier New"/>
          <w:sz w:val="18"/>
          <w:szCs w:val="18"/>
          <w:color w:val="auto"/>
        </w:rPr>
        <w:t>Second, use this percentage to determine the amount of the total Full Departmental Costs will be allocated to the Servicing Employees:</w:t>
      </w:r>
    </w:p>
    <w:p>
      <w:pPr>
        <w:spacing w:after="0" w:line="203"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8"/>
          <w:szCs w:val="18"/>
          <w:color w:val="auto"/>
        </w:rPr>
        <w:t>20% of the $100 office supplies = $20 allocable to the</w:t>
      </w:r>
    </w:p>
    <w:p>
      <w:pPr>
        <w:jc w:val="center"/>
        <w:ind w:right="879"/>
        <w:spacing w:after="0" w:line="238" w:lineRule="auto"/>
        <w:rPr>
          <w:sz w:val="20"/>
          <w:szCs w:val="20"/>
          <w:color w:val="auto"/>
        </w:rPr>
      </w:pPr>
      <w:r>
        <w:rPr>
          <w:rFonts w:ascii="Courier New" w:cs="Courier New" w:eastAsia="Courier New" w:hAnsi="Courier New"/>
          <w:sz w:val="18"/>
          <w:szCs w:val="18"/>
          <w:color w:val="auto"/>
        </w:rPr>
        <w:t>Servicing Employees</w:t>
      </w:r>
    </w:p>
    <w:p>
      <w:pPr>
        <w:spacing w:after="0" w:line="207" w:lineRule="exact"/>
        <w:rPr>
          <w:sz w:val="20"/>
          <w:szCs w:val="20"/>
          <w:color w:val="auto"/>
        </w:rPr>
      </w:pPr>
    </w:p>
    <w:p>
      <w:pPr>
        <w:jc w:val="both"/>
        <w:ind w:left="860" w:right="1739"/>
        <w:spacing w:after="0" w:line="279" w:lineRule="auto"/>
        <w:rPr>
          <w:sz w:val="20"/>
          <w:szCs w:val="20"/>
          <w:color w:val="auto"/>
        </w:rPr>
      </w:pPr>
      <w:r>
        <w:rPr>
          <w:rFonts w:ascii="Courier New" w:cs="Courier New" w:eastAsia="Courier New" w:hAnsi="Courier New"/>
          <w:sz w:val="16"/>
          <w:szCs w:val="16"/>
          <w:color w:val="auto"/>
        </w:rPr>
        <w:t>So, based solely on employee headcount, $20 of the total $100 of office supplies are allocable to the Servicing Employees, but a portion of that should be allocable to RECEIVING PARTY.</w:t>
      </w:r>
    </w:p>
    <w:p>
      <w:pPr>
        <w:spacing w:after="0" w:line="178" w:lineRule="exact"/>
        <w:rPr>
          <w:sz w:val="20"/>
          <w:szCs w:val="20"/>
          <w:color w:val="auto"/>
        </w:rPr>
      </w:pPr>
    </w:p>
    <w:p>
      <w:pPr>
        <w:jc w:val="center"/>
        <w:ind w:left="800" w:right="1679"/>
        <w:spacing w:after="0" w:line="237" w:lineRule="auto"/>
        <w:rPr>
          <w:sz w:val="20"/>
          <w:szCs w:val="20"/>
          <w:color w:val="auto"/>
        </w:rPr>
      </w:pPr>
      <w:r>
        <w:rPr>
          <w:rFonts w:ascii="Courier New" w:cs="Courier New" w:eastAsia="Courier New" w:hAnsi="Courier New"/>
          <w:sz w:val="18"/>
          <w:szCs w:val="18"/>
          <w:color w:val="auto"/>
        </w:rPr>
        <w:t>Third, to determine that portion of the Full Departmental Costs allocable to the Servicing Employees that is allocable to providing services to RECEIVING PARTY and its Subsidiaries, we determine the average work time percentage of the Servicing Employees:</w:t>
      </w:r>
    </w:p>
    <w:p>
      <w:pPr>
        <w:spacing w:after="0" w:line="203"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8"/>
          <w:szCs w:val="18"/>
          <w:color w:val="auto"/>
        </w:rPr>
        <w:t>So, if:</w:t>
      </w:r>
    </w:p>
    <w:p>
      <w:pPr>
        <w:spacing w:after="0" w:line="201"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8"/>
          <w:szCs w:val="18"/>
          <w:color w:val="auto"/>
        </w:rPr>
        <w:t>2 employee spend 50% of their time on services for RECEIVING</w:t>
      </w:r>
    </w:p>
    <w:p>
      <w:pPr>
        <w:spacing w:after="0" w:line="4"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6"/>
          <w:szCs w:val="16"/>
          <w:color w:val="auto"/>
        </w:rPr>
        <w:t>PARTY, and 2 employees spend 10% of their time on services for</w:t>
      </w:r>
    </w:p>
    <w:p>
      <w:pPr>
        <w:spacing w:after="0" w:line="16"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8"/>
          <w:szCs w:val="18"/>
          <w:color w:val="auto"/>
        </w:rPr>
        <w:t>RECEIVING PARTY,</w:t>
      </w:r>
    </w:p>
    <w:p>
      <w:pPr>
        <w:spacing w:after="0" w:line="201"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8"/>
          <w:szCs w:val="18"/>
          <w:color w:val="auto"/>
        </w:rPr>
        <w:t>then the average work time percentage for these 4 Servicing</w:t>
      </w:r>
    </w:p>
    <w:p>
      <w:pPr>
        <w:jc w:val="center"/>
        <w:ind w:right="879"/>
        <w:spacing w:after="0" w:line="238" w:lineRule="auto"/>
        <w:rPr>
          <w:sz w:val="20"/>
          <w:szCs w:val="20"/>
          <w:color w:val="auto"/>
        </w:rPr>
      </w:pPr>
      <w:r>
        <w:rPr>
          <w:rFonts w:ascii="Courier New" w:cs="Courier New" w:eastAsia="Courier New" w:hAnsi="Courier New"/>
          <w:sz w:val="18"/>
          <w:szCs w:val="18"/>
          <w:color w:val="auto"/>
        </w:rPr>
        <w:t>Employees is:</w:t>
      </w:r>
    </w:p>
    <w:p>
      <w:pPr>
        <w:spacing w:after="0" w:line="207"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(50 + 50 + 10 + 10) = 120 / 4 = 30% average work time</w:t>
      </w:r>
    </w:p>
    <w:p>
      <w:pPr>
        <w:spacing w:after="0" w:line="16"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8"/>
          <w:szCs w:val="18"/>
          <w:color w:val="auto"/>
        </w:rPr>
        <w:t>percentage</w:t>
      </w:r>
    </w:p>
    <w:p>
      <w:pPr>
        <w:spacing w:after="0" w:line="200" w:lineRule="exact"/>
        <w:rPr>
          <w:sz w:val="20"/>
          <w:szCs w:val="20"/>
          <w:color w:val="auto"/>
        </w:rPr>
      </w:pPr>
    </w:p>
    <w:p>
      <w:pPr>
        <w:spacing w:after="0" w:line="204" w:lineRule="exact"/>
        <w:rPr>
          <w:sz w:val="20"/>
          <w:szCs w:val="20"/>
          <w:color w:val="auto"/>
        </w:rPr>
      </w:pPr>
    </w:p>
    <w:p>
      <w:pPr>
        <w:ind w:left="508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9019"/>
          </w:cols>
          <w:pgMar w:left="1440" w:top="520" w:right="1440" w:bottom="1440" w:gutter="0" w:footer="0" w:header="0"/>
        </w:sectPr>
      </w:pPr>
    </w:p>
    <w:bookmarkStart w:id="215" w:name="page216"/>
    <w:bookmarkEnd w:id="215"/>
    <w:p>
      <w:pPr>
        <w:jc w:val="center"/>
        <w:ind w:left="2240" w:right="160"/>
        <w:spacing w:after="0" w:line="236" w:lineRule="auto"/>
        <w:rPr>
          <w:sz w:val="20"/>
          <w:szCs w:val="20"/>
          <w:color w:val="auto"/>
        </w:rPr>
      </w:pPr>
      <w:r>
        <w:rPr>
          <w:rFonts w:ascii="Courier New" w:cs="Courier New" w:eastAsia="Courier New" w:hAnsi="Courier New"/>
          <w:sz w:val="18"/>
          <w:szCs w:val="18"/>
          <w:color w:val="auto"/>
        </w:rPr>
        <w:t>Fourth, apply the average work time percentage of the Servicing Employees in this department/cost center to their share of the total Full Departmental Costs:</w:t>
      </w:r>
    </w:p>
    <w:p>
      <w:pPr>
        <w:spacing w:after="0" w:line="209" w:lineRule="exact"/>
        <w:rPr>
          <w:sz w:val="20"/>
          <w:szCs w:val="20"/>
          <w:color w:val="auto"/>
        </w:rPr>
      </w:pPr>
    </w:p>
    <w:p>
      <w:pPr>
        <w:ind w:left="1631" w:right="2059" w:hanging="368"/>
        <w:spacing w:after="0" w:line="290" w:lineRule="auto"/>
        <w:rPr>
          <w:sz w:val="20"/>
          <w:szCs w:val="20"/>
          <w:color w:val="auto"/>
        </w:rPr>
      </w:pPr>
      <w:r>
        <w:rPr>
          <w:rFonts w:ascii="Courier New" w:cs="Courier New" w:eastAsia="Courier New" w:hAnsi="Courier New"/>
          <w:sz w:val="16"/>
          <w:szCs w:val="16"/>
          <w:color w:val="auto"/>
        </w:rPr>
        <w:t>30% (average work time percentage) of the $20 of office supplies allocable to these Servicing Employees:</w:t>
      </w:r>
    </w:p>
    <w:p>
      <w:pPr>
        <w:spacing w:after="0" w:line="170" w:lineRule="exact"/>
        <w:rPr>
          <w:sz w:val="20"/>
          <w:szCs w:val="20"/>
          <w:color w:val="auto"/>
        </w:rPr>
      </w:pPr>
    </w:p>
    <w:p>
      <w:pPr>
        <w:jc w:val="center"/>
        <w:ind w:right="789"/>
        <w:spacing w:after="0"/>
        <w:rPr>
          <w:sz w:val="20"/>
          <w:szCs w:val="20"/>
          <w:color w:val="auto"/>
        </w:rPr>
      </w:pPr>
      <w:r>
        <w:rPr>
          <w:rFonts w:ascii="Courier New" w:cs="Courier New" w:eastAsia="Courier New" w:hAnsi="Courier New"/>
          <w:sz w:val="16"/>
          <w:szCs w:val="16"/>
          <w:color w:val="auto"/>
        </w:rPr>
        <w:t>30% x $20 = $6.00 allocable to providing services to RECEIVING</w:t>
      </w:r>
    </w:p>
    <w:p>
      <w:pPr>
        <w:spacing w:after="0" w:line="16" w:lineRule="exact"/>
        <w:rPr>
          <w:sz w:val="20"/>
          <w:szCs w:val="20"/>
          <w:color w:val="auto"/>
        </w:rPr>
      </w:pPr>
    </w:p>
    <w:p>
      <w:pPr>
        <w:jc w:val="center"/>
        <w:ind w:right="789"/>
        <w:spacing w:after="0"/>
        <w:rPr>
          <w:sz w:val="20"/>
          <w:szCs w:val="20"/>
          <w:color w:val="auto"/>
        </w:rPr>
      </w:pPr>
      <w:r>
        <w:rPr>
          <w:rFonts w:ascii="Courier New" w:cs="Courier New" w:eastAsia="Courier New" w:hAnsi="Courier New"/>
          <w:sz w:val="18"/>
          <w:szCs w:val="18"/>
          <w:color w:val="auto"/>
        </w:rPr>
        <w:t>PARTY</w:t>
      </w:r>
    </w:p>
    <w:p>
      <w:pPr>
        <w:spacing w:after="0" w:line="207" w:lineRule="exact"/>
        <w:rPr>
          <w:sz w:val="20"/>
          <w:szCs w:val="20"/>
          <w:color w:val="auto"/>
        </w:rPr>
      </w:pPr>
    </w:p>
    <w:p>
      <w:pPr>
        <w:jc w:val="center"/>
        <w:ind w:left="2240" w:right="60"/>
        <w:spacing w:after="0" w:line="236" w:lineRule="auto"/>
        <w:rPr>
          <w:sz w:val="20"/>
          <w:szCs w:val="20"/>
          <w:color w:val="auto"/>
        </w:rPr>
      </w:pPr>
      <w:r>
        <w:rPr>
          <w:rFonts w:ascii="Courier New" w:cs="Courier New" w:eastAsia="Courier New" w:hAnsi="Courier New"/>
          <w:sz w:val="18"/>
          <w:szCs w:val="18"/>
          <w:color w:val="auto"/>
        </w:rPr>
        <w:t>In this example, $6.00 of the Full Departmental Costs for the $100 of office supplies for this department/cost center will be allocated to RECEIVING PARTY.</w:t>
      </w:r>
    </w:p>
    <w:p>
      <w:pPr>
        <w:spacing w:after="0" w:line="203" w:lineRule="exact"/>
        <w:rPr>
          <w:sz w:val="20"/>
          <w:szCs w:val="20"/>
          <w:color w:val="auto"/>
        </w:rPr>
      </w:pPr>
    </w:p>
    <w:p>
      <w:pPr>
        <w:ind w:left="1151" w:hanging="940"/>
        <w:spacing w:after="0"/>
        <w:tabs>
          <w:tab w:leader="none" w:pos="1151"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Limited Departmental (Overhead) Costs for FNF Transferred</w:t>
      </w:r>
    </w:p>
    <w:p>
      <w:pPr>
        <w:spacing w:after="0" w:line="4" w:lineRule="exact"/>
        <w:rPr>
          <w:sz w:val="20"/>
          <w:szCs w:val="20"/>
          <w:color w:val="auto"/>
        </w:rPr>
      </w:pPr>
    </w:p>
    <w:p>
      <w:pPr>
        <w:jc w:val="center"/>
        <w:ind w:left="2240"/>
        <w:spacing w:after="0" w:line="238" w:lineRule="auto"/>
        <w:rPr>
          <w:sz w:val="20"/>
          <w:szCs w:val="20"/>
          <w:color w:val="auto"/>
        </w:rPr>
      </w:pPr>
      <w:r>
        <w:rPr>
          <w:rFonts w:ascii="Courier New" w:cs="Courier New" w:eastAsia="Courier New" w:hAnsi="Courier New"/>
          <w:sz w:val="18"/>
          <w:szCs w:val="18"/>
          <w:color w:val="auto"/>
        </w:rPr>
        <w:t>Employees: Allocation Based on Employee Head Count. Limited Departmental Costs of each department/cost center of PROVIDING PARTY that has Transferred Employees (i.e., RECEIVING PARTY employees who are not Servicing Employees of PROVIDING PARTY, but who are physically located within such department/cost center, such as persons who are former PROVIDING PARTY employees who have been transferred to RECEIVING PARTY but whose office is still housed with their former department/cost center) shall be allocated to RECEIVING PARTY based on employee head count, determined by applying a percentage reflecting the number of Transferred Employees in that department/cost center, in relation to the number of all employees in the department/cost center.</w:t>
      </w:r>
    </w:p>
    <w:p>
      <w:pPr>
        <w:spacing w:after="0" w:line="202" w:lineRule="exact"/>
        <w:rPr>
          <w:sz w:val="20"/>
          <w:szCs w:val="20"/>
          <w:color w:val="auto"/>
        </w:rPr>
      </w:pPr>
    </w:p>
    <w:p>
      <w:pPr>
        <w:jc w:val="center"/>
        <w:ind w:right="789"/>
        <w:spacing w:after="0"/>
        <w:rPr>
          <w:sz w:val="20"/>
          <w:szCs w:val="20"/>
          <w:color w:val="auto"/>
        </w:rPr>
      </w:pPr>
      <w:r>
        <w:rPr>
          <w:rFonts w:ascii="Courier New" w:cs="Courier New" w:eastAsia="Courier New" w:hAnsi="Courier New"/>
          <w:sz w:val="18"/>
          <w:szCs w:val="18"/>
          <w:color w:val="auto"/>
        </w:rPr>
        <w:t>By way of example, assume that in a PROVIDING PARTY</w:t>
      </w:r>
    </w:p>
    <w:p>
      <w:pPr>
        <w:spacing w:after="0" w:line="4" w:lineRule="exact"/>
        <w:rPr>
          <w:sz w:val="20"/>
          <w:szCs w:val="20"/>
          <w:color w:val="auto"/>
        </w:rPr>
      </w:pPr>
    </w:p>
    <w:p>
      <w:pPr>
        <w:jc w:val="center"/>
        <w:ind w:left="2240" w:right="60"/>
        <w:spacing w:after="0" w:line="237" w:lineRule="auto"/>
        <w:rPr>
          <w:sz w:val="20"/>
          <w:szCs w:val="20"/>
          <w:color w:val="auto"/>
        </w:rPr>
      </w:pPr>
      <w:r>
        <w:rPr>
          <w:rFonts w:ascii="Courier New" w:cs="Courier New" w:eastAsia="Courier New" w:hAnsi="Courier New"/>
          <w:sz w:val="18"/>
          <w:szCs w:val="18"/>
          <w:color w:val="auto"/>
        </w:rPr>
        <w:t>department/cost center, there are 10 employees, 2 of whom are Transferred Employees now employed by RECEIVING PARTY. The portion of the Limited Departmental Costs that will be allocated to RECEIVING PARTY as follows:</w:t>
      </w:r>
    </w:p>
    <w:p>
      <w:pPr>
        <w:spacing w:after="0" w:line="202" w:lineRule="exact"/>
        <w:rPr>
          <w:sz w:val="20"/>
          <w:szCs w:val="20"/>
          <w:color w:val="auto"/>
        </w:rPr>
      </w:pPr>
    </w:p>
    <w:p>
      <w:pPr>
        <w:jc w:val="center"/>
        <w:ind w:right="-170"/>
        <w:spacing w:after="0"/>
        <w:rPr>
          <w:sz w:val="20"/>
          <w:szCs w:val="20"/>
          <w:color w:val="auto"/>
        </w:rPr>
      </w:pPr>
      <w:r>
        <w:rPr>
          <w:rFonts w:ascii="Courier New" w:cs="Courier New" w:eastAsia="Courier New" w:hAnsi="Courier New"/>
          <w:sz w:val="18"/>
          <w:szCs w:val="18"/>
          <w:color w:val="auto"/>
        </w:rPr>
        <w:t>2 Transferred Employees / 10 Total Department</w:t>
      </w:r>
    </w:p>
    <w:p>
      <w:pPr>
        <w:jc w:val="center"/>
        <w:ind w:right="-170"/>
        <w:spacing w:after="0" w:line="238" w:lineRule="auto"/>
        <w:rPr>
          <w:sz w:val="20"/>
          <w:szCs w:val="20"/>
          <w:color w:val="auto"/>
        </w:rPr>
      </w:pPr>
      <w:r>
        <w:rPr>
          <w:rFonts w:ascii="Courier New" w:cs="Courier New" w:eastAsia="Courier New" w:hAnsi="Courier New"/>
          <w:sz w:val="18"/>
          <w:szCs w:val="18"/>
          <w:color w:val="auto"/>
        </w:rPr>
        <w:t>Employees = 20%.</w:t>
      </w:r>
    </w:p>
    <w:p>
      <w:pPr>
        <w:spacing w:after="0" w:line="207" w:lineRule="exact"/>
        <w:rPr>
          <w:sz w:val="20"/>
          <w:szCs w:val="20"/>
          <w:color w:val="auto"/>
        </w:rPr>
      </w:pPr>
    </w:p>
    <w:p>
      <w:pPr>
        <w:jc w:val="center"/>
        <w:ind w:right="789"/>
        <w:spacing w:after="0"/>
        <w:rPr>
          <w:sz w:val="20"/>
          <w:szCs w:val="20"/>
          <w:color w:val="auto"/>
        </w:rPr>
      </w:pPr>
      <w:r>
        <w:rPr>
          <w:rFonts w:ascii="Courier New" w:cs="Courier New" w:eastAsia="Courier New" w:hAnsi="Courier New"/>
          <w:sz w:val="16"/>
          <w:szCs w:val="16"/>
          <w:color w:val="auto"/>
        </w:rPr>
        <w:t>In this example, 20% of the Limited Departmental Costs of this</w:t>
      </w:r>
    </w:p>
    <w:p>
      <w:pPr>
        <w:spacing w:after="0" w:line="16" w:lineRule="exact"/>
        <w:rPr>
          <w:sz w:val="20"/>
          <w:szCs w:val="20"/>
          <w:color w:val="auto"/>
        </w:rPr>
      </w:pPr>
    </w:p>
    <w:p>
      <w:pPr>
        <w:jc w:val="center"/>
        <w:ind w:right="789"/>
        <w:spacing w:after="0"/>
        <w:rPr>
          <w:sz w:val="20"/>
          <w:szCs w:val="20"/>
          <w:color w:val="auto"/>
        </w:rPr>
      </w:pPr>
      <w:r>
        <w:rPr>
          <w:rFonts w:ascii="Courier New" w:cs="Courier New" w:eastAsia="Courier New" w:hAnsi="Courier New"/>
          <w:sz w:val="18"/>
          <w:szCs w:val="18"/>
          <w:color w:val="auto"/>
        </w:rPr>
        <w:t>department/cost center will be allocated to RECEIVING PARTY.</w:t>
      </w:r>
    </w:p>
    <w:p>
      <w:pPr>
        <w:spacing w:after="0" w:line="207" w:lineRule="exact"/>
        <w:rPr>
          <w:sz w:val="20"/>
          <w:szCs w:val="20"/>
          <w:color w:val="auto"/>
        </w:rPr>
      </w:pPr>
    </w:p>
    <w:p>
      <w:pPr>
        <w:jc w:val="center"/>
        <w:ind w:left="1051" w:right="1739" w:hanging="1051"/>
        <w:spacing w:after="0" w:line="268" w:lineRule="auto"/>
        <w:tabs>
          <w:tab w:leader="none" w:pos="945"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Update of Servicing Employee Work Percentages and Transferred Employee Head Count: At Least Every 6 Months. Except to the</w:t>
      </w:r>
    </w:p>
    <w:p>
      <w:pPr>
        <w:jc w:val="center"/>
        <w:ind w:left="2240"/>
        <w:spacing w:after="0" w:line="270" w:lineRule="auto"/>
        <w:rPr>
          <w:sz w:val="20"/>
          <w:szCs w:val="20"/>
          <w:color w:val="auto"/>
        </w:rPr>
      </w:pPr>
      <w:r>
        <w:rPr>
          <w:rFonts w:ascii="Courier New" w:cs="Courier New" w:eastAsia="Courier New" w:hAnsi="Courier New"/>
          <w:sz w:val="16"/>
          <w:szCs w:val="16"/>
          <w:color w:val="auto"/>
        </w:rPr>
        <w:t>extent otherwise expressly provided herein, for any given 6-month period, all Direct Employee Compensation to be allocated shall be so allocated on the basis of the applicable work time percentage determined as of the most recent work time percentage review undertaken by PROVIDING PARTY (each a "Work Time Percentage Review"). Work Time Percentage Reviews for all Servicing Employees shall be re-examined and updated by PROVIDING PARTY no less frequently than every 6 months, with the first update after the Effective Date to occur in June 2006. Direct Employee Compensation allocations applicable on the Effective Date and continuing until the completion of the June 2006 Work Time Percentage Review</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171"/>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9110"/>
          </w:cols>
          <w:pgMar w:left="1349" w:top="520" w:right="1440" w:bottom="1440" w:gutter="0" w:footer="0" w:header="0"/>
        </w:sectPr>
      </w:pPr>
    </w:p>
    <w:bookmarkStart w:id="216" w:name="page217"/>
    <w:bookmarkEnd w:id="216"/>
    <w:p>
      <w:pPr>
        <w:jc w:val="center"/>
        <w:ind w:left="2240" w:right="60"/>
        <w:spacing w:after="0" w:line="271" w:lineRule="auto"/>
        <w:rPr>
          <w:sz w:val="20"/>
          <w:szCs w:val="20"/>
          <w:color w:val="auto"/>
        </w:rPr>
      </w:pPr>
      <w:r>
        <w:rPr>
          <w:rFonts w:ascii="Courier New" w:cs="Courier New" w:eastAsia="Courier New" w:hAnsi="Courier New"/>
          <w:sz w:val="16"/>
          <w:szCs w:val="16"/>
          <w:color w:val="auto"/>
        </w:rPr>
        <w:t>shall be based on the Work Time Percentage Review undertaken for the calendar month October 2005. Full Departmental Costs and Limited Departmental Costs will be allocated based on the head count (and, if applicable, the work time percentage) determined as of the most recent Work Time Percentage Review. Without limiting the foregoing, changes in work time percentages based on an updated Work Time Percentage Review shall be reviewed and approved by a full-time FNF employee.</w:t>
      </w:r>
    </w:p>
    <w:p>
      <w:pPr>
        <w:spacing w:after="0" w:line="186" w:lineRule="exact"/>
        <w:rPr>
          <w:sz w:val="20"/>
          <w:szCs w:val="20"/>
          <w:color w:val="auto"/>
        </w:rPr>
      </w:pPr>
    </w:p>
    <w:p>
      <w:pPr>
        <w:ind w:left="943" w:hanging="943"/>
        <w:spacing w:after="0"/>
        <w:tabs>
          <w:tab w:leader="none" w:pos="943"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Terminated or Discontinued Services. If at any time during the</w:t>
      </w:r>
    </w:p>
    <w:p>
      <w:pPr>
        <w:spacing w:after="0" w:line="16" w:lineRule="exact"/>
        <w:rPr>
          <w:rFonts w:ascii="Courier New" w:cs="Courier New" w:eastAsia="Courier New" w:hAnsi="Courier New"/>
          <w:sz w:val="16"/>
          <w:szCs w:val="16"/>
          <w:color w:val="auto"/>
        </w:rPr>
      </w:pPr>
    </w:p>
    <w:p>
      <w:pPr>
        <w:ind w:left="148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Term of this Agreement RECEIVING PARTY terminates or</w:t>
      </w:r>
    </w:p>
    <w:p>
      <w:pPr>
        <w:spacing w:after="0" w:line="5" w:lineRule="exact"/>
        <w:rPr>
          <w:sz w:val="20"/>
          <w:szCs w:val="20"/>
          <w:color w:val="auto"/>
        </w:rPr>
      </w:pPr>
    </w:p>
    <w:p>
      <w:pPr>
        <w:jc w:val="center"/>
        <w:ind w:left="2240"/>
        <w:spacing w:after="0" w:line="272" w:lineRule="auto"/>
        <w:rPr>
          <w:sz w:val="20"/>
          <w:szCs w:val="20"/>
          <w:color w:val="auto"/>
        </w:rPr>
      </w:pPr>
      <w:r>
        <w:rPr>
          <w:rFonts w:ascii="Courier New" w:cs="Courier New" w:eastAsia="Courier New" w:hAnsi="Courier New"/>
          <w:sz w:val="16"/>
          <w:szCs w:val="16"/>
          <w:color w:val="auto"/>
        </w:rPr>
        <w:t>discontinues all or any portion of a Corporate Service prior to the end of the Term or if any Corporate Service (or portion thereof) automatically terminates, pursuant to Section 2.2(b) (hereinafter referred to as a "Discontinued Service"), then effective as of the last day of the calendar month in which such termination or discontinuation is effective, Corporate Service Fees related to the Discontinued Service shall no longer be owing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583"/>
        <w:spacing w:after="0"/>
        <w:rPr>
          <w:sz w:val="20"/>
          <w:szCs w:val="20"/>
          <w:color w:val="auto"/>
        </w:rPr>
      </w:pPr>
      <w:r>
        <w:rPr>
          <w:rFonts w:ascii="Courier New" w:cs="Courier New" w:eastAsia="Courier New" w:hAnsi="Courier New"/>
          <w:sz w:val="18"/>
          <w:szCs w:val="18"/>
          <w:color w:val="auto"/>
        </w:rPr>
        <w:t>LLGM JK232522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23"/>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9162"/>
          </w:cols>
          <w:pgMar w:left="1297" w:top="520" w:right="1440" w:bottom="1440" w:gutter="0" w:footer="0" w:header="0"/>
        </w:sectPr>
      </w:pPr>
    </w:p>
    <w:bookmarkStart w:id="217" w:name="page218"/>
    <w:bookmarkEnd w:id="217"/>
    <w:p>
      <w:pPr>
        <w:jc w:val="right"/>
        <w:ind w:right="1679"/>
        <w:spacing w:after="0"/>
        <w:rPr>
          <w:sz w:val="20"/>
          <w:szCs w:val="20"/>
          <w:color w:val="auto"/>
        </w:rPr>
      </w:pPr>
      <w:r>
        <w:rPr>
          <w:rFonts w:ascii="Courier New" w:cs="Courier New" w:eastAsia="Courier New" w:hAnsi="Courier New"/>
          <w:sz w:val="18"/>
          <w:szCs w:val="18"/>
          <w:color w:val="auto"/>
        </w:rPr>
        <w:t>EXHIBIT 10.3</w:t>
      </w:r>
    </w:p>
    <w:p>
      <w:pPr>
        <w:spacing w:after="0" w:line="201" w:lineRule="exact"/>
        <w:rPr>
          <w:sz w:val="20"/>
          <w:szCs w:val="20"/>
          <w:color w:val="auto"/>
        </w:rPr>
      </w:pPr>
    </w:p>
    <w:p>
      <w:pPr>
        <w:ind w:left="5020"/>
        <w:spacing w:after="0"/>
        <w:rPr>
          <w:sz w:val="20"/>
          <w:szCs w:val="20"/>
          <w:color w:val="auto"/>
        </w:rPr>
      </w:pPr>
      <w:r>
        <w:rPr>
          <w:rFonts w:ascii="Courier New" w:cs="Courier New" w:eastAsia="Courier New" w:hAnsi="Courier New"/>
          <w:sz w:val="18"/>
          <w:szCs w:val="18"/>
          <w:color w:val="auto"/>
        </w:rPr>
        <w:t>Execution Version</w:t>
      </w:r>
    </w:p>
    <w:p>
      <w:pPr>
        <w:spacing w:after="0" w:line="201"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AMENDED AND RESTATED REVERSE CORPORATE SERVICES AGREEMENT</w:t>
      </w:r>
    </w:p>
    <w:p>
      <w:pPr>
        <w:spacing w:after="0" w:line="207" w:lineRule="exact"/>
        <w:rPr>
          <w:sz w:val="20"/>
          <w:szCs w:val="20"/>
          <w:color w:val="auto"/>
        </w:rPr>
      </w:pPr>
    </w:p>
    <w:p>
      <w:pPr>
        <w:ind w:left="60" w:right="1739" w:firstLine="1054"/>
        <w:spacing w:after="0" w:line="268" w:lineRule="auto"/>
        <w:rPr>
          <w:sz w:val="20"/>
          <w:szCs w:val="20"/>
          <w:color w:val="auto"/>
        </w:rPr>
      </w:pPr>
      <w:r>
        <w:rPr>
          <w:rFonts w:ascii="Courier New" w:cs="Courier New" w:eastAsia="Courier New" w:hAnsi="Courier New"/>
          <w:sz w:val="16"/>
          <w:szCs w:val="16"/>
          <w:color w:val="auto"/>
        </w:rPr>
        <w:t>This Amended and Restated Reverse Corporate Services Agreement (this "Agreement") is effective as of February 1, 2006 (the "Effective Date"), by and</w:t>
      </w:r>
    </w:p>
    <w:p>
      <w:pPr>
        <w:jc w:val="center"/>
        <w:ind w:right="1679"/>
        <w:spacing w:after="0" w:line="233" w:lineRule="auto"/>
        <w:rPr>
          <w:sz w:val="20"/>
          <w:szCs w:val="20"/>
          <w:color w:val="auto"/>
        </w:rPr>
      </w:pPr>
      <w:r>
        <w:rPr>
          <w:rFonts w:ascii="Courier New" w:cs="Courier New" w:eastAsia="Courier New" w:hAnsi="Courier New"/>
          <w:sz w:val="18"/>
          <w:szCs w:val="18"/>
          <w:color w:val="auto"/>
        </w:rPr>
        <w:t>between FIDELITY NATIONAL FINANCIAL, INC., a Delaware corporation ("FNF" or</w:t>
      </w:r>
    </w:p>
    <w:p>
      <w:pPr>
        <w:spacing w:after="0" w:line="5" w:lineRule="exact"/>
        <w:rPr>
          <w:sz w:val="20"/>
          <w:szCs w:val="20"/>
          <w:color w:val="auto"/>
        </w:rPr>
      </w:pPr>
    </w:p>
    <w:p>
      <w:pPr>
        <w:ind w:left="320" w:right="1999" w:firstLine="158"/>
        <w:spacing w:after="0" w:line="279" w:lineRule="auto"/>
        <w:rPr>
          <w:sz w:val="20"/>
          <w:szCs w:val="20"/>
          <w:color w:val="auto"/>
        </w:rPr>
      </w:pPr>
      <w:r>
        <w:rPr>
          <w:rFonts w:ascii="Courier New" w:cs="Courier New" w:eastAsia="Courier New" w:hAnsi="Courier New"/>
          <w:sz w:val="16"/>
          <w:szCs w:val="16"/>
          <w:color w:val="auto"/>
        </w:rPr>
        <w:t>"PROVIDING PARTY"), and FIDELITY NATIONAL TITLE GROUP, INC., a Delaware corporation ("FNT" or "RECEIVING PARTY"). FNF and FNT shall be referred to together in this Agreement as the "Parties" and individually as a "Party."</w:t>
      </w:r>
    </w:p>
    <w:p>
      <w:pPr>
        <w:spacing w:after="0" w:line="178" w:lineRule="exact"/>
        <w:rPr>
          <w:sz w:val="20"/>
          <w:szCs w:val="20"/>
          <w:color w:val="auto"/>
        </w:rPr>
      </w:pPr>
    </w:p>
    <w:p>
      <w:pPr>
        <w:ind w:left="60" w:right="1739" w:firstLine="1264"/>
        <w:spacing w:after="0" w:line="268" w:lineRule="auto"/>
        <w:rPr>
          <w:sz w:val="20"/>
          <w:szCs w:val="20"/>
          <w:color w:val="auto"/>
        </w:rPr>
      </w:pPr>
      <w:r>
        <w:rPr>
          <w:rFonts w:ascii="Courier New" w:cs="Courier New" w:eastAsia="Courier New" w:hAnsi="Courier New"/>
          <w:sz w:val="16"/>
          <w:szCs w:val="16"/>
          <w:color w:val="auto"/>
        </w:rPr>
        <w:t>WHEREAS, the Parties previously entered into a Reverse Corporate Services Agreement dated as of September 27, 2005 (the "Prior RCSA Agreement") for the provision of certain corporate services to FNT, as more fully described</w:t>
      </w:r>
    </w:p>
    <w:p>
      <w:pPr>
        <w:ind w:left="3600"/>
        <w:spacing w:after="0" w:line="233" w:lineRule="auto"/>
        <w:rPr>
          <w:sz w:val="20"/>
          <w:szCs w:val="20"/>
          <w:color w:val="auto"/>
        </w:rPr>
      </w:pPr>
      <w:r>
        <w:rPr>
          <w:rFonts w:ascii="Courier New" w:cs="Courier New" w:eastAsia="Courier New" w:hAnsi="Courier New"/>
          <w:sz w:val="18"/>
          <w:szCs w:val="18"/>
          <w:color w:val="auto"/>
        </w:rPr>
        <w:t>therein; and</w:t>
      </w:r>
    </w:p>
    <w:p>
      <w:pPr>
        <w:spacing w:after="0" w:line="208" w:lineRule="exact"/>
        <w:rPr>
          <w:sz w:val="20"/>
          <w:szCs w:val="20"/>
          <w:color w:val="auto"/>
        </w:rPr>
      </w:pPr>
    </w:p>
    <w:p>
      <w:pPr>
        <w:ind w:left="3380" w:right="1679" w:hanging="2422"/>
        <w:spacing w:after="0" w:line="235" w:lineRule="auto"/>
        <w:rPr>
          <w:sz w:val="20"/>
          <w:szCs w:val="20"/>
          <w:color w:val="auto"/>
        </w:rPr>
      </w:pPr>
      <w:r>
        <w:rPr>
          <w:rFonts w:ascii="Courier New" w:cs="Courier New" w:eastAsia="Courier New" w:hAnsi="Courier New"/>
          <w:sz w:val="18"/>
          <w:szCs w:val="18"/>
          <w:color w:val="auto"/>
        </w:rPr>
        <w:t>WHEREAS, the Parties wish to amend and restate the Prior RCSA Agreement in its entirety;</w:t>
      </w:r>
    </w:p>
    <w:p>
      <w:pPr>
        <w:spacing w:after="0" w:line="208" w:lineRule="exact"/>
        <w:rPr>
          <w:sz w:val="20"/>
          <w:szCs w:val="20"/>
          <w:color w:val="auto"/>
        </w:rPr>
      </w:pPr>
    </w:p>
    <w:p>
      <w:pPr>
        <w:ind w:left="60" w:right="1739" w:firstLine="1528"/>
        <w:spacing w:after="0" w:line="268" w:lineRule="auto"/>
        <w:rPr>
          <w:sz w:val="20"/>
          <w:szCs w:val="20"/>
          <w:color w:val="auto"/>
        </w:rPr>
      </w:pPr>
      <w:r>
        <w:rPr>
          <w:rFonts w:ascii="Courier New" w:cs="Courier New" w:eastAsia="Courier New" w:hAnsi="Courier New"/>
          <w:sz w:val="16"/>
          <w:szCs w:val="16"/>
          <w:color w:val="auto"/>
        </w:rPr>
        <w:t>NOW THEREFORE, in consideration of the premises, and of the representations, warranties, covenants and agreements set forth herein, and for other good and valuable consideration, the receipt and sufficiency of which are</w:t>
      </w:r>
    </w:p>
    <w:p>
      <w:pPr>
        <w:ind w:left="1220"/>
        <w:spacing w:after="0" w:line="233" w:lineRule="auto"/>
        <w:rPr>
          <w:sz w:val="20"/>
          <w:szCs w:val="20"/>
          <w:color w:val="auto"/>
        </w:rPr>
      </w:pPr>
      <w:r>
        <w:rPr>
          <w:rFonts w:ascii="Courier New" w:cs="Courier New" w:eastAsia="Courier New" w:hAnsi="Courier New"/>
          <w:sz w:val="18"/>
          <w:szCs w:val="18"/>
          <w:color w:val="auto"/>
        </w:rPr>
        <w:t>hereby acknowledged, the Parties hereto agree as follows:</w:t>
      </w:r>
    </w:p>
    <w:p>
      <w:pPr>
        <w:spacing w:after="0" w:line="202" w:lineRule="exact"/>
        <w:rPr>
          <w:sz w:val="20"/>
          <w:szCs w:val="20"/>
          <w:color w:val="auto"/>
        </w:rPr>
      </w:pPr>
    </w:p>
    <w:p>
      <w:pPr>
        <w:ind w:left="5640"/>
        <w:spacing w:after="0"/>
        <w:rPr>
          <w:sz w:val="20"/>
          <w:szCs w:val="20"/>
          <w:color w:val="auto"/>
        </w:rPr>
      </w:pPr>
      <w:r>
        <w:rPr>
          <w:rFonts w:ascii="Courier New" w:cs="Courier New" w:eastAsia="Courier New" w:hAnsi="Courier New"/>
          <w:sz w:val="18"/>
          <w:szCs w:val="18"/>
          <w:color w:val="auto"/>
        </w:rPr>
        <w:t>ARTICLE I</w:t>
      </w:r>
    </w:p>
    <w:p>
      <w:pPr>
        <w:ind w:left="4900"/>
        <w:spacing w:after="0" w:line="238" w:lineRule="auto"/>
        <w:rPr>
          <w:sz w:val="20"/>
          <w:szCs w:val="20"/>
          <w:color w:val="auto"/>
        </w:rPr>
      </w:pPr>
      <w:r>
        <w:rPr>
          <w:rFonts w:ascii="Courier New" w:cs="Courier New" w:eastAsia="Courier New" w:hAnsi="Courier New"/>
          <w:sz w:val="18"/>
          <w:szCs w:val="18"/>
          <w:color w:val="auto"/>
        </w:rPr>
        <w:t>CORPORATE SERVICES</w:t>
      </w:r>
    </w:p>
    <w:p>
      <w:pPr>
        <w:spacing w:after="0" w:line="207" w:lineRule="exact"/>
        <w:rPr>
          <w:sz w:val="20"/>
          <w:szCs w:val="20"/>
          <w:color w:val="auto"/>
        </w:rPr>
      </w:pPr>
    </w:p>
    <w:p>
      <w:pPr>
        <w:ind w:left="120" w:right="1779" w:firstLine="1211"/>
        <w:spacing w:after="0" w:line="268" w:lineRule="auto"/>
        <w:rPr>
          <w:sz w:val="20"/>
          <w:szCs w:val="20"/>
          <w:color w:val="auto"/>
        </w:rPr>
      </w:pPr>
      <w:r>
        <w:rPr>
          <w:rFonts w:ascii="Courier New" w:cs="Courier New" w:eastAsia="Courier New" w:hAnsi="Courier New"/>
          <w:sz w:val="16"/>
          <w:szCs w:val="16"/>
          <w:color w:val="auto"/>
        </w:rPr>
        <w:t>1.1. Corporate Services. This Agreement sets forth the terms and conditions for the provision by PROVIDING PARTY to RECEIVING PARTY of various corporate services and products, as more fully described below and in Schedule</w:t>
      </w:r>
    </w:p>
    <w:p>
      <w:pPr>
        <w:spacing w:after="0" w:line="1" w:lineRule="exact"/>
        <w:rPr>
          <w:sz w:val="20"/>
          <w:szCs w:val="20"/>
          <w:color w:val="auto"/>
        </w:rPr>
      </w:pPr>
    </w:p>
    <w:p>
      <w:pPr>
        <w:jc w:val="center"/>
        <w:ind w:left="360" w:right="260"/>
        <w:spacing w:after="0" w:line="236" w:lineRule="auto"/>
        <w:rPr>
          <w:sz w:val="20"/>
          <w:szCs w:val="20"/>
          <w:color w:val="auto"/>
        </w:rPr>
      </w:pPr>
      <w:r>
        <w:rPr>
          <w:rFonts w:ascii="Courier New" w:cs="Courier New" w:eastAsia="Courier New" w:hAnsi="Courier New"/>
          <w:sz w:val="18"/>
          <w:szCs w:val="18"/>
          <w:color w:val="auto"/>
        </w:rPr>
        <w:t>1.1(a) attached hereto (the Scheduled Services, the Omitted Services, the Resumed Services and Special Projects (as defined below), collectively, the "Corporate Services").</w:t>
      </w:r>
    </w:p>
    <w:p>
      <w:pPr>
        <w:spacing w:after="0" w:line="209" w:lineRule="exact"/>
        <w:rPr>
          <w:sz w:val="20"/>
          <w:szCs w:val="20"/>
          <w:color w:val="auto"/>
        </w:rPr>
      </w:pPr>
    </w:p>
    <w:p>
      <w:pPr>
        <w:ind w:left="120" w:right="1779" w:firstLine="2048"/>
        <w:spacing w:after="0" w:line="268" w:lineRule="auto"/>
        <w:tabs>
          <w:tab w:leader="none" w:pos="2596"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PARTY, through its Subsidiaries (as defined below) and their respective employees, agents or contractors, shall provide or cause to be provided to RECEIVING PARTY and its Subsidiaries all services set forth on Schedule 1.1(a) (the "Scheduled Services") on and after the Effective Date (with such services to be provided to RECEIVING PARTY's Subsidiaries as</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they become Subsidiaries of RECEIVING PARTY, subject to the exception in clause</w:t>
      </w:r>
    </w:p>
    <w:p>
      <w:pPr>
        <w:spacing w:after="0" w:line="21" w:lineRule="exact"/>
        <w:rPr>
          <w:sz w:val="20"/>
          <w:szCs w:val="20"/>
          <w:color w:val="auto"/>
        </w:rPr>
      </w:pPr>
    </w:p>
    <w:p>
      <w:pPr>
        <w:ind w:left="440" w:right="1779" w:hanging="326"/>
        <w:spacing w:after="0" w:line="268" w:lineRule="auto"/>
        <w:tabs>
          <w:tab w:leader="none" w:pos="651"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Section 1.2(a)). RECEIVING PARTY shall pay fees to PROVIDING PARTY for providing the Scheduled Services or causing the Scheduled Services to be</w:t>
      </w:r>
    </w:p>
    <w:p>
      <w:pPr>
        <w:jc w:val="center"/>
        <w:ind w:right="1679"/>
        <w:spacing w:after="0" w:line="270" w:lineRule="auto"/>
        <w:rPr>
          <w:sz w:val="20"/>
          <w:szCs w:val="20"/>
          <w:color w:val="auto"/>
        </w:rPr>
      </w:pPr>
      <w:r>
        <w:rPr>
          <w:rFonts w:ascii="Courier New" w:cs="Courier New" w:eastAsia="Courier New" w:hAnsi="Courier New"/>
          <w:sz w:val="16"/>
          <w:szCs w:val="16"/>
          <w:color w:val="auto"/>
        </w:rPr>
        <w:t>provided as set forth in Schedule 1.1(a). For purposes of this Agreement, (i) "Subsidiary" means, with respect to either Party, a corporation, partnership, company, or other entity of which such Party controls or owns, directly or indirectly, more than fifty percent (50%) of the stock or other equity interest entitled to vote on the election of the members to the board of directors or similar governing body, provided, however, that with respect to PROVIDING PARTY, "Subsidiary" does not include (X) Certegy, Inc., Fidelity National Information Services, Inc. or any of their Subsidiaries (collectively, "FIS") or (Y) FNT or any of its Subsidiaries; and (ii) "Affiliate" means, with respect to either Party, a corporation, partnership, company or other</w:t>
      </w:r>
    </w:p>
    <w:p>
      <w:pPr>
        <w:spacing w:after="0" w:line="200" w:lineRule="exact"/>
        <w:rPr>
          <w:sz w:val="20"/>
          <w:szCs w:val="20"/>
          <w:color w:val="auto"/>
        </w:rPr>
      </w:pPr>
    </w:p>
    <w:p>
      <w:pPr>
        <w:spacing w:after="0" w:line="389"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119"/>
          </w:cols>
          <w:pgMar w:left="340" w:top="339" w:right="1440" w:bottom="1440" w:gutter="0" w:footer="0" w:header="0"/>
        </w:sectPr>
      </w:pPr>
    </w:p>
    <w:bookmarkStart w:id="218" w:name="page219"/>
    <w:bookmarkEnd w:id="218"/>
    <w:p>
      <w:pPr>
        <w:jc w:val="center"/>
        <w:ind w:right="1679"/>
        <w:spacing w:after="0" w:line="237" w:lineRule="auto"/>
        <w:rPr>
          <w:sz w:val="20"/>
          <w:szCs w:val="20"/>
          <w:color w:val="auto"/>
        </w:rPr>
      </w:pPr>
      <w:r>
        <w:rPr>
          <w:rFonts w:ascii="Courier New" w:cs="Courier New" w:eastAsia="Courier New" w:hAnsi="Courier New"/>
          <w:sz w:val="18"/>
          <w:szCs w:val="18"/>
          <w:color w:val="auto"/>
        </w:rPr>
        <w:t>entity that, directly or indirectly through one or more intermediaries, controls, is controlled by, or is under common control with such specific Party, except that (I) in the case of RECEIVING PARTY, "Affiliate" shall not include FIS or any of its Subsidiaries, or FNF or any Subsidiary of FNF that is not a direct or indirect Subsidiary of FNT, and (II) in the case of PROVIDING PARTY, "Affiliate" shall not include FIS or any of its Subsidiaries, or FNT or any of its Subsidiaries. As used herein, "control" means the possession, directly or indirectly, of the power to direct or cause the direction of the management and policies of such entity, whether through ownership of voting securities or other interests, by contract or otherwise.</w:t>
      </w:r>
    </w:p>
    <w:p>
      <w:pPr>
        <w:spacing w:after="0" w:line="215" w:lineRule="exact"/>
        <w:rPr>
          <w:sz w:val="20"/>
          <w:szCs w:val="20"/>
          <w:color w:val="auto"/>
        </w:rPr>
      </w:pPr>
    </w:p>
    <w:p>
      <w:pPr>
        <w:jc w:val="both"/>
        <w:ind w:left="380" w:right="2059" w:firstLine="1893"/>
        <w:spacing w:after="0" w:line="268" w:lineRule="auto"/>
        <w:tabs>
          <w:tab w:leader="none" w:pos="2697"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PARTY, through its Subsidiaries and their respective employees, agents or contractors, shall provide or cause to be</w:t>
      </w:r>
    </w:p>
    <w:p>
      <w:pPr>
        <w:jc w:val="center"/>
        <w:ind w:right="1679"/>
        <w:spacing w:after="0" w:line="233" w:lineRule="auto"/>
        <w:rPr>
          <w:sz w:val="20"/>
          <w:szCs w:val="20"/>
          <w:color w:val="auto"/>
        </w:rPr>
      </w:pPr>
      <w:r>
        <w:rPr>
          <w:rFonts w:ascii="Courier New" w:cs="Courier New" w:eastAsia="Courier New" w:hAnsi="Courier New"/>
          <w:sz w:val="18"/>
          <w:szCs w:val="18"/>
          <w:color w:val="auto"/>
        </w:rPr>
        <w:t>provided to RECEIVING PARTY and its Subsidiaries all services that PROVIDING</w:t>
      </w:r>
    </w:p>
    <w:p>
      <w:pPr>
        <w:spacing w:after="0" w:line="5" w:lineRule="exact"/>
        <w:rPr>
          <w:sz w:val="20"/>
          <w:szCs w:val="20"/>
          <w:color w:val="auto"/>
        </w:rPr>
      </w:pPr>
    </w:p>
    <w:p>
      <w:pPr>
        <w:jc w:val="center"/>
        <w:ind w:right="1679"/>
        <w:spacing w:after="0" w:line="238" w:lineRule="auto"/>
        <w:rPr>
          <w:sz w:val="20"/>
          <w:szCs w:val="20"/>
          <w:color w:val="auto"/>
        </w:rPr>
      </w:pPr>
      <w:r>
        <w:rPr>
          <w:rFonts w:ascii="Courier New" w:cs="Courier New" w:eastAsia="Courier New" w:hAnsi="Courier New"/>
          <w:sz w:val="18"/>
          <w:szCs w:val="18"/>
          <w:color w:val="auto"/>
        </w:rPr>
        <w:t>PARTY was performing for RECEIVING PARTY and its Subsidiaries as of the Effective Date that pertain to and are a part of Scheduled Services under Section 1.1(a) (with such services to be provided to RECEIVING PARTY's Subsidiaries as they become Subsidiaries of RECEIVING PARTY, subject to the exception in clause (ii) of Section 1.2(a)), which are not expressly included in the list of Scheduled Services in Schedule 1.1(a), but are required to conduct the business of RECEIVING PARTY and its Subsidiaries (the "Omitted Services"), unless RECEIVING PARTY consents in writing to the termination of such services. Such Omitted Services shall be added to Schedule 1.1(a) and thereby become Scheduled Services, as soon as reasonably practicable after the Effective Date by the Parties. In the event that RECEIVING PARTY or its Subsidiaries had been allocated charges or otherwise paid PROVIDING PARTY or its Subsidiaries for such Omitted Services immediately prior to the Effective Date, RECEIVING PARTY shall pay to PROVIDING PARTY for providing the Omitted Services or causing the Omitted Services to be provided hereunder fees equal to the actual fees paid for such Omitted Services immediately preceding the Effective Date; provided, that payment of such fees by RECEIVING PARTY for the Omitted Services provided hereunder shall be retroactive to the first day of the calendar quarter in which either Party identifies such services as Omitted Services, but in no event shall RECEIVING PARTY be required to pay for any Omitted Services provided hereunder by PROVIDING PARTY or its Subsidiaries or Affiliates prior to the Effective Date. In the event that RECEIVING PARTY or its Subsidiaries had not been allocated charges or otherwise paid PROVIDING PARTY or its Subsidiaries or Affiliates for such Omitted Services immediately prior to the Effective Date, the Parties shall negotiate in good faith a fee to be based on the cost of providing such Omitted Services, which shall in no event be less than the Default Fee (as defined below); provided, that payment of such fees by RECEIVING PARTY for the Omitted Services provided hereunder by PROVIDING PARTY shall be retroactive to the first day of the calendar quarter in which either Party identifies such services as Omitted Services, but in no event shall RECEIVING PARTY be required to pay for any such Omitted Services provided hereunder by PROVIDING PARTY or its Subsidiaries or Affiliates prior to the Effective Date. The "Default Fee" means an amount equal to one hundred fifty percent (150%) of the salary of each full-time employee, on an hourly basis, who provides the applicable Corporate Service or Transition Assistance (as defined in Section 2.3).</w:t>
      </w:r>
    </w:p>
    <w:p>
      <w:pPr>
        <w:spacing w:after="0" w:line="216" w:lineRule="exact"/>
        <w:rPr>
          <w:sz w:val="20"/>
          <w:szCs w:val="20"/>
          <w:color w:val="auto"/>
        </w:rPr>
      </w:pPr>
    </w:p>
    <w:p>
      <w:pPr>
        <w:ind w:right="1679" w:firstLine="2115"/>
        <w:spacing w:after="0" w:line="268" w:lineRule="auto"/>
        <w:tabs>
          <w:tab w:leader="none" w:pos="2528"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RECEIVING PARTY's written request, PROVIDING PARTY, through its Subsidiaries and Affiliates, and their respective employees, agents or contractors, shall use commercially reasonable efforts to provide or cause to</w:t>
      </w:r>
    </w:p>
    <w:p>
      <w:pPr>
        <w:ind w:left="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be provided to RECEIVING PARTY and its Subsidiaries any Scheduled Service that</w:t>
      </w:r>
    </w:p>
    <w:p>
      <w:pPr>
        <w:spacing w:after="0" w:line="1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has been terminated at RECEIVING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119"/>
          </w:cols>
          <w:pgMar w:left="340" w:top="520" w:right="1440" w:bottom="1440" w:gutter="0" w:footer="0" w:header="0"/>
        </w:sectPr>
      </w:pPr>
    </w:p>
    <w:bookmarkStart w:id="219" w:name="page220"/>
    <w:bookmarkEnd w:id="219"/>
    <w:p>
      <w:pPr>
        <w:jc w:val="center"/>
        <w:ind w:right="1679"/>
        <w:spacing w:after="0" w:line="237" w:lineRule="auto"/>
        <w:rPr>
          <w:sz w:val="20"/>
          <w:szCs w:val="20"/>
          <w:color w:val="auto"/>
        </w:rPr>
      </w:pPr>
      <w:r>
        <w:rPr>
          <w:rFonts w:ascii="Courier New" w:cs="Courier New" w:eastAsia="Courier New" w:hAnsi="Courier New"/>
          <w:sz w:val="18"/>
          <w:szCs w:val="18"/>
          <w:color w:val="auto"/>
        </w:rPr>
        <w:t>PARTY's request pursuant to Section 2.2 (the "Resumed Services"); provided, that PROVIDING PARTY shall have no obligation to provide a Resumed Service if providing such Resumed Service will have a material adverse impact on the other Corporate Services. Schedule 1.1(a) shall from time to time be amended to reflect the resumption of a Resumed Service and the Resumed Service shall be set forth thereon as a Scheduled Service.</w:t>
      </w:r>
    </w:p>
    <w:p>
      <w:pPr>
        <w:spacing w:after="0" w:line="210" w:lineRule="exact"/>
        <w:rPr>
          <w:sz w:val="20"/>
          <w:szCs w:val="20"/>
          <w:color w:val="auto"/>
        </w:rPr>
      </w:pPr>
    </w:p>
    <w:p>
      <w:pPr>
        <w:ind w:left="60" w:right="1739" w:firstLine="2055"/>
        <w:spacing w:after="0" w:line="268" w:lineRule="auto"/>
        <w:tabs>
          <w:tab w:leader="none" w:pos="2536" w:val="left"/>
        </w:tabs>
        <w:numPr>
          <w:ilvl w:val="1"/>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RECEIVING PARTY's written request, PROVIDING PARTY, through its Subsidiaries and Affiliates, and their respective employees, agents or contractors, shall use commercially reasonable efforts to provide additional</w:t>
      </w:r>
    </w:p>
    <w:p>
      <w:pPr>
        <w:jc w:val="center"/>
        <w:ind w:right="1679" w:firstLine="158"/>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services that are not described in the Schedule 1.1(a) and that are neither Omitted Services nor Resumed Services ("Special Projects"). RECEIVING PARTY shall submit a written request to PROVIDING PARTY specifying the nature of the Special Project and requesting an estimate of the costs applicable for such Special Project and the expected time frame for completion. PROVIDING PARTY shall respond promptly to such written request, but in no event later than twenty (20) days, with a written estimate of the cost of providing such Special Project and the expected time frame for completion (the "Cost Estimate"). If RECEIVING PARTY provides written approval of the Cost Estimate within ten (10) days after PROVIDING PARTY delivers the Cost Estimate, then within a commercially reasonable time after receipt of RECEIVING PARTY's written request, PROVIDING PARTY shall begin providing the Special Project; provided, that PROVIDING PARTY shall have no obligation to provide a Special Project where, in its reasonable discretion and prior to providing the Cost Estimate, it has determined and notified RECEIVING PARTY in writing that (i) it would not be feasible to provide such Special Project, given reasonable priority to other demands on its resources and capacity both under this Agreement or otherwise or</w:t>
      </w:r>
    </w:p>
    <w:p>
      <w:pPr>
        <w:spacing w:after="0" w:line="193" w:lineRule="exact"/>
        <w:rPr>
          <w:rFonts w:ascii="Courier New" w:cs="Courier New" w:eastAsia="Courier New" w:hAnsi="Courier New"/>
          <w:sz w:val="16"/>
          <w:szCs w:val="16"/>
          <w:color w:val="auto"/>
        </w:rPr>
      </w:pPr>
    </w:p>
    <w:p>
      <w:pPr>
        <w:ind w:left="580" w:hanging="519"/>
        <w:spacing w:after="0"/>
        <w:tabs>
          <w:tab w:leader="none" w:pos="58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lacks the experience or qualifications to provide such Special Project.</w:t>
      </w:r>
    </w:p>
    <w:p>
      <w:pPr>
        <w:spacing w:after="0" w:line="224" w:lineRule="exact"/>
        <w:rPr>
          <w:sz w:val="20"/>
          <w:szCs w:val="20"/>
          <w:color w:val="auto"/>
        </w:rPr>
      </w:pPr>
    </w:p>
    <w:p>
      <w:pPr>
        <w:jc w:val="both"/>
        <w:ind w:left="160" w:right="1839" w:firstLine="1106"/>
        <w:spacing w:after="0" w:line="268" w:lineRule="auto"/>
        <w:rPr>
          <w:sz w:val="20"/>
          <w:szCs w:val="20"/>
          <w:color w:val="auto"/>
        </w:rPr>
      </w:pPr>
      <w:r>
        <w:rPr>
          <w:rFonts w:ascii="Courier New" w:cs="Courier New" w:eastAsia="Courier New" w:hAnsi="Courier New"/>
          <w:sz w:val="16"/>
          <w:szCs w:val="16"/>
          <w:color w:val="auto"/>
        </w:rPr>
        <w:t>1.2. Provision of Corporate Services; Excused Performance. To the extent commercially reasonable, the Parties will work together and begin the process of migrating the Corporate Services from PROVIDING PARTY to RECEIVING</w:t>
      </w:r>
    </w:p>
    <w:p>
      <w:pPr>
        <w:jc w:val="center"/>
        <w:ind w:right="1679"/>
        <w:spacing w:after="0" w:line="233" w:lineRule="auto"/>
        <w:rPr>
          <w:sz w:val="20"/>
          <w:szCs w:val="20"/>
          <w:color w:val="auto"/>
        </w:rPr>
      </w:pPr>
      <w:r>
        <w:rPr>
          <w:rFonts w:ascii="Courier New" w:cs="Courier New" w:eastAsia="Courier New" w:hAnsi="Courier New"/>
          <w:sz w:val="18"/>
          <w:szCs w:val="18"/>
          <w:color w:val="auto"/>
        </w:rPr>
        <w:t>PARTY, one or more of its Subsidiaries or Affiliates or a third party (at</w:t>
      </w:r>
    </w:p>
    <w:p>
      <w:pPr>
        <w:spacing w:after="0" w:line="5"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RECEIVING PARTY's direction) such that the completion of the migration of the Corporate Services from PROVIDING PARTY to RECEIVING PARTY, or one or more of its Subsidiaries or Affiliates or a third party, as the case may be, shall occur prior to the end of the Term. PROVIDING PARTY shall provide or cause to be provided each of the Corporate Services through the expiration of the Term, except (i) as automatically modified by earlier termination of a Corporate Service by RECEIVING PARTY in accordance with this Agreement, (ii) for Corporate Services to or for the benefit of any entity which ceases to be a Subsidiary of RECEIVING PARTY prior to the end of the Term, or (iii) as otherwise agreed to by the Parties in writing.</w:t>
      </w:r>
    </w:p>
    <w:p>
      <w:pPr>
        <w:spacing w:after="0" w:line="20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1.3. Third Party Vendors; Consents.</w:t>
      </w:r>
    </w:p>
    <w:p>
      <w:pPr>
        <w:spacing w:after="0" w:line="207" w:lineRule="exact"/>
        <w:rPr>
          <w:sz w:val="20"/>
          <w:szCs w:val="20"/>
          <w:color w:val="auto"/>
        </w:rPr>
      </w:pPr>
    </w:p>
    <w:p>
      <w:pPr>
        <w:ind w:left="120" w:right="1779" w:firstLine="2048"/>
        <w:spacing w:after="0" w:line="268" w:lineRule="auto"/>
        <w:tabs>
          <w:tab w:leader="none" w:pos="2596"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PARTY shall use its commercially reasonable efforts to keep and maintain in effect its relationships with its vendors that are integral to the provision of the Corporate Services. PROVIDING PARTY shall</w:t>
      </w:r>
    </w:p>
    <w:p>
      <w:pPr>
        <w:spacing w:after="0" w:line="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use commercially reasonable efforts to procure any waivers, permits, consents or</w:t>
      </w:r>
    </w:p>
    <w:p>
      <w:pPr>
        <w:spacing w:after="0" w:line="21" w:lineRule="exact"/>
        <w:rPr>
          <w:sz w:val="20"/>
          <w:szCs w:val="20"/>
          <w:color w:val="auto"/>
        </w:rPr>
      </w:pPr>
    </w:p>
    <w:p>
      <w:pPr>
        <w:jc w:val="center"/>
        <w:ind w:left="360" w:right="260"/>
        <w:spacing w:after="0" w:line="237" w:lineRule="auto"/>
        <w:rPr>
          <w:sz w:val="20"/>
          <w:szCs w:val="20"/>
          <w:color w:val="auto"/>
        </w:rPr>
      </w:pPr>
      <w:r>
        <w:rPr>
          <w:rFonts w:ascii="Courier New" w:cs="Courier New" w:eastAsia="Courier New" w:hAnsi="Courier New"/>
          <w:sz w:val="18"/>
          <w:szCs w:val="18"/>
          <w:color w:val="auto"/>
        </w:rPr>
        <w:t>sublicenses required by third party licensors, vendors or service providers under existing agreements with such third parties in order to provide any Corporate Services hereunder ("Third Party Consents"). In the event that PROVIDING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119"/>
          </w:cols>
          <w:pgMar w:left="340" w:top="520" w:right="1440" w:bottom="1440" w:gutter="0" w:footer="0" w:header="0"/>
        </w:sectPr>
      </w:pPr>
    </w:p>
    <w:bookmarkStart w:id="220" w:name="page221"/>
    <w:bookmarkEnd w:id="220"/>
    <w:p>
      <w:pPr>
        <w:jc w:val="center"/>
        <w:ind w:right="1679"/>
        <w:spacing w:after="0"/>
        <w:rPr>
          <w:sz w:val="20"/>
          <w:szCs w:val="20"/>
          <w:color w:val="auto"/>
        </w:rPr>
      </w:pPr>
      <w:r>
        <w:rPr>
          <w:rFonts w:ascii="Courier New" w:cs="Courier New" w:eastAsia="Courier New" w:hAnsi="Courier New"/>
          <w:sz w:val="16"/>
          <w:szCs w:val="16"/>
          <w:color w:val="auto"/>
        </w:rPr>
        <w:t>is unable to procure such Third Party Consents on commercially reasonable terms,</w:t>
      </w:r>
    </w:p>
    <w:p>
      <w:pPr>
        <w:spacing w:after="0" w:line="21"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PROVIDING PARTY agrees to so notify RECEIVING PARTY, and to assist RECEIVING PARTY with the transition to another vendor. If, after the Effective Date, any one or more vendors (i) terminates its contractual relationship with PROVIDING PARTY or ceases to provide the products or services associated with the Corporate Services or (ii) notifies PROVIDING PARTY of its desire or plan to terminate its contractual relationship with PROVIDING PARTY or (iii) ceases providing the products or services associated with the Corporate Services, then, in either case, PROVIDING PARTY agrees to so notify RECEIVING PARTY, and to assist RECEIVING PARTY with the transition to another vendor so that RECEIVING PARTY may continue to receive similar products and services.</w:t>
      </w:r>
    </w:p>
    <w:p>
      <w:pPr>
        <w:spacing w:after="0" w:line="215" w:lineRule="exact"/>
        <w:rPr>
          <w:sz w:val="20"/>
          <w:szCs w:val="20"/>
          <w:color w:val="auto"/>
        </w:rPr>
      </w:pPr>
    </w:p>
    <w:p>
      <w:pPr>
        <w:jc w:val="both"/>
        <w:ind w:left="280" w:right="1939" w:firstLine="1941"/>
        <w:spacing w:after="0" w:line="268" w:lineRule="auto"/>
        <w:tabs>
          <w:tab w:leader="none" w:pos="265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PARTY shall not be required to transfer or assign to RECEIVING PARTY any third party software licenses or any hardware</w:t>
      </w:r>
    </w:p>
    <w:p>
      <w:pPr>
        <w:jc w:val="center"/>
        <w:ind w:right="1679"/>
        <w:spacing w:after="0" w:line="235" w:lineRule="auto"/>
        <w:rPr>
          <w:sz w:val="20"/>
          <w:szCs w:val="20"/>
          <w:color w:val="auto"/>
        </w:rPr>
      </w:pPr>
      <w:r>
        <w:rPr>
          <w:rFonts w:ascii="Courier New" w:cs="Courier New" w:eastAsia="Courier New" w:hAnsi="Courier New"/>
          <w:sz w:val="18"/>
          <w:szCs w:val="18"/>
          <w:color w:val="auto"/>
        </w:rPr>
        <w:t>owned by PROVIDING PARTY or its Subsidiaries in connection with the provision of the Corporate Services or at the conclusion of the Term.</w:t>
      </w:r>
    </w:p>
    <w:p>
      <w:pPr>
        <w:spacing w:after="0" w:line="203" w:lineRule="exact"/>
        <w:rPr>
          <w:sz w:val="20"/>
          <w:szCs w:val="20"/>
          <w:color w:val="auto"/>
        </w:rPr>
      </w:pPr>
    </w:p>
    <w:p>
      <w:pPr>
        <w:ind w:left="3440"/>
        <w:spacing w:after="0"/>
        <w:rPr>
          <w:sz w:val="20"/>
          <w:szCs w:val="20"/>
          <w:color w:val="auto"/>
        </w:rPr>
      </w:pPr>
      <w:r>
        <w:rPr>
          <w:rFonts w:ascii="Courier New" w:cs="Courier New" w:eastAsia="Courier New" w:hAnsi="Courier New"/>
          <w:sz w:val="18"/>
          <w:szCs w:val="18"/>
          <w:color w:val="auto"/>
        </w:rPr>
        <w:t>1.4. Dispute Resolution.</w:t>
      </w:r>
    </w:p>
    <w:p>
      <w:pPr>
        <w:spacing w:after="0" w:line="207" w:lineRule="exact"/>
        <w:rPr>
          <w:sz w:val="20"/>
          <w:szCs w:val="20"/>
          <w:color w:val="auto"/>
        </w:rPr>
      </w:pPr>
    </w:p>
    <w:p>
      <w:pPr>
        <w:ind w:left="480" w:right="1779" w:firstLine="1530"/>
        <w:spacing w:after="0" w:line="268" w:lineRule="auto"/>
        <w:tabs>
          <w:tab w:leader="none" w:pos="2429"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Amicable Resolution. PROVIDING PARTY and RECEIVING PARTY mutually desire that friendly collaboration will continue between them.</w:t>
      </w:r>
    </w:p>
    <w:p>
      <w:pPr>
        <w:jc w:val="center"/>
        <w:ind w:right="1679"/>
        <w:spacing w:after="0" w:line="238" w:lineRule="auto"/>
        <w:rPr>
          <w:sz w:val="20"/>
          <w:szCs w:val="20"/>
          <w:color w:val="auto"/>
        </w:rPr>
      </w:pPr>
      <w:r>
        <w:rPr>
          <w:rFonts w:ascii="Courier New" w:cs="Courier New" w:eastAsia="Courier New" w:hAnsi="Courier New"/>
          <w:sz w:val="18"/>
          <w:szCs w:val="18"/>
          <w:color w:val="auto"/>
        </w:rPr>
        <w:t>Accordingly, they will try to resolve in an amicable manner all disagreements and misunderstandings connected with their respective rights and obligations under this Agreement, including any amendments hereto. In furtherance thereof, in the event of any dispute or disagreement (a "Dispute") between PROVIDING PARTY and RECEIVING PARTY in connection with this Agreement (including, without limitation, the standards of performance, delay of performance or non-performance of obligations, or payment or non-payment of fees hereunder), then the Dispute, upon written request of either Party, will be referred for resolution to the president (or similar position) of the division implicated by the matter for each of PROVIDING PARTY and RECEIVING PARTY, which presidents will have fifteen (15) days to resolve such Dispute. If the presidents of the relevant divisions for each of PROVIDING PARTY and RECEIVING PARTY do not agree to a resolution of such Dispute within fifteen (15) days after the reference of the matter to them, such presidents of the relevant divisions will refer such matter to the president of each of PROVIDING PARTY and RECEIVING PARTY for final resolution. Notwithstanding anything to the contrary in this Section 1.4, any amendment to the terms of this Agreement may only be effected in accordance with Section 11.10.</w:t>
      </w:r>
    </w:p>
    <w:p>
      <w:pPr>
        <w:spacing w:after="0" w:line="209" w:lineRule="exact"/>
        <w:rPr>
          <w:sz w:val="20"/>
          <w:szCs w:val="20"/>
          <w:color w:val="auto"/>
        </w:rPr>
      </w:pPr>
    </w:p>
    <w:p>
      <w:pPr>
        <w:ind w:left="160" w:right="1679" w:firstLine="1745"/>
        <w:spacing w:after="0" w:line="268" w:lineRule="auto"/>
        <w:tabs>
          <w:tab w:leader="none" w:pos="2319"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Arbitration. In the event that the Dispute is not resolved in a friendly manner as set forth in Section 1.4(a), either Party involved in</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Dispute may submit the dispute to binding arbitration pursuant to this</w:t>
      </w:r>
    </w:p>
    <w:p>
      <w:pPr>
        <w:spacing w:after="0" w:line="5"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Section 1.4(b). All Disputes submitted to arbitration pursuant to this Section 1.4(b) shall be resolved in accordance with the Commercial Arbitration Rules of the American Arbitration Association, unless the Parties involved mutually agree to utilize an alternate set of rules, in which event all references herein to the American Arbitration Association shall be deemed modified accordingly. Expedited rules shall apply regardless of the amount at issue. Arbitration proceedings hereunder may be initiated by either Party making a written request to the American Arbitration Association, together with any appropriate filing fee, at the office of the American Arbitration Association in Orlando, Florida. All arbitration proceedings shall be held in the city of Jacksonville, Florida in a location to be specified by the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119"/>
          </w:cols>
          <w:pgMar w:left="340" w:top="520" w:right="1440" w:bottom="1440" w:gutter="0" w:footer="0" w:header="0"/>
        </w:sectPr>
      </w:pPr>
    </w:p>
    <w:bookmarkStart w:id="221" w:name="page222"/>
    <w:bookmarkEnd w:id="221"/>
    <w:p>
      <w:pPr>
        <w:jc w:val="center"/>
        <w:ind w:right="1679"/>
        <w:spacing w:after="0" w:line="268" w:lineRule="auto"/>
        <w:rPr>
          <w:sz w:val="20"/>
          <w:szCs w:val="20"/>
          <w:color w:val="auto"/>
        </w:rPr>
      </w:pPr>
      <w:r>
        <w:rPr>
          <w:rFonts w:ascii="Courier New" w:cs="Courier New" w:eastAsia="Courier New" w:hAnsi="Courier New"/>
          <w:sz w:val="16"/>
          <w:szCs w:val="16"/>
          <w:color w:val="auto"/>
        </w:rPr>
        <w:t>arbitrators (or any place agreed to by the Parties and the arbitrators). The arbitration shall be by a single qualified arbitrator experienced in the matters</w:t>
      </w:r>
    </w:p>
    <w:p>
      <w:pPr>
        <w:jc w:val="center"/>
        <w:ind w:right="1679"/>
        <w:spacing w:after="0" w:line="270" w:lineRule="auto"/>
        <w:rPr>
          <w:sz w:val="20"/>
          <w:szCs w:val="20"/>
          <w:color w:val="auto"/>
        </w:rPr>
      </w:pPr>
      <w:r>
        <w:rPr>
          <w:rFonts w:ascii="Courier New" w:cs="Courier New" w:eastAsia="Courier New" w:hAnsi="Courier New"/>
          <w:sz w:val="16"/>
          <w:szCs w:val="16"/>
          <w:color w:val="auto"/>
        </w:rPr>
        <w:t>at issue, such arbitrator to be mutually agreed upon by PROVIDING PARTY and RECEIVING PARTY. If PROVIDING PARTY and RECEIVING PARTY fail to agree on an arbitrator within thirty (30) days after notice of commencement of arbitration, the American Arbitration Association shall, upon the request of either Party to the Dispute, appoint the arbitrator. Any order or determination of the arbitral tribunal shall be final and binding upon the Parties to the arbitration as to matters submitted and may be enforced by either Party to the Dispute in any court having jurisdiction over the subject matter or over either Party. All costs and expenses incurred in connection with any such arbitration proceeding (including reasonable attorneys' fees) shall be borne by the Party incurring such costs. The use of any alternative dispute resolution procedures hereunder will not be construed under the doctrines of laches, waiver or estoppel to affect adversely the rights of either Party.</w:t>
      </w:r>
    </w:p>
    <w:p>
      <w:pPr>
        <w:spacing w:after="0" w:line="389" w:lineRule="exact"/>
        <w:rPr>
          <w:sz w:val="20"/>
          <w:szCs w:val="20"/>
          <w:color w:val="auto"/>
        </w:rPr>
      </w:pPr>
    </w:p>
    <w:p>
      <w:pPr>
        <w:ind w:left="320" w:right="1899" w:firstLine="1795"/>
        <w:spacing w:after="0" w:line="268" w:lineRule="auto"/>
        <w:tabs>
          <w:tab w:leader="none" w:pos="2532"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Non-Exclusive Remedy. Nothing in this Section 1.4 will prevent either PROVIDING PARTY or RECEIVING PARTY from immediately seeking</w:t>
      </w:r>
    </w:p>
    <w:p>
      <w:pPr>
        <w:jc w:val="both"/>
        <w:ind w:right="1679"/>
        <w:spacing w:after="0" w:line="268" w:lineRule="auto"/>
        <w:rPr>
          <w:sz w:val="20"/>
          <w:szCs w:val="20"/>
          <w:color w:val="auto"/>
        </w:rPr>
      </w:pPr>
      <w:r>
        <w:rPr>
          <w:rFonts w:ascii="Courier New" w:cs="Courier New" w:eastAsia="Courier New" w:hAnsi="Courier New"/>
          <w:sz w:val="16"/>
          <w:szCs w:val="16"/>
          <w:color w:val="auto"/>
        </w:rPr>
        <w:t>injunctive or interim relief in the event (i) of any actual or threatened breach of any of the provisions of Article VIII or (ii) that the Dispute relates to, or involves a claim of, actual or threatened infringement of intellectual property. All such actions for injunctive or interim relief shall be brought in a court of competent jurisdiction in accordance with Section 11.6. Such remedy shall not be</w:t>
      </w:r>
    </w:p>
    <w:p>
      <w:pPr>
        <w:spacing w:after="0" w:line="1" w:lineRule="exact"/>
        <w:rPr>
          <w:sz w:val="20"/>
          <w:szCs w:val="20"/>
          <w:color w:val="auto"/>
        </w:rPr>
      </w:pPr>
    </w:p>
    <w:p>
      <w:pPr>
        <w:jc w:val="center"/>
        <w:ind w:right="1679"/>
        <w:spacing w:after="0" w:line="236" w:lineRule="auto"/>
        <w:rPr>
          <w:sz w:val="20"/>
          <w:szCs w:val="20"/>
          <w:color w:val="auto"/>
        </w:rPr>
      </w:pPr>
      <w:r>
        <w:rPr>
          <w:rFonts w:ascii="Courier New" w:cs="Courier New" w:eastAsia="Courier New" w:hAnsi="Courier New"/>
          <w:sz w:val="18"/>
          <w:szCs w:val="18"/>
          <w:color w:val="auto"/>
        </w:rPr>
        <w:t>deemed to be the exclusive remedy for breach of this Agreement, and further remedies may be pursued in accordance with Section 1.4(a) and Section 1.4(b) above.</w:t>
      </w:r>
    </w:p>
    <w:p>
      <w:pPr>
        <w:spacing w:after="0" w:line="203" w:lineRule="exact"/>
        <w:rPr>
          <w:sz w:val="20"/>
          <w:szCs w:val="20"/>
          <w:color w:val="auto"/>
        </w:rPr>
      </w:pPr>
    </w:p>
    <w:p>
      <w:pPr>
        <w:ind w:left="3020" w:hanging="430"/>
        <w:spacing w:after="0"/>
        <w:tabs>
          <w:tab w:leader="none" w:pos="3020" w:val="left"/>
        </w:tabs>
        <w:numPr>
          <w:ilvl w:val="1"/>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Commencement of Dispute Resolution Procedure.</w:t>
      </w:r>
    </w:p>
    <w:p>
      <w:pPr>
        <w:spacing w:after="0" w:line="4" w:lineRule="exact"/>
        <w:rPr>
          <w:rFonts w:ascii="Courier New" w:cs="Courier New" w:eastAsia="Courier New" w:hAnsi="Courier New"/>
          <w:sz w:val="18"/>
          <w:szCs w:val="18"/>
          <w:color w:val="auto"/>
        </w:rPr>
      </w:pPr>
    </w:p>
    <w:p>
      <w:pPr>
        <w:jc w:val="center"/>
        <w:ind w:left="160" w:right="1739" w:hanging="106"/>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Notwithstanding anything to the contrary in this Agreement, PROVIDING PARTY and RECEIVING PARTY, but none of their respective Subsidiaries or Affiliates, are entitled to commence a dispute resolution procedure under this Agreement, whether pursuant to Article XI, this Section 1.4 or otherwise, and each Party will cause its respective Affiliates not to commence any dispute resolution procedure other than through such Party as provided in this Section 1.4(d).</w:t>
      </w:r>
    </w:p>
    <w:p>
      <w:pPr>
        <w:spacing w:after="0" w:line="185" w:lineRule="exact"/>
        <w:rPr>
          <w:rFonts w:ascii="Courier New" w:cs="Courier New" w:eastAsia="Courier New" w:hAnsi="Courier New"/>
          <w:sz w:val="18"/>
          <w:szCs w:val="18"/>
          <w:color w:val="auto"/>
        </w:rPr>
      </w:pPr>
    </w:p>
    <w:p>
      <w:pPr>
        <w:jc w:val="both"/>
        <w:ind w:right="1679" w:firstLine="2010"/>
        <w:spacing w:after="0" w:line="268" w:lineRule="auto"/>
        <w:tabs>
          <w:tab w:leader="none" w:pos="2423"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RECEIVING PARTY shall continue to make all payments due and owing under Article III for Corporate Services not the subject of a Dispute and shall not off-set such fees by the amount of fees for Corporate</w:t>
      </w:r>
    </w:p>
    <w:p>
      <w:pPr>
        <w:ind w:left="1860"/>
        <w:spacing w:after="0" w:line="233" w:lineRule="auto"/>
        <w:rPr>
          <w:sz w:val="20"/>
          <w:szCs w:val="20"/>
          <w:color w:val="auto"/>
        </w:rPr>
      </w:pPr>
      <w:r>
        <w:rPr>
          <w:rFonts w:ascii="Courier New" w:cs="Courier New" w:eastAsia="Courier New" w:hAnsi="Courier New"/>
          <w:sz w:val="18"/>
          <w:szCs w:val="18"/>
          <w:color w:val="auto"/>
        </w:rPr>
        <w:t>Services that are the subject of the Dispute.</w:t>
      </w:r>
    </w:p>
    <w:p>
      <w:pPr>
        <w:spacing w:after="0" w:line="202" w:lineRule="exact"/>
        <w:rPr>
          <w:sz w:val="20"/>
          <w:szCs w:val="20"/>
          <w:color w:val="auto"/>
        </w:rPr>
      </w:pPr>
    </w:p>
    <w:p>
      <w:pPr>
        <w:ind w:left="3320"/>
        <w:spacing w:after="0"/>
        <w:rPr>
          <w:sz w:val="20"/>
          <w:szCs w:val="20"/>
          <w:color w:val="auto"/>
        </w:rPr>
      </w:pPr>
      <w:r>
        <w:rPr>
          <w:rFonts w:ascii="Courier New" w:cs="Courier New" w:eastAsia="Courier New" w:hAnsi="Courier New"/>
          <w:sz w:val="18"/>
          <w:szCs w:val="18"/>
          <w:color w:val="auto"/>
        </w:rPr>
        <w:t>1.5. Standard of Services.</w:t>
      </w:r>
    </w:p>
    <w:p>
      <w:pPr>
        <w:spacing w:after="0" w:line="207" w:lineRule="exact"/>
        <w:rPr>
          <w:sz w:val="20"/>
          <w:szCs w:val="20"/>
          <w:color w:val="auto"/>
        </w:rPr>
      </w:pPr>
    </w:p>
    <w:p>
      <w:pPr>
        <w:ind w:left="320" w:right="1779" w:firstLine="1690"/>
        <w:spacing w:after="0" w:line="268" w:lineRule="auto"/>
        <w:tabs>
          <w:tab w:leader="none" w:pos="2427" w:val="left"/>
        </w:tabs>
        <w:numPr>
          <w:ilvl w:val="1"/>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PARTY shall perform the Corporate Services for RECEIVING PARTY in a professional and competent manner, using standards of</w:t>
      </w:r>
    </w:p>
    <w:p>
      <w:pPr>
        <w:ind w:left="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performance consistent with its performance of such services for itself.</w:t>
      </w:r>
    </w:p>
    <w:p>
      <w:pPr>
        <w:spacing w:after="0" w:line="207" w:lineRule="exact"/>
        <w:rPr>
          <w:rFonts w:ascii="Courier New" w:cs="Courier New" w:eastAsia="Courier New" w:hAnsi="Courier New"/>
          <w:sz w:val="16"/>
          <w:szCs w:val="16"/>
          <w:color w:val="auto"/>
        </w:rPr>
      </w:pPr>
    </w:p>
    <w:p>
      <w:pPr>
        <w:ind w:left="160" w:right="1679" w:firstLine="1745"/>
        <w:spacing w:after="0" w:line="268" w:lineRule="auto"/>
        <w:tabs>
          <w:tab w:leader="none" w:pos="2319"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PROVIDING PARTY shall maintain a disaster recovery program for the Corporate Services substantially consistent with the</w:t>
      </w:r>
    </w:p>
    <w:p>
      <w:pPr>
        <w:jc w:val="center"/>
        <w:ind w:left="160" w:right="1839" w:firstLine="263"/>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disaster recovery program in place for such Corporate Services as of the Effective Date. For the avoidance of doubt, the disaster recovery program maintained by PROVIDING PARTY will not include a business continuity program.</w:t>
      </w:r>
    </w:p>
    <w:p>
      <w:pPr>
        <w:spacing w:after="0" w:line="200" w:lineRule="exact"/>
        <w:rPr>
          <w:sz w:val="20"/>
          <w:szCs w:val="20"/>
          <w:color w:val="auto"/>
        </w:rPr>
      </w:pPr>
    </w:p>
    <w:p>
      <w:pPr>
        <w:spacing w:after="0" w:line="37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119"/>
          </w:cols>
          <w:pgMar w:left="340" w:top="520" w:right="1440" w:bottom="1440" w:gutter="0" w:footer="0" w:header="0"/>
        </w:sectPr>
      </w:pPr>
    </w:p>
    <w:bookmarkStart w:id="222" w:name="page223"/>
    <w:bookmarkEnd w:id="222"/>
    <w:p>
      <w:pPr>
        <w:ind w:left="440" w:right="1779" w:firstLine="1570"/>
        <w:spacing w:after="0" w:line="268" w:lineRule="auto"/>
        <w:tabs>
          <w:tab w:leader="none" w:pos="2441"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RECEIVING PARTY provides PROVIDING PARTY with written notice ("Shortfall Notice") of the occurrence of any Significant Service</w:t>
      </w:r>
    </w:p>
    <w:p>
      <w:pPr>
        <w:jc w:val="center"/>
        <w:ind w:right="1679"/>
        <w:spacing w:after="0" w:line="271" w:lineRule="auto"/>
        <w:rPr>
          <w:sz w:val="20"/>
          <w:szCs w:val="20"/>
          <w:color w:val="auto"/>
        </w:rPr>
      </w:pPr>
      <w:r>
        <w:rPr>
          <w:rFonts w:ascii="Courier New" w:cs="Courier New" w:eastAsia="Courier New" w:hAnsi="Courier New"/>
          <w:sz w:val="16"/>
          <w:szCs w:val="16"/>
          <w:color w:val="auto"/>
        </w:rPr>
        <w:t>Shortfall (as defined below), as determined by RECEIVING PARTY in good faith, PROVIDING PARTY shall rectify such Significant Service Shortfall as soon as reasonably possible. For purposes of this Section 1.5(c), a "Significant Service Shortfall" shall be deemed to have occurred if the timing or quality of performance of Corporate Services provided by PROVIDING PARTY hereunder falls below the standard required by Section 1.5(a) hereof; provided that PROVIDING PARTY's obligations under this Agreement shall be relieved to the extent, and for the duration of, any force majeure event as set forth in Article V.</w:t>
      </w:r>
    </w:p>
    <w:p>
      <w:pPr>
        <w:spacing w:after="0" w:line="186" w:lineRule="exact"/>
        <w:rPr>
          <w:sz w:val="20"/>
          <w:szCs w:val="20"/>
          <w:color w:val="auto"/>
        </w:rPr>
      </w:pPr>
    </w:p>
    <w:p>
      <w:pPr>
        <w:jc w:val="both"/>
        <w:ind w:left="60" w:right="1739" w:firstLine="1054"/>
        <w:spacing w:after="0" w:line="275" w:lineRule="auto"/>
        <w:rPr>
          <w:sz w:val="20"/>
          <w:szCs w:val="20"/>
          <w:color w:val="auto"/>
        </w:rPr>
      </w:pPr>
      <w:r>
        <w:rPr>
          <w:rFonts w:ascii="Courier New" w:cs="Courier New" w:eastAsia="Courier New" w:hAnsi="Courier New"/>
          <w:sz w:val="16"/>
          <w:szCs w:val="16"/>
          <w:color w:val="auto"/>
        </w:rPr>
        <w:t>1.6. Response Time. PROVIDING PARTY shall respond to and resolve any problems in connection with the Corporate Services for RECEIVING PARTY within a commercially reasonable period of time, using response and proposed resolution times consistent with its response and resolution of such problems for itself.</w:t>
      </w:r>
    </w:p>
    <w:p>
      <w:pPr>
        <w:spacing w:after="0" w:line="182" w:lineRule="exact"/>
        <w:rPr>
          <w:sz w:val="20"/>
          <w:szCs w:val="20"/>
          <w:color w:val="auto"/>
        </w:rPr>
      </w:pPr>
    </w:p>
    <w:p>
      <w:pPr>
        <w:ind w:left="60" w:right="1739" w:firstLine="1317"/>
        <w:spacing w:after="0" w:line="268" w:lineRule="auto"/>
        <w:rPr>
          <w:sz w:val="20"/>
          <w:szCs w:val="20"/>
          <w:color w:val="auto"/>
        </w:rPr>
      </w:pPr>
      <w:r>
        <w:rPr>
          <w:rFonts w:ascii="Courier New" w:cs="Courier New" w:eastAsia="Courier New" w:hAnsi="Courier New"/>
          <w:sz w:val="16"/>
          <w:szCs w:val="16"/>
          <w:color w:val="auto"/>
        </w:rPr>
        <w:t>1.7. Ownership of Materials; Results and Proceeds. All data and information submitted to PROVIDING PARTY by RECEIVING PARTY, in connection with the Corporate Services or the Transition Assistance (as defined in Section 2.3)</w:t>
      </w:r>
    </w:p>
    <w:p>
      <w:pPr>
        <w:jc w:val="center"/>
        <w:ind w:right="1679"/>
        <w:spacing w:after="0" w:line="233" w:lineRule="auto"/>
        <w:rPr>
          <w:sz w:val="20"/>
          <w:szCs w:val="20"/>
          <w:color w:val="auto"/>
        </w:rPr>
      </w:pPr>
      <w:r>
        <w:rPr>
          <w:rFonts w:ascii="Courier New" w:cs="Courier New" w:eastAsia="Courier New" w:hAnsi="Courier New"/>
          <w:sz w:val="18"/>
          <w:szCs w:val="18"/>
          <w:color w:val="auto"/>
        </w:rPr>
        <w:t>(the "RECEIVING PARTY Data"), and all results and proceeds of the Corporate</w:t>
      </w:r>
    </w:p>
    <w:p>
      <w:pPr>
        <w:spacing w:after="0" w:line="5" w:lineRule="exact"/>
        <w:rPr>
          <w:sz w:val="20"/>
          <w:szCs w:val="20"/>
          <w:color w:val="auto"/>
        </w:rPr>
      </w:pPr>
    </w:p>
    <w:p>
      <w:pPr>
        <w:jc w:val="center"/>
        <w:ind w:right="1679"/>
        <w:spacing w:after="0" w:line="268" w:lineRule="auto"/>
        <w:rPr>
          <w:sz w:val="20"/>
          <w:szCs w:val="20"/>
          <w:color w:val="auto"/>
        </w:rPr>
      </w:pPr>
      <w:r>
        <w:rPr>
          <w:rFonts w:ascii="Courier New" w:cs="Courier New" w:eastAsia="Courier New" w:hAnsi="Courier New"/>
          <w:sz w:val="16"/>
          <w:szCs w:val="16"/>
          <w:color w:val="auto"/>
        </w:rPr>
        <w:t>Services and the Transition Assistance with regard to the RECEIVING PARTY Data, is and will remain, as between the Parties, the property of RECEIVING PARTY.</w:t>
      </w:r>
    </w:p>
    <w:p>
      <w:pPr>
        <w:jc w:val="center"/>
        <w:ind w:right="1679"/>
        <w:spacing w:after="0" w:line="236" w:lineRule="auto"/>
        <w:rPr>
          <w:sz w:val="20"/>
          <w:szCs w:val="20"/>
          <w:color w:val="auto"/>
        </w:rPr>
      </w:pPr>
      <w:r>
        <w:rPr>
          <w:rFonts w:ascii="Courier New" w:cs="Courier New" w:eastAsia="Courier New" w:hAnsi="Courier New"/>
          <w:sz w:val="18"/>
          <w:szCs w:val="18"/>
          <w:color w:val="auto"/>
        </w:rPr>
        <w:t>PROVIDING PARTY shall not and shall not permit its Subsidiaries to use RECEIVING PARTY Data for any purpose other than to provide the Corporate Services or Transition Assistance.</w:t>
      </w:r>
    </w:p>
    <w:p>
      <w:pPr>
        <w:spacing w:after="0" w:line="203" w:lineRule="exact"/>
        <w:rPr>
          <w:sz w:val="20"/>
          <w:szCs w:val="20"/>
          <w:color w:val="auto"/>
        </w:rPr>
      </w:pPr>
    </w:p>
    <w:p>
      <w:pPr>
        <w:ind w:left="5540"/>
        <w:spacing w:after="0"/>
        <w:rPr>
          <w:sz w:val="20"/>
          <w:szCs w:val="20"/>
          <w:color w:val="auto"/>
        </w:rPr>
      </w:pPr>
      <w:r>
        <w:rPr>
          <w:rFonts w:ascii="Courier New" w:cs="Courier New" w:eastAsia="Courier New" w:hAnsi="Courier New"/>
          <w:sz w:val="18"/>
          <w:szCs w:val="18"/>
          <w:color w:val="auto"/>
        </w:rPr>
        <w:t>ARTICLE II</w:t>
      </w:r>
    </w:p>
    <w:p>
      <w:pPr>
        <w:ind w:left="3960"/>
        <w:spacing w:after="0" w:line="238" w:lineRule="auto"/>
        <w:rPr>
          <w:sz w:val="20"/>
          <w:szCs w:val="20"/>
          <w:color w:val="auto"/>
        </w:rPr>
      </w:pPr>
      <w:r>
        <w:rPr>
          <w:rFonts w:ascii="Courier New" w:cs="Courier New" w:eastAsia="Courier New" w:hAnsi="Courier New"/>
          <w:sz w:val="18"/>
          <w:szCs w:val="18"/>
          <w:color w:val="auto"/>
        </w:rPr>
        <w:t>TERM AND TRANSITION ASSISTANCE</w:t>
      </w:r>
    </w:p>
    <w:p>
      <w:pPr>
        <w:spacing w:after="0" w:line="207" w:lineRule="exact"/>
        <w:rPr>
          <w:sz w:val="20"/>
          <w:szCs w:val="20"/>
          <w:color w:val="auto"/>
        </w:rPr>
      </w:pPr>
    </w:p>
    <w:p>
      <w:pPr>
        <w:ind w:left="320" w:right="1679" w:firstLine="632"/>
        <w:spacing w:after="0" w:line="268" w:lineRule="auto"/>
        <w:rPr>
          <w:sz w:val="20"/>
          <w:szCs w:val="20"/>
          <w:color w:val="auto"/>
        </w:rPr>
      </w:pPr>
      <w:r>
        <w:rPr>
          <w:rFonts w:ascii="Courier New" w:cs="Courier New" w:eastAsia="Courier New" w:hAnsi="Courier New"/>
          <w:sz w:val="16"/>
          <w:szCs w:val="16"/>
          <w:color w:val="auto"/>
        </w:rPr>
        <w:t>2.1. Term. The term (the "Term") of this Agreement shall commence as of the date hereof and shall continue until the date on which the last of the</w:t>
      </w:r>
    </w:p>
    <w:p>
      <w:pPr>
        <w:jc w:val="center"/>
        <w:ind w:right="1679"/>
        <w:spacing w:after="0" w:line="237" w:lineRule="auto"/>
        <w:rPr>
          <w:sz w:val="20"/>
          <w:szCs w:val="20"/>
          <w:color w:val="auto"/>
        </w:rPr>
      </w:pPr>
      <w:r>
        <w:rPr>
          <w:rFonts w:ascii="Courier New" w:cs="Courier New" w:eastAsia="Courier New" w:hAnsi="Courier New"/>
          <w:sz w:val="18"/>
          <w:szCs w:val="18"/>
          <w:color w:val="auto"/>
        </w:rPr>
        <w:t>Scheduled Services under this Agreement is terminated or the date on which this Agreement is terminated by mutual agreement of the Parties, whichever is earlier (in either case, the "Termination Date"); provided, however, that in no event shall the Term:</w:t>
      </w:r>
    </w:p>
    <w:p>
      <w:pPr>
        <w:spacing w:after="0" w:line="207" w:lineRule="exact"/>
        <w:rPr>
          <w:sz w:val="20"/>
          <w:szCs w:val="20"/>
          <w:color w:val="auto"/>
        </w:rPr>
      </w:pPr>
    </w:p>
    <w:p>
      <w:pPr>
        <w:ind w:right="1679" w:firstLine="2063"/>
        <w:spacing w:after="0" w:line="268" w:lineRule="auto"/>
        <w:tabs>
          <w:tab w:leader="none" w:pos="2476"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expire later than the date that is six (6) months after any event or circumstance causing FNF to own or control, directly or indirectly,</w:t>
      </w:r>
    </w:p>
    <w:p>
      <w:pPr>
        <w:ind w:left="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fifty percent (50%) or less of the stock, or other equity interest entitled to</w:t>
      </w:r>
    </w:p>
    <w:p>
      <w:pPr>
        <w:spacing w:after="0" w:line="16" w:lineRule="exact"/>
        <w:rPr>
          <w:rFonts w:ascii="Courier New" w:cs="Courier New" w:eastAsia="Courier New" w:hAnsi="Courier New"/>
          <w:sz w:val="16"/>
          <w:szCs w:val="16"/>
          <w:color w:val="auto"/>
        </w:rPr>
      </w:pPr>
    </w:p>
    <w:p>
      <w:pPr>
        <w:ind w:left="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vote on the election of the members to the board of directors or similar</w:t>
      </w:r>
    </w:p>
    <w:p>
      <w:pPr>
        <w:ind w:left="2860"/>
        <w:spacing w:after="0"/>
        <w:rPr>
          <w:sz w:val="20"/>
          <w:szCs w:val="20"/>
          <w:color w:val="auto"/>
        </w:rPr>
      </w:pPr>
      <w:r>
        <w:rPr>
          <w:rFonts w:ascii="Courier New" w:cs="Courier New" w:eastAsia="Courier New" w:hAnsi="Courier New"/>
          <w:sz w:val="18"/>
          <w:szCs w:val="18"/>
          <w:color w:val="auto"/>
        </w:rPr>
        <w:t>governing body, of FNT, or</w:t>
      </w:r>
    </w:p>
    <w:p>
      <w:pPr>
        <w:spacing w:after="0" w:line="206" w:lineRule="exact"/>
        <w:rPr>
          <w:sz w:val="20"/>
          <w:szCs w:val="20"/>
          <w:color w:val="auto"/>
        </w:rPr>
      </w:pPr>
    </w:p>
    <w:p>
      <w:pPr>
        <w:jc w:val="both"/>
        <w:ind w:left="120" w:right="1779" w:firstLine="1890"/>
        <w:spacing w:after="0" w:line="268" w:lineRule="auto"/>
        <w:tabs>
          <w:tab w:leader="none" w:pos="2437"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 with respect to any entity that ceases to be a Subsidiary of RECEIVING PARTY prior to the end of the Term, from and after the</w:t>
      </w:r>
    </w:p>
    <w:p>
      <w:pPr>
        <w:ind w:left="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that such entity ceases to be a Subsidiary of RECEIVING PARTY.</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2.2. Termination.</w:t>
      </w:r>
    </w:p>
    <w:p>
      <w:pPr>
        <w:spacing w:after="0" w:line="207" w:lineRule="exact"/>
        <w:rPr>
          <w:sz w:val="20"/>
          <w:szCs w:val="20"/>
          <w:color w:val="auto"/>
        </w:rPr>
      </w:pPr>
    </w:p>
    <w:p>
      <w:pPr>
        <w:ind w:left="280" w:right="1739" w:firstLine="1677"/>
        <w:spacing w:after="0" w:line="268" w:lineRule="auto"/>
        <w:tabs>
          <w:tab w:leader="none" w:pos="2387"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RECEIVING PARTY is not able to complete its transition of the Corporate Services by the Termination Date, then upon written notice</w:t>
      </w:r>
    </w:p>
    <w:p>
      <w:pPr>
        <w:jc w:val="center"/>
        <w:ind w:right="1679"/>
        <w:spacing w:after="0" w:line="236" w:lineRule="auto"/>
        <w:rPr>
          <w:sz w:val="20"/>
          <w:szCs w:val="20"/>
          <w:color w:val="auto"/>
        </w:rPr>
      </w:pPr>
      <w:r>
        <w:rPr>
          <w:rFonts w:ascii="Courier New" w:cs="Courier New" w:eastAsia="Courier New" w:hAnsi="Courier New"/>
          <w:sz w:val="18"/>
          <w:szCs w:val="18"/>
          <w:color w:val="auto"/>
        </w:rPr>
        <w:t>provided to PROVIDING PARTY at least thirty (30) days prior to the Termination Date, RECEIVING PARTY shall have the right to request and cause PROVIDING PARTY to provide up to thirty (30) days 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119"/>
          </w:cols>
          <w:pgMar w:left="340" w:top="520" w:right="1440" w:bottom="1440" w:gutter="0" w:footer="0" w:header="0"/>
        </w:sectPr>
      </w:pPr>
    </w:p>
    <w:bookmarkStart w:id="223" w:name="page224"/>
    <w:bookmarkEnd w:id="223"/>
    <w:p>
      <w:pPr>
        <w:jc w:val="center"/>
        <w:ind w:right="1679"/>
        <w:spacing w:after="0" w:line="235" w:lineRule="auto"/>
        <w:rPr>
          <w:sz w:val="20"/>
          <w:szCs w:val="20"/>
          <w:color w:val="auto"/>
        </w:rPr>
      </w:pPr>
      <w:r>
        <w:rPr>
          <w:rFonts w:ascii="Courier New" w:cs="Courier New" w:eastAsia="Courier New" w:hAnsi="Courier New"/>
          <w:sz w:val="18"/>
          <w:szCs w:val="18"/>
          <w:color w:val="auto"/>
        </w:rPr>
        <w:t>additional Corporate Services to RECEIVING PARTY; provided, that RECEIVING PARTY shall pay for all such additional Corporate Services.</w:t>
      </w:r>
    </w:p>
    <w:p>
      <w:pPr>
        <w:spacing w:after="0" w:line="208" w:lineRule="exact"/>
        <w:rPr>
          <w:sz w:val="20"/>
          <w:szCs w:val="20"/>
          <w:color w:val="auto"/>
        </w:rPr>
      </w:pPr>
    </w:p>
    <w:p>
      <w:pPr>
        <w:ind w:left="280" w:right="1679" w:firstLine="1625"/>
        <w:spacing w:after="0" w:line="268" w:lineRule="auto"/>
        <w:tabs>
          <w:tab w:leader="none" w:pos="2334"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RECEIVING PARTY wishes to terminate a Corporate Service (or a portion thereof) on a date that is earlier than the Termination Date, RECEIVING PARTY shall provide written notice (the "Termination Notice") to</w:t>
      </w:r>
    </w:p>
    <w:p>
      <w:pPr>
        <w:spacing w:after="0" w:line="1" w:lineRule="exact"/>
        <w:rPr>
          <w:sz w:val="20"/>
          <w:szCs w:val="20"/>
          <w:color w:val="auto"/>
        </w:rPr>
      </w:pPr>
    </w:p>
    <w:p>
      <w:pPr>
        <w:jc w:val="center"/>
        <w:ind w:right="1679"/>
        <w:spacing w:after="0" w:line="269" w:lineRule="auto"/>
        <w:rPr>
          <w:sz w:val="20"/>
          <w:szCs w:val="20"/>
          <w:color w:val="auto"/>
        </w:rPr>
      </w:pPr>
      <w:r>
        <w:rPr>
          <w:rFonts w:ascii="Courier New" w:cs="Courier New" w:eastAsia="Courier New" w:hAnsi="Courier New"/>
          <w:sz w:val="16"/>
          <w:szCs w:val="16"/>
          <w:color w:val="auto"/>
        </w:rPr>
        <w:t>PROVIDING PARTY of a proposed termination date for such Corporate Service (or portion thereof), at least ninety (90) days prior to such proposed termination date. Upon receipt of such notice, PROVIDING PARTY shall promptly provide notice to RECEIVING PARTY (the "Termination Dispute Notice") in the event that PROVIDING PARTY believes in good faith that, notwithstanding PROVIDING PARTY using its commercially reasonable efforts, the requested termination will have a material adverse impact on other Corporate Services and the scope of such adverse impact. In such event, the Parties will resolve the dispute in accordance with Section 1.4. If PROVIDING PARTY does not provide the Termination Dispute Notice, based on the standards set forth above, within ten (10) days of the date on which the Termination Notice was received, then, effective on the termination date proposed by RECEIVING PARTY in its Termination Notice, such Corporate Service (or portion thereof) shall be discontinued (thereafter, a "Discontinued Corporate Service") and deemed deleted from the Scheduled Services to be provided hereunder and thereafter, this Agreement shall be of no further force and effect with respect to the Discontinued Corporate Service (or portion thereof), except as to obligations accrued prior to the date of discontinuation of such Corporate Service (or portion thereof). Upon the occurrence of any Discontinued Corporate Service, the Parties shall promptly update Schedule</w:t>
      </w:r>
    </w:p>
    <w:p>
      <w:pPr>
        <w:spacing w:after="0" w:line="192" w:lineRule="exact"/>
        <w:rPr>
          <w:sz w:val="20"/>
          <w:szCs w:val="20"/>
          <w:color w:val="auto"/>
        </w:rPr>
      </w:pPr>
    </w:p>
    <w:p>
      <w:pPr>
        <w:jc w:val="center"/>
        <w:ind w:left="360" w:right="100"/>
        <w:spacing w:after="0" w:line="235" w:lineRule="auto"/>
        <w:rPr>
          <w:sz w:val="20"/>
          <w:szCs w:val="20"/>
          <w:color w:val="auto"/>
        </w:rPr>
      </w:pPr>
      <w:r>
        <w:rPr>
          <w:rFonts w:ascii="Courier New" w:cs="Courier New" w:eastAsia="Courier New" w:hAnsi="Courier New"/>
          <w:sz w:val="18"/>
          <w:szCs w:val="18"/>
          <w:color w:val="auto"/>
        </w:rPr>
        <w:t>1.1(a) to reflect the discontinuation, and the Corporate Service Fees shall be adjusted in accordance therewith and the provisions of Article III.</w:t>
      </w:r>
    </w:p>
    <w:p>
      <w:pPr>
        <w:spacing w:after="0" w:line="6" w:lineRule="exact"/>
        <w:rPr>
          <w:sz w:val="20"/>
          <w:szCs w:val="20"/>
          <w:color w:val="auto"/>
        </w:rPr>
      </w:pPr>
    </w:p>
    <w:p>
      <w:pPr>
        <w:jc w:val="center"/>
        <w:ind w:left="360" w:right="100"/>
        <w:spacing w:after="0" w:line="237" w:lineRule="auto"/>
        <w:rPr>
          <w:sz w:val="20"/>
          <w:szCs w:val="20"/>
          <w:color w:val="auto"/>
        </w:rPr>
      </w:pPr>
      <w:r>
        <w:rPr>
          <w:rFonts w:ascii="Courier New" w:cs="Courier New" w:eastAsia="Courier New" w:hAnsi="Courier New"/>
          <w:sz w:val="18"/>
          <w:szCs w:val="18"/>
          <w:color w:val="auto"/>
        </w:rPr>
        <w:t>Notwithstanding anything to the contrary contained herein, at any time that employees of PROVIDING PARTY or its Subsidiaries or Affiliates move to a department within RECEIVING PARTY or its Subsidiaries or Affiliates (an "Employee Shift"), a proportional portion of the relevant Corporate Service shall be deemed automatically terminated. If a Corporate Service, or portion thereof, is terminated as a result of an Employee Shift, then such termination shall take effect as of the date of the Employee Shift, and the adjustment in Corporate Service Fees shall also take effect as of the date of the Employee Shift.</w:t>
      </w:r>
    </w:p>
    <w:p>
      <w:pPr>
        <w:spacing w:after="0" w:line="214" w:lineRule="exact"/>
        <w:rPr>
          <w:sz w:val="20"/>
          <w:szCs w:val="20"/>
          <w:color w:val="auto"/>
        </w:rPr>
      </w:pPr>
    </w:p>
    <w:p>
      <w:pPr>
        <w:ind w:left="160" w:right="1679" w:firstLine="1745"/>
        <w:spacing w:after="0" w:line="268" w:lineRule="auto"/>
        <w:tabs>
          <w:tab w:leader="none" w:pos="2319"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all Corporate Services shall have been terminated under this Section 2.2 prior to the expiration of the Term, then either Party shall</w:t>
      </w:r>
    </w:p>
    <w:p>
      <w:pPr>
        <w:jc w:val="center"/>
        <w:ind w:right="1679"/>
        <w:spacing w:after="0" w:line="236" w:lineRule="auto"/>
        <w:rPr>
          <w:sz w:val="20"/>
          <w:szCs w:val="20"/>
          <w:color w:val="auto"/>
        </w:rPr>
      </w:pPr>
      <w:r>
        <w:rPr>
          <w:rFonts w:ascii="Courier New" w:cs="Courier New" w:eastAsia="Courier New" w:hAnsi="Courier New"/>
          <w:sz w:val="18"/>
          <w:szCs w:val="18"/>
          <w:color w:val="auto"/>
        </w:rPr>
        <w:t>have the right to terminate this Agreement by giving written notice to the other Party, which termination shall be effective upon delivery as provided in Section 6.1.</w:t>
      </w:r>
    </w:p>
    <w:p>
      <w:pPr>
        <w:spacing w:after="0" w:line="209" w:lineRule="exact"/>
        <w:rPr>
          <w:sz w:val="20"/>
          <w:szCs w:val="20"/>
          <w:color w:val="auto"/>
        </w:rPr>
      </w:pPr>
    </w:p>
    <w:p>
      <w:pPr>
        <w:ind w:left="280" w:right="1779" w:firstLine="790"/>
        <w:spacing w:after="0" w:line="268" w:lineRule="auto"/>
        <w:rPr>
          <w:sz w:val="20"/>
          <w:szCs w:val="20"/>
          <w:color w:val="auto"/>
        </w:rPr>
      </w:pPr>
      <w:r>
        <w:rPr>
          <w:rFonts w:ascii="Courier New" w:cs="Courier New" w:eastAsia="Courier New" w:hAnsi="Courier New"/>
          <w:sz w:val="16"/>
          <w:szCs w:val="16"/>
          <w:color w:val="auto"/>
        </w:rPr>
        <w:t>2.3. Transition Assistance. In preparation for the discontinuation of any Corporate Service provided under this Agreement, PROVIDING PARTY shall,</w:t>
      </w:r>
    </w:p>
    <w:p>
      <w:pPr>
        <w:jc w:val="center"/>
        <w:ind w:right="1679"/>
        <w:spacing w:after="0" w:line="270" w:lineRule="auto"/>
        <w:rPr>
          <w:sz w:val="20"/>
          <w:szCs w:val="20"/>
          <w:color w:val="auto"/>
        </w:rPr>
      </w:pPr>
      <w:r>
        <w:rPr>
          <w:rFonts w:ascii="Courier New" w:cs="Courier New" w:eastAsia="Courier New" w:hAnsi="Courier New"/>
          <w:sz w:val="16"/>
          <w:szCs w:val="16"/>
          <w:color w:val="auto"/>
        </w:rPr>
        <w:t>consistent with its obligations to provide Corporate Services hereunder and with the cooperation and assistance of RECEIVING PARTY, use commercially reasonable efforts to provide such knowledge transfer services and to take such steps as are reasonably required in order to facilitate a smooth and efficient transition and/or migration of records to RECEIVING PARTY or its Subsidiaries or Affiliates (or at RECEIVING PARTY's direction, to a third party) and responsibilities so as to minimize any disruption of services ("Transition Assistance"). RECEIVING PARTY shall cooperate with PROVIDING PARTY to allow PROVIDING PARTY to complete the Transition Assistance as early as is commercially reasonable to do so. Fees for any Transition Assistance shall be determined in accordance with the calculation formula and methods applicable to the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119"/>
          </w:cols>
          <w:pgMar w:left="340" w:top="520" w:right="1440" w:bottom="1440" w:gutter="0" w:footer="0" w:header="0"/>
        </w:sectPr>
      </w:pPr>
    </w:p>
    <w:bookmarkStart w:id="224" w:name="page225"/>
    <w:bookmarkEnd w:id="224"/>
    <w:p>
      <w:pPr>
        <w:jc w:val="center"/>
        <w:ind w:right="1679"/>
        <w:spacing w:after="0" w:line="290" w:lineRule="auto"/>
        <w:rPr>
          <w:sz w:val="20"/>
          <w:szCs w:val="20"/>
          <w:color w:val="auto"/>
        </w:rPr>
      </w:pPr>
      <w:r>
        <w:rPr>
          <w:rFonts w:ascii="Courier New" w:cs="Courier New" w:eastAsia="Courier New" w:hAnsi="Courier New"/>
          <w:sz w:val="16"/>
          <w:szCs w:val="16"/>
          <w:color w:val="auto"/>
        </w:rPr>
        <w:t>Scheduled Services that are most similar in nature to the Transition Assistance being so provided, as set forth on the applicable section of Schedule 1.1(a).</w:t>
      </w:r>
    </w:p>
    <w:p>
      <w:pPr>
        <w:spacing w:after="0" w:line="170" w:lineRule="exact"/>
        <w:rPr>
          <w:sz w:val="20"/>
          <w:szCs w:val="20"/>
          <w:color w:val="auto"/>
        </w:rPr>
      </w:pPr>
    </w:p>
    <w:p>
      <w:pPr>
        <w:ind w:left="220" w:right="1899" w:firstLine="1212"/>
        <w:spacing w:after="0" w:line="268" w:lineRule="auto"/>
        <w:rPr>
          <w:sz w:val="20"/>
          <w:szCs w:val="20"/>
          <w:color w:val="auto"/>
        </w:rPr>
      </w:pPr>
      <w:r>
        <w:rPr>
          <w:rFonts w:ascii="Courier New" w:cs="Courier New" w:eastAsia="Courier New" w:hAnsi="Courier New"/>
          <w:sz w:val="16"/>
          <w:szCs w:val="16"/>
          <w:color w:val="auto"/>
        </w:rPr>
        <w:t>2.4. Return of Materials. As a Corporate Service or Transition Assistance is terminated, each Party will return all materials and property owned by the other Party, including, without limitation, all RECEIVING PARTY Data, if any, and materials and property of a proprietary nature involving a</w:t>
      </w:r>
    </w:p>
    <w:p>
      <w:pPr>
        <w:spacing w:after="0" w:line="1" w:lineRule="exact"/>
        <w:rPr>
          <w:sz w:val="20"/>
          <w:szCs w:val="20"/>
          <w:color w:val="auto"/>
        </w:rPr>
      </w:pPr>
    </w:p>
    <w:p>
      <w:pPr>
        <w:jc w:val="center"/>
        <w:ind w:right="1679"/>
        <w:spacing w:after="0" w:line="238" w:lineRule="auto"/>
        <w:rPr>
          <w:sz w:val="20"/>
          <w:szCs w:val="20"/>
          <w:color w:val="auto"/>
        </w:rPr>
      </w:pPr>
      <w:r>
        <w:rPr>
          <w:rFonts w:ascii="Courier New" w:cs="Courier New" w:eastAsia="Courier New" w:hAnsi="Courier New"/>
          <w:sz w:val="18"/>
          <w:szCs w:val="18"/>
          <w:color w:val="auto"/>
        </w:rPr>
        <w:t>Party or its Subsidiaries relevant to the provision or receipt of that Corporate Service or Transition Assistance and no longer needed regarding the performance of other Corporate Services or other Transition Assistance under this Agreement, and will do so (and will cause its Subsidiaries and its Affiliates to do so) within thirty (30) days after the applicable termination. Upon the end of the Term, each Party will return all material and property of a proprietary nature involving the other Party or its Subsidiaries, in its possession or control (or the possession or control of an Affiliate as a result of the Services provided hereunder) within thirty (30) days after the end of the Term. In addition, upon RECEIVING PARTY's request, PROVIDING PARTY agrees to provide to RECEIVING PARTY copies of RECEIVING PARTY's Data, files and records on magnetic media, or such other media as the Parties shall agree upon, to the extent practicable. PROVIDING PARTY may retain archival copies of RECEIVING PARTY's Data, files and records.</w:t>
      </w:r>
    </w:p>
    <w:p>
      <w:pPr>
        <w:spacing w:after="0" w:line="202"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ARTICLE III</w:t>
      </w:r>
    </w:p>
    <w:p>
      <w:pPr>
        <w:ind w:left="2540"/>
        <w:spacing w:after="0" w:line="238" w:lineRule="auto"/>
        <w:rPr>
          <w:sz w:val="20"/>
          <w:szCs w:val="20"/>
          <w:color w:val="auto"/>
        </w:rPr>
      </w:pPr>
      <w:r>
        <w:rPr>
          <w:rFonts w:ascii="Courier New" w:cs="Courier New" w:eastAsia="Courier New" w:hAnsi="Courier New"/>
          <w:sz w:val="18"/>
          <w:szCs w:val="18"/>
          <w:color w:val="auto"/>
        </w:rPr>
        <w:t>COMPENSATION AND PAYMENTS FOR CORPORATE SERVICES</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3.1. Compensation for Corporate Services.</w:t>
      </w:r>
    </w:p>
    <w:p>
      <w:pPr>
        <w:spacing w:after="0" w:line="207" w:lineRule="exact"/>
        <w:rPr>
          <w:sz w:val="20"/>
          <w:szCs w:val="20"/>
          <w:color w:val="auto"/>
        </w:rPr>
      </w:pPr>
    </w:p>
    <w:p>
      <w:pPr>
        <w:jc w:val="both"/>
        <w:ind w:right="1679" w:firstLine="1957"/>
        <w:spacing w:after="0" w:line="268" w:lineRule="auto"/>
        <w:tabs>
          <w:tab w:leader="none" w:pos="237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the payment terms described in Section 3.2 below, RECEIVING PARTY agrees to timely pay PROVIDING PARTY, as compensation</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 the Corporate Services provided hereunder, all fees as contemplated in</w:t>
      </w:r>
    </w:p>
    <w:p>
      <w:pPr>
        <w:spacing w:after="0" w:line="4"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1.1 (the "Corporate Service Fees") and in Section 2.3 (the "Transition</w:t>
      </w:r>
    </w:p>
    <w:p>
      <w:pPr>
        <w:spacing w:after="0" w:line="1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Assistance Fees").</w:t>
      </w:r>
    </w:p>
    <w:p>
      <w:pPr>
        <w:spacing w:after="0" w:line="207" w:lineRule="exact"/>
        <w:rPr>
          <w:sz w:val="20"/>
          <w:szCs w:val="20"/>
          <w:color w:val="auto"/>
        </w:rPr>
      </w:pPr>
    </w:p>
    <w:p>
      <w:pPr>
        <w:ind w:left="60" w:right="1739" w:firstLine="2003"/>
        <w:spacing w:after="0" w:line="268" w:lineRule="auto"/>
        <w:tabs>
          <w:tab w:leader="none" w:pos="2483"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the foregoing, the Parties acknowledge that RECEIVING PARTY is also obligated to pay, or reimburse PROVIDING PARTY for its payment of, all Out of Pocket Costs (as defined below); provided, however,</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that the incurrence of any liability by RECEIVING PARTY or any of its</w:t>
      </w:r>
    </w:p>
    <w:p>
      <w:pPr>
        <w:spacing w:after="0" w:line="4" w:lineRule="exact"/>
        <w:rPr>
          <w:rFonts w:ascii="Courier New" w:cs="Courier New" w:eastAsia="Courier New" w:hAnsi="Courier New"/>
          <w:sz w:val="16"/>
          <w:szCs w:val="16"/>
          <w:color w:val="auto"/>
        </w:rPr>
      </w:pPr>
    </w:p>
    <w:p>
      <w:pPr>
        <w:jc w:val="center"/>
        <w:ind w:right="16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Subsidiaries for any New Out of Pocket Cost (as defined below) that requires the payment by RECEIVING PARTY or one of its Subsidiaries of more than $200,000, on an annualized basis, shall require either (i) the prior approval of a full-time employee of RECEIVING PARTY or one of its Subsidiaries, or (ii) the subsequent approval of the chief accounting officer of RECEIVING PARTY (or his/her designee) after his/her receipt of the Monthly Recap Report (as defined in Section 3.3) provided to RECEIVING PARTY for the calendar month in which the New Out of Pocket Cost was incurred or paid by PROVIDING PARTY on behalf of RECEIVING PARTY. If (x) PROVIDING PARTY has not obtained the prior approval of a full-time employee of RECEIVING PARTY or one of its Subsidiaries before incurring or paying any New Out of Pocket Cost that exceeds $200,000 on an annualized basis, and (y) after receiving and reviewing the applicable Monthly Recap Report, the chief accounting officer of RECEIVING PARTY (or his/her designee) has not expressly approved the New Out of Pocket Cost in question, then RECEIVING PARTY shall be entitled to dispute the New Out of Pocket Cost until the close of the next audit cycle, provided that if PROVIDING PARTY disagrees with RECEIVING PARTY's dispute of the New Out of Pocket Cost, then</w:t>
      </w:r>
    </w:p>
    <w:p>
      <w:pPr>
        <w:spacing w:after="0" w:line="18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PROVDING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119"/>
          </w:cols>
          <w:pgMar w:left="340" w:top="520" w:right="1440" w:bottom="1440" w:gutter="0" w:footer="0" w:header="0"/>
        </w:sectPr>
      </w:pPr>
    </w:p>
    <w:bookmarkStart w:id="225" w:name="page226"/>
    <w:bookmarkEnd w:id="225"/>
    <w:p>
      <w:pPr>
        <w:jc w:val="center"/>
        <w:ind w:right="1679"/>
        <w:spacing w:after="0" w:line="237" w:lineRule="auto"/>
        <w:rPr>
          <w:sz w:val="20"/>
          <w:szCs w:val="20"/>
          <w:color w:val="auto"/>
        </w:rPr>
      </w:pPr>
      <w:r>
        <w:rPr>
          <w:rFonts w:ascii="Courier New" w:cs="Courier New" w:eastAsia="Courier New" w:hAnsi="Courier New"/>
          <w:sz w:val="18"/>
          <w:szCs w:val="18"/>
          <w:color w:val="auto"/>
        </w:rPr>
        <w:t>PARTY shall be entitled to exercise its rights under the dispute resolution provisions set forth in Section 1.4. For purposes hereof, the term "Out of Pocket Costs" means all fees, costs or other expenses payable by RECEIVING PARTY or its Subsidiaries to third parties that are not Affiliates of PROVIDING PARTY in connection with Services provided hereunder; and the term "New Out of Pocket Cost" means any Out of Pocket Cost incurred after the Effective Date that is not a continuation of services provided to FNT or one of its Subsidiaries in the ordinary course of business consistent with past practices and for which RECEIVING PARTY had paid or reimbursed a portion thereof prior to the Effective Date.</w:t>
      </w:r>
    </w:p>
    <w:p>
      <w:pPr>
        <w:spacing w:after="0" w:line="215" w:lineRule="exact"/>
        <w:rPr>
          <w:sz w:val="20"/>
          <w:szCs w:val="20"/>
          <w:color w:val="auto"/>
        </w:rPr>
      </w:pPr>
    </w:p>
    <w:p>
      <w:pPr>
        <w:ind w:left="120" w:right="1739" w:firstLine="895"/>
        <w:spacing w:after="0" w:line="268" w:lineRule="auto"/>
        <w:rPr>
          <w:sz w:val="20"/>
          <w:szCs w:val="20"/>
          <w:color w:val="auto"/>
        </w:rPr>
      </w:pPr>
      <w:r>
        <w:rPr>
          <w:rFonts w:ascii="Courier New" w:cs="Courier New" w:eastAsia="Courier New" w:hAnsi="Courier New"/>
          <w:sz w:val="16"/>
          <w:szCs w:val="16"/>
          <w:color w:val="auto"/>
        </w:rPr>
        <w:t>3.2. Payment Terms. PROVIDING PARTY shall invoice RECEIVING PARTY on a monthly basis in arrears for Corporate Service Fees, the Transition Assistance</w:t>
      </w:r>
    </w:p>
    <w:p>
      <w:pPr>
        <w:jc w:val="center"/>
        <w:ind w:left="360" w:right="100"/>
        <w:spacing w:after="0" w:line="268" w:lineRule="auto"/>
        <w:rPr>
          <w:sz w:val="20"/>
          <w:szCs w:val="20"/>
          <w:color w:val="auto"/>
        </w:rPr>
      </w:pPr>
      <w:r>
        <w:rPr>
          <w:rFonts w:ascii="Courier New" w:cs="Courier New" w:eastAsia="Courier New" w:hAnsi="Courier New"/>
          <w:sz w:val="16"/>
          <w:szCs w:val="16"/>
          <w:color w:val="auto"/>
        </w:rPr>
        <w:t>Fees, as calculated in accordance with Section 3.1 and Schedule 1.1(a). In addition, PROVIDING PARTY shall promptly notify RECEIVING PARTY, no more frequently than monthly, of the aggregate amount of Out of Pocket Costs to be reimbursed or paid. RECEIVING PARTY shall pay by electronic funds transfer or other method satisfactory to PROVIDING PARTY and RECEIVING PARTY, in full, the monthly amount so invoiced and the Out of Pocket Costs incurred, within thirty</w:t>
      </w:r>
    </w:p>
    <w:p>
      <w:pPr>
        <w:spacing w:after="0" w:line="1" w:lineRule="exact"/>
        <w:rPr>
          <w:sz w:val="20"/>
          <w:szCs w:val="20"/>
          <w:color w:val="auto"/>
        </w:rPr>
      </w:pPr>
    </w:p>
    <w:p>
      <w:pPr>
        <w:ind w:left="320" w:right="1999" w:firstLine="215"/>
        <w:spacing w:after="0" w:line="268" w:lineRule="auto"/>
        <w:tabs>
          <w:tab w:leader="none" w:pos="1057"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the date on which PROVIDING PARTY's monthly invoice or notification of Out of Pocket Costs, as the case may be, was received. All</w:t>
      </w:r>
    </w:p>
    <w:p>
      <w:pPr>
        <w:jc w:val="center"/>
        <w:ind w:right="1679"/>
        <w:spacing w:after="0" w:line="268" w:lineRule="auto"/>
        <w:rPr>
          <w:sz w:val="20"/>
          <w:szCs w:val="20"/>
          <w:color w:val="auto"/>
        </w:rPr>
      </w:pPr>
      <w:r>
        <w:rPr>
          <w:rFonts w:ascii="Courier New" w:cs="Courier New" w:eastAsia="Courier New" w:hAnsi="Courier New"/>
          <w:sz w:val="16"/>
          <w:szCs w:val="16"/>
          <w:color w:val="auto"/>
        </w:rPr>
        <w:t>invoices shall include, without limitation, the category of applicable Corporate Service or Transition Assistance Service (as the case may be), a brief description of the Out of Pocket Costs (if applicable), the billing period, and such other information as RECEIVING PARTY may reasonably request. Should</w:t>
      </w:r>
    </w:p>
    <w:p>
      <w:pPr>
        <w:spacing w:after="0" w:line="1"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RECEIVING PARTY dispute any portion of the amount due on any invoice or require any adjustment to an invoiced amount, or dispute any Out of Pocket Costs for which it received notification, then RECEIVING PARTY shall notify PROVIDING PARTY in writing of the nature and basis of the dispute and/or adjustment as soon as reasonably possible using, if necessary, the dispute resolution procedures set forth in Section 1.4. The Parties shall use their reasonable best efforts to resolve the dispute prior to the payment due date.</w:t>
      </w:r>
    </w:p>
    <w:p>
      <w:pPr>
        <w:spacing w:after="0" w:line="211" w:lineRule="exact"/>
        <w:rPr>
          <w:sz w:val="20"/>
          <w:szCs w:val="20"/>
          <w:color w:val="auto"/>
        </w:rPr>
      </w:pPr>
    </w:p>
    <w:p>
      <w:pPr>
        <w:ind w:left="60" w:right="1739" w:firstLine="1264"/>
        <w:spacing w:after="0" w:line="268" w:lineRule="auto"/>
        <w:rPr>
          <w:sz w:val="20"/>
          <w:szCs w:val="20"/>
          <w:color w:val="auto"/>
        </w:rPr>
      </w:pPr>
      <w:r>
        <w:rPr>
          <w:rFonts w:ascii="Courier New" w:cs="Courier New" w:eastAsia="Courier New" w:hAnsi="Courier New"/>
          <w:sz w:val="16"/>
          <w:szCs w:val="16"/>
          <w:color w:val="auto"/>
        </w:rPr>
        <w:t>3.3. Fee Reports. On or before the twentieth (20th) calendar day following the last day of each calendar month, PROVIDING PARTY will provide to the chief accounting officer of RECEIVING PARTY (or his/her designee) a summary</w:t>
      </w:r>
    </w:p>
    <w:p>
      <w:pPr>
        <w:spacing w:after="0" w:line="1"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recap report (the "Monthly Recap Report") showing for the calendar month then ended all Corporate Service Fees, Transition Assistance Fees, Out of Pocket Costs, Total Allocated FAS 123 Charges (if applicable) and any other charges incurred by, and cost allocations made by, PROVIDING PARTY for or on behalf of RECEIVING PARTY for Corporate Services pursuant to this Agreement. The Monthly Recap Report will list each PROVIDING PARTY accounting cost center that provided Corporate Services hereunder during the month and the amount of the costs allocated or incurred by each such cost center to RECEIVING PARTY for such calendar month. In addition, the Monthly Recap Report will also show the monthly aggregate cost trend for the trailing 12-month period.</w:t>
      </w:r>
    </w:p>
    <w:p>
      <w:pPr>
        <w:spacing w:after="0" w:line="215" w:lineRule="exact"/>
        <w:rPr>
          <w:sz w:val="20"/>
          <w:szCs w:val="20"/>
          <w:color w:val="auto"/>
        </w:rPr>
      </w:pPr>
    </w:p>
    <w:p>
      <w:pPr>
        <w:ind w:left="440" w:right="1679" w:firstLine="527"/>
        <w:spacing w:after="0" w:line="268" w:lineRule="auto"/>
        <w:rPr>
          <w:sz w:val="20"/>
          <w:szCs w:val="20"/>
          <w:color w:val="auto"/>
        </w:rPr>
      </w:pPr>
      <w:r>
        <w:rPr>
          <w:rFonts w:ascii="Courier New" w:cs="Courier New" w:eastAsia="Courier New" w:hAnsi="Courier New"/>
          <w:sz w:val="16"/>
          <w:szCs w:val="16"/>
          <w:color w:val="auto"/>
        </w:rPr>
        <w:t>3.4. Audit Rights. Upon reasonable advance notice from RECEIVING PARTY, PROVIDING PARTY shall permit RECEIVING PARTY to perform annual audits of</w:t>
      </w:r>
    </w:p>
    <w:p>
      <w:pPr>
        <w:jc w:val="center"/>
        <w:ind w:left="360" w:right="100"/>
        <w:spacing w:after="0" w:line="237" w:lineRule="auto"/>
        <w:rPr>
          <w:sz w:val="20"/>
          <w:szCs w:val="20"/>
          <w:color w:val="auto"/>
        </w:rPr>
      </w:pPr>
      <w:r>
        <w:rPr>
          <w:rFonts w:ascii="Courier New" w:cs="Courier New" w:eastAsia="Courier New" w:hAnsi="Courier New"/>
          <w:sz w:val="18"/>
          <w:szCs w:val="18"/>
          <w:color w:val="auto"/>
        </w:rPr>
        <w:t>PROVIDING PARTY's records only with respect to amounts invoiced and Out of Pocket Costs invoiced pursuant to this Article III. Such audits shall be conducted during PROVIDING PARTY's regular office hours and without disruption to PROVIDING PARTY's business operations and shall be performed at RECEIVING PARTY's sole expense.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119"/>
          </w:cols>
          <w:pgMar w:left="340" w:top="520" w:right="1440" w:bottom="1440" w:gutter="0" w:footer="0" w:header="0"/>
        </w:sectPr>
      </w:pPr>
    </w:p>
    <w:bookmarkStart w:id="226" w:name="page227"/>
    <w:bookmarkEnd w:id="226"/>
    <w:p>
      <w:pPr>
        <w:ind w:left="5540"/>
        <w:spacing w:after="0"/>
        <w:rPr>
          <w:sz w:val="20"/>
          <w:szCs w:val="20"/>
          <w:color w:val="auto"/>
        </w:rPr>
      </w:pPr>
      <w:r>
        <w:rPr>
          <w:rFonts w:ascii="Courier New" w:cs="Courier New" w:eastAsia="Courier New" w:hAnsi="Courier New"/>
          <w:sz w:val="18"/>
          <w:szCs w:val="18"/>
          <w:color w:val="auto"/>
        </w:rPr>
        <w:t>ARTICLE IV</w:t>
      </w:r>
    </w:p>
    <w:p>
      <w:pPr>
        <w:ind w:left="4540"/>
        <w:spacing w:after="0" w:line="238" w:lineRule="auto"/>
        <w:rPr>
          <w:sz w:val="20"/>
          <w:szCs w:val="20"/>
          <w:color w:val="auto"/>
        </w:rPr>
      </w:pPr>
      <w:r>
        <w:rPr>
          <w:rFonts w:ascii="Courier New" w:cs="Courier New" w:eastAsia="Courier New" w:hAnsi="Courier New"/>
          <w:sz w:val="18"/>
          <w:szCs w:val="18"/>
          <w:color w:val="auto"/>
        </w:rPr>
        <w:t>LIMITATION OF LIABILITY</w:t>
      </w:r>
    </w:p>
    <w:p>
      <w:pPr>
        <w:spacing w:after="0" w:line="207" w:lineRule="exact"/>
        <w:rPr>
          <w:sz w:val="20"/>
          <w:szCs w:val="20"/>
          <w:color w:val="auto"/>
        </w:rPr>
      </w:pPr>
    </w:p>
    <w:p>
      <w:pPr>
        <w:ind w:left="380" w:right="1679" w:firstLine="579"/>
        <w:spacing w:after="0" w:line="268" w:lineRule="auto"/>
        <w:rPr>
          <w:sz w:val="20"/>
          <w:szCs w:val="20"/>
          <w:color w:val="auto"/>
        </w:rPr>
      </w:pPr>
      <w:r>
        <w:rPr>
          <w:rFonts w:ascii="Courier New" w:cs="Courier New" w:eastAsia="Courier New" w:hAnsi="Courier New"/>
          <w:sz w:val="16"/>
          <w:szCs w:val="16"/>
          <w:color w:val="auto"/>
        </w:rPr>
        <w:t>4.1. LIMITATION OF LIABILITY. THE LIABILITY OF EITHER PARTY FOR A CLAIM ASSERTED BY THE OTHER PARTY BASED ON BREACH OF ANY COVENANT, AGREEMENT OR</w:t>
      </w:r>
    </w:p>
    <w:p>
      <w:pPr>
        <w:jc w:val="center"/>
        <w:ind w:right="1679"/>
        <w:spacing w:after="0" w:line="233" w:lineRule="auto"/>
        <w:rPr>
          <w:sz w:val="20"/>
          <w:szCs w:val="20"/>
          <w:color w:val="auto"/>
        </w:rPr>
      </w:pPr>
      <w:r>
        <w:rPr>
          <w:rFonts w:ascii="Courier New" w:cs="Courier New" w:eastAsia="Courier New" w:hAnsi="Courier New"/>
          <w:sz w:val="18"/>
          <w:szCs w:val="18"/>
          <w:color w:val="auto"/>
        </w:rPr>
        <w:t>UNDERTAKING REQUIRED BY THIS AGREEMENT SHALL NOT EXCEED, IN THE AGGREGATE, THE</w:t>
      </w:r>
    </w:p>
    <w:p>
      <w:pPr>
        <w:spacing w:after="0" w:line="5" w:lineRule="exact"/>
        <w:rPr>
          <w:sz w:val="20"/>
          <w:szCs w:val="20"/>
          <w:color w:val="auto"/>
        </w:rPr>
      </w:pPr>
    </w:p>
    <w:p>
      <w:pPr>
        <w:jc w:val="center"/>
        <w:ind w:right="1679"/>
        <w:spacing w:after="0" w:line="271" w:lineRule="auto"/>
        <w:rPr>
          <w:sz w:val="20"/>
          <w:szCs w:val="20"/>
          <w:color w:val="auto"/>
        </w:rPr>
      </w:pPr>
      <w:r>
        <w:rPr>
          <w:rFonts w:ascii="Courier New" w:cs="Courier New" w:eastAsia="Courier New" w:hAnsi="Courier New"/>
          <w:sz w:val="16"/>
          <w:szCs w:val="16"/>
          <w:color w:val="auto"/>
        </w:rPr>
        <w:t>FEES PAYABLE BY RECEIVING PARTY TO PROVIDING PARTY DURING THE ONE (1) YEAR PERIOD PRECEDING THE BREACH FOR THE PARTICULAR CORPORATE SERVICE AFFECTED BY SUCH BREACH UNDER THIS AGREEMENT; PROVIDED, THAT SUCH LIMITATION SHALL NOT APPLY IN RESPECT OF ANY CLAIMS BASED ON A PARTY'S (i) GROSS NEGLIGENCE, (ii) WILLFUL MISCONDUCT, (iii) IMPROPER USE OR DISCLOSURE OF CUSTOMER INFORMATION, (iv) VIOLATIONS OF LAW OR (v) INFRINGEMENT OF THE INTELLECTUAL PROPERTY RIGHTS OF A PERSON OR ENTITY WHO IS NOT A PARTY HERETO OR THE SUBSIDIARY OF A PARTY HERETO.</w:t>
      </w:r>
    </w:p>
    <w:p>
      <w:pPr>
        <w:spacing w:after="0" w:line="188" w:lineRule="exact"/>
        <w:rPr>
          <w:sz w:val="20"/>
          <w:szCs w:val="20"/>
          <w:color w:val="auto"/>
        </w:rPr>
      </w:pPr>
    </w:p>
    <w:p>
      <w:pPr>
        <w:ind w:left="160" w:right="1839" w:firstLine="1159"/>
        <w:spacing w:after="0" w:line="268" w:lineRule="auto"/>
        <w:rPr>
          <w:sz w:val="20"/>
          <w:szCs w:val="20"/>
          <w:color w:val="auto"/>
        </w:rPr>
      </w:pPr>
      <w:r>
        <w:rPr>
          <w:rFonts w:ascii="Courier New" w:cs="Courier New" w:eastAsia="Courier New" w:hAnsi="Courier New"/>
          <w:sz w:val="16"/>
          <w:szCs w:val="16"/>
          <w:color w:val="auto"/>
        </w:rPr>
        <w:t>4.2. DAMAGES. NEITHER PARTY SHALL BE LIABLE TO THE OTHER FOR ANY INDIRECT, SPECIAL, PUNITIVE, OR CONSEQUENTIAL DAMAGE OF ANY KIND WHATSOEVER; PROVIDED, HOWEVER, THAT TO THE EXTENT AN INDEMNIFIED PARTY UNDER ARTICLE X IS</w:t>
      </w:r>
    </w:p>
    <w:p>
      <w:pPr>
        <w:spacing w:after="0" w:line="1"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REQUIRED TO PAY ANY SPECIAL, INCIDENTAL, INDIRECT, COLLATERAL, CONSEQUENTIAL OR PUNITIVE DAMAGES OR LOST PROFITS TO A PERSON OR ENTITY WHO IS NOT A PARTY OR A SUBSIDIARY OF THE INDEMNIFIED PARTY IN CONNECTION WITH A THIRD PARTY CLAIM, SUCH DAMAGES WILL CONSTITUTE DIRECT DAMAGES AND WILL NOT BE SUBJECT TO THE LIMITATION SET FORTH IN THIS ARTICLE IV.</w:t>
      </w:r>
    </w:p>
    <w:p>
      <w:pPr>
        <w:spacing w:after="0" w:line="203" w:lineRule="exact"/>
        <w:rPr>
          <w:sz w:val="20"/>
          <w:szCs w:val="20"/>
          <w:color w:val="auto"/>
        </w:rPr>
      </w:pPr>
    </w:p>
    <w:p>
      <w:pPr>
        <w:ind w:left="5640"/>
        <w:spacing w:after="0"/>
        <w:rPr>
          <w:sz w:val="20"/>
          <w:szCs w:val="20"/>
          <w:color w:val="auto"/>
        </w:rPr>
      </w:pPr>
      <w:r>
        <w:rPr>
          <w:rFonts w:ascii="Courier New" w:cs="Courier New" w:eastAsia="Courier New" w:hAnsi="Courier New"/>
          <w:sz w:val="18"/>
          <w:szCs w:val="18"/>
          <w:color w:val="auto"/>
        </w:rPr>
        <w:t>ARTICLE V</w:t>
      </w:r>
    </w:p>
    <w:p>
      <w:pPr>
        <w:ind w:left="5320"/>
        <w:spacing w:after="0" w:line="238" w:lineRule="auto"/>
        <w:rPr>
          <w:sz w:val="20"/>
          <w:szCs w:val="20"/>
          <w:color w:val="auto"/>
        </w:rPr>
      </w:pPr>
      <w:r>
        <w:rPr>
          <w:rFonts w:ascii="Courier New" w:cs="Courier New" w:eastAsia="Courier New" w:hAnsi="Courier New"/>
          <w:sz w:val="18"/>
          <w:szCs w:val="18"/>
          <w:color w:val="auto"/>
        </w:rPr>
        <w:t>FORCE MAJEURE</w:t>
      </w:r>
    </w:p>
    <w:p>
      <w:pPr>
        <w:spacing w:after="0" w:line="207" w:lineRule="exact"/>
        <w:rPr>
          <w:sz w:val="20"/>
          <w:szCs w:val="20"/>
          <w:color w:val="auto"/>
        </w:rPr>
      </w:pPr>
    </w:p>
    <w:p>
      <w:pPr>
        <w:ind w:left="120" w:right="1779" w:firstLine="1317"/>
        <w:spacing w:after="0" w:line="268" w:lineRule="auto"/>
        <w:rPr>
          <w:sz w:val="20"/>
          <w:szCs w:val="20"/>
          <w:color w:val="auto"/>
        </w:rPr>
      </w:pPr>
      <w:r>
        <w:rPr>
          <w:rFonts w:ascii="Courier New" w:cs="Courier New" w:eastAsia="Courier New" w:hAnsi="Courier New"/>
          <w:sz w:val="16"/>
          <w:szCs w:val="16"/>
          <w:color w:val="auto"/>
        </w:rPr>
        <w:t>Neither Party shall be held liable for any delay or failure in performance of any part of this Agreement from any cause beyond its reasonable</w:t>
      </w:r>
    </w:p>
    <w:p>
      <w:pPr>
        <w:jc w:val="center"/>
        <w:ind w:right="1679"/>
        <w:spacing w:after="0"/>
        <w:rPr>
          <w:sz w:val="20"/>
          <w:szCs w:val="20"/>
          <w:color w:val="auto"/>
        </w:rPr>
      </w:pPr>
      <w:r>
        <w:rPr>
          <w:rFonts w:ascii="Courier New" w:cs="Courier New" w:eastAsia="Courier New" w:hAnsi="Courier New"/>
          <w:sz w:val="16"/>
          <w:szCs w:val="16"/>
          <w:color w:val="auto"/>
        </w:rPr>
        <w:t>control and without its fault or negligence, including, but not limited to, acts</w:t>
      </w:r>
    </w:p>
    <w:p>
      <w:pPr>
        <w:spacing w:after="0" w:line="21" w:lineRule="exact"/>
        <w:rPr>
          <w:sz w:val="20"/>
          <w:szCs w:val="20"/>
          <w:color w:val="auto"/>
        </w:rPr>
      </w:pPr>
    </w:p>
    <w:p>
      <w:pPr>
        <w:jc w:val="center"/>
        <w:ind w:left="360" w:right="100"/>
        <w:spacing w:after="0" w:line="237" w:lineRule="auto"/>
        <w:rPr>
          <w:sz w:val="20"/>
          <w:szCs w:val="20"/>
          <w:color w:val="auto"/>
        </w:rPr>
      </w:pPr>
      <w:r>
        <w:rPr>
          <w:rFonts w:ascii="Courier New" w:cs="Courier New" w:eastAsia="Courier New" w:hAnsi="Courier New"/>
          <w:sz w:val="18"/>
          <w:szCs w:val="18"/>
          <w:color w:val="auto"/>
        </w:rPr>
        <w:t>of God, acts of civil or military authority, embargoes, epidemics, war, terrorist acts, riots, insurrections, fires, explosions, earthquakes, hurricanes, tornadoes, nuclear accidents, floods, strikes, terrorism and power blackouts. Upon the occurrence of a condition described in this Article, the Party whose performance is prevented shall give written notice to the other Party, and the Parties shall promptly confer, in good faith, to agree upon equitable, reasonable action to minimize the impact, on both Parties, of such conditions.</w:t>
      </w:r>
    </w:p>
    <w:p>
      <w:pPr>
        <w:spacing w:after="0" w:line="207" w:lineRule="exact"/>
        <w:rPr>
          <w:sz w:val="20"/>
          <w:szCs w:val="20"/>
          <w:color w:val="auto"/>
        </w:rPr>
      </w:pPr>
    </w:p>
    <w:p>
      <w:pPr>
        <w:ind w:left="5540"/>
        <w:spacing w:after="0"/>
        <w:rPr>
          <w:sz w:val="20"/>
          <w:szCs w:val="20"/>
          <w:color w:val="auto"/>
        </w:rPr>
      </w:pPr>
      <w:r>
        <w:rPr>
          <w:rFonts w:ascii="Courier New" w:cs="Courier New" w:eastAsia="Courier New" w:hAnsi="Courier New"/>
          <w:sz w:val="18"/>
          <w:szCs w:val="18"/>
          <w:color w:val="auto"/>
        </w:rPr>
        <w:t>ARTICLE VI</w:t>
      </w:r>
    </w:p>
    <w:p>
      <w:pPr>
        <w:ind w:left="4860"/>
        <w:spacing w:after="0" w:line="238" w:lineRule="auto"/>
        <w:rPr>
          <w:sz w:val="20"/>
          <w:szCs w:val="20"/>
          <w:color w:val="auto"/>
        </w:rPr>
      </w:pPr>
      <w:r>
        <w:rPr>
          <w:rFonts w:ascii="Courier New" w:cs="Courier New" w:eastAsia="Courier New" w:hAnsi="Courier New"/>
          <w:sz w:val="18"/>
          <w:szCs w:val="18"/>
          <w:color w:val="auto"/>
        </w:rPr>
        <w:t>NOTICES AND DEMANDS</w:t>
      </w:r>
    </w:p>
    <w:p>
      <w:pPr>
        <w:spacing w:after="0" w:line="207" w:lineRule="exact"/>
        <w:rPr>
          <w:sz w:val="20"/>
          <w:szCs w:val="20"/>
          <w:color w:val="auto"/>
        </w:rPr>
      </w:pPr>
    </w:p>
    <w:p>
      <w:pPr>
        <w:ind w:right="1679" w:firstLine="1053"/>
        <w:spacing w:after="0" w:line="268" w:lineRule="auto"/>
        <w:rPr>
          <w:sz w:val="20"/>
          <w:szCs w:val="20"/>
          <w:color w:val="auto"/>
        </w:rPr>
      </w:pPr>
      <w:r>
        <w:rPr>
          <w:rFonts w:ascii="Courier New" w:cs="Courier New" w:eastAsia="Courier New" w:hAnsi="Courier New"/>
          <w:sz w:val="16"/>
          <w:szCs w:val="16"/>
          <w:color w:val="auto"/>
        </w:rPr>
        <w:t>Notices. Except as otherwise provided under this Agreement (including Schedule 1.1(a)), all notices, demands or requests which may be given by a Party</w:t>
      </w:r>
    </w:p>
    <w:p>
      <w:pPr>
        <w:jc w:val="center"/>
        <w:ind w:right="1679"/>
        <w:spacing w:after="0" w:line="279" w:lineRule="auto"/>
        <w:rPr>
          <w:sz w:val="20"/>
          <w:szCs w:val="20"/>
          <w:color w:val="auto"/>
        </w:rPr>
      </w:pPr>
      <w:r>
        <w:rPr>
          <w:rFonts w:ascii="Courier New" w:cs="Courier New" w:eastAsia="Courier New" w:hAnsi="Courier New"/>
          <w:sz w:val="16"/>
          <w:szCs w:val="16"/>
          <w:color w:val="auto"/>
        </w:rPr>
        <w:t>to the other Party shall be in writing and shall be deemed to have been duly given on the date delivered in person, or sent via telefax, or on the next business day if sent by overnight courier, or on the date of the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1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119"/>
          </w:cols>
          <w:pgMar w:left="340" w:top="514" w:right="1440" w:bottom="1440" w:gutter="0" w:footer="0" w:header="0"/>
        </w:sectPr>
      </w:pPr>
    </w:p>
    <w:bookmarkStart w:id="227" w:name="page228"/>
    <w:bookmarkEnd w:id="227"/>
    <w:p>
      <w:pPr>
        <w:ind w:left="260"/>
        <w:spacing w:after="0"/>
        <w:rPr>
          <w:sz w:val="20"/>
          <w:szCs w:val="20"/>
          <w:color w:val="auto"/>
        </w:rPr>
      </w:pPr>
      <w:r>
        <w:rPr>
          <w:rFonts w:ascii="Courier New" w:cs="Courier New" w:eastAsia="Courier New" w:hAnsi="Courier New"/>
          <w:sz w:val="18"/>
          <w:szCs w:val="18"/>
          <w:color w:val="auto"/>
        </w:rPr>
        <w:t>business day after deposit, postage prepaid, in the United States Mail via</w:t>
      </w:r>
    </w:p>
    <w:p>
      <w:pPr>
        <w:ind w:left="260"/>
        <w:spacing w:after="0" w:line="238" w:lineRule="auto"/>
        <w:rPr>
          <w:sz w:val="20"/>
          <w:szCs w:val="20"/>
          <w:color w:val="auto"/>
        </w:rPr>
      </w:pPr>
      <w:r>
        <w:rPr>
          <w:rFonts w:ascii="Courier New" w:cs="Courier New" w:eastAsia="Courier New" w:hAnsi="Courier New"/>
          <w:sz w:val="18"/>
          <w:szCs w:val="18"/>
          <w:color w:val="auto"/>
        </w:rPr>
        <w:t>Certified Mail return receipt requested, and addressed as set forth below:</w:t>
      </w:r>
    </w:p>
    <w:p>
      <w:pPr>
        <w:spacing w:after="0" w:line="202" w:lineRule="exact"/>
        <w:rPr>
          <w:sz w:val="20"/>
          <w:szCs w:val="20"/>
          <w:color w:val="auto"/>
        </w:rPr>
      </w:pPr>
    </w:p>
    <w:p>
      <w:pPr>
        <w:jc w:val="center"/>
        <w:ind w:right="779"/>
        <w:spacing w:after="0"/>
        <w:rPr>
          <w:sz w:val="20"/>
          <w:szCs w:val="20"/>
          <w:color w:val="auto"/>
        </w:rPr>
      </w:pPr>
      <w:r>
        <w:rPr>
          <w:rFonts w:ascii="Courier New" w:cs="Courier New" w:eastAsia="Courier New" w:hAnsi="Courier New"/>
          <w:sz w:val="18"/>
          <w:szCs w:val="18"/>
          <w:color w:val="auto"/>
        </w:rPr>
        <w:t>If to RECEIVING PARTY, to:</w:t>
      </w:r>
    </w:p>
    <w:p>
      <w:pPr>
        <w:spacing w:after="0" w:line="201" w:lineRule="exact"/>
        <w:rPr>
          <w:sz w:val="20"/>
          <w:szCs w:val="20"/>
          <w:color w:val="auto"/>
        </w:rPr>
      </w:pPr>
    </w:p>
    <w:p>
      <w:pPr>
        <w:jc w:val="center"/>
        <w:ind w:right="779"/>
        <w:spacing w:after="0"/>
        <w:rPr>
          <w:sz w:val="20"/>
          <w:szCs w:val="20"/>
          <w:color w:val="auto"/>
        </w:rPr>
      </w:pPr>
      <w:r>
        <w:rPr>
          <w:rFonts w:ascii="Courier New" w:cs="Courier New" w:eastAsia="Courier New" w:hAnsi="Courier New"/>
          <w:sz w:val="18"/>
          <w:szCs w:val="18"/>
          <w:color w:val="auto"/>
        </w:rPr>
        <w:t>Fidelity National Title Group, Inc.</w:t>
      </w:r>
    </w:p>
    <w:p>
      <w:pPr>
        <w:jc w:val="center"/>
        <w:ind w:right="779"/>
        <w:spacing w:after="0" w:line="238" w:lineRule="auto"/>
        <w:rPr>
          <w:sz w:val="20"/>
          <w:szCs w:val="20"/>
          <w:color w:val="auto"/>
        </w:rPr>
      </w:pPr>
      <w:r>
        <w:rPr>
          <w:rFonts w:ascii="Courier New" w:cs="Courier New" w:eastAsia="Courier New" w:hAnsi="Courier New"/>
          <w:sz w:val="18"/>
          <w:szCs w:val="18"/>
          <w:color w:val="auto"/>
        </w:rPr>
        <w:t>601 Riverside Avenue</w:t>
      </w:r>
    </w:p>
    <w:p>
      <w:pPr>
        <w:jc w:val="center"/>
        <w:ind w:right="779"/>
        <w:spacing w:after="0"/>
        <w:rPr>
          <w:sz w:val="20"/>
          <w:szCs w:val="20"/>
          <w:color w:val="auto"/>
        </w:rPr>
      </w:pPr>
      <w:r>
        <w:rPr>
          <w:rFonts w:ascii="Courier New" w:cs="Courier New" w:eastAsia="Courier New" w:hAnsi="Courier New"/>
          <w:sz w:val="18"/>
          <w:szCs w:val="18"/>
          <w:color w:val="auto"/>
        </w:rPr>
        <w:t>Jacksonville, Florida 32204</w:t>
      </w:r>
    </w:p>
    <w:p>
      <w:pPr>
        <w:jc w:val="center"/>
        <w:ind w:right="779"/>
        <w:spacing w:after="0" w:line="237" w:lineRule="auto"/>
        <w:rPr>
          <w:sz w:val="20"/>
          <w:szCs w:val="20"/>
          <w:color w:val="auto"/>
        </w:rPr>
      </w:pPr>
      <w:r>
        <w:rPr>
          <w:rFonts w:ascii="Courier New" w:cs="Courier New" w:eastAsia="Courier New" w:hAnsi="Courier New"/>
          <w:sz w:val="18"/>
          <w:szCs w:val="18"/>
          <w:color w:val="auto"/>
        </w:rPr>
        <w:t>Attention: General Counsel</w:t>
      </w:r>
    </w:p>
    <w:p>
      <w:pPr>
        <w:spacing w:after="0" w:line="202" w:lineRule="exact"/>
        <w:rPr>
          <w:sz w:val="20"/>
          <w:szCs w:val="20"/>
          <w:color w:val="auto"/>
        </w:rPr>
      </w:pPr>
    </w:p>
    <w:p>
      <w:pPr>
        <w:jc w:val="center"/>
        <w:ind w:right="779"/>
        <w:spacing w:after="0"/>
        <w:rPr>
          <w:sz w:val="20"/>
          <w:szCs w:val="20"/>
          <w:color w:val="auto"/>
        </w:rPr>
      </w:pPr>
      <w:r>
        <w:rPr>
          <w:rFonts w:ascii="Courier New" w:cs="Courier New" w:eastAsia="Courier New" w:hAnsi="Courier New"/>
          <w:sz w:val="18"/>
          <w:szCs w:val="18"/>
          <w:color w:val="auto"/>
        </w:rPr>
        <w:t>If to PROVIDING PARTY, to:</w:t>
      </w:r>
    </w:p>
    <w:p>
      <w:pPr>
        <w:spacing w:after="0" w:line="201" w:lineRule="exact"/>
        <w:rPr>
          <w:sz w:val="20"/>
          <w:szCs w:val="20"/>
          <w:color w:val="auto"/>
        </w:rPr>
      </w:pPr>
    </w:p>
    <w:p>
      <w:pPr>
        <w:jc w:val="center"/>
        <w:ind w:right="779"/>
        <w:spacing w:after="0"/>
        <w:rPr>
          <w:sz w:val="20"/>
          <w:szCs w:val="20"/>
          <w:color w:val="auto"/>
        </w:rPr>
      </w:pPr>
      <w:r>
        <w:rPr>
          <w:rFonts w:ascii="Courier New" w:cs="Courier New" w:eastAsia="Courier New" w:hAnsi="Courier New"/>
          <w:sz w:val="18"/>
          <w:szCs w:val="18"/>
          <w:color w:val="auto"/>
        </w:rPr>
        <w:t>Fidelity National Financial, Inc.</w:t>
      </w:r>
    </w:p>
    <w:p>
      <w:pPr>
        <w:jc w:val="center"/>
        <w:ind w:right="779"/>
        <w:spacing w:after="0" w:line="238" w:lineRule="auto"/>
        <w:rPr>
          <w:sz w:val="20"/>
          <w:szCs w:val="20"/>
          <w:color w:val="auto"/>
        </w:rPr>
      </w:pPr>
      <w:r>
        <w:rPr>
          <w:rFonts w:ascii="Courier New" w:cs="Courier New" w:eastAsia="Courier New" w:hAnsi="Courier New"/>
          <w:sz w:val="18"/>
          <w:szCs w:val="18"/>
          <w:color w:val="auto"/>
        </w:rPr>
        <w:t>601 Riverside Avenue</w:t>
      </w:r>
    </w:p>
    <w:p>
      <w:pPr>
        <w:jc w:val="center"/>
        <w:ind w:right="779"/>
        <w:spacing w:after="0"/>
        <w:rPr>
          <w:sz w:val="20"/>
          <w:szCs w:val="20"/>
          <w:color w:val="auto"/>
        </w:rPr>
      </w:pPr>
      <w:r>
        <w:rPr>
          <w:rFonts w:ascii="Courier New" w:cs="Courier New" w:eastAsia="Courier New" w:hAnsi="Courier New"/>
          <w:sz w:val="18"/>
          <w:szCs w:val="18"/>
          <w:color w:val="auto"/>
        </w:rPr>
        <w:t>Jacksonville, Florida 32204</w:t>
      </w:r>
    </w:p>
    <w:p>
      <w:pPr>
        <w:jc w:val="center"/>
        <w:ind w:right="779"/>
        <w:spacing w:after="0" w:line="237" w:lineRule="auto"/>
        <w:rPr>
          <w:sz w:val="20"/>
          <w:szCs w:val="20"/>
          <w:color w:val="auto"/>
        </w:rPr>
      </w:pPr>
      <w:r>
        <w:rPr>
          <w:rFonts w:ascii="Courier New" w:cs="Courier New" w:eastAsia="Courier New" w:hAnsi="Courier New"/>
          <w:sz w:val="18"/>
          <w:szCs w:val="18"/>
          <w:color w:val="auto"/>
        </w:rPr>
        <w:t>Attention: General Counsel</w:t>
      </w:r>
    </w:p>
    <w:p>
      <w:pPr>
        <w:spacing w:after="0" w:line="207" w:lineRule="exact"/>
        <w:rPr>
          <w:sz w:val="20"/>
          <w:szCs w:val="20"/>
          <w:color w:val="auto"/>
        </w:rPr>
      </w:pPr>
    </w:p>
    <w:p>
      <w:pPr>
        <w:jc w:val="center"/>
        <w:ind w:right="1739"/>
        <w:spacing w:after="0" w:line="237" w:lineRule="auto"/>
        <w:rPr>
          <w:sz w:val="20"/>
          <w:szCs w:val="20"/>
          <w:color w:val="auto"/>
        </w:rPr>
      </w:pPr>
      <w:r>
        <w:rPr>
          <w:rFonts w:ascii="Courier New" w:cs="Courier New" w:eastAsia="Courier New" w:hAnsi="Courier New"/>
          <w:sz w:val="18"/>
          <w:szCs w:val="18"/>
          <w:color w:val="auto"/>
        </w:rPr>
        <w:t>The address to which such notices, demands, requests, elections or other communications are to be given by either Party may be changed by written notice given by such Party to the other Party pursuant to Section 6.1 and this Section 6.2.</w:t>
      </w:r>
    </w:p>
    <w:p>
      <w:pPr>
        <w:spacing w:after="0" w:line="202" w:lineRule="exact"/>
        <w:rPr>
          <w:sz w:val="20"/>
          <w:szCs w:val="20"/>
          <w:color w:val="auto"/>
        </w:rPr>
      </w:pPr>
    </w:p>
    <w:p>
      <w:pPr>
        <w:ind w:left="5420"/>
        <w:spacing w:after="0"/>
        <w:rPr>
          <w:sz w:val="20"/>
          <w:szCs w:val="20"/>
          <w:color w:val="auto"/>
        </w:rPr>
      </w:pPr>
      <w:r>
        <w:rPr>
          <w:rFonts w:ascii="Courier New" w:cs="Courier New" w:eastAsia="Courier New" w:hAnsi="Courier New"/>
          <w:sz w:val="18"/>
          <w:szCs w:val="18"/>
          <w:color w:val="auto"/>
        </w:rPr>
        <w:t>ARTICLE VII</w:t>
      </w:r>
    </w:p>
    <w:p>
      <w:pPr>
        <w:ind w:left="5640"/>
        <w:spacing w:after="0" w:line="238" w:lineRule="auto"/>
        <w:rPr>
          <w:sz w:val="20"/>
          <w:szCs w:val="20"/>
          <w:color w:val="auto"/>
        </w:rPr>
      </w:pPr>
      <w:r>
        <w:rPr>
          <w:rFonts w:ascii="Courier New" w:cs="Courier New" w:eastAsia="Courier New" w:hAnsi="Courier New"/>
          <w:sz w:val="18"/>
          <w:szCs w:val="18"/>
          <w:color w:val="auto"/>
        </w:rPr>
        <w:t>REMEDIES</w:t>
      </w:r>
    </w:p>
    <w:p>
      <w:pPr>
        <w:spacing w:after="0" w:line="207" w:lineRule="exact"/>
        <w:rPr>
          <w:sz w:val="20"/>
          <w:szCs w:val="20"/>
          <w:color w:val="auto"/>
        </w:rPr>
      </w:pPr>
    </w:p>
    <w:p>
      <w:pPr>
        <w:ind w:right="1739" w:firstLine="948"/>
        <w:spacing w:after="0" w:line="268" w:lineRule="auto"/>
        <w:rPr>
          <w:sz w:val="20"/>
          <w:szCs w:val="20"/>
          <w:color w:val="auto"/>
        </w:rPr>
      </w:pPr>
      <w:r>
        <w:rPr>
          <w:rFonts w:ascii="Courier New" w:cs="Courier New" w:eastAsia="Courier New" w:hAnsi="Courier New"/>
          <w:sz w:val="16"/>
          <w:szCs w:val="16"/>
          <w:color w:val="auto"/>
        </w:rPr>
        <w:t>7.1. Remedies Upon Material Breach. In the event of material breach of any provision of this Agreement by a Party, the non-defaulting Party shall give</w:t>
      </w:r>
    </w:p>
    <w:p>
      <w:pPr>
        <w:ind w:left="2000"/>
        <w:spacing w:after="0" w:line="233" w:lineRule="auto"/>
        <w:rPr>
          <w:sz w:val="20"/>
          <w:szCs w:val="20"/>
          <w:color w:val="auto"/>
        </w:rPr>
      </w:pPr>
      <w:r>
        <w:rPr>
          <w:rFonts w:ascii="Courier New" w:cs="Courier New" w:eastAsia="Courier New" w:hAnsi="Courier New"/>
          <w:sz w:val="18"/>
          <w:szCs w:val="18"/>
          <w:color w:val="auto"/>
        </w:rPr>
        <w:t>the defaulting Party written notice, and:</w:t>
      </w:r>
    </w:p>
    <w:p>
      <w:pPr>
        <w:spacing w:after="0" w:line="208" w:lineRule="exact"/>
        <w:rPr>
          <w:sz w:val="20"/>
          <w:szCs w:val="20"/>
          <w:color w:val="auto"/>
        </w:rPr>
      </w:pPr>
    </w:p>
    <w:p>
      <w:pPr>
        <w:jc w:val="both"/>
        <w:ind w:left="-60" w:right="1679" w:firstLine="1957"/>
        <w:spacing w:after="0" w:line="268" w:lineRule="auto"/>
        <w:tabs>
          <w:tab w:leader="none" w:pos="231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breach is for RECEIVING PARTY's non-payment of an amount that is not in dispute, the defaulting Party shall cure the breach within thirty (30) calendar days of such notice. If the defaulting Party does not cure such breach by such date, then the defaulting Party shall pay the non-defaulting Party the undisputed amount, any interest that has accrued hereunder through the</w:t>
      </w:r>
    </w:p>
    <w:p>
      <w:pPr>
        <w:jc w:val="center"/>
        <w:ind w:left="60" w:right="177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expiration of the cure period plus an additional amount of interest equal to four percent (4%) per annum above the "prime rate" as announced in the most recent edition of the Wall Street Journal. The Parties agree that this rate of interest constitutes reasonable liquidated damages and not an unenforceable</w:t>
      </w:r>
    </w:p>
    <w:p>
      <w:pPr>
        <w:ind w:left="3740"/>
        <w:spacing w:after="0" w:line="234" w:lineRule="auto"/>
        <w:rPr>
          <w:sz w:val="20"/>
          <w:szCs w:val="20"/>
          <w:color w:val="auto"/>
        </w:rPr>
      </w:pPr>
      <w:r>
        <w:rPr>
          <w:rFonts w:ascii="Courier New" w:cs="Courier New" w:eastAsia="Courier New" w:hAnsi="Courier New"/>
          <w:sz w:val="18"/>
          <w:szCs w:val="18"/>
          <w:color w:val="auto"/>
        </w:rPr>
        <w:t>penalty.</w:t>
      </w:r>
    </w:p>
    <w:p>
      <w:pPr>
        <w:spacing w:after="0" w:line="207" w:lineRule="exact"/>
        <w:rPr>
          <w:sz w:val="20"/>
          <w:szCs w:val="20"/>
          <w:color w:val="auto"/>
        </w:rPr>
      </w:pPr>
    </w:p>
    <w:p>
      <w:pPr>
        <w:ind w:right="1739" w:firstLine="2213"/>
        <w:spacing w:after="0" w:line="268" w:lineRule="auto"/>
        <w:tabs>
          <w:tab w:leader="none" w:pos="2634"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breach is for any other material failure to perform in accordance with this Agreement, the defaulting Party shall cure such</w:t>
      </w:r>
    </w:p>
    <w:p>
      <w:pPr>
        <w:jc w:val="center"/>
        <w:ind w:left="100" w:right="1839" w:firstLine="158"/>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breach within thirty (30) calendar days of the date of such notice. If the defaulting Party does not cure such breach within such period, then the defaulting Party shall pay the non-defaulting Party all of the non-defaulting Party's actual damages, subject to Article IV above.</w:t>
      </w:r>
    </w:p>
    <w:p>
      <w:pPr>
        <w:spacing w:after="0" w:line="207"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7.2. Survival Upon Expiration or Termination. The provisions of Section</w:t>
      </w:r>
    </w:p>
    <w:p>
      <w:pPr>
        <w:spacing w:after="0" w:line="21" w:lineRule="exact"/>
        <w:rPr>
          <w:sz w:val="20"/>
          <w:szCs w:val="20"/>
          <w:color w:val="auto"/>
        </w:rPr>
      </w:pPr>
    </w:p>
    <w:p>
      <w:pPr>
        <w:jc w:val="center"/>
        <w:ind w:right="1719"/>
        <w:spacing w:after="0" w:line="236" w:lineRule="auto"/>
        <w:rPr>
          <w:sz w:val="20"/>
          <w:szCs w:val="20"/>
          <w:color w:val="auto"/>
        </w:rPr>
      </w:pPr>
      <w:r>
        <w:rPr>
          <w:rFonts w:ascii="Courier New" w:cs="Courier New" w:eastAsia="Courier New" w:hAnsi="Courier New"/>
          <w:sz w:val="18"/>
          <w:szCs w:val="18"/>
          <w:color w:val="auto"/>
        </w:rPr>
        <w:t>1.4 (Dispute Resolution), Section 2.4 (Return of Materials), Article IV (Limitation of Liability), Article VI (Notices and Demands), this Section 7.2, Article VIII (Confidentiality), Article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059"/>
          </w:cols>
          <w:pgMar w:left="400" w:top="514" w:right="1440" w:bottom="1440" w:gutter="0" w:footer="0" w:header="0"/>
        </w:sectPr>
      </w:pPr>
    </w:p>
    <w:bookmarkStart w:id="228" w:name="page229"/>
    <w:bookmarkEnd w:id="228"/>
    <w:p>
      <w:pPr>
        <w:jc w:val="center"/>
        <w:ind w:left="360" w:right="100"/>
        <w:spacing w:after="0" w:line="236" w:lineRule="auto"/>
        <w:rPr>
          <w:sz w:val="20"/>
          <w:szCs w:val="20"/>
          <w:color w:val="auto"/>
        </w:rPr>
      </w:pPr>
      <w:r>
        <w:rPr>
          <w:rFonts w:ascii="Courier New" w:cs="Courier New" w:eastAsia="Courier New" w:hAnsi="Courier New"/>
          <w:sz w:val="18"/>
          <w:szCs w:val="18"/>
          <w:color w:val="auto"/>
        </w:rPr>
        <w:t>(Indemnification) and Article XI (Miscellaneous) shall survive the termination or expiration of this Agreement unless otherwise agreed to in writing by both Parties.</w:t>
      </w:r>
    </w:p>
    <w:p>
      <w:pPr>
        <w:spacing w:after="0" w:line="203"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ARTICLE VIII</w:t>
      </w:r>
    </w:p>
    <w:p>
      <w:pPr>
        <w:ind w:left="5180"/>
        <w:spacing w:after="0" w:line="238" w:lineRule="auto"/>
        <w:rPr>
          <w:sz w:val="20"/>
          <w:szCs w:val="20"/>
          <w:color w:val="auto"/>
        </w:rPr>
      </w:pPr>
      <w:r>
        <w:rPr>
          <w:rFonts w:ascii="Courier New" w:cs="Courier New" w:eastAsia="Courier New" w:hAnsi="Courier New"/>
          <w:sz w:val="18"/>
          <w:szCs w:val="18"/>
          <w:color w:val="auto"/>
        </w:rPr>
        <w:t>CONFIDENTIALITY</w:t>
      </w:r>
    </w:p>
    <w:p>
      <w:pPr>
        <w:spacing w:after="0" w:line="207" w:lineRule="exact"/>
        <w:rPr>
          <w:sz w:val="20"/>
          <w:szCs w:val="20"/>
          <w:color w:val="auto"/>
        </w:rPr>
      </w:pPr>
    </w:p>
    <w:p>
      <w:pPr>
        <w:ind w:left="160" w:right="1779" w:firstLine="895"/>
        <w:spacing w:after="0" w:line="268" w:lineRule="auto"/>
        <w:rPr>
          <w:sz w:val="20"/>
          <w:szCs w:val="20"/>
          <w:color w:val="auto"/>
        </w:rPr>
      </w:pPr>
      <w:r>
        <w:rPr>
          <w:rFonts w:ascii="Courier New" w:cs="Courier New" w:eastAsia="Courier New" w:hAnsi="Courier New"/>
          <w:sz w:val="16"/>
          <w:szCs w:val="16"/>
          <w:color w:val="auto"/>
        </w:rPr>
        <w:t>8.1. Confidential Information. Each Party shall use at least the same standard of care in the protection of Confidential Information of the other Party as it uses to protect its own confidential or proprietary information; provided that such Confidential Information shall be protected in at least a reasonable manner. For purposes of this Agreement, "Confidential Information"</w:t>
      </w:r>
    </w:p>
    <w:p>
      <w:pPr>
        <w:spacing w:after="0" w:line="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includes all confidential or proprietary information and documentation of either</w:t>
      </w:r>
    </w:p>
    <w:p>
      <w:pPr>
        <w:spacing w:after="0" w:line="21" w:lineRule="exact"/>
        <w:rPr>
          <w:sz w:val="20"/>
          <w:szCs w:val="20"/>
          <w:color w:val="auto"/>
        </w:rPr>
      </w:pPr>
    </w:p>
    <w:p>
      <w:pPr>
        <w:jc w:val="center"/>
        <w:ind w:right="1679"/>
        <w:spacing w:after="0" w:line="269" w:lineRule="auto"/>
        <w:rPr>
          <w:sz w:val="20"/>
          <w:szCs w:val="20"/>
          <w:color w:val="auto"/>
        </w:rPr>
      </w:pPr>
      <w:r>
        <w:rPr>
          <w:rFonts w:ascii="Courier New" w:cs="Courier New" w:eastAsia="Courier New" w:hAnsi="Courier New"/>
          <w:sz w:val="16"/>
          <w:szCs w:val="16"/>
          <w:color w:val="auto"/>
        </w:rPr>
        <w:t>Party, including the terms of this Agreement, including with respect to each Party, all of its software, data, financial information all reports, exhibits and other documentation prepared by any of its Subsidiaries or Affiliates. Each Party shall use the Confidential Information of the other Party only in connection with the purposes of this Agreement and shall make such Confidential Information available only to its employees, subcontractors, or agents having a "need to know" with respect to such purpose. Each Party shall advise its respective employees, subcontractors, and agents of such Party's obligations under this Agreement. The obligations in this Section 8.1 will not restrict disclosure by a Party pursuant to applicable law, or by order or request of any court or government agency; provided, that prior to such disclosure the Party making such disclosure shall (a) immediately give notice to the other Party, (b) cooperate with the other Party in challenging the right to such access and (c) only provide such information as is required by law, court order or a final, non-appealable ruling of a court of proper jurisdiction Confidential Information of a Party will not be afforded the protection of this Article VIII if such Confidential Information was (A) developed by the other Party independently as shown by its written business records regularly kept, (B) rightfully obtained by the other Party without restriction from a third party, (C) publicly available other than through the fault or negligence of the other Party or (D) released by the Party that owns or has the rights to the Confidential Information without restriction to anyone.</w:t>
      </w:r>
    </w:p>
    <w:p>
      <w:pPr>
        <w:spacing w:after="0" w:line="200" w:lineRule="exact"/>
        <w:rPr>
          <w:sz w:val="20"/>
          <w:szCs w:val="20"/>
          <w:color w:val="auto"/>
        </w:rPr>
      </w:pPr>
    </w:p>
    <w:p>
      <w:pPr>
        <w:spacing w:after="0" w:line="396" w:lineRule="exact"/>
        <w:rPr>
          <w:sz w:val="20"/>
          <w:szCs w:val="20"/>
          <w:color w:val="auto"/>
        </w:rPr>
      </w:pPr>
    </w:p>
    <w:p>
      <w:pPr>
        <w:ind w:left="60" w:right="1739" w:firstLine="1001"/>
        <w:spacing w:after="0" w:line="268" w:lineRule="auto"/>
        <w:rPr>
          <w:sz w:val="20"/>
          <w:szCs w:val="20"/>
          <w:color w:val="auto"/>
        </w:rPr>
      </w:pPr>
      <w:r>
        <w:rPr>
          <w:rFonts w:ascii="Courier New" w:cs="Courier New" w:eastAsia="Courier New" w:hAnsi="Courier New"/>
          <w:sz w:val="16"/>
          <w:szCs w:val="16"/>
          <w:color w:val="auto"/>
        </w:rPr>
        <w:t>8.2. Work Product Privilege. RECEIVING PARTY represents and PROVIDING PARTY acknowledges that, in the course of providing Corporate Services pursuant</w:t>
      </w:r>
    </w:p>
    <w:p>
      <w:pPr>
        <w:jc w:val="center"/>
        <w:ind w:right="1679"/>
        <w:spacing w:after="0" w:line="268" w:lineRule="auto"/>
        <w:rPr>
          <w:sz w:val="20"/>
          <w:szCs w:val="20"/>
          <w:color w:val="auto"/>
        </w:rPr>
      </w:pPr>
      <w:r>
        <w:rPr>
          <w:rFonts w:ascii="Courier New" w:cs="Courier New" w:eastAsia="Courier New" w:hAnsi="Courier New"/>
          <w:sz w:val="16"/>
          <w:szCs w:val="16"/>
          <w:color w:val="auto"/>
        </w:rPr>
        <w:t>to this Agreement, PROVIDING PARTY may have access to (a) documents, data, databases or communications that are subject to attorney client privilege and/or</w:t>
      </w:r>
    </w:p>
    <w:p>
      <w:pPr>
        <w:ind w:left="60" w:right="1739" w:firstLine="317"/>
        <w:spacing w:after="0" w:line="268" w:lineRule="auto"/>
        <w:tabs>
          <w:tab w:leader="none" w:pos="798"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privileged work product prepared by or on behalf of the Affiliates of RECEIVING PARTY in anticipation of litigation with third parties (collectively,</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"Privileged Work Product") and RECEIVING PARTY represents and PROVIDING</w:t>
      </w:r>
    </w:p>
    <w:p>
      <w:pPr>
        <w:spacing w:after="0" w:line="4" w:lineRule="exact"/>
        <w:rPr>
          <w:rFonts w:ascii="Courier New" w:cs="Courier New" w:eastAsia="Courier New" w:hAnsi="Courier New"/>
          <w:sz w:val="16"/>
          <w:szCs w:val="16"/>
          <w:color w:val="auto"/>
        </w:rPr>
      </w:pPr>
    </w:p>
    <w:p>
      <w:pPr>
        <w:jc w:val="both"/>
        <w:ind w:left="60" w:right="17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PARTY understands that all Privileged Work Product is protected from disclosure by Rule 26 of the Federal Rules of Civil Procedure and the equivalent rules and regulations under the law chosen to govern the construction of this Agreement.</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RECEIVING PARTY represents and PROVIDING PARTY understands the importance of</w:t>
      </w:r>
    </w:p>
    <w:p>
      <w:pPr>
        <w:spacing w:after="0" w:line="4" w:lineRule="exact"/>
        <w:rPr>
          <w:rFonts w:ascii="Courier New" w:cs="Courier New" w:eastAsia="Courier New" w:hAnsi="Courier New"/>
          <w:sz w:val="16"/>
          <w:szCs w:val="16"/>
          <w:color w:val="auto"/>
        </w:rPr>
      </w:pPr>
    </w:p>
    <w:p>
      <w:pPr>
        <w:jc w:val="center"/>
        <w:ind w:right="16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maintaining the strict confidentiality of the Privileged Work Product to protect the attorney client privilege, work product doctrine and other privileges and rights associated with such Privileged Work Product pursuant to such Rule 26 and the equivalent rules and regulations under the law chosen to govern the construction of this Agreement. After PROVIDING PARTY is notified or otherwise becomes aware that documents, data, database, or communications are Privileged Work Product, only PROVIDING PARTY personnel for whom such access is necessary for the purposes of providing Services to RECEIVING PARTY as provided in this</w:t>
      </w:r>
    </w:p>
    <w:p>
      <w:pPr>
        <w:ind w:left="2640"/>
        <w:spacing w:after="0" w:line="235" w:lineRule="auto"/>
        <w:rPr>
          <w:sz w:val="20"/>
          <w:szCs w:val="20"/>
          <w:color w:val="auto"/>
        </w:rPr>
      </w:pPr>
      <w:r>
        <w:rPr>
          <w:rFonts w:ascii="Courier New" w:cs="Courier New" w:eastAsia="Courier New" w:hAnsi="Courier New"/>
          <w:sz w:val="18"/>
          <w:szCs w:val="18"/>
          <w:color w:val="auto"/>
        </w:rPr>
        <w:t>Agreement shall have access to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1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119"/>
          </w:cols>
          <w:pgMar w:left="340" w:top="520" w:right="1440" w:bottom="1440" w:gutter="0" w:footer="0" w:header="0"/>
        </w:sectPr>
      </w:pPr>
    </w:p>
    <w:bookmarkStart w:id="229" w:name="page230"/>
    <w:bookmarkEnd w:id="229"/>
    <w:p>
      <w:pPr>
        <w:jc w:val="center"/>
        <w:ind w:left="360" w:right="100"/>
        <w:spacing w:after="0" w:line="268" w:lineRule="auto"/>
        <w:rPr>
          <w:sz w:val="20"/>
          <w:szCs w:val="20"/>
          <w:color w:val="auto"/>
        </w:rPr>
      </w:pPr>
      <w:r>
        <w:rPr>
          <w:rFonts w:ascii="Courier New" w:cs="Courier New" w:eastAsia="Courier New" w:hAnsi="Courier New"/>
          <w:sz w:val="16"/>
          <w:szCs w:val="16"/>
          <w:color w:val="auto"/>
        </w:rPr>
        <w:t>such Privileged Work Product. Should PROVIDING PARTY ever be notified of any judicial or other proceeding seeking to obtain access to Privileged Work Product, PROVIDING PARTY shall (A) immediately give notice to RECEIVING PARTY,</w:t>
      </w:r>
    </w:p>
    <w:p>
      <w:pPr>
        <w:spacing w:after="0" w:line="1" w:lineRule="exact"/>
        <w:rPr>
          <w:sz w:val="20"/>
          <w:szCs w:val="20"/>
          <w:color w:val="auto"/>
        </w:rPr>
      </w:pPr>
    </w:p>
    <w:p>
      <w:pPr>
        <w:ind w:left="540" w:hanging="426"/>
        <w:spacing w:after="0"/>
        <w:tabs>
          <w:tab w:leader="none" w:pos="54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cooperate with RECEIVING PARTY in challenging the right to such access and</w:t>
      </w:r>
    </w:p>
    <w:p>
      <w:pPr>
        <w:spacing w:after="0" w:line="21" w:lineRule="exact"/>
        <w:rPr>
          <w:rFonts w:ascii="Courier New" w:cs="Courier New" w:eastAsia="Courier New" w:hAnsi="Courier New"/>
          <w:sz w:val="16"/>
          <w:szCs w:val="16"/>
          <w:color w:val="auto"/>
        </w:rPr>
      </w:pPr>
    </w:p>
    <w:p>
      <w:pPr>
        <w:ind w:left="120" w:right="1779" w:firstLine="152"/>
        <w:spacing w:after="0" w:line="268" w:lineRule="auto"/>
        <w:tabs>
          <w:tab w:leader="none" w:pos="699" w:val="left"/>
        </w:tabs>
        <w:numPr>
          <w:ilvl w:val="1"/>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only provide such information as is required by a final, non-appealable ruling of a court of proper jurisdiction. RECEIVING PARTY shall pay all of the cost incurred by PROVIDING PARTY in complying with the immediately preceding</w:t>
      </w:r>
    </w:p>
    <w:p>
      <w:pPr>
        <w:spacing w:after="0" w:line="1" w:lineRule="exact"/>
        <w:rPr>
          <w:sz w:val="20"/>
          <w:szCs w:val="20"/>
          <w:color w:val="auto"/>
        </w:rPr>
      </w:pPr>
    </w:p>
    <w:p>
      <w:pPr>
        <w:jc w:val="center"/>
        <w:ind w:right="1679"/>
        <w:spacing w:after="0" w:line="238" w:lineRule="auto"/>
        <w:rPr>
          <w:sz w:val="20"/>
          <w:szCs w:val="20"/>
          <w:color w:val="auto"/>
        </w:rPr>
      </w:pPr>
      <w:r>
        <w:rPr>
          <w:rFonts w:ascii="Courier New" w:cs="Courier New" w:eastAsia="Courier New" w:hAnsi="Courier New"/>
          <w:sz w:val="18"/>
          <w:szCs w:val="18"/>
          <w:color w:val="auto"/>
        </w:rPr>
        <w:t>sentence. RECEIVING PARTY has the right and duty to represent PROVIDING PARTY in such resistance or to select and compensate counsel to so represent PROVIDING PARTY or to reimburse PROVIDING PARTY for reasonable attorneys' fees and expenses as such fees and expenses are incurred in resisting such access. If PROVIDING PARTY is ultimately required, pursuant to an order of a court of competent jurisdiction, to produce documents, disclose data, or otherwise act in contravention of the confidentiality obligations imposed in this Article VIII, or otherwise with respect to maintaining the confidentiality, proprietary nature, and secrecy of Privileged Work Product, PROVIDING PARTY is not liable for breach of such obligation to the extent such liability does not result from failure of PROVIDING PARTY to abide by the terms of this Article VIII. All Privileged Work Product is the property of RECEIVING PARTY and will be deemed Confidential Information, except as specifically authorized in this Agreement or as shall be required by law.</w:t>
      </w:r>
    </w:p>
    <w:p>
      <w:pPr>
        <w:spacing w:after="0" w:line="208" w:lineRule="exact"/>
        <w:rPr>
          <w:sz w:val="20"/>
          <w:szCs w:val="20"/>
          <w:color w:val="auto"/>
        </w:rPr>
      </w:pPr>
    </w:p>
    <w:p>
      <w:pPr>
        <w:ind w:right="1679" w:firstLine="1159"/>
        <w:spacing w:after="0" w:line="268" w:lineRule="auto"/>
        <w:rPr>
          <w:sz w:val="20"/>
          <w:szCs w:val="20"/>
          <w:color w:val="auto"/>
        </w:rPr>
      </w:pPr>
      <w:r>
        <w:rPr>
          <w:rFonts w:ascii="Courier New" w:cs="Courier New" w:eastAsia="Courier New" w:hAnsi="Courier New"/>
          <w:sz w:val="16"/>
          <w:szCs w:val="16"/>
          <w:color w:val="auto"/>
        </w:rPr>
        <w:t>8.3. Unauthorized Acts. Each Party shall (a) notify the other Party promptly of any unauthorized possession, use, or knowledge of any Confidential Information by any person which shall become known to it, any attempt by any person to gain possession of Confidential Information without authorization or any attempt to use or acquire knowledge of any Confidential Information without authorization (collectively, "Unauthorized Access"), (b) promptly furnish to the</w:t>
      </w:r>
    </w:p>
    <w:p>
      <w:pPr>
        <w:spacing w:after="0" w:line="1"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other Party full details of the Unauthorized Access and use reasonable efforts to assist the other Party in investigating or preventing the reoccurrence of any Unauthorized Access, (c) cooperate with the other Party in any litigation and investigation against third parties deemed necessary by such Party to protect its proprietary rights, and (d) use commercially reasonable efforts to prevent a reoccurrence of any such Unauthorized Access.</w:t>
      </w:r>
    </w:p>
    <w:p>
      <w:pPr>
        <w:spacing w:after="0" w:line="210" w:lineRule="exact"/>
        <w:rPr>
          <w:sz w:val="20"/>
          <w:szCs w:val="20"/>
          <w:color w:val="auto"/>
        </w:rPr>
      </w:pPr>
    </w:p>
    <w:p>
      <w:pPr>
        <w:jc w:val="both"/>
        <w:ind w:left="160" w:right="1839" w:firstLine="948"/>
        <w:spacing w:after="0" w:line="268" w:lineRule="auto"/>
        <w:rPr>
          <w:sz w:val="20"/>
          <w:szCs w:val="20"/>
          <w:color w:val="auto"/>
        </w:rPr>
      </w:pPr>
      <w:r>
        <w:rPr>
          <w:rFonts w:ascii="Courier New" w:cs="Courier New" w:eastAsia="Courier New" w:hAnsi="Courier New"/>
          <w:sz w:val="16"/>
          <w:szCs w:val="16"/>
          <w:color w:val="auto"/>
        </w:rPr>
        <w:t>8.4. Publicity. Except as required by law or national stock exchange rule or as allowed by any Ancillary Agreement, neither Party shall issue any press release, distribute any advertising, or make any public announcement or disclosure (a) identifying the other Party by name, trademark or otherwise or</w:t>
      </w:r>
    </w:p>
    <w:p>
      <w:pPr>
        <w:spacing w:after="0" w:line="1" w:lineRule="exact"/>
        <w:rPr>
          <w:sz w:val="20"/>
          <w:szCs w:val="20"/>
          <w:color w:val="auto"/>
        </w:rPr>
      </w:pPr>
    </w:p>
    <w:p>
      <w:pPr>
        <w:ind w:right="1679" w:firstLine="114"/>
        <w:spacing w:after="0" w:line="268" w:lineRule="auto"/>
        <w:tabs>
          <w:tab w:leader="none" w:pos="527"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concerning this Agreement without the other Party's prior written consent. Notwithstanding the foregoing sentence, in the event either Party is required to</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issue a press release relating to this Agreement or any of the transactions</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contemplated by this Agreement, or by the laws or regulations of any</w:t>
      </w:r>
    </w:p>
    <w:p>
      <w:pPr>
        <w:spacing w:after="0" w:line="4" w:lineRule="exact"/>
        <w:rPr>
          <w:rFonts w:ascii="Courier New" w:cs="Courier New" w:eastAsia="Courier New" w:hAnsi="Courier New"/>
          <w:sz w:val="16"/>
          <w:szCs w:val="16"/>
          <w:color w:val="auto"/>
        </w:rPr>
      </w:pPr>
    </w:p>
    <w:p>
      <w:pPr>
        <w:jc w:val="center"/>
        <w:ind w:right="167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governmental authority, agency or self-regulatory agency, such Party shall (A) give notice and a copy of the proposed press release to the other Party as far in advance as reasonably possible, but in any event not less than five (5) days prior to publication of such press release and (B) make any changes to such press release reasonably requested by the other Party. In addition, RECEIVING PARTY may communicate the existence of the business relationship contemplated by the terms of this Agreement internally within PROVIDING PARTY's organization and orally and in writing communicate PROVIDING PARTY's identity as a reference with</w:t>
      </w:r>
    </w:p>
    <w:p>
      <w:pPr>
        <w:ind w:left="2480"/>
        <w:spacing w:after="0" w:line="235" w:lineRule="auto"/>
        <w:rPr>
          <w:sz w:val="20"/>
          <w:szCs w:val="20"/>
          <w:color w:val="auto"/>
        </w:rPr>
      </w:pPr>
      <w:r>
        <w:rPr>
          <w:rFonts w:ascii="Courier New" w:cs="Courier New" w:eastAsia="Courier New" w:hAnsi="Courier New"/>
          <w:sz w:val="18"/>
          <w:szCs w:val="18"/>
          <w:color w:val="auto"/>
        </w:rPr>
        <w:t>potential and existing customers.</w:t>
      </w:r>
    </w:p>
    <w:p>
      <w:pPr>
        <w:spacing w:after="0" w:line="207" w:lineRule="exact"/>
        <w:rPr>
          <w:sz w:val="20"/>
          <w:szCs w:val="20"/>
          <w:color w:val="auto"/>
        </w:rPr>
      </w:pPr>
    </w:p>
    <w:p>
      <w:pPr>
        <w:ind w:left="120" w:right="1779" w:firstLine="1211"/>
        <w:spacing w:after="0" w:line="268" w:lineRule="auto"/>
        <w:rPr>
          <w:sz w:val="20"/>
          <w:szCs w:val="20"/>
          <w:color w:val="auto"/>
        </w:rPr>
      </w:pPr>
      <w:r>
        <w:rPr>
          <w:rFonts w:ascii="Courier New" w:cs="Courier New" w:eastAsia="Courier New" w:hAnsi="Courier New"/>
          <w:sz w:val="16"/>
          <w:szCs w:val="16"/>
          <w:color w:val="auto"/>
        </w:rPr>
        <w:t>8.5. Data Privacy. (a) Where, in connection with this Agreement, PROVIDING PARTY processes or stores information about a living individual that</w:t>
      </w:r>
    </w:p>
    <w:p>
      <w:pPr>
        <w:ind w:left="2960"/>
        <w:spacing w:after="0" w:line="233" w:lineRule="auto"/>
        <w:rPr>
          <w:sz w:val="20"/>
          <w:szCs w:val="20"/>
          <w:color w:val="auto"/>
        </w:rPr>
      </w:pPr>
      <w:r>
        <w:rPr>
          <w:rFonts w:ascii="Courier New" w:cs="Courier New" w:eastAsia="Courier New" w:hAnsi="Courier New"/>
          <w:sz w:val="18"/>
          <w:szCs w:val="18"/>
          <w:color w:val="auto"/>
        </w:rPr>
        <w:t>is held in automatically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18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119"/>
          </w:cols>
          <w:pgMar w:left="340" w:top="520" w:right="1440" w:bottom="1440" w:gutter="0" w:footer="0" w:header="0"/>
        </w:sectPr>
      </w:pPr>
    </w:p>
    <w:bookmarkStart w:id="230" w:name="page231"/>
    <w:bookmarkEnd w:id="230"/>
    <w:p>
      <w:pPr>
        <w:jc w:val="center"/>
        <w:ind w:right="1679"/>
        <w:spacing w:after="0"/>
        <w:rPr>
          <w:sz w:val="20"/>
          <w:szCs w:val="20"/>
          <w:color w:val="auto"/>
        </w:rPr>
      </w:pPr>
      <w:r>
        <w:rPr>
          <w:rFonts w:ascii="Courier New" w:cs="Courier New" w:eastAsia="Courier New" w:hAnsi="Courier New"/>
          <w:sz w:val="18"/>
          <w:szCs w:val="18"/>
          <w:color w:val="auto"/>
        </w:rPr>
        <w:t>processable form (for example in a computerized database) or in a structured</w:t>
      </w:r>
    </w:p>
    <w:p>
      <w:pPr>
        <w:spacing w:after="0" w:line="4"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manual filing system ("Personal Data"), on behalf of any Subsidiaries of RECEIVING PARTY or their clients, then PROVIDING PARTY shall implement appropriate measures to protect those personal data against accidental or unlawful destruction or accidental loss, alteration, unauthorized disclosure or access and shall use such data solely for purposes of carrying out its obligations under this Agreement.</w:t>
      </w:r>
    </w:p>
    <w:p>
      <w:pPr>
        <w:spacing w:after="0" w:line="210" w:lineRule="exact"/>
        <w:rPr>
          <w:sz w:val="20"/>
          <w:szCs w:val="20"/>
          <w:color w:val="auto"/>
        </w:rPr>
      </w:pPr>
    </w:p>
    <w:p>
      <w:pPr>
        <w:ind w:left="120" w:right="1779" w:firstLine="2153"/>
        <w:spacing w:after="0" w:line="268" w:lineRule="auto"/>
        <w:tabs>
          <w:tab w:leader="none" w:pos="2701"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RECEIVING PARTY may instruct PROVIDING PARTY, where PROVIDING PARTY processes Personal Data on behalf of Subsidiaries of RECEIVING PARTY, to take such steps to preserve data privacy in the processing of those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Personal Data as are reasonably necessary for the performance of this Agreement.</w:t>
      </w:r>
    </w:p>
    <w:p>
      <w:pPr>
        <w:spacing w:after="0" w:line="224" w:lineRule="exact"/>
        <w:rPr>
          <w:sz w:val="20"/>
          <w:szCs w:val="20"/>
          <w:color w:val="auto"/>
        </w:rPr>
      </w:pPr>
    </w:p>
    <w:p>
      <w:pPr>
        <w:ind w:left="440" w:right="1839" w:firstLine="1623"/>
        <w:spacing w:after="0" w:line="268" w:lineRule="auto"/>
        <w:tabs>
          <w:tab w:leader="none" w:pos="2494"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Subsidiaries of RECEIVING PARTY may, in connection with this Agreement, collect Personal Data in relation to PROVIDING PARTY and</w:t>
      </w:r>
    </w:p>
    <w:p>
      <w:pPr>
        <w:jc w:val="center"/>
        <w:ind w:right="1679"/>
        <w:spacing w:after="0" w:line="269" w:lineRule="auto"/>
        <w:rPr>
          <w:sz w:val="20"/>
          <w:szCs w:val="20"/>
          <w:color w:val="auto"/>
        </w:rPr>
      </w:pPr>
      <w:r>
        <w:rPr>
          <w:rFonts w:ascii="Courier New" w:cs="Courier New" w:eastAsia="Courier New" w:hAnsi="Courier New"/>
          <w:sz w:val="16"/>
          <w:szCs w:val="16"/>
          <w:color w:val="auto"/>
        </w:rPr>
        <w:t>PROVIDING PARTY's employees, directors and other officers involved in providing Corporate Services hereunder. Such Personal Data may be collected from PROVIDING PARTY, its employees, its directors, its officers, or from other (for example, published) sources; and some limited personal data may be collected indirectly at RECEIVING PARTY's or Subsidiaries of RECEIVING PARTY's locations from monitoring devices or by other means (e.g., telephone logs, closed circuit TV and door entry systems). Nothing in this Section 8.5(c) obligates PROVIDING PARTY or PROVIDING PARTY's employees, directors or other officers to provide Personal Data requested by RECEIVING PARTY. The Subsidiaries of RECEIVING PARTY may use and disclose any such data disclosed by PROVIDING PARTY solely for purposes connected with this Agreement and for the relevant purposes specified in the data privacy policy of the Subsidiary of RECEIVING PARTY, a copy of which is available on request. RECEIVING PARTY will maintain the same level of protection for Personal Data collected from PROVIDING PARTY (and PROVIDING PARTY's employees, directors and officers, as appropriate) as RECEIVING PARTY maintains with its own Personal Data, and will implement appropriate administrative, physical and technical measures to protect the personal data collected from PROVIDING PARTY and PROVIDING PARTY's employees, directors and other officers against accidental or unlawful destruction or accidental loss, alternation, unauthorized disclosure or access.</w:t>
      </w:r>
    </w:p>
    <w:p>
      <w:pPr>
        <w:spacing w:after="0" w:line="389" w:lineRule="exact"/>
        <w:rPr>
          <w:sz w:val="20"/>
          <w:szCs w:val="20"/>
          <w:color w:val="auto"/>
        </w:rPr>
      </w:pPr>
    </w:p>
    <w:p>
      <w:pPr>
        <w:ind w:left="5540"/>
        <w:spacing w:after="0"/>
        <w:rPr>
          <w:sz w:val="20"/>
          <w:szCs w:val="20"/>
          <w:color w:val="auto"/>
        </w:rPr>
      </w:pPr>
      <w:r>
        <w:rPr>
          <w:rFonts w:ascii="Courier New" w:cs="Courier New" w:eastAsia="Courier New" w:hAnsi="Courier New"/>
          <w:sz w:val="18"/>
          <w:szCs w:val="18"/>
          <w:color w:val="auto"/>
        </w:rPr>
        <w:t>ARTICLE IX</w:t>
      </w:r>
    </w:p>
    <w:p>
      <w:pPr>
        <w:ind w:left="3120"/>
        <w:spacing w:after="0" w:line="238" w:lineRule="auto"/>
        <w:rPr>
          <w:sz w:val="20"/>
          <w:szCs w:val="20"/>
          <w:color w:val="auto"/>
        </w:rPr>
      </w:pPr>
      <w:r>
        <w:rPr>
          <w:rFonts w:ascii="Courier New" w:cs="Courier New" w:eastAsia="Courier New" w:hAnsi="Courier New"/>
          <w:sz w:val="18"/>
          <w:szCs w:val="18"/>
          <w:color w:val="auto"/>
        </w:rPr>
        <w:t>REPRESENTATIONS, WARRANTIES AND COVENANTS</w:t>
      </w:r>
    </w:p>
    <w:p>
      <w:pPr>
        <w:spacing w:after="0" w:line="207" w:lineRule="exact"/>
        <w:rPr>
          <w:sz w:val="20"/>
          <w:szCs w:val="20"/>
          <w:color w:val="auto"/>
        </w:rPr>
      </w:pPr>
    </w:p>
    <w:p>
      <w:pPr>
        <w:ind w:left="220" w:right="1679" w:firstLine="738"/>
        <w:spacing w:after="0" w:line="268" w:lineRule="auto"/>
        <w:rPr>
          <w:sz w:val="20"/>
          <w:szCs w:val="20"/>
          <w:color w:val="auto"/>
        </w:rPr>
      </w:pPr>
      <w:r>
        <w:rPr>
          <w:rFonts w:ascii="Courier New" w:cs="Courier New" w:eastAsia="Courier New" w:hAnsi="Courier New"/>
          <w:sz w:val="16"/>
          <w:szCs w:val="16"/>
          <w:color w:val="auto"/>
        </w:rPr>
        <w:t>EXCEPT FOR THE REPRESENTATIONS, WARRANTIES AND COVENANTS EXPRESSLY MADE IN THIS AGREEMENT, PROVIDING PARTY HAS NOT MADE AND DOES NOT HEREBY MAKE ANY</w:t>
      </w:r>
    </w:p>
    <w:p>
      <w:pPr>
        <w:jc w:val="center"/>
        <w:ind w:right="1679"/>
        <w:spacing w:after="0" w:line="268" w:lineRule="auto"/>
        <w:rPr>
          <w:sz w:val="20"/>
          <w:szCs w:val="20"/>
          <w:color w:val="auto"/>
        </w:rPr>
      </w:pPr>
      <w:r>
        <w:rPr>
          <w:rFonts w:ascii="Courier New" w:cs="Courier New" w:eastAsia="Courier New" w:hAnsi="Courier New"/>
          <w:sz w:val="16"/>
          <w:szCs w:val="16"/>
          <w:color w:val="auto"/>
        </w:rPr>
        <w:t>EXPRESS OR IMPLIED REPRESENTATIONS, WARRANTIES OR COVENANTS, STATUTORY OR OTHERWISE, OF ANY NATURE, INCLUDING WITH RESPECT TO THE WARRANTIES OF MERCHANTABILITY, QUALITY, QUANTITY, SUITABILITY OR FITNESS FOR ANY PARTICULAR PURPOSE OR THE RESULTS OBTAINED OF THE CONTINUING BUSINESS. ALL OTHER REPRESENTATIONS, WARRANTIES, AND COVENANTS, EXPRESS OR IMPLIED, STATUTORY,</w:t>
      </w:r>
    </w:p>
    <w:p>
      <w:pPr>
        <w:spacing w:after="0" w:line="1" w:lineRule="exact"/>
        <w:rPr>
          <w:sz w:val="20"/>
          <w:szCs w:val="20"/>
          <w:color w:val="auto"/>
        </w:rPr>
      </w:pPr>
    </w:p>
    <w:p>
      <w:pPr>
        <w:jc w:val="center"/>
        <w:ind w:right="1679"/>
        <w:spacing w:after="0" w:line="236" w:lineRule="auto"/>
        <w:rPr>
          <w:sz w:val="20"/>
          <w:szCs w:val="20"/>
          <w:color w:val="auto"/>
        </w:rPr>
      </w:pPr>
      <w:r>
        <w:rPr>
          <w:rFonts w:ascii="Courier New" w:cs="Courier New" w:eastAsia="Courier New" w:hAnsi="Courier New"/>
          <w:sz w:val="18"/>
          <w:szCs w:val="18"/>
          <w:color w:val="auto"/>
        </w:rPr>
        <w:t>COMMON LAW OR OTHERWISE, OF ANY NATURE, INCLUDING WITH RESPECT TO THE WARRANTIES OF MERCHANTABILITY, QUALITY, QUANTITY, SUITABILITY OR FITNESS FOR ANY PARTICULAR PURPOSE OR THE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18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119"/>
          </w:cols>
          <w:pgMar w:left="340" w:top="514" w:right="1440" w:bottom="1440" w:gutter="0" w:footer="0" w:header="0"/>
        </w:sectPr>
      </w:pPr>
    </w:p>
    <w:bookmarkStart w:id="231" w:name="page232"/>
    <w:bookmarkEnd w:id="231"/>
    <w:p>
      <w:pPr>
        <w:ind w:left="160"/>
        <w:spacing w:after="0"/>
        <w:rPr>
          <w:sz w:val="20"/>
          <w:szCs w:val="20"/>
          <w:color w:val="auto"/>
        </w:rPr>
      </w:pPr>
      <w:r>
        <w:rPr>
          <w:rFonts w:ascii="Courier New" w:cs="Courier New" w:eastAsia="Courier New" w:hAnsi="Courier New"/>
          <w:sz w:val="16"/>
          <w:szCs w:val="16"/>
          <w:color w:val="auto"/>
        </w:rPr>
        <w:t>OBTAINED OF THE CONTINUING BUSINESS ARE HEREBY DISCLAIMED BY PROVIDING PARTY.</w:t>
      </w:r>
    </w:p>
    <w:p>
      <w:pPr>
        <w:spacing w:after="0" w:line="218" w:lineRule="exact"/>
        <w:rPr>
          <w:sz w:val="20"/>
          <w:szCs w:val="20"/>
          <w:color w:val="auto"/>
        </w:rPr>
      </w:pPr>
    </w:p>
    <w:p>
      <w:pPr>
        <w:ind w:left="5640"/>
        <w:spacing w:after="0"/>
        <w:rPr>
          <w:sz w:val="20"/>
          <w:szCs w:val="20"/>
          <w:color w:val="auto"/>
        </w:rPr>
      </w:pPr>
      <w:r>
        <w:rPr>
          <w:rFonts w:ascii="Courier New" w:cs="Courier New" w:eastAsia="Courier New" w:hAnsi="Courier New"/>
          <w:sz w:val="18"/>
          <w:szCs w:val="18"/>
          <w:color w:val="auto"/>
        </w:rPr>
        <w:t>ARTICLE X</w:t>
      </w:r>
    </w:p>
    <w:p>
      <w:pPr>
        <w:ind w:left="5180"/>
        <w:spacing w:after="0" w:line="238" w:lineRule="auto"/>
        <w:rPr>
          <w:sz w:val="20"/>
          <w:szCs w:val="20"/>
          <w:color w:val="auto"/>
        </w:rPr>
      </w:pPr>
      <w:r>
        <w:rPr>
          <w:rFonts w:ascii="Courier New" w:cs="Courier New" w:eastAsia="Courier New" w:hAnsi="Courier New"/>
          <w:sz w:val="18"/>
          <w:szCs w:val="18"/>
          <w:color w:val="auto"/>
        </w:rPr>
        <w:t>INDEMNIFICATION</w:t>
      </w:r>
    </w:p>
    <w:p>
      <w:pPr>
        <w:spacing w:after="0" w:line="202" w:lineRule="exact"/>
        <w:rPr>
          <w:sz w:val="20"/>
          <w:szCs w:val="20"/>
          <w:color w:val="auto"/>
        </w:rPr>
      </w:pPr>
    </w:p>
    <w:p>
      <w:pPr>
        <w:ind w:left="3540"/>
        <w:spacing w:after="0"/>
        <w:rPr>
          <w:sz w:val="20"/>
          <w:szCs w:val="20"/>
          <w:color w:val="auto"/>
        </w:rPr>
      </w:pPr>
      <w:r>
        <w:rPr>
          <w:rFonts w:ascii="Courier New" w:cs="Courier New" w:eastAsia="Courier New" w:hAnsi="Courier New"/>
          <w:sz w:val="18"/>
          <w:szCs w:val="18"/>
          <w:color w:val="auto"/>
        </w:rPr>
        <w:t>10.1. Indemnification.</w:t>
      </w:r>
    </w:p>
    <w:p>
      <w:pPr>
        <w:spacing w:after="0" w:line="207" w:lineRule="exact"/>
        <w:rPr>
          <w:sz w:val="20"/>
          <w:szCs w:val="20"/>
          <w:color w:val="auto"/>
        </w:rPr>
      </w:pPr>
    </w:p>
    <w:p>
      <w:pPr>
        <w:ind w:left="320" w:right="1899" w:firstLine="1795"/>
        <w:spacing w:after="0" w:line="268" w:lineRule="auto"/>
        <w:tabs>
          <w:tab w:leader="none" w:pos="2532"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Article IV, RECEIVING PARTY will indemnify, defend and hold harmless PROVIDING PARTY, each Subsidiary and Affiliate of</w:t>
      </w:r>
    </w:p>
    <w:p>
      <w:pPr>
        <w:jc w:val="center"/>
        <w:ind w:right="1679"/>
        <w:spacing w:after="0" w:line="236" w:lineRule="auto"/>
        <w:rPr>
          <w:sz w:val="20"/>
          <w:szCs w:val="20"/>
          <w:color w:val="auto"/>
        </w:rPr>
      </w:pPr>
      <w:r>
        <w:rPr>
          <w:rFonts w:ascii="Courier New" w:cs="Courier New" w:eastAsia="Courier New" w:hAnsi="Courier New"/>
          <w:sz w:val="18"/>
          <w:szCs w:val="18"/>
          <w:color w:val="auto"/>
        </w:rPr>
        <w:t>PROVIDING PARTY, each of their respective past and present directors, officers, employees, agents, consultants, advisors, accountants and attorneys ("Representatives"), and each of their respective successors and assigns</w:t>
      </w:r>
    </w:p>
    <w:p>
      <w:pPr>
        <w:spacing w:after="0" w:line="6" w:lineRule="exact"/>
        <w:rPr>
          <w:sz w:val="20"/>
          <w:szCs w:val="20"/>
          <w:color w:val="auto"/>
        </w:rPr>
      </w:pPr>
    </w:p>
    <w:p>
      <w:pPr>
        <w:jc w:val="center"/>
        <w:ind w:left="360" w:right="100"/>
        <w:spacing w:after="0" w:line="275" w:lineRule="auto"/>
        <w:rPr>
          <w:sz w:val="20"/>
          <w:szCs w:val="20"/>
          <w:color w:val="auto"/>
        </w:rPr>
      </w:pPr>
      <w:r>
        <w:rPr>
          <w:rFonts w:ascii="Courier New" w:cs="Courier New" w:eastAsia="Courier New" w:hAnsi="Courier New"/>
          <w:sz w:val="16"/>
          <w:szCs w:val="16"/>
          <w:color w:val="auto"/>
        </w:rPr>
        <w:t>(collectively, the "PROVIDING PARTY Indemnified Parties") from and against any and all Damages (as defined below) incurred or suffered by the PROVIDING PARTY Indemnified Parties arising or resulting from the provision of Corporate Services hereunder, which Damages shall be reduced to the extent of:</w:t>
      </w:r>
    </w:p>
    <w:p>
      <w:pPr>
        <w:spacing w:after="0" w:line="182" w:lineRule="exact"/>
        <w:rPr>
          <w:sz w:val="20"/>
          <w:szCs w:val="20"/>
          <w:color w:val="auto"/>
        </w:rPr>
      </w:pPr>
    </w:p>
    <w:p>
      <w:pPr>
        <w:ind w:left="1900" w:right="1679" w:firstLine="1163"/>
        <w:spacing w:after="0" w:line="290" w:lineRule="auto"/>
        <w:tabs>
          <w:tab w:leader="none" w:pos="3480" w:val="left"/>
        </w:tabs>
        <w:numPr>
          <w:ilvl w:val="1"/>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Damages caused or contributed to by PROVIDING PARTY's negligence, willful misconduct or violation or law; or</w:t>
      </w:r>
    </w:p>
    <w:p>
      <w:pPr>
        <w:spacing w:after="0" w:line="169" w:lineRule="exact"/>
        <w:rPr>
          <w:rFonts w:ascii="Courier New" w:cs="Courier New" w:eastAsia="Courier New" w:hAnsi="Courier New"/>
          <w:sz w:val="16"/>
          <w:szCs w:val="16"/>
          <w:color w:val="auto"/>
        </w:rPr>
      </w:pPr>
    </w:p>
    <w:p>
      <w:pPr>
        <w:ind w:left="3380" w:right="1739" w:hanging="475"/>
        <w:spacing w:after="0" w:line="235" w:lineRule="auto"/>
        <w:tabs>
          <w:tab w:leader="none" w:pos="3432"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Damages caused or contributed to by a breach of this Agreement by PROVIDING PARTY.</w:t>
      </w:r>
    </w:p>
    <w:p>
      <w:pPr>
        <w:spacing w:after="0" w:line="208"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"Damages" means, subject to Article IV hereof, all losses, claims, demands, damages, liabilities, judgments, dues, penalties, assessments, fines (civil, criminal or administrative), costs, liens, forfeitures, settlements, fees or expenses (including reasonable attorneys' fees and expenses and any other expenses reasonably incurred in connection with investigating, prosecuting or defending a claim or Action).</w:t>
      </w:r>
    </w:p>
    <w:p>
      <w:pPr>
        <w:spacing w:after="0" w:line="210" w:lineRule="exact"/>
        <w:rPr>
          <w:sz w:val="20"/>
          <w:szCs w:val="20"/>
          <w:color w:val="auto"/>
        </w:rPr>
      </w:pPr>
    </w:p>
    <w:p>
      <w:pPr>
        <w:ind w:right="1679" w:firstLine="2115"/>
        <w:spacing w:after="0" w:line="268" w:lineRule="auto"/>
        <w:tabs>
          <w:tab w:leader="none" w:pos="2528"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this Section 10.1(b), PROVIDING PARTY will have no liability to RECEIVING PARTY for or in connection with any of</w:t>
      </w:r>
    </w:p>
    <w:p>
      <w:pPr>
        <w:jc w:val="center"/>
        <w:ind w:right="1679" w:firstLine="211"/>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Corporate Services rendered hereunder or for any actions or omissions of PROVIDING PARTY in connection with the provision of any Corporate Services hereunder. Subject to the provisions hereof and subject to Article IV, PROVIDING PARTY will indemnify, defend and hold harmless RECEIVING PARTY, each Subsidiary and Affiliate of RECEIVING PARTY, each of their respective past and present Representatives, and each of their respective successors and assigns (collectively, the "RECEIVING PARTY Indemnified Parties") from and against any and all Damages incurred or suffered by the RECEIVING PARTY Indemnified Parties</w:t>
      </w:r>
    </w:p>
    <w:p>
      <w:pPr>
        <w:ind w:left="1580"/>
        <w:spacing w:after="0" w:line="235" w:lineRule="auto"/>
        <w:rPr>
          <w:sz w:val="20"/>
          <w:szCs w:val="20"/>
          <w:color w:val="auto"/>
        </w:rPr>
      </w:pPr>
      <w:r>
        <w:rPr>
          <w:rFonts w:ascii="Courier New" w:cs="Courier New" w:eastAsia="Courier New" w:hAnsi="Courier New"/>
          <w:sz w:val="18"/>
          <w:szCs w:val="18"/>
          <w:color w:val="auto"/>
        </w:rPr>
        <w:t>arising or resulting from either of the following:</w:t>
      </w:r>
    </w:p>
    <w:p>
      <w:pPr>
        <w:spacing w:after="0" w:line="207" w:lineRule="exact"/>
        <w:rPr>
          <w:sz w:val="20"/>
          <w:szCs w:val="20"/>
          <w:color w:val="auto"/>
        </w:rPr>
      </w:pPr>
    </w:p>
    <w:p>
      <w:pPr>
        <w:ind w:left="2060" w:right="1839" w:firstLine="1109"/>
        <w:spacing w:after="0" w:line="268" w:lineRule="auto"/>
        <w:tabs>
          <w:tab w:leader="none" w:pos="3588"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that PROVIDING PARTY's use of the software or other intellectual property used to provide the Corporate Services or Transition Assistance, or any results</w:t>
      </w:r>
    </w:p>
    <w:p>
      <w:pPr>
        <w:ind w:left="2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proceeds of such Corporate Services or Transition</w:t>
      </w:r>
    </w:p>
    <w:p>
      <w:pPr>
        <w:spacing w:after="0" w:line="4" w:lineRule="exact"/>
        <w:rPr>
          <w:rFonts w:ascii="Courier New" w:cs="Courier New" w:eastAsia="Courier New" w:hAnsi="Courier New"/>
          <w:sz w:val="16"/>
          <w:szCs w:val="16"/>
          <w:color w:val="auto"/>
        </w:rPr>
      </w:pPr>
    </w:p>
    <w:p>
      <w:pPr>
        <w:jc w:val="center"/>
        <w:ind w:left="2020" w:right="17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Assistance, infringes, misappropriates or otherwise violates any United States patent, copyright, trademark, trade secret or other intellectual property rights; provided, that such</w:t>
      </w:r>
    </w:p>
    <w:p>
      <w:pPr>
        <w:spacing w:after="0" w:line="1" w:lineRule="exact"/>
        <w:rPr>
          <w:sz w:val="20"/>
          <w:szCs w:val="20"/>
          <w:color w:val="auto"/>
        </w:rPr>
      </w:pPr>
    </w:p>
    <w:p>
      <w:pPr>
        <w:jc w:val="center"/>
        <w:ind w:left="2240" w:right="60"/>
        <w:spacing w:after="0" w:line="236" w:lineRule="auto"/>
        <w:rPr>
          <w:sz w:val="20"/>
          <w:szCs w:val="20"/>
          <w:color w:val="auto"/>
        </w:rPr>
      </w:pPr>
      <w:r>
        <w:rPr>
          <w:rFonts w:ascii="Courier New" w:cs="Courier New" w:eastAsia="Courier New" w:hAnsi="Courier New"/>
          <w:sz w:val="18"/>
          <w:szCs w:val="18"/>
          <w:color w:val="auto"/>
        </w:rPr>
        <w:t>intellectual property indemnity shall not apply to the extent that any such claim arises out of any modification to such software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18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119"/>
          </w:cols>
          <w:pgMar w:left="340" w:top="520" w:right="1440" w:bottom="1440" w:gutter="0" w:footer="0" w:header="0"/>
        </w:sectPr>
      </w:pPr>
    </w:p>
    <w:bookmarkStart w:id="232" w:name="page233"/>
    <w:bookmarkEnd w:id="232"/>
    <w:p>
      <w:pPr>
        <w:ind w:left="2440" w:right="2159" w:hanging="52"/>
        <w:spacing w:after="0" w:line="290" w:lineRule="auto"/>
        <w:rPr>
          <w:sz w:val="20"/>
          <w:szCs w:val="20"/>
          <w:color w:val="auto"/>
        </w:rPr>
      </w:pPr>
      <w:r>
        <w:rPr>
          <w:rFonts w:ascii="Courier New" w:cs="Courier New" w:eastAsia="Courier New" w:hAnsi="Courier New"/>
          <w:sz w:val="16"/>
          <w:szCs w:val="16"/>
          <w:color w:val="auto"/>
        </w:rPr>
        <w:t>intellectual property made by RECEIVING PARTY without PROVIDING PARTY's authorization or participation, or</w:t>
      </w:r>
    </w:p>
    <w:p>
      <w:pPr>
        <w:spacing w:after="0" w:line="170" w:lineRule="exact"/>
        <w:rPr>
          <w:sz w:val="20"/>
          <w:szCs w:val="20"/>
          <w:color w:val="auto"/>
        </w:rPr>
      </w:pPr>
    </w:p>
    <w:p>
      <w:pPr>
        <w:ind w:left="1900" w:right="1679" w:firstLine="1216"/>
        <w:spacing w:after="0" w:line="268" w:lineRule="auto"/>
        <w:tabs>
          <w:tab w:leader="none" w:pos="3638"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PARTY's gross negligence, willful misconduct, improper use or disclosure of customer information</w:t>
      </w:r>
    </w:p>
    <w:p>
      <w:pPr>
        <w:jc w:val="center"/>
        <w:ind w:right="-220"/>
        <w:spacing w:after="0" w:line="233" w:lineRule="auto"/>
        <w:rPr>
          <w:sz w:val="20"/>
          <w:szCs w:val="20"/>
          <w:color w:val="auto"/>
        </w:rPr>
      </w:pPr>
      <w:r>
        <w:rPr>
          <w:rFonts w:ascii="Courier New" w:cs="Courier New" w:eastAsia="Courier New" w:hAnsi="Courier New"/>
          <w:sz w:val="18"/>
          <w:szCs w:val="18"/>
          <w:color w:val="auto"/>
        </w:rPr>
        <w:t>or violations of law;</w:t>
      </w:r>
    </w:p>
    <w:p>
      <w:pPr>
        <w:spacing w:after="0" w:line="208"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provided, that in each of the cases described in subclauses (i) through (ii) above, the amount of Damages incurred or sustained by RECEIVING PARTY shall be reduced to the extent such Damages shall have been caused or contributed to by any action or omission of RECEIVING PARTY in amounts equal to RECEIVING PARTY's equitable share of such Damages determined in accordance with its relative culpability for such Damages or the relative fault of RECEIVING PARTY or its Subsidiaries.</w:t>
      </w: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10.2. Indemnification Procedures.</w:t>
      </w:r>
    </w:p>
    <w:p>
      <w:pPr>
        <w:spacing w:after="0" w:line="207" w:lineRule="exact"/>
        <w:rPr>
          <w:sz w:val="20"/>
          <w:szCs w:val="20"/>
          <w:color w:val="auto"/>
        </w:rPr>
      </w:pPr>
    </w:p>
    <w:p>
      <w:pPr>
        <w:ind w:left="120" w:right="1779" w:firstLine="2048"/>
        <w:spacing w:after="0" w:line="268" w:lineRule="auto"/>
        <w:tabs>
          <w:tab w:leader="none" w:pos="2596"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 Notice. A Party that seeks indemnity under this Article X (an "Indemnified Party") will give written notice (a "Claim Notice")</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the Party from whom indemnification is sought (an "Indemnifying Party"),</w:t>
      </w:r>
    </w:p>
    <w:p>
      <w:pPr>
        <w:spacing w:after="0" w:line="5"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whether the Damages sought arise from matters solely between the Parties or from</w:t>
      </w:r>
    </w:p>
    <w:p>
      <w:pPr>
        <w:spacing w:after="0" w:line="21"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Third Party Claims. The Claim Notice must contain (i) a description and, if known, estimated amount (the "Claimed Amount") of any Damages incurred or reasonably expected to be incurred by the Indemnified Party, (ii) a reasonable explanation of the basis for the Claim Notice to the extent of facts then known by the Indemnified Party, and (iii) a demand for payment of those Damages. No delay or deficiency on the part of the Indemnified Party in so notifying the Indemnifying Party will relieve the Indemnifying Party of any liability for Damages or obligation hereunder except to the extent of any Damages caused by or arising out of such failure.</w:t>
      </w:r>
    </w:p>
    <w:p>
      <w:pPr>
        <w:spacing w:after="0" w:line="214" w:lineRule="exact"/>
        <w:rPr>
          <w:sz w:val="20"/>
          <w:szCs w:val="20"/>
          <w:color w:val="auto"/>
        </w:rPr>
      </w:pPr>
    </w:p>
    <w:p>
      <w:pPr>
        <w:ind w:left="540" w:right="1679" w:firstLine="1365"/>
        <w:spacing w:after="0" w:line="268" w:lineRule="auto"/>
        <w:tabs>
          <w:tab w:leader="none" w:pos="2331"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Response to Notice of Claim. Within thirty (30) days after delivery of a Claim Notice, the Indemnifying Party will deliver to the</w:t>
      </w:r>
    </w:p>
    <w:p>
      <w:pPr>
        <w:jc w:val="center"/>
        <w:ind w:right="1679"/>
        <w:spacing w:after="0" w:line="233" w:lineRule="auto"/>
        <w:rPr>
          <w:sz w:val="20"/>
          <w:szCs w:val="20"/>
          <w:color w:val="auto"/>
        </w:rPr>
      </w:pPr>
      <w:r>
        <w:rPr>
          <w:rFonts w:ascii="Courier New" w:cs="Courier New" w:eastAsia="Courier New" w:hAnsi="Courier New"/>
          <w:sz w:val="18"/>
          <w:szCs w:val="18"/>
          <w:color w:val="auto"/>
        </w:rPr>
        <w:t>Indemnified Party a written response in which the Indemnifying Party will</w:t>
      </w:r>
    </w:p>
    <w:p>
      <w:pPr>
        <w:spacing w:after="0" w:line="5"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either: (i) agree that the Indemnified Party is entitled to receive all of the Claimed Amount and, in which case, the Indemnifying Party will pay the Claimed Amount in accordance with a payment and distribution method reasonably acceptable to the Indemnified Party; or (ii) dispute that the Indemnified Party is entitled to receive all or any portion of the Claimed Amount, in which case, the Parties will resort to the dispute resolution procedures set forth in Section 1.4.</w:t>
      </w:r>
    </w:p>
    <w:p>
      <w:pPr>
        <w:spacing w:after="0" w:line="211" w:lineRule="exact"/>
        <w:rPr>
          <w:sz w:val="20"/>
          <w:szCs w:val="20"/>
          <w:color w:val="auto"/>
        </w:rPr>
      </w:pPr>
    </w:p>
    <w:p>
      <w:pPr>
        <w:ind w:left="120" w:right="1679" w:firstLine="1785"/>
        <w:spacing w:after="0" w:line="268" w:lineRule="auto"/>
        <w:tabs>
          <w:tab w:leader="none" w:pos="2332"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Contested Claims. In the event that the Indemnifying Party disputes the Claimed Amount, as soon as practicable but in no event later than</w:t>
      </w:r>
    </w:p>
    <w:p>
      <w:pPr>
        <w:jc w:val="center"/>
        <w:ind w:right="1679"/>
        <w:spacing w:after="0" w:line="237" w:lineRule="auto"/>
        <w:rPr>
          <w:sz w:val="20"/>
          <w:szCs w:val="20"/>
          <w:color w:val="auto"/>
        </w:rPr>
      </w:pPr>
      <w:r>
        <w:rPr>
          <w:rFonts w:ascii="Courier New" w:cs="Courier New" w:eastAsia="Courier New" w:hAnsi="Courier New"/>
          <w:sz w:val="18"/>
          <w:szCs w:val="18"/>
          <w:color w:val="auto"/>
        </w:rPr>
        <w:t>ten (10) days after the receipt of the notice referenced in Section 10.2(b)(ii) hereof, the Parties will begin the process to resolve the matter in accordance with the dispute resolution provisions of Section 1.4 hereof. Upon ultimate resolution thereof, the Parties will take such actions as are reasonably necessary to comply with such agreement or instructions.</w:t>
      </w:r>
    </w:p>
    <w:p>
      <w:pPr>
        <w:spacing w:after="0" w:line="203" w:lineRule="exact"/>
        <w:rPr>
          <w:sz w:val="20"/>
          <w:szCs w:val="20"/>
          <w:color w:val="auto"/>
        </w:rPr>
      </w:pPr>
    </w:p>
    <w:p>
      <w:pPr>
        <w:ind w:left="4380" w:hanging="421"/>
        <w:spacing w:after="0"/>
        <w:tabs>
          <w:tab w:leader="none" w:pos="4380" w:val="left"/>
        </w:tabs>
        <w:numPr>
          <w:ilvl w:val="1"/>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Claims.</w:t>
      </w:r>
    </w:p>
    <w:p>
      <w:pPr>
        <w:spacing w:after="0" w:line="206" w:lineRule="exact"/>
        <w:rPr>
          <w:rFonts w:ascii="Courier New" w:cs="Courier New" w:eastAsia="Courier New" w:hAnsi="Courier New"/>
          <w:sz w:val="18"/>
          <w:szCs w:val="18"/>
          <w:color w:val="auto"/>
        </w:rPr>
      </w:pPr>
    </w:p>
    <w:p>
      <w:pPr>
        <w:ind w:left="2120" w:right="1739" w:firstLine="785"/>
        <w:spacing w:after="0" w:line="268" w:lineRule="auto"/>
        <w:tabs>
          <w:tab w:leader="none" w:pos="3331"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Indemnified Party receives notice or otherwise learns of the assertion by a person or</w:t>
      </w:r>
    </w:p>
    <w:p>
      <w:pPr>
        <w:ind w:left="3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entity who is not a Party hereto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18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119"/>
          </w:cols>
          <w:pgMar w:left="340" w:top="520" w:right="1440" w:bottom="1440" w:gutter="0" w:footer="0" w:header="0"/>
        </w:sectPr>
      </w:pPr>
    </w:p>
    <w:bookmarkStart w:id="233" w:name="page234"/>
    <w:bookmarkEnd w:id="233"/>
    <w:p>
      <w:pPr>
        <w:jc w:val="center"/>
        <w:ind w:right="879"/>
        <w:spacing w:after="0"/>
        <w:rPr>
          <w:sz w:val="20"/>
          <w:szCs w:val="20"/>
          <w:color w:val="auto"/>
        </w:rPr>
      </w:pPr>
      <w:r>
        <w:rPr>
          <w:rFonts w:ascii="Courier New" w:cs="Courier New" w:eastAsia="Courier New" w:hAnsi="Courier New"/>
          <w:sz w:val="16"/>
          <w:szCs w:val="16"/>
          <w:color w:val="auto"/>
        </w:rPr>
        <w:t>Subsidiary or Affiliate of a Party hereto of any claim or the</w:t>
      </w:r>
    </w:p>
    <w:p>
      <w:pPr>
        <w:spacing w:after="0" w:line="16"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8"/>
          <w:szCs w:val="18"/>
          <w:color w:val="auto"/>
        </w:rPr>
        <w:t>commencement of any action (a "Third-Party Claim") with</w:t>
      </w:r>
    </w:p>
    <w:p>
      <w:pPr>
        <w:spacing w:after="0" w:line="4" w:lineRule="exact"/>
        <w:rPr>
          <w:sz w:val="20"/>
          <w:szCs w:val="20"/>
          <w:color w:val="auto"/>
        </w:rPr>
      </w:pPr>
    </w:p>
    <w:p>
      <w:pPr>
        <w:jc w:val="center"/>
        <w:ind w:left="800" w:right="1679"/>
        <w:spacing w:after="0" w:line="269" w:lineRule="auto"/>
        <w:rPr>
          <w:sz w:val="20"/>
          <w:szCs w:val="20"/>
          <w:color w:val="auto"/>
        </w:rPr>
      </w:pPr>
      <w:r>
        <w:rPr>
          <w:rFonts w:ascii="Courier New" w:cs="Courier New" w:eastAsia="Courier New" w:hAnsi="Courier New"/>
          <w:sz w:val="16"/>
          <w:szCs w:val="16"/>
          <w:color w:val="auto"/>
        </w:rPr>
        <w:t>respect to which the Indemnifying Party may be obligated to provide indemnification under this Article X, the Indemnified Party will give written notification to the Indemnifying Party of the Third-Party Claim. Such notification will be given within fifteen (15) days after receipt by the Indemnified Party of notice of such Third-Party Claim, will be accompanied by reasonable supporting documentation submitted by such third party (to the extent then in the possession of the Indemnified Party) and will describe in reasonable detail (to the extent known by the Indemnified Party) the facts constituting the basis for such Third-Party Claim and the amount of the claimed Damages; provided, however, that no delay or deficiency on the part of the Indemnified Party in so notifying the Indemnifying Party will relieve the Indemnifying Party of any liability for Damages or obligation hereunder except to the extent of any Damages caused by or arising out of such failure. Within twenty (20) days after delivery of such notification, the Indemnifying Party may, upon written notice thereof to the Indemnified Party, assume control of the defense of such Third-Party Claim with counsel reasonably satisfactory to the Indemnified Party. During any period in which the Indemnifying Party has not so assumed control of such defense, the Indemnified Party will control such defense.</w:t>
      </w:r>
    </w:p>
    <w:p>
      <w:pPr>
        <w:spacing w:after="0" w:line="393" w:lineRule="exact"/>
        <w:rPr>
          <w:sz w:val="20"/>
          <w:szCs w:val="20"/>
          <w:color w:val="auto"/>
        </w:rPr>
      </w:pPr>
    </w:p>
    <w:p>
      <w:pPr>
        <w:ind w:left="960" w:right="1839" w:firstLine="1056"/>
        <w:spacing w:after="0" w:line="268" w:lineRule="auto"/>
        <w:tabs>
          <w:tab w:leader="none" w:pos="254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Party not controlling such defense (the "Non-controlling Party") may participate therein at its own</w:t>
      </w:r>
    </w:p>
    <w:p>
      <w:pPr>
        <w:ind w:left="3640"/>
        <w:spacing w:after="0" w:line="233" w:lineRule="auto"/>
        <w:rPr>
          <w:sz w:val="20"/>
          <w:szCs w:val="20"/>
          <w:color w:val="auto"/>
        </w:rPr>
      </w:pPr>
      <w:r>
        <w:rPr>
          <w:rFonts w:ascii="Courier New" w:cs="Courier New" w:eastAsia="Courier New" w:hAnsi="Courier New"/>
          <w:sz w:val="18"/>
          <w:szCs w:val="18"/>
          <w:color w:val="auto"/>
        </w:rPr>
        <w:t>expense.</w:t>
      </w:r>
    </w:p>
    <w:p>
      <w:pPr>
        <w:spacing w:after="0" w:line="208" w:lineRule="exact"/>
        <w:rPr>
          <w:sz w:val="20"/>
          <w:szCs w:val="20"/>
          <w:color w:val="auto"/>
        </w:rPr>
      </w:pPr>
    </w:p>
    <w:p>
      <w:pPr>
        <w:ind w:left="1120" w:right="1999" w:firstLine="1054"/>
        <w:spacing w:after="0" w:line="268" w:lineRule="auto"/>
        <w:tabs>
          <w:tab w:leader="none" w:pos="2805"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Party controlling such defense (the "Controlling Party") will keep the Non-controlling Party</w:t>
      </w:r>
    </w:p>
    <w:p>
      <w:pPr>
        <w:jc w:val="center"/>
        <w:ind w:left="800" w:right="1679"/>
        <w:spacing w:after="0" w:line="237" w:lineRule="auto"/>
        <w:rPr>
          <w:sz w:val="20"/>
          <w:szCs w:val="20"/>
          <w:color w:val="auto"/>
        </w:rPr>
      </w:pPr>
      <w:r>
        <w:rPr>
          <w:rFonts w:ascii="Courier New" w:cs="Courier New" w:eastAsia="Courier New" w:hAnsi="Courier New"/>
          <w:sz w:val="18"/>
          <w:szCs w:val="18"/>
          <w:color w:val="auto"/>
        </w:rPr>
        <w:t>reasonably advised of the status of such Third-Party Claim and the defense thereof and will consider in good faith recommendations made by the Non-controlling Party with respect thereto. The Non-controlling Party will furnish the</w:t>
      </w:r>
    </w:p>
    <w:p>
      <w:pPr>
        <w:spacing w:after="0" w:line="5" w:lineRule="exact"/>
        <w:rPr>
          <w:sz w:val="20"/>
          <w:szCs w:val="20"/>
          <w:color w:val="auto"/>
        </w:rPr>
      </w:pPr>
    </w:p>
    <w:p>
      <w:pPr>
        <w:jc w:val="center"/>
        <w:ind w:left="2260" w:right="100"/>
        <w:spacing w:after="0" w:line="271" w:lineRule="auto"/>
        <w:rPr>
          <w:sz w:val="20"/>
          <w:szCs w:val="20"/>
          <w:color w:val="auto"/>
        </w:rPr>
      </w:pPr>
      <w:r>
        <w:rPr>
          <w:rFonts w:ascii="Courier New" w:cs="Courier New" w:eastAsia="Courier New" w:hAnsi="Courier New"/>
          <w:sz w:val="16"/>
          <w:szCs w:val="16"/>
          <w:color w:val="auto"/>
        </w:rPr>
        <w:t>Controlling Party with such Information as it may have with respect to such Third-Party Claim (including copies of any summons, complaint or other pleading which may have been served on such Party and any written claim, demand, invoice, billing or other document evidencing or asserting the same) and will otherwise cooperate with and assist the Controlling Party in the defense of such Third-Party Claim.</w:t>
      </w:r>
    </w:p>
    <w:p>
      <w:pPr>
        <w:spacing w:after="0" w:line="188" w:lineRule="exact"/>
        <w:rPr>
          <w:sz w:val="20"/>
          <w:szCs w:val="20"/>
          <w:color w:val="auto"/>
        </w:rPr>
      </w:pPr>
    </w:p>
    <w:p>
      <w:pPr>
        <w:ind w:left="860" w:right="1739" w:firstLine="1103"/>
        <w:spacing w:after="0" w:line="268" w:lineRule="auto"/>
        <w:tabs>
          <w:tab w:leader="none" w:pos="2493"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Indemnifying Party will not agree to any settlement of, or the entry of any judgment arising from, any</w:t>
      </w:r>
    </w:p>
    <w:p>
      <w:pPr>
        <w:jc w:val="center"/>
        <w:ind w:left="800" w:right="1679" w:firstLine="158"/>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such Third-Party Claim without the prior written consent of the Indemnified Party, which consent will not be unreasonably withheld or delayed; provided, however, that the consent of the Indemnified Party will not be required if (A) the Indemnifying Party agrees in writing to pay any amounts payable pursuant to such settlement or judgment, and (B) such settlement or judgment includes a full, complete and unconditional release of the Indemnified Party from further Liability. The Indemnified Party will not agree to any settlement of, or the entry of any judgment arising from, any such Third-Party Claim without the prior written consent of the Indemnifying Party, which consent will not be unreasonably</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withheld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08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019"/>
          </w:cols>
          <w:pgMar w:left="1440" w:top="520" w:right="1440" w:bottom="1440" w:gutter="0" w:footer="0" w:header="0"/>
        </w:sectPr>
      </w:pPr>
    </w:p>
    <w:bookmarkStart w:id="234" w:name="page235"/>
    <w:bookmarkEnd w:id="234"/>
    <w:p>
      <w:pPr>
        <w:ind w:left="5540"/>
        <w:spacing w:after="0"/>
        <w:rPr>
          <w:sz w:val="20"/>
          <w:szCs w:val="20"/>
          <w:color w:val="auto"/>
        </w:rPr>
      </w:pPr>
      <w:r>
        <w:rPr>
          <w:rFonts w:ascii="Courier New" w:cs="Courier New" w:eastAsia="Courier New" w:hAnsi="Courier New"/>
          <w:sz w:val="18"/>
          <w:szCs w:val="18"/>
          <w:color w:val="auto"/>
        </w:rPr>
        <w:t>ARTICLE XI</w:t>
      </w:r>
    </w:p>
    <w:p>
      <w:pPr>
        <w:ind w:left="5320"/>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left="120" w:right="1779" w:firstLine="948"/>
        <w:spacing w:after="0" w:line="268" w:lineRule="auto"/>
        <w:rPr>
          <w:sz w:val="20"/>
          <w:szCs w:val="20"/>
          <w:color w:val="auto"/>
        </w:rPr>
      </w:pPr>
      <w:r>
        <w:rPr>
          <w:rFonts w:ascii="Courier New" w:cs="Courier New" w:eastAsia="Courier New" w:hAnsi="Courier New"/>
          <w:sz w:val="16"/>
          <w:szCs w:val="16"/>
          <w:color w:val="auto"/>
        </w:rPr>
        <w:t>11.1. Relationship of the Parties. The Parties declare and agree that each Party is engaged in a business that is independent from that of the other</w:t>
      </w:r>
    </w:p>
    <w:p>
      <w:pPr>
        <w:jc w:val="center"/>
        <w:ind w:right="1679"/>
        <w:spacing w:after="0" w:line="271" w:lineRule="auto"/>
        <w:rPr>
          <w:sz w:val="20"/>
          <w:szCs w:val="20"/>
          <w:color w:val="auto"/>
        </w:rPr>
      </w:pPr>
      <w:r>
        <w:rPr>
          <w:rFonts w:ascii="Courier New" w:cs="Courier New" w:eastAsia="Courier New" w:hAnsi="Courier New"/>
          <w:sz w:val="16"/>
          <w:szCs w:val="16"/>
          <w:color w:val="auto"/>
        </w:rPr>
        <w:t>Party and each Party shall perform its obligations as an independent contractor. It is expressly understood and agreed that RECEIVING PARTY and PROVIDING PARTY are not partners, and nothing contained herein is intended to create an agency relationship or a partnership or joint venture with respect to the Corporate Services. Neither Party is an agent of the other and neither Party has any authority to represent or bind the other Party as to any matters, except as authorized herein or in writing by such other Party from time to time.</w:t>
      </w:r>
    </w:p>
    <w:p>
      <w:pPr>
        <w:spacing w:after="0" w:line="188" w:lineRule="exact"/>
        <w:rPr>
          <w:sz w:val="20"/>
          <w:szCs w:val="20"/>
          <w:color w:val="auto"/>
        </w:rPr>
      </w:pPr>
    </w:p>
    <w:p>
      <w:pPr>
        <w:ind w:left="160" w:right="1839" w:firstLine="948"/>
        <w:spacing w:after="0" w:line="268" w:lineRule="auto"/>
        <w:rPr>
          <w:sz w:val="20"/>
          <w:szCs w:val="20"/>
          <w:color w:val="auto"/>
        </w:rPr>
      </w:pPr>
      <w:r>
        <w:rPr>
          <w:rFonts w:ascii="Courier New" w:cs="Courier New" w:eastAsia="Courier New" w:hAnsi="Courier New"/>
          <w:sz w:val="16"/>
          <w:szCs w:val="16"/>
          <w:color w:val="auto"/>
        </w:rPr>
        <w:t>11.2. Employees. (a) PROVIDING PARTY shall be solely responsible for payment of compensation to its employees and, as between the Parties, for its</w:t>
      </w:r>
    </w:p>
    <w:p>
      <w:pPr>
        <w:jc w:val="center"/>
        <w:ind w:right="1679"/>
        <w:spacing w:after="0" w:line="237" w:lineRule="auto"/>
        <w:rPr>
          <w:sz w:val="20"/>
          <w:szCs w:val="20"/>
          <w:color w:val="auto"/>
        </w:rPr>
      </w:pPr>
      <w:r>
        <w:rPr>
          <w:rFonts w:ascii="Courier New" w:cs="Courier New" w:eastAsia="Courier New" w:hAnsi="Courier New"/>
          <w:sz w:val="18"/>
          <w:szCs w:val="18"/>
          <w:color w:val="auto"/>
        </w:rPr>
        <w:t>Subsidiaries' employees and for any injury to them in the course of their employment. PROVIDING PARTY shall assume full responsibility for payment of all federal, state and local taxes or contributions imposed or required under unemployment insurance, social security and income tax laws with respect to such persons.</w:t>
      </w:r>
    </w:p>
    <w:p>
      <w:pPr>
        <w:spacing w:after="0" w:line="209" w:lineRule="exact"/>
        <w:rPr>
          <w:sz w:val="20"/>
          <w:szCs w:val="20"/>
          <w:color w:val="auto"/>
        </w:rPr>
      </w:pPr>
    </w:p>
    <w:p>
      <w:pPr>
        <w:jc w:val="both"/>
        <w:ind w:right="1679" w:firstLine="1905"/>
        <w:spacing w:after="0" w:line="268" w:lineRule="auto"/>
        <w:tabs>
          <w:tab w:leader="none" w:pos="2318"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RECEIVING PARTY shall be solely responsible for payment of compensation to its employees and, as between the Parties, for its Subsidiaries'</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employees and for any injury to them in the course of their employment.</w:t>
      </w:r>
    </w:p>
    <w:p>
      <w:pPr>
        <w:spacing w:after="0" w:line="4" w:lineRule="exact"/>
        <w:rPr>
          <w:rFonts w:ascii="Courier New" w:cs="Courier New" w:eastAsia="Courier New" w:hAnsi="Courier New"/>
          <w:sz w:val="16"/>
          <w:szCs w:val="16"/>
          <w:color w:val="auto"/>
        </w:rPr>
      </w:pPr>
    </w:p>
    <w:p>
      <w:pPr>
        <w:jc w:val="both"/>
        <w:ind w:left="160" w:right="1839" w:firstLine="52"/>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RECEIVING PARTY shall assume full responsibility for payment of all federal, state and local taxes or contributions imposed or required under unemployment insurance, social security and income tax laws with respect to such persons.</w:t>
      </w:r>
    </w:p>
    <w:p>
      <w:pPr>
        <w:spacing w:after="0" w:line="178" w:lineRule="exact"/>
        <w:rPr>
          <w:sz w:val="20"/>
          <w:szCs w:val="20"/>
          <w:color w:val="auto"/>
        </w:rPr>
      </w:pPr>
    </w:p>
    <w:p>
      <w:pPr>
        <w:ind w:right="1679" w:firstLine="1106"/>
        <w:spacing w:after="0" w:line="268" w:lineRule="auto"/>
        <w:rPr>
          <w:sz w:val="20"/>
          <w:szCs w:val="20"/>
          <w:color w:val="auto"/>
        </w:rPr>
      </w:pPr>
      <w:r>
        <w:rPr>
          <w:rFonts w:ascii="Courier New" w:cs="Courier New" w:eastAsia="Courier New" w:hAnsi="Courier New"/>
          <w:sz w:val="16"/>
          <w:szCs w:val="16"/>
          <w:color w:val="auto"/>
        </w:rPr>
        <w:t>11.3. Assignment. Neither Party may, in connection with a sale of an asset to which one or more of the Corporate Services relate, assign, transfer or</w:t>
      </w:r>
    </w:p>
    <w:p>
      <w:pPr>
        <w:jc w:val="center"/>
        <w:ind w:right="1679"/>
        <w:spacing w:after="0" w:line="237" w:lineRule="auto"/>
        <w:rPr>
          <w:sz w:val="20"/>
          <w:szCs w:val="20"/>
          <w:color w:val="auto"/>
        </w:rPr>
      </w:pPr>
      <w:r>
        <w:rPr>
          <w:rFonts w:ascii="Courier New" w:cs="Courier New" w:eastAsia="Courier New" w:hAnsi="Courier New"/>
          <w:sz w:val="18"/>
          <w:szCs w:val="18"/>
          <w:color w:val="auto"/>
        </w:rPr>
        <w:t>convey any right, obligation or duty, in whole or in part, or of any other interest under this Agreement relating to such Corporate Services without the prior written consent of the other Party. All obligations and duties of a Party under this Agreement shall be binding on all successors in interest and permitted assigns of such Party. Each Party may use its Subsidiaries or subcontractors to perform the Corporate Services; provided that such use shall not relieve such assigning Party of liability for its responsibilities and obligations.</w:t>
      </w:r>
    </w:p>
    <w:p>
      <w:pPr>
        <w:spacing w:after="0" w:line="212" w:lineRule="exact"/>
        <w:rPr>
          <w:sz w:val="20"/>
          <w:szCs w:val="20"/>
          <w:color w:val="auto"/>
        </w:rPr>
      </w:pPr>
    </w:p>
    <w:p>
      <w:pPr>
        <w:ind w:right="1679" w:firstLine="948"/>
        <w:spacing w:after="0" w:line="268" w:lineRule="auto"/>
        <w:rPr>
          <w:sz w:val="20"/>
          <w:szCs w:val="20"/>
          <w:color w:val="auto"/>
        </w:rPr>
      </w:pPr>
      <w:r>
        <w:rPr>
          <w:rFonts w:ascii="Courier New" w:cs="Courier New" w:eastAsia="Courier New" w:hAnsi="Courier New"/>
          <w:sz w:val="16"/>
          <w:szCs w:val="16"/>
          <w:color w:val="auto"/>
        </w:rPr>
        <w:t>11.4. Severability. In the event that any one or more of the provisions contained herein shall for any reason be held to be unenforceable in any respect</w:t>
      </w:r>
    </w:p>
    <w:p>
      <w:pPr>
        <w:jc w:val="center"/>
        <w:ind w:right="1679"/>
        <w:spacing w:after="0" w:line="236" w:lineRule="auto"/>
        <w:rPr>
          <w:sz w:val="20"/>
          <w:szCs w:val="20"/>
          <w:color w:val="auto"/>
        </w:rPr>
      </w:pPr>
      <w:r>
        <w:rPr>
          <w:rFonts w:ascii="Courier New" w:cs="Courier New" w:eastAsia="Courier New" w:hAnsi="Courier New"/>
          <w:sz w:val="18"/>
          <w:szCs w:val="18"/>
          <w:color w:val="auto"/>
        </w:rPr>
        <w:t>under law, such unenforceability shall not affect any other provision of this Agreement, and this Agreement shall be construed as if such unenforceable provision or provisions had never been contained herein.</w:t>
      </w:r>
    </w:p>
    <w:p>
      <w:pPr>
        <w:spacing w:after="0" w:line="209" w:lineRule="exact"/>
        <w:rPr>
          <w:sz w:val="20"/>
          <w:szCs w:val="20"/>
          <w:color w:val="auto"/>
        </w:rPr>
      </w:pPr>
    </w:p>
    <w:p>
      <w:pPr>
        <w:ind w:left="380" w:right="1779" w:firstLine="685"/>
        <w:spacing w:after="0" w:line="268" w:lineRule="auto"/>
        <w:rPr>
          <w:sz w:val="20"/>
          <w:szCs w:val="20"/>
          <w:color w:val="auto"/>
        </w:rPr>
      </w:pPr>
      <w:r>
        <w:rPr>
          <w:rFonts w:ascii="Courier New" w:cs="Courier New" w:eastAsia="Courier New" w:hAnsi="Courier New"/>
          <w:sz w:val="16"/>
          <w:szCs w:val="16"/>
          <w:color w:val="auto"/>
        </w:rPr>
        <w:t>11.5. Third Party Beneficiaries. The provisions of this Agreement are for the benefit of the Parties and their Affiliates and not for any other</w:t>
      </w:r>
    </w:p>
    <w:p>
      <w:pPr>
        <w:jc w:val="center"/>
        <w:ind w:right="1679"/>
        <w:spacing w:after="0" w:line="236" w:lineRule="auto"/>
        <w:rPr>
          <w:sz w:val="20"/>
          <w:szCs w:val="20"/>
          <w:color w:val="auto"/>
        </w:rPr>
      </w:pPr>
      <w:r>
        <w:rPr>
          <w:rFonts w:ascii="Courier New" w:cs="Courier New" w:eastAsia="Courier New" w:hAnsi="Courier New"/>
          <w:sz w:val="18"/>
          <w:szCs w:val="18"/>
          <w:color w:val="auto"/>
        </w:rPr>
        <w:t>person. However, should any third party institute proceedings, this Agreement shall not provide any such person with any remedy, claim, liability, reimbursement, cause of action, or other right.</w:t>
      </w:r>
    </w:p>
    <w:p>
      <w:pPr>
        <w:spacing w:after="0" w:line="209" w:lineRule="exact"/>
        <w:rPr>
          <w:sz w:val="20"/>
          <w:szCs w:val="20"/>
          <w:color w:val="auto"/>
        </w:rPr>
      </w:pPr>
    </w:p>
    <w:p>
      <w:pPr>
        <w:ind w:left="160" w:right="1739" w:firstLine="843"/>
        <w:spacing w:after="0" w:line="268" w:lineRule="auto"/>
        <w:rPr>
          <w:sz w:val="20"/>
          <w:szCs w:val="20"/>
          <w:color w:val="auto"/>
        </w:rPr>
      </w:pPr>
      <w:r>
        <w:rPr>
          <w:rFonts w:ascii="Courier New" w:cs="Courier New" w:eastAsia="Courier New" w:hAnsi="Courier New"/>
          <w:sz w:val="16"/>
          <w:szCs w:val="16"/>
          <w:color w:val="auto"/>
        </w:rPr>
        <w:t>11.6. Governing Law. This Agreement shall be governed by and construed in accordance with the laws of the State of Florida, without giving effect to</w:t>
      </w:r>
    </w:p>
    <w:p>
      <w:pPr>
        <w:ind w:left="3120"/>
        <w:spacing w:after="0" w:line="233" w:lineRule="auto"/>
        <w:rPr>
          <w:sz w:val="20"/>
          <w:szCs w:val="20"/>
          <w:color w:val="auto"/>
        </w:rPr>
      </w:pPr>
      <w:r>
        <w:rPr>
          <w:rFonts w:ascii="Courier New" w:cs="Courier New" w:eastAsia="Courier New" w:hAnsi="Courier New"/>
          <w:sz w:val="18"/>
          <w:szCs w:val="18"/>
          <w:color w:val="auto"/>
        </w:rPr>
        <w:t>such State's laws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18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119"/>
          </w:cols>
          <w:pgMar w:left="340" w:top="514" w:right="1440" w:bottom="1440" w:gutter="0" w:footer="0" w:header="0"/>
        </w:sectPr>
      </w:pPr>
    </w:p>
    <w:bookmarkStart w:id="235" w:name="page236"/>
    <w:bookmarkEnd w:id="235"/>
    <w:p>
      <w:pPr>
        <w:jc w:val="center"/>
        <w:ind w:right="1679"/>
        <w:spacing w:after="0"/>
        <w:rPr>
          <w:sz w:val="20"/>
          <w:szCs w:val="20"/>
          <w:color w:val="auto"/>
        </w:rPr>
      </w:pPr>
      <w:r>
        <w:rPr>
          <w:rFonts w:ascii="Courier New" w:cs="Courier New" w:eastAsia="Courier New" w:hAnsi="Courier New"/>
          <w:sz w:val="18"/>
          <w:szCs w:val="18"/>
          <w:color w:val="auto"/>
        </w:rPr>
        <w:t>principles regarding the conflict of laws. Subject to Section 1.4, if any</w:t>
      </w:r>
    </w:p>
    <w:p>
      <w:pPr>
        <w:spacing w:after="0" w:line="4" w:lineRule="exact"/>
        <w:rPr>
          <w:sz w:val="20"/>
          <w:szCs w:val="20"/>
          <w:color w:val="auto"/>
        </w:rPr>
      </w:pPr>
    </w:p>
    <w:p>
      <w:pPr>
        <w:jc w:val="center"/>
        <w:ind w:right="1679"/>
        <w:spacing w:after="0" w:line="268" w:lineRule="auto"/>
        <w:rPr>
          <w:sz w:val="20"/>
          <w:szCs w:val="20"/>
          <w:color w:val="auto"/>
        </w:rPr>
      </w:pPr>
      <w:r>
        <w:rPr>
          <w:rFonts w:ascii="Courier New" w:cs="Courier New" w:eastAsia="Courier New" w:hAnsi="Courier New"/>
          <w:sz w:val="16"/>
          <w:szCs w:val="16"/>
          <w:color w:val="auto"/>
        </w:rPr>
        <w:t>Dispute arises out of or in connection with this Agreement, except as expressly contemplated by another provision of this Agreement, the Parties irrevocably (a) consent and submit to the exclusive jurisdiction of federal and state courts located in Jacksonville, Florida, (b) waive any objection to that choice of forum based on venue or to the effect that the forum is not convenient and (c)</w:t>
      </w:r>
    </w:p>
    <w:p>
      <w:pPr>
        <w:spacing w:after="0" w:line="1" w:lineRule="exact"/>
        <w:rPr>
          <w:sz w:val="20"/>
          <w:szCs w:val="20"/>
          <w:color w:val="auto"/>
        </w:rPr>
      </w:pPr>
    </w:p>
    <w:p>
      <w:pPr>
        <w:jc w:val="center"/>
        <w:ind w:right="1679"/>
        <w:spacing w:after="0" w:line="235" w:lineRule="auto"/>
        <w:rPr>
          <w:sz w:val="20"/>
          <w:szCs w:val="20"/>
          <w:color w:val="auto"/>
        </w:rPr>
      </w:pPr>
      <w:r>
        <w:rPr>
          <w:rFonts w:ascii="Courier New" w:cs="Courier New" w:eastAsia="Courier New" w:hAnsi="Courier New"/>
          <w:sz w:val="18"/>
          <w:szCs w:val="18"/>
          <w:color w:val="auto"/>
        </w:rPr>
        <w:t>WAIVE TO THE FULLEST EXTENT PERMITTED BY LAW ANY RIGHT TO TRIAL OR ADJUDICATION BY JURY.</w:t>
      </w:r>
    </w:p>
    <w:p>
      <w:pPr>
        <w:spacing w:after="0" w:line="208" w:lineRule="exact"/>
        <w:rPr>
          <w:sz w:val="20"/>
          <w:szCs w:val="20"/>
          <w:color w:val="auto"/>
        </w:rPr>
      </w:pPr>
    </w:p>
    <w:p>
      <w:pPr>
        <w:ind w:left="160" w:right="1839" w:firstLine="1106"/>
        <w:spacing w:after="0" w:line="268" w:lineRule="auto"/>
        <w:rPr>
          <w:sz w:val="20"/>
          <w:szCs w:val="20"/>
          <w:color w:val="auto"/>
        </w:rPr>
      </w:pPr>
      <w:r>
        <w:rPr>
          <w:rFonts w:ascii="Courier New" w:cs="Courier New" w:eastAsia="Courier New" w:hAnsi="Courier New"/>
          <w:sz w:val="16"/>
          <w:szCs w:val="16"/>
          <w:color w:val="auto"/>
        </w:rPr>
        <w:t>11.7. Executed in Counterparts. This Agreement may be executed in counterparts, each of which shall be an original, but such counterparts shall</w:t>
      </w:r>
    </w:p>
    <w:p>
      <w:pPr>
        <w:ind w:left="1580"/>
        <w:spacing w:after="0" w:line="233" w:lineRule="auto"/>
        <w:rPr>
          <w:sz w:val="20"/>
          <w:szCs w:val="20"/>
          <w:color w:val="auto"/>
        </w:rPr>
      </w:pPr>
      <w:r>
        <w:rPr>
          <w:rFonts w:ascii="Courier New" w:cs="Courier New" w:eastAsia="Courier New" w:hAnsi="Courier New"/>
          <w:sz w:val="18"/>
          <w:szCs w:val="18"/>
          <w:color w:val="auto"/>
        </w:rPr>
        <w:t>together constitute but one and the same document.</w:t>
      </w:r>
    </w:p>
    <w:p>
      <w:pPr>
        <w:spacing w:after="0" w:line="208" w:lineRule="exact"/>
        <w:rPr>
          <w:sz w:val="20"/>
          <w:szCs w:val="20"/>
          <w:color w:val="auto"/>
        </w:rPr>
      </w:pPr>
    </w:p>
    <w:p>
      <w:pPr>
        <w:ind w:left="320" w:right="1839" w:firstLine="790"/>
        <w:spacing w:after="0" w:line="268" w:lineRule="auto"/>
        <w:rPr>
          <w:sz w:val="20"/>
          <w:szCs w:val="20"/>
          <w:color w:val="auto"/>
        </w:rPr>
      </w:pPr>
      <w:r>
        <w:rPr>
          <w:rFonts w:ascii="Courier New" w:cs="Courier New" w:eastAsia="Courier New" w:hAnsi="Courier New"/>
          <w:sz w:val="16"/>
          <w:szCs w:val="16"/>
          <w:color w:val="auto"/>
        </w:rPr>
        <w:t>11.8. Construction. The headings and numbering of articles, sections and paragraphs in this Agreement are for convenience only and shall not be</w:t>
      </w:r>
    </w:p>
    <w:p>
      <w:pPr>
        <w:jc w:val="center"/>
        <w:ind w:right="1679"/>
        <w:spacing w:after="0" w:line="237" w:lineRule="auto"/>
        <w:rPr>
          <w:sz w:val="20"/>
          <w:szCs w:val="20"/>
          <w:color w:val="auto"/>
        </w:rPr>
      </w:pPr>
      <w:r>
        <w:rPr>
          <w:rFonts w:ascii="Courier New" w:cs="Courier New" w:eastAsia="Courier New" w:hAnsi="Courier New"/>
          <w:sz w:val="18"/>
          <w:szCs w:val="18"/>
          <w:color w:val="auto"/>
        </w:rPr>
        <w:t>construed to define or limit any of the terms or affect the scope, meaning, or interpretation of this Agreement or the particular Article or Section to which they relate. This Agreement and the provisions contained herein shall not be construed or interpreted for or against any Party because that Party drafted or caused its legal representative to draft any of its provisions.</w:t>
      </w:r>
    </w:p>
    <w:p>
      <w:pPr>
        <w:spacing w:after="0" w:line="209" w:lineRule="exact"/>
        <w:rPr>
          <w:sz w:val="20"/>
          <w:szCs w:val="20"/>
          <w:color w:val="auto"/>
        </w:rPr>
      </w:pPr>
    </w:p>
    <w:p>
      <w:pPr>
        <w:ind w:right="1679" w:firstLine="1212"/>
        <w:spacing w:after="0" w:line="268" w:lineRule="auto"/>
        <w:rPr>
          <w:sz w:val="20"/>
          <w:szCs w:val="20"/>
          <w:color w:val="auto"/>
        </w:rPr>
      </w:pPr>
      <w:r>
        <w:rPr>
          <w:rFonts w:ascii="Courier New" w:cs="Courier New" w:eastAsia="Courier New" w:hAnsi="Courier New"/>
          <w:sz w:val="16"/>
          <w:szCs w:val="16"/>
          <w:color w:val="auto"/>
        </w:rPr>
        <w:t>11.9. Entire Agreement. This Agreement, including all attachments, constitutes the entire Agreement between the Parties with respect to the subject</w:t>
      </w:r>
    </w:p>
    <w:p>
      <w:pPr>
        <w:jc w:val="center"/>
        <w:ind w:left="360" w:right="420"/>
        <w:spacing w:after="0" w:line="236" w:lineRule="auto"/>
        <w:rPr>
          <w:sz w:val="20"/>
          <w:szCs w:val="20"/>
          <w:color w:val="auto"/>
        </w:rPr>
      </w:pPr>
      <w:r>
        <w:rPr>
          <w:rFonts w:ascii="Courier New" w:cs="Courier New" w:eastAsia="Courier New" w:hAnsi="Courier New"/>
          <w:sz w:val="18"/>
          <w:szCs w:val="18"/>
          <w:color w:val="auto"/>
        </w:rPr>
        <w:t>matter hereof, and supersedes all prior oral or written agreements, representations, statements, negotiations, understandings, proposals and undertakings, with respect to the subject matter hereof.</w:t>
      </w:r>
    </w:p>
    <w:p>
      <w:pPr>
        <w:spacing w:after="0" w:line="209" w:lineRule="exact"/>
        <w:rPr>
          <w:sz w:val="20"/>
          <w:szCs w:val="20"/>
          <w:color w:val="auto"/>
        </w:rPr>
      </w:pPr>
    </w:p>
    <w:p>
      <w:pPr>
        <w:ind w:left="120" w:right="1779" w:firstLine="1053"/>
        <w:spacing w:after="0" w:line="268" w:lineRule="auto"/>
        <w:rPr>
          <w:sz w:val="20"/>
          <w:szCs w:val="20"/>
          <w:color w:val="auto"/>
        </w:rPr>
      </w:pPr>
      <w:r>
        <w:rPr>
          <w:rFonts w:ascii="Courier New" w:cs="Courier New" w:eastAsia="Courier New" w:hAnsi="Courier New"/>
          <w:sz w:val="16"/>
          <w:szCs w:val="16"/>
          <w:color w:val="auto"/>
        </w:rPr>
        <w:t>11.10. Amendments and Waivers. The Parties may amend this Agreement only by a written agreement signed by each Party and that identifies itself as an amendment to this Agreement. No waiver of any provisions of this Agreement</w:t>
      </w:r>
    </w:p>
    <w:p>
      <w:pPr>
        <w:spacing w:after="0" w:line="1"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and no consent to any default under this Agreement shall be effective unless the same shall be in writing and signed by or on behalf of the Party against whom such waiver or consent is claimed. No course of dealing or failure of any Party to strictly enforce any term, right or condition of this Agreement shall be construed as a waiver of such term, right or condition. Waiver by either Party of any default by the other Party shall not be deemed a waiver of any other default.</w:t>
      </w:r>
    </w:p>
    <w:p>
      <w:pPr>
        <w:spacing w:after="0" w:line="211" w:lineRule="exact"/>
        <w:rPr>
          <w:sz w:val="20"/>
          <w:szCs w:val="20"/>
          <w:color w:val="auto"/>
        </w:rPr>
      </w:pPr>
    </w:p>
    <w:p>
      <w:pPr>
        <w:ind w:left="280" w:right="1839" w:firstLine="843"/>
        <w:spacing w:after="0" w:line="268" w:lineRule="auto"/>
        <w:rPr>
          <w:sz w:val="20"/>
          <w:szCs w:val="20"/>
          <w:color w:val="auto"/>
        </w:rPr>
      </w:pPr>
      <w:r>
        <w:rPr>
          <w:rFonts w:ascii="Courier New" w:cs="Courier New" w:eastAsia="Courier New" w:hAnsi="Courier New"/>
          <w:sz w:val="16"/>
          <w:szCs w:val="16"/>
          <w:color w:val="auto"/>
        </w:rPr>
        <w:t>11.11. Remedies Cumulative. Unless otherwise provided for under this Agreement, all rights of termination or cancellation, or other remedies set</w:t>
      </w:r>
    </w:p>
    <w:p>
      <w:pPr>
        <w:jc w:val="center"/>
        <w:ind w:right="1679"/>
        <w:spacing w:after="0" w:line="237" w:lineRule="auto"/>
        <w:rPr>
          <w:sz w:val="20"/>
          <w:szCs w:val="20"/>
          <w:color w:val="auto"/>
        </w:rPr>
      </w:pPr>
      <w:r>
        <w:rPr>
          <w:rFonts w:ascii="Courier New" w:cs="Courier New" w:eastAsia="Courier New" w:hAnsi="Courier New"/>
          <w:sz w:val="18"/>
          <w:szCs w:val="18"/>
          <w:color w:val="auto"/>
        </w:rPr>
        <w:t>forth in this Agreement, are cumulative and are not intended to be exclusive of other remedies to which the injured Party may be entitled by law or equity in case of any breach or threatened breach by the other Party of any provision in this Agreement. Unless otherwise provided for under this Agreement, use of one or more remedies shall not bar use of any other remedy for the purpose of enforcing any provision of this Agreement.</w:t>
      </w:r>
    </w:p>
    <w:p>
      <w:pPr>
        <w:spacing w:after="0" w:line="210" w:lineRule="exact"/>
        <w:rPr>
          <w:sz w:val="20"/>
          <w:szCs w:val="20"/>
          <w:color w:val="auto"/>
        </w:rPr>
      </w:pPr>
    </w:p>
    <w:p>
      <w:pPr>
        <w:ind w:left="280" w:right="1739" w:firstLine="737"/>
        <w:spacing w:after="0" w:line="268" w:lineRule="auto"/>
        <w:rPr>
          <w:sz w:val="20"/>
          <w:szCs w:val="20"/>
          <w:color w:val="auto"/>
        </w:rPr>
      </w:pPr>
      <w:r>
        <w:rPr>
          <w:rFonts w:ascii="Courier New" w:cs="Courier New" w:eastAsia="Courier New" w:hAnsi="Courier New"/>
          <w:sz w:val="16"/>
          <w:szCs w:val="16"/>
          <w:color w:val="auto"/>
        </w:rPr>
        <w:t>11.12. Taxes. All charges and fees to be paid to PROVIDING PARTY under this Agreement are exclusive of any applicable taxes required by law to be collected from RECEIVING PARTY (including, without limitation, withholding,</w:t>
      </w:r>
    </w:p>
    <w:p>
      <w:pPr>
        <w:spacing w:after="0" w:line="1"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sales, use, excise, or services tax, which may be assessed on the provision of Corporate Services). In the event that a withholding, sales, use, excise, or services tax is assessed on the provision of any of the Corporate Services under this Agreement, RECEIVING PARTY will pay directly, reimburse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18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119"/>
          </w:cols>
          <w:pgMar w:left="340" w:top="514" w:right="1440" w:bottom="1440" w:gutter="0" w:footer="0" w:header="0"/>
        </w:sectPr>
      </w:pPr>
    </w:p>
    <w:bookmarkStart w:id="236" w:name="page237"/>
    <w:bookmarkEnd w:id="236"/>
    <w:p>
      <w:pPr>
        <w:jc w:val="center"/>
        <w:ind w:right="1679"/>
        <w:spacing w:after="0"/>
        <w:rPr>
          <w:sz w:val="20"/>
          <w:szCs w:val="20"/>
          <w:color w:val="auto"/>
        </w:rPr>
      </w:pPr>
      <w:r>
        <w:rPr>
          <w:rFonts w:ascii="Courier New" w:cs="Courier New" w:eastAsia="Courier New" w:hAnsi="Courier New"/>
          <w:sz w:val="18"/>
          <w:szCs w:val="18"/>
          <w:color w:val="auto"/>
        </w:rPr>
        <w:t>indemnify PROVIDING PARTY for such tax, plus any applicable interest and</w:t>
      </w:r>
    </w:p>
    <w:p>
      <w:pPr>
        <w:spacing w:after="0" w:line="4"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penalties. The Parties will cooperate with each other in determining the extent to which any tax is due and owing under the circumstances, and shall provide and make available to each other any resale certificate, information regarding out-of-state use of materials, services or sale, and other exemption certificates or information reasonably requested by either Party.</w:t>
      </w:r>
    </w:p>
    <w:p>
      <w:pPr>
        <w:spacing w:after="0" w:line="209" w:lineRule="exact"/>
        <w:rPr>
          <w:sz w:val="20"/>
          <w:szCs w:val="20"/>
          <w:color w:val="auto"/>
        </w:rPr>
      </w:pPr>
    </w:p>
    <w:p>
      <w:pPr>
        <w:ind w:left="540" w:right="2099" w:firstLine="843"/>
        <w:spacing w:after="0" w:line="268" w:lineRule="auto"/>
        <w:rPr>
          <w:sz w:val="20"/>
          <w:szCs w:val="20"/>
          <w:color w:val="auto"/>
        </w:rPr>
      </w:pPr>
      <w:r>
        <w:rPr>
          <w:rFonts w:ascii="Courier New" w:cs="Courier New" w:eastAsia="Courier New" w:hAnsi="Courier New"/>
          <w:sz w:val="16"/>
          <w:szCs w:val="16"/>
          <w:color w:val="auto"/>
        </w:rPr>
        <w:t>11.13. Changes in Law. PROVIDING PARTY's obligations to provide Corporate Services hereunder are to provide such Corporate Services in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accordance with applicable laws as in effect on the date of this Agreement. Each Party reserves the right to take all actions in order to ensure that the Corporate Services and Transition Assistance are provided in accordance with any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80"/>
        <w:spacing w:after="0"/>
        <w:rPr>
          <w:sz w:val="20"/>
          <w:szCs w:val="20"/>
          <w:color w:val="auto"/>
        </w:rPr>
      </w:pPr>
      <w:r>
        <w:rPr>
          <w:rFonts w:ascii="Courier New" w:cs="Courier New" w:eastAsia="Courier New" w:hAnsi="Courier New"/>
          <w:sz w:val="18"/>
          <w:szCs w:val="18"/>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18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119"/>
          </w:cols>
          <w:pgMar w:left="340" w:top="514" w:right="1440" w:bottom="1440" w:gutter="0" w:footer="0" w:header="0"/>
        </w:sectPr>
      </w:pPr>
    </w:p>
    <w:bookmarkStart w:id="237" w:name="page238"/>
    <w:bookmarkEnd w:id="237"/>
    <w:p>
      <w:pPr>
        <w:ind w:right="1679" w:firstLine="1317"/>
        <w:spacing w:after="0" w:line="268" w:lineRule="auto"/>
        <w:rPr>
          <w:sz w:val="20"/>
          <w:szCs w:val="20"/>
          <w:color w:val="auto"/>
        </w:rPr>
      </w:pPr>
      <w:r>
        <w:rPr>
          <w:rFonts w:ascii="Courier New" w:cs="Courier New" w:eastAsia="Courier New" w:hAnsi="Courier New"/>
          <w:sz w:val="16"/>
          <w:szCs w:val="16"/>
          <w:color w:val="auto"/>
        </w:rPr>
        <w:t>IN WITNESS WHEREOF, the Parties, acting through their authorized officers, have caused this Agreement to be duly executed and delivered as of the</w:t>
      </w:r>
    </w:p>
    <w:p>
      <w:pPr>
        <w:ind w:left="2900"/>
        <w:spacing w:after="0" w:line="233" w:lineRule="auto"/>
        <w:rPr>
          <w:sz w:val="20"/>
          <w:szCs w:val="20"/>
          <w:color w:val="auto"/>
        </w:rPr>
      </w:pPr>
      <w:r>
        <w:rPr>
          <w:rFonts w:ascii="Courier New" w:cs="Courier New" w:eastAsia="Courier New" w:hAnsi="Courier New"/>
          <w:sz w:val="18"/>
          <w:szCs w:val="18"/>
          <w:color w:val="auto"/>
        </w:rPr>
        <w:t>date first above written.</w:t>
      </w:r>
    </w:p>
    <w:p>
      <w:pPr>
        <w:spacing w:after="0" w:line="200" w:lineRule="exact"/>
        <w:rPr>
          <w:sz w:val="20"/>
          <w:szCs w:val="20"/>
          <w:color w:val="auto"/>
        </w:rPr>
      </w:pPr>
    </w:p>
    <w:p>
      <w:pPr>
        <w:spacing w:after="0" w:line="204" w:lineRule="exact"/>
        <w:rPr>
          <w:sz w:val="20"/>
          <w:szCs w:val="20"/>
          <w:color w:val="auto"/>
        </w:rPr>
      </w:pPr>
    </w:p>
    <w:p>
      <w:pPr>
        <w:jc w:val="center"/>
        <w:ind w:left="600"/>
        <w:spacing w:after="0"/>
        <w:rPr>
          <w:sz w:val="20"/>
          <w:szCs w:val="20"/>
          <w:color w:val="auto"/>
        </w:rPr>
      </w:pPr>
      <w:r>
        <w:rPr>
          <w:rFonts w:ascii="Courier New" w:cs="Courier New" w:eastAsia="Courier New" w:hAnsi="Courier New"/>
          <w:sz w:val="18"/>
          <w:szCs w:val="18"/>
          <w:color w:val="auto"/>
        </w:rPr>
        <w:t>RECEIVING PARTY:</w:t>
      </w:r>
    </w:p>
    <w:p>
      <w:pPr>
        <w:spacing w:after="0" w:line="201" w:lineRule="exact"/>
        <w:rPr>
          <w:sz w:val="20"/>
          <w:szCs w:val="20"/>
          <w:color w:val="auto"/>
        </w:rPr>
      </w:pPr>
    </w:p>
    <w:p>
      <w:pPr>
        <w:ind w:left="4060"/>
        <w:spacing w:after="0"/>
        <w:rPr>
          <w:sz w:val="20"/>
          <w:szCs w:val="20"/>
          <w:color w:val="auto"/>
        </w:rPr>
      </w:pPr>
      <w:r>
        <w:rPr>
          <w:rFonts w:ascii="Courier New" w:cs="Courier New" w:eastAsia="Courier New" w:hAnsi="Courier New"/>
          <w:sz w:val="18"/>
          <w:szCs w:val="18"/>
          <w:color w:val="auto"/>
        </w:rPr>
        <w:t>FIDELITY NATIONAL TITLE GROUP, INC.</w:t>
      </w:r>
    </w:p>
    <w:p>
      <w:pPr>
        <w:spacing w:after="0" w:line="200" w:lineRule="exact"/>
        <w:rPr>
          <w:sz w:val="20"/>
          <w:szCs w:val="20"/>
          <w:color w:val="auto"/>
        </w:rPr>
      </w:pPr>
    </w:p>
    <w:p>
      <w:pPr>
        <w:spacing w:after="0" w:line="204"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By</w:t>
      </w:r>
    </w:p>
    <w:p>
      <w:pPr>
        <w:ind w:left="4060"/>
        <w:spacing w:after="0" w:line="238" w:lineRule="auto"/>
        <w:rPr>
          <w:sz w:val="20"/>
          <w:szCs w:val="20"/>
          <w:color w:val="auto"/>
        </w:rPr>
      </w:pPr>
      <w:r>
        <w:rPr>
          <w:rFonts w:ascii="Courier New" w:cs="Courier New" w:eastAsia="Courier New" w:hAnsi="Courier New"/>
          <w:sz w:val="18"/>
          <w:szCs w:val="18"/>
          <w:color w:val="auto"/>
        </w:rPr>
        <w:t>-------------------------------------</w:t>
      </w:r>
    </w:p>
    <w:p>
      <w:pPr>
        <w:jc w:val="center"/>
        <w:ind w:left="820"/>
        <w:spacing w:after="0"/>
        <w:rPr>
          <w:sz w:val="20"/>
          <w:szCs w:val="20"/>
          <w:color w:val="auto"/>
        </w:rPr>
      </w:pPr>
      <w:r>
        <w:rPr>
          <w:rFonts w:ascii="Courier New" w:cs="Courier New" w:eastAsia="Courier New" w:hAnsi="Courier New"/>
          <w:sz w:val="18"/>
          <w:szCs w:val="18"/>
          <w:color w:val="auto"/>
        </w:rPr>
        <w:t>Raymond R. Quirk</w:t>
      </w:r>
    </w:p>
    <w:p>
      <w:pPr>
        <w:jc w:val="center"/>
        <w:ind w:left="82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4" w:lineRule="exact"/>
        <w:rPr>
          <w:sz w:val="20"/>
          <w:szCs w:val="20"/>
          <w:color w:val="auto"/>
        </w:rPr>
      </w:pPr>
    </w:p>
    <w:p>
      <w:pPr>
        <w:jc w:val="center"/>
        <w:ind w:left="600"/>
        <w:spacing w:after="0"/>
        <w:rPr>
          <w:sz w:val="20"/>
          <w:szCs w:val="20"/>
          <w:color w:val="auto"/>
        </w:rPr>
      </w:pPr>
      <w:r>
        <w:rPr>
          <w:rFonts w:ascii="Courier New" w:cs="Courier New" w:eastAsia="Courier New" w:hAnsi="Courier New"/>
          <w:sz w:val="18"/>
          <w:szCs w:val="18"/>
          <w:color w:val="auto"/>
        </w:rPr>
        <w:t>PROVIDING PARTY:</w:t>
      </w:r>
    </w:p>
    <w:p>
      <w:pPr>
        <w:spacing w:after="0" w:line="201" w:lineRule="exact"/>
        <w:rPr>
          <w:sz w:val="20"/>
          <w:szCs w:val="20"/>
          <w:color w:val="auto"/>
        </w:rPr>
      </w:pPr>
    </w:p>
    <w:p>
      <w:pPr>
        <w:ind w:left="4160"/>
        <w:spacing w:after="0"/>
        <w:rPr>
          <w:sz w:val="20"/>
          <w:szCs w:val="20"/>
          <w:color w:val="auto"/>
        </w:rPr>
      </w:pPr>
      <w:r>
        <w:rPr>
          <w:rFonts w:ascii="Courier New" w:cs="Courier New" w:eastAsia="Courier New" w:hAnsi="Courier New"/>
          <w:sz w:val="18"/>
          <w:szCs w:val="18"/>
          <w:color w:val="auto"/>
        </w:rPr>
        <w:t>FIDELITY NATIONAL FINANCIAL, INC.</w:t>
      </w:r>
    </w:p>
    <w:p>
      <w:pPr>
        <w:spacing w:after="0" w:line="200" w:lineRule="exact"/>
        <w:rPr>
          <w:sz w:val="20"/>
          <w:szCs w:val="20"/>
          <w:color w:val="auto"/>
        </w:rPr>
      </w:pPr>
    </w:p>
    <w:p>
      <w:pPr>
        <w:spacing w:after="0" w:line="204"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By</w:t>
      </w:r>
    </w:p>
    <w:p>
      <w:pPr>
        <w:ind w:left="4060"/>
        <w:spacing w:after="0" w:line="238" w:lineRule="auto"/>
        <w:rPr>
          <w:sz w:val="20"/>
          <w:szCs w:val="20"/>
          <w:color w:val="auto"/>
        </w:rPr>
      </w:pPr>
      <w:r>
        <w:rPr>
          <w:rFonts w:ascii="Courier New" w:cs="Courier New" w:eastAsia="Courier New" w:hAnsi="Courier New"/>
          <w:sz w:val="18"/>
          <w:szCs w:val="18"/>
          <w:color w:val="auto"/>
        </w:rPr>
        <w:t>-------------------------------------</w:t>
      </w:r>
    </w:p>
    <w:p>
      <w:pPr>
        <w:jc w:val="center"/>
        <w:ind w:left="820"/>
        <w:spacing w:after="0"/>
        <w:rPr>
          <w:sz w:val="20"/>
          <w:szCs w:val="20"/>
          <w:color w:val="auto"/>
        </w:rPr>
      </w:pPr>
      <w:r>
        <w:rPr>
          <w:rFonts w:ascii="Courier New" w:cs="Courier New" w:eastAsia="Courier New" w:hAnsi="Courier New"/>
          <w:sz w:val="18"/>
          <w:szCs w:val="18"/>
          <w:color w:val="auto"/>
        </w:rPr>
        <w:t>Peter T. Sadowski</w:t>
      </w:r>
    </w:p>
    <w:p>
      <w:pPr>
        <w:jc w:val="center"/>
        <w:ind w:left="820"/>
        <w:spacing w:after="0" w:line="237" w:lineRule="auto"/>
        <w:rPr>
          <w:sz w:val="20"/>
          <w:szCs w:val="20"/>
          <w:color w:val="auto"/>
        </w:rPr>
      </w:pPr>
      <w:r>
        <w:rPr>
          <w:rFonts w:ascii="Courier New" w:cs="Courier New" w:eastAsia="Courier New" w:hAnsi="Courier New"/>
          <w:sz w:val="18"/>
          <w:szCs w:val="18"/>
          <w:color w:val="auto"/>
        </w:rPr>
        <w:t>Executive Vice President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540"/>
        <w:spacing w:after="0"/>
        <w:rPr>
          <w:sz w:val="20"/>
          <w:szCs w:val="20"/>
          <w:color w:val="auto"/>
        </w:rPr>
      </w:pPr>
      <w:r>
        <w:rPr>
          <w:rFonts w:ascii="Courier New" w:cs="Courier New" w:eastAsia="Courier New" w:hAnsi="Courier New"/>
          <w:sz w:val="18"/>
          <w:szCs w:val="18"/>
          <w:color w:val="auto"/>
        </w:rPr>
        <w:t>LLGM JK233003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18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119"/>
          </w:cols>
          <w:pgMar w:left="340" w:top="520" w:right="1440" w:bottom="1440" w:gutter="0" w:footer="0" w:header="0"/>
        </w:sectPr>
      </w:pPr>
    </w:p>
    <w:bookmarkStart w:id="238" w:name="page239"/>
    <w:bookmarkEnd w:id="238"/>
    <w:p>
      <w:pPr>
        <w:ind w:left="4440"/>
        <w:spacing w:after="0"/>
        <w:rPr>
          <w:sz w:val="20"/>
          <w:szCs w:val="20"/>
          <w:color w:val="auto"/>
        </w:rPr>
      </w:pPr>
      <w:r>
        <w:rPr>
          <w:rFonts w:ascii="Courier New" w:cs="Courier New" w:eastAsia="Courier New" w:hAnsi="Courier New"/>
          <w:sz w:val="18"/>
          <w:szCs w:val="18"/>
          <w:color w:val="auto"/>
        </w:rPr>
        <w:t>DEFINITIONS AND FORMULAS</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FOR PURPOSES OF CALCULATING COST ALLOCATION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For purposes of this Agreement and the Reverse Corporate Service Schedules:</w:t>
      </w:r>
    </w:p>
    <w:p>
      <w:pPr>
        <w:spacing w:after="0" w:line="207" w:lineRule="exact"/>
        <w:rPr>
          <w:sz w:val="20"/>
          <w:szCs w:val="20"/>
          <w:color w:val="auto"/>
        </w:rPr>
      </w:pPr>
    </w:p>
    <w:p>
      <w:pPr>
        <w:jc w:val="center"/>
        <w:ind w:left="360" w:right="100"/>
        <w:spacing w:after="0" w:line="237" w:lineRule="auto"/>
        <w:rPr>
          <w:sz w:val="20"/>
          <w:szCs w:val="20"/>
          <w:color w:val="auto"/>
        </w:rPr>
      </w:pPr>
      <w:r>
        <w:rPr>
          <w:rFonts w:ascii="Courier New" w:cs="Courier New" w:eastAsia="Courier New" w:hAnsi="Courier New"/>
          <w:sz w:val="18"/>
          <w:szCs w:val="18"/>
          <w:color w:val="auto"/>
        </w:rPr>
        <w:t>"Direct Employee Compensation" of an employee means the aggregate of such employee's salary, overtime, cash bonus and commission compensation, payroll taxes attributable thereto, group insurance charges and benefits paid by the employer on behalf of or for the benefit of the employee, contributions to any 401k programs or accounts on behalf of or for the benefit of the employee, together with the employee's pro rata portion of the benefits administration expenses (including expenses for prizes or awards allocable to the employee) incurred by the employer.</w:t>
      </w:r>
    </w:p>
    <w:p>
      <w:pPr>
        <w:spacing w:after="0" w:line="21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"Full Departmental Costs", allocated with respect to any department/cost center</w:t>
      </w:r>
    </w:p>
    <w:p>
      <w:pPr>
        <w:spacing w:after="0" w:line="21" w:lineRule="exact"/>
        <w:rPr>
          <w:sz w:val="20"/>
          <w:szCs w:val="20"/>
          <w:color w:val="auto"/>
        </w:rPr>
      </w:pPr>
    </w:p>
    <w:p>
      <w:pPr>
        <w:jc w:val="center"/>
        <w:ind w:right="1679"/>
        <w:spacing w:after="0" w:line="238" w:lineRule="auto"/>
        <w:rPr>
          <w:sz w:val="20"/>
          <w:szCs w:val="20"/>
          <w:color w:val="auto"/>
        </w:rPr>
      </w:pPr>
      <w:r>
        <w:rPr>
          <w:rFonts w:ascii="Courier New" w:cs="Courier New" w:eastAsia="Courier New" w:hAnsi="Courier New"/>
          <w:sz w:val="18"/>
          <w:szCs w:val="18"/>
          <w:color w:val="auto"/>
        </w:rPr>
        <w:t>of PROVIDING PARTY with FNF Servicing Employees, means any and all costs incurred by or allocated to that department/cost center other than Direct Employee Compensation of the employees in the department/cost center. Full Departmental Costs include office furniture and equipment, office space and facilities expenses, repairs &amp; maintenance expenses, rent and leasehold improvements, utilities, telecommunications and IT equipment, insurance costs, depreciation, amortization, real property and personal property taxes, advertising and promotional expenses (if any), postage, courier and shipping expenses, printing, reproduction, stationary, and office supplies, travel and entertainment expenses, educational, training and recruiting expenses, professional dues and subscriptions, fees, general costs and expenses incurred in connection with the Services that are included in administrative overhead, and the other similar costs that are generally characterized as "overhead"', in each case as allocated to the department/cost center in accordance with PROVIDING PARTY's current overhead cost allocation policy.</w:t>
      </w:r>
    </w:p>
    <w:p>
      <w:pPr>
        <w:spacing w:after="0" w:line="208" w:lineRule="exact"/>
        <w:rPr>
          <w:sz w:val="20"/>
          <w:szCs w:val="20"/>
          <w:color w:val="auto"/>
        </w:rPr>
      </w:pPr>
    </w:p>
    <w:p>
      <w:pPr>
        <w:jc w:val="center"/>
        <w:ind w:right="1679"/>
        <w:spacing w:after="0" w:line="270" w:lineRule="auto"/>
        <w:rPr>
          <w:sz w:val="20"/>
          <w:szCs w:val="20"/>
          <w:color w:val="auto"/>
        </w:rPr>
      </w:pPr>
      <w:r>
        <w:rPr>
          <w:rFonts w:ascii="Courier New" w:cs="Courier New" w:eastAsia="Courier New" w:hAnsi="Courier New"/>
          <w:sz w:val="16"/>
          <w:szCs w:val="16"/>
          <w:color w:val="auto"/>
        </w:rPr>
        <w:t>"Limited Departmental Costs", allocated with respect to any department/cost center of PROVIDING PARTY with FNT Transferred Employees, means any and all costs incurred by or allocated to that department/cost center that are directly related to the physical location of the FNT Transferred Employee within an FNF department/cost center. Limited Departmental Costs include telecommunications and IT equipment, office furniture and equipment, office space and facilities expenses, repairs &amp; maintenance expenses, rent and leasehold improvements, utilities, data processing charges and expenses, rental expenses and charges paid to Fidelity Asset Management, Inc. for use of certain office assets and equipment, all as shown on the accounting cost center reports, it being understood that in no event shall any costs be allocated to, or paid by, RECEIVING PARTY hereunder with respect any Transferred Employee to the extent that an equivalent amount of the same cost item is otherwise being allocated to and paid by RECEIVING PARTY with respect to such Transferred Employee.</w:t>
      </w:r>
    </w:p>
    <w:p>
      <w:pPr>
        <w:spacing w:after="0" w:line="388" w:lineRule="exact"/>
        <w:rPr>
          <w:sz w:val="20"/>
          <w:szCs w:val="20"/>
          <w:color w:val="auto"/>
        </w:rPr>
      </w:pPr>
    </w:p>
    <w:p>
      <w:pPr>
        <w:jc w:val="center"/>
        <w:ind w:right="1679"/>
        <w:spacing w:after="0" w:line="236" w:lineRule="auto"/>
        <w:rPr>
          <w:sz w:val="20"/>
          <w:szCs w:val="20"/>
          <w:color w:val="auto"/>
        </w:rPr>
      </w:pPr>
      <w:r>
        <w:rPr>
          <w:rFonts w:ascii="Courier New" w:cs="Courier New" w:eastAsia="Courier New" w:hAnsi="Courier New"/>
          <w:sz w:val="18"/>
          <w:szCs w:val="18"/>
          <w:color w:val="auto"/>
        </w:rPr>
        <w:t>"Servicing Employee" means an employee of PROVIDING PARTY or its Subsidiaries or its Affiliates who provides services to RECEIVING PARTY and its Subsidiaries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6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119"/>
          </w:cols>
          <w:pgMar w:left="340" w:top="515" w:right="1440" w:bottom="1440" w:gutter="0" w:footer="0" w:header="0"/>
        </w:sectPr>
      </w:pPr>
    </w:p>
    <w:bookmarkStart w:id="239" w:name="page240"/>
    <w:bookmarkEnd w:id="239"/>
    <w:p>
      <w:pPr>
        <w:jc w:val="center"/>
        <w:ind w:right="1679"/>
        <w:spacing w:after="0" w:line="237" w:lineRule="auto"/>
        <w:rPr>
          <w:sz w:val="20"/>
          <w:szCs w:val="20"/>
          <w:color w:val="auto"/>
        </w:rPr>
      </w:pPr>
      <w:r>
        <w:rPr>
          <w:rFonts w:ascii="Courier New" w:cs="Courier New" w:eastAsia="Courier New" w:hAnsi="Courier New"/>
          <w:sz w:val="18"/>
          <w:szCs w:val="18"/>
          <w:color w:val="auto"/>
        </w:rPr>
        <w:t>"Transferred Employee" means an employee of RECEIVING PARTY or its Subsidiaries who is not a Servicing Employee of PROVIDING PARTY, but who is physically located within a PROVIDING PARTY department/cost center, such as persons who are former PROVIDING PARTY employees who have been transferred or migrated to RECEIVING PARTY but whose office is still housed with their former department/cost center.</w:t>
      </w:r>
    </w:p>
    <w:p>
      <w:pPr>
        <w:spacing w:after="0" w:line="210" w:lineRule="exact"/>
        <w:rPr>
          <w:sz w:val="20"/>
          <w:szCs w:val="20"/>
          <w:color w:val="auto"/>
        </w:rPr>
      </w:pPr>
    </w:p>
    <w:p>
      <w:pPr>
        <w:jc w:val="center"/>
        <w:ind w:right="1679"/>
        <w:spacing w:after="0" w:line="236" w:lineRule="auto"/>
        <w:rPr>
          <w:sz w:val="20"/>
          <w:szCs w:val="20"/>
          <w:color w:val="auto"/>
        </w:rPr>
      </w:pPr>
      <w:r>
        <w:rPr>
          <w:rFonts w:ascii="Courier New" w:cs="Courier New" w:eastAsia="Courier New" w:hAnsi="Courier New"/>
          <w:sz w:val="18"/>
          <w:szCs w:val="18"/>
          <w:color w:val="auto"/>
        </w:rPr>
        <w:t>"Standard Allocation", for purposes of the Services provided under this Agreement and the Schedules hereto, including the Cost Allocation section of the Schedules, shall be calculated as follows:</w:t>
      </w:r>
    </w:p>
    <w:p>
      <w:pPr>
        <w:spacing w:after="0" w:line="203" w:lineRule="exact"/>
        <w:rPr>
          <w:sz w:val="20"/>
          <w:szCs w:val="20"/>
          <w:color w:val="auto"/>
        </w:rPr>
      </w:pPr>
    </w:p>
    <w:p>
      <w:pPr>
        <w:ind w:left="2220" w:hanging="947"/>
        <w:spacing w:after="0"/>
        <w:tabs>
          <w:tab w:leader="none" w:pos="222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 of Pocket Costs: Direct Charges. Out of Pocket Costs</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incurred by or on behalf of RECEIVING PARTY or its</w:t>
      </w:r>
    </w:p>
    <w:p>
      <w:pPr>
        <w:spacing w:after="0" w:line="5" w:lineRule="exact"/>
        <w:rPr>
          <w:sz w:val="20"/>
          <w:szCs w:val="20"/>
          <w:color w:val="auto"/>
        </w:rPr>
      </w:pPr>
    </w:p>
    <w:p>
      <w:pPr>
        <w:jc w:val="center"/>
        <w:ind w:left="2260" w:right="100"/>
        <w:spacing w:after="0" w:line="236" w:lineRule="auto"/>
        <w:rPr>
          <w:sz w:val="20"/>
          <w:szCs w:val="20"/>
          <w:color w:val="auto"/>
        </w:rPr>
      </w:pPr>
      <w:r>
        <w:rPr>
          <w:rFonts w:ascii="Courier New" w:cs="Courier New" w:eastAsia="Courier New" w:hAnsi="Courier New"/>
          <w:sz w:val="18"/>
          <w:szCs w:val="18"/>
          <w:color w:val="auto"/>
        </w:rPr>
        <w:t>Subsidiary(s) are charged directly to it and are not part of the Services under this Agreement or the payments to be made for Services hereunder.</w:t>
      </w:r>
    </w:p>
    <w:p>
      <w:pPr>
        <w:spacing w:after="0" w:line="209" w:lineRule="exact"/>
        <w:rPr>
          <w:sz w:val="20"/>
          <w:szCs w:val="20"/>
          <w:color w:val="auto"/>
        </w:rPr>
      </w:pPr>
    </w:p>
    <w:p>
      <w:pPr>
        <w:jc w:val="center"/>
        <w:ind w:left="1900" w:right="1679" w:hanging="785"/>
        <w:spacing w:after="0" w:line="268" w:lineRule="auto"/>
        <w:tabs>
          <w:tab w:leader="none" w:pos="2058"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 Employee Compensation: Allocation Based on Work Time Percentage. The Direct Employee Compensation of each PROVIDING PARTY Servicing Employee shall be allocated to RECEIVING PARTY based on the percentage of work time that such Servicing Employee spends in providing the applicable Services to RECEIVING PARTY and its Subsidiaries. Allocations as of the</w:t>
      </w:r>
    </w:p>
    <w:p>
      <w:pPr>
        <w:spacing w:after="0" w:line="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Effective Date will be those reflected in the data and results</w:t>
      </w:r>
    </w:p>
    <w:p>
      <w:pPr>
        <w:spacing w:after="0" w:line="16"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of October 1, 2005.</w:t>
      </w:r>
    </w:p>
    <w:p>
      <w:pPr>
        <w:spacing w:after="0" w:line="207" w:lineRule="exact"/>
        <w:rPr>
          <w:sz w:val="20"/>
          <w:szCs w:val="20"/>
          <w:color w:val="auto"/>
        </w:rPr>
      </w:pPr>
    </w:p>
    <w:p>
      <w:pPr>
        <w:jc w:val="center"/>
        <w:ind w:left="2240"/>
        <w:spacing w:after="0" w:line="237" w:lineRule="auto"/>
        <w:rPr>
          <w:sz w:val="20"/>
          <w:szCs w:val="20"/>
          <w:color w:val="auto"/>
        </w:rPr>
      </w:pPr>
      <w:r>
        <w:rPr>
          <w:rFonts w:ascii="Courier New" w:cs="Courier New" w:eastAsia="Courier New" w:hAnsi="Courier New"/>
          <w:sz w:val="18"/>
          <w:szCs w:val="18"/>
          <w:color w:val="auto"/>
        </w:rPr>
        <w:t>By way of example, for a Servicing Employee of PROVIDING PARTY who has an annual salary of $50,000, a cash bonus of $20,000, and benefits of $10,000, and who spends 40% of his work time on providing Services under this Agreement, the Direct Employee Compensation allocation would be calculated as follows:</w:t>
      </w: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($50,000 + $20,000 + $10,000) x 40% = $32,000</w:t>
      </w:r>
    </w:p>
    <w:p>
      <w:pPr>
        <w:spacing w:after="0" w:line="207"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In this example, RECEIVING PARTY would be allocated $32,000 of</w:t>
      </w:r>
    </w:p>
    <w:p>
      <w:pPr>
        <w:spacing w:after="0" w:line="16"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Direct Employee Compensation for this Servicing Employee.</w:t>
      </w:r>
    </w:p>
    <w:p>
      <w:pPr>
        <w:spacing w:after="0" w:line="207" w:lineRule="exact"/>
        <w:rPr>
          <w:sz w:val="20"/>
          <w:szCs w:val="20"/>
          <w:color w:val="auto"/>
        </w:rPr>
      </w:pPr>
    </w:p>
    <w:p>
      <w:pPr>
        <w:jc w:val="center"/>
        <w:ind w:left="2320" w:right="2099" w:hanging="837"/>
        <w:spacing w:after="0" w:line="268" w:lineRule="auto"/>
        <w:tabs>
          <w:tab w:leader="none" w:pos="2425"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 Departmental (Overhead) Costs for FNF Servicing Employees: Allocation based on Employee Head Count and</w:t>
      </w:r>
    </w:p>
    <w:p>
      <w:pPr>
        <w:jc w:val="center"/>
        <w:ind w:left="2240"/>
        <w:spacing w:after="0" w:line="270" w:lineRule="auto"/>
        <w:rPr>
          <w:sz w:val="20"/>
          <w:szCs w:val="20"/>
          <w:color w:val="auto"/>
        </w:rPr>
      </w:pPr>
      <w:r>
        <w:rPr>
          <w:rFonts w:ascii="Courier New" w:cs="Courier New" w:eastAsia="Courier New" w:hAnsi="Courier New"/>
          <w:sz w:val="16"/>
          <w:szCs w:val="16"/>
          <w:color w:val="auto"/>
        </w:rPr>
        <w:t>Percentage of Work Time. In addition to the Direct Employee Compensation, Full Departmental Costs of each department/cost center of PROVIDING PARTY that has Servicing Employees shall be allocated to RECEIVING PARTY based on the employee head count of the Servicing Employees and the average percentage of work time that the Servicing Employees in that department/cost center spend on providing services to RECEIVING PARTY. Under this methodology, RECEIVING PARTY is charged for a percentage of the total Full Departmental Costs that reflects the headcount number of Servicing Employees in that department/cost center, in relation to the aggregate headcount of all employees in the department/cost center, taking into account average percentage of work time that each Servicing</w:t>
      </w:r>
    </w:p>
    <w:p>
      <w:pPr>
        <w:spacing w:after="0" w:line="200" w:lineRule="exact"/>
        <w:rPr>
          <w:sz w:val="20"/>
          <w:szCs w:val="20"/>
          <w:color w:val="auto"/>
        </w:rPr>
      </w:pPr>
    </w:p>
    <w:p>
      <w:pPr>
        <w:spacing w:after="0" w:line="38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119"/>
          </w:cols>
          <w:pgMar w:left="340" w:top="520" w:right="1440" w:bottom="1440" w:gutter="0" w:footer="0" w:header="0"/>
        </w:sectPr>
      </w:pPr>
    </w:p>
    <w:bookmarkStart w:id="240" w:name="page241"/>
    <w:bookmarkEnd w:id="240"/>
    <w:p>
      <w:pPr>
        <w:jc w:val="center"/>
        <w:ind w:right="879"/>
        <w:spacing w:after="0"/>
        <w:rPr>
          <w:sz w:val="20"/>
          <w:szCs w:val="20"/>
          <w:color w:val="auto"/>
        </w:rPr>
      </w:pPr>
      <w:r>
        <w:rPr>
          <w:rFonts w:ascii="Courier New" w:cs="Courier New" w:eastAsia="Courier New" w:hAnsi="Courier New"/>
          <w:sz w:val="18"/>
          <w:szCs w:val="18"/>
          <w:color w:val="auto"/>
        </w:rPr>
        <w:t>Employee in the department/cost center spends in providing</w:t>
      </w:r>
    </w:p>
    <w:p>
      <w:pPr>
        <w:jc w:val="center"/>
        <w:ind w:right="879"/>
        <w:spacing w:after="0" w:line="238" w:lineRule="auto"/>
        <w:rPr>
          <w:sz w:val="20"/>
          <w:szCs w:val="20"/>
          <w:color w:val="auto"/>
        </w:rPr>
      </w:pPr>
      <w:r>
        <w:rPr>
          <w:rFonts w:ascii="Courier New" w:cs="Courier New" w:eastAsia="Courier New" w:hAnsi="Courier New"/>
          <w:sz w:val="18"/>
          <w:szCs w:val="18"/>
          <w:color w:val="auto"/>
        </w:rPr>
        <w:t>services to RECEIVING PARTY and its Subsidiaries.</w:t>
      </w:r>
    </w:p>
    <w:p>
      <w:pPr>
        <w:spacing w:after="0" w:line="202"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8"/>
          <w:szCs w:val="18"/>
          <w:color w:val="auto"/>
        </w:rPr>
        <w:t>By way of example, assume that in a PROVIDING PARTY</w:t>
      </w:r>
    </w:p>
    <w:p>
      <w:pPr>
        <w:spacing w:after="0" w:line="4" w:lineRule="exact"/>
        <w:rPr>
          <w:sz w:val="20"/>
          <w:szCs w:val="20"/>
          <w:color w:val="auto"/>
        </w:rPr>
      </w:pPr>
    </w:p>
    <w:p>
      <w:pPr>
        <w:jc w:val="center"/>
        <w:ind w:left="800" w:right="1679"/>
        <w:spacing w:after="0" w:line="271" w:lineRule="auto"/>
        <w:rPr>
          <w:sz w:val="20"/>
          <w:szCs w:val="20"/>
          <w:color w:val="auto"/>
        </w:rPr>
      </w:pPr>
      <w:r>
        <w:rPr>
          <w:rFonts w:ascii="Courier New" w:cs="Courier New" w:eastAsia="Courier New" w:hAnsi="Courier New"/>
          <w:sz w:val="16"/>
          <w:szCs w:val="16"/>
          <w:color w:val="auto"/>
        </w:rPr>
        <w:t>department/cost center, there are 20 employees, 4 of whom are Servicing Employees, with 2 of those 4 Servicing Employees spending 50% of their work time providing Services to RECEIVING PARTY and its Subsidiaries, and the other 2 of those 4 Servicing Employees spending 10% of their work time providing Services to RECEIVING PARTY and its Subsidiaries. Also assume that we need to allocate $100 of office supplies. The portion of the Full Departmental Costs that will be allocated to RECEIVING PARTY is determined as follows:</w:t>
      </w:r>
    </w:p>
    <w:p>
      <w:pPr>
        <w:spacing w:after="0" w:line="383"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8"/>
          <w:szCs w:val="18"/>
          <w:color w:val="auto"/>
        </w:rPr>
        <w:t>First, determine the department/cost center's Servicing</w:t>
      </w:r>
    </w:p>
    <w:p>
      <w:pPr>
        <w:jc w:val="center"/>
        <w:ind w:right="879"/>
        <w:spacing w:after="0" w:line="238" w:lineRule="auto"/>
        <w:rPr>
          <w:sz w:val="20"/>
          <w:szCs w:val="20"/>
          <w:color w:val="auto"/>
        </w:rPr>
      </w:pPr>
      <w:r>
        <w:rPr>
          <w:rFonts w:ascii="Courier New" w:cs="Courier New" w:eastAsia="Courier New" w:hAnsi="Courier New"/>
          <w:sz w:val="18"/>
          <w:szCs w:val="18"/>
          <w:color w:val="auto"/>
        </w:rPr>
        <w:t>Employee headcount allocable to RECEIVING PARTY:</w:t>
      </w:r>
    </w:p>
    <w:p>
      <w:pPr>
        <w:spacing w:after="0" w:line="207"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6"/>
          <w:szCs w:val="16"/>
          <w:color w:val="auto"/>
        </w:rPr>
        <w:t>4 Servicing Employees / 20 department/cost center employees =</w:t>
      </w:r>
    </w:p>
    <w:p>
      <w:pPr>
        <w:spacing w:after="0" w:line="16"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8"/>
          <w:szCs w:val="18"/>
          <w:color w:val="auto"/>
        </w:rPr>
        <w:t>20%.</w:t>
      </w:r>
    </w:p>
    <w:p>
      <w:pPr>
        <w:spacing w:after="0" w:line="207" w:lineRule="exact"/>
        <w:rPr>
          <w:sz w:val="20"/>
          <w:szCs w:val="20"/>
          <w:color w:val="auto"/>
        </w:rPr>
      </w:pPr>
    </w:p>
    <w:p>
      <w:pPr>
        <w:jc w:val="center"/>
        <w:ind w:left="800" w:right="1679"/>
        <w:spacing w:after="0" w:line="236" w:lineRule="auto"/>
        <w:rPr>
          <w:sz w:val="20"/>
          <w:szCs w:val="20"/>
          <w:color w:val="auto"/>
        </w:rPr>
      </w:pPr>
      <w:r>
        <w:rPr>
          <w:rFonts w:ascii="Courier New" w:cs="Courier New" w:eastAsia="Courier New" w:hAnsi="Courier New"/>
          <w:sz w:val="18"/>
          <w:szCs w:val="18"/>
          <w:color w:val="auto"/>
        </w:rPr>
        <w:t>Second, use this percentage to determine the amount of the total Full Departmental Costs will be allocated to the Servicing Employees:</w:t>
      </w:r>
    </w:p>
    <w:p>
      <w:pPr>
        <w:spacing w:after="0" w:line="203"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8"/>
          <w:szCs w:val="18"/>
          <w:color w:val="auto"/>
        </w:rPr>
        <w:t>20% of the $100 office supplies = $20 allocable to the</w:t>
      </w:r>
    </w:p>
    <w:p>
      <w:pPr>
        <w:jc w:val="center"/>
        <w:ind w:right="879"/>
        <w:spacing w:after="0" w:line="238" w:lineRule="auto"/>
        <w:rPr>
          <w:sz w:val="20"/>
          <w:szCs w:val="20"/>
          <w:color w:val="auto"/>
        </w:rPr>
      </w:pPr>
      <w:r>
        <w:rPr>
          <w:rFonts w:ascii="Courier New" w:cs="Courier New" w:eastAsia="Courier New" w:hAnsi="Courier New"/>
          <w:sz w:val="18"/>
          <w:szCs w:val="18"/>
          <w:color w:val="auto"/>
        </w:rPr>
        <w:t>Servicing Employees</w:t>
      </w:r>
    </w:p>
    <w:p>
      <w:pPr>
        <w:spacing w:after="0" w:line="207" w:lineRule="exact"/>
        <w:rPr>
          <w:sz w:val="20"/>
          <w:szCs w:val="20"/>
          <w:color w:val="auto"/>
        </w:rPr>
      </w:pPr>
    </w:p>
    <w:p>
      <w:pPr>
        <w:jc w:val="both"/>
        <w:ind w:left="860" w:right="1739"/>
        <w:spacing w:after="0" w:line="279" w:lineRule="auto"/>
        <w:rPr>
          <w:sz w:val="20"/>
          <w:szCs w:val="20"/>
          <w:color w:val="auto"/>
        </w:rPr>
      </w:pPr>
      <w:r>
        <w:rPr>
          <w:rFonts w:ascii="Courier New" w:cs="Courier New" w:eastAsia="Courier New" w:hAnsi="Courier New"/>
          <w:sz w:val="16"/>
          <w:szCs w:val="16"/>
          <w:color w:val="auto"/>
        </w:rPr>
        <w:t>So, based solely on employee headcount, $20 of the total $100 of office supplies are allocable to the Servicing Employees, but a portion of that should be allocable to RECEIVING PARTY.</w:t>
      </w:r>
    </w:p>
    <w:p>
      <w:pPr>
        <w:spacing w:after="0" w:line="178" w:lineRule="exact"/>
        <w:rPr>
          <w:sz w:val="20"/>
          <w:szCs w:val="20"/>
          <w:color w:val="auto"/>
        </w:rPr>
      </w:pPr>
    </w:p>
    <w:p>
      <w:pPr>
        <w:jc w:val="center"/>
        <w:ind w:left="800" w:right="1679"/>
        <w:spacing w:after="0" w:line="237" w:lineRule="auto"/>
        <w:rPr>
          <w:sz w:val="20"/>
          <w:szCs w:val="20"/>
          <w:color w:val="auto"/>
        </w:rPr>
      </w:pPr>
      <w:r>
        <w:rPr>
          <w:rFonts w:ascii="Courier New" w:cs="Courier New" w:eastAsia="Courier New" w:hAnsi="Courier New"/>
          <w:sz w:val="18"/>
          <w:szCs w:val="18"/>
          <w:color w:val="auto"/>
        </w:rPr>
        <w:t>Third, to determine that portion of the Full Departmental Costs allocable to the Servicing Employees that is allocable to providing services to RECEIVING PARTY and its Subsidiaries, we determine the average work time percentage of the Servicing Employees:</w:t>
      </w:r>
    </w:p>
    <w:p>
      <w:pPr>
        <w:spacing w:after="0" w:line="203"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8"/>
          <w:szCs w:val="18"/>
          <w:color w:val="auto"/>
        </w:rPr>
        <w:t>So, if:</w:t>
      </w:r>
    </w:p>
    <w:p>
      <w:pPr>
        <w:spacing w:after="0" w:line="201"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8"/>
          <w:szCs w:val="18"/>
          <w:color w:val="auto"/>
        </w:rPr>
        <w:t>2 employee spend 50% of their time on services for RECEIVING</w:t>
      </w:r>
    </w:p>
    <w:p>
      <w:pPr>
        <w:spacing w:after="0" w:line="4"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6"/>
          <w:szCs w:val="16"/>
          <w:color w:val="auto"/>
        </w:rPr>
        <w:t>PARTY, and 2 employees spend 10% of their time on services for</w:t>
      </w:r>
    </w:p>
    <w:p>
      <w:pPr>
        <w:spacing w:after="0" w:line="16"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8"/>
          <w:szCs w:val="18"/>
          <w:color w:val="auto"/>
        </w:rPr>
        <w:t>RECEIVING PARTY,</w:t>
      </w:r>
    </w:p>
    <w:p>
      <w:pPr>
        <w:spacing w:after="0" w:line="201"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8"/>
          <w:szCs w:val="18"/>
          <w:color w:val="auto"/>
        </w:rPr>
        <w:t>then the average work time percentage for these 4 Servicing</w:t>
      </w:r>
    </w:p>
    <w:p>
      <w:pPr>
        <w:jc w:val="center"/>
        <w:ind w:right="879"/>
        <w:spacing w:after="0" w:line="238" w:lineRule="auto"/>
        <w:rPr>
          <w:sz w:val="20"/>
          <w:szCs w:val="20"/>
          <w:color w:val="auto"/>
        </w:rPr>
      </w:pPr>
      <w:r>
        <w:rPr>
          <w:rFonts w:ascii="Courier New" w:cs="Courier New" w:eastAsia="Courier New" w:hAnsi="Courier New"/>
          <w:sz w:val="18"/>
          <w:szCs w:val="18"/>
          <w:color w:val="auto"/>
        </w:rPr>
        <w:t>Employees is:</w:t>
      </w:r>
    </w:p>
    <w:p>
      <w:pPr>
        <w:spacing w:after="0" w:line="207"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(50 + 50 + 10 + 10) = 120 / 4 = 30% average work time</w:t>
      </w:r>
    </w:p>
    <w:p>
      <w:pPr>
        <w:spacing w:after="0" w:line="16"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8"/>
          <w:szCs w:val="18"/>
          <w:color w:val="auto"/>
        </w:rPr>
        <w:t>percentage</w:t>
      </w:r>
    </w:p>
    <w:p>
      <w:pPr>
        <w:spacing w:after="0" w:line="207" w:lineRule="exact"/>
        <w:rPr>
          <w:sz w:val="20"/>
          <w:szCs w:val="20"/>
          <w:color w:val="auto"/>
        </w:rPr>
      </w:pPr>
    </w:p>
    <w:p>
      <w:pPr>
        <w:jc w:val="center"/>
        <w:ind w:left="800" w:right="1679"/>
        <w:spacing w:after="0" w:line="236" w:lineRule="auto"/>
        <w:rPr>
          <w:sz w:val="20"/>
          <w:szCs w:val="20"/>
          <w:color w:val="auto"/>
        </w:rPr>
      </w:pPr>
      <w:r>
        <w:rPr>
          <w:rFonts w:ascii="Courier New" w:cs="Courier New" w:eastAsia="Courier New" w:hAnsi="Courier New"/>
          <w:sz w:val="18"/>
          <w:szCs w:val="18"/>
          <w:color w:val="auto"/>
        </w:rPr>
        <w:t>Fourth, apply the average work time percentage of the Servicing Employees in this department/cost center to their share of the total Full Departmental Costs:</w:t>
      </w:r>
    </w:p>
    <w:p>
      <w:pPr>
        <w:spacing w:after="0" w:line="209" w:lineRule="exact"/>
        <w:rPr>
          <w:sz w:val="20"/>
          <w:szCs w:val="20"/>
          <w:color w:val="auto"/>
        </w:rPr>
      </w:pPr>
    </w:p>
    <w:p>
      <w:pPr>
        <w:ind w:left="1540" w:right="2059" w:hanging="368"/>
        <w:spacing w:after="0" w:line="290" w:lineRule="auto"/>
        <w:rPr>
          <w:sz w:val="20"/>
          <w:szCs w:val="20"/>
          <w:color w:val="auto"/>
        </w:rPr>
      </w:pPr>
      <w:r>
        <w:rPr>
          <w:rFonts w:ascii="Courier New" w:cs="Courier New" w:eastAsia="Courier New" w:hAnsi="Courier New"/>
          <w:sz w:val="16"/>
          <w:szCs w:val="16"/>
          <w:color w:val="auto"/>
        </w:rPr>
        <w:t>30% (average work time percentage) of the $20 of office supplies allocable to these Servicing Employees: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80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9019"/>
          </w:cols>
          <w:pgMar w:left="1440" w:top="514" w:right="1440" w:bottom="1440" w:gutter="0" w:footer="0" w:header="0"/>
        </w:sectPr>
      </w:pPr>
    </w:p>
    <w:bookmarkStart w:id="241" w:name="page242"/>
    <w:bookmarkEnd w:id="241"/>
    <w:p>
      <w:pPr>
        <w:jc w:val="center"/>
        <w:ind w:right="789"/>
        <w:spacing w:after="0"/>
        <w:rPr>
          <w:sz w:val="20"/>
          <w:szCs w:val="20"/>
          <w:color w:val="auto"/>
        </w:rPr>
      </w:pPr>
      <w:r>
        <w:rPr>
          <w:rFonts w:ascii="Courier New" w:cs="Courier New" w:eastAsia="Courier New" w:hAnsi="Courier New"/>
          <w:sz w:val="16"/>
          <w:szCs w:val="16"/>
          <w:color w:val="auto"/>
        </w:rPr>
        <w:t>30% x $20 = $6.00 allocable to providing services to RECEIVING</w:t>
      </w:r>
    </w:p>
    <w:p>
      <w:pPr>
        <w:spacing w:after="0" w:line="16" w:lineRule="exact"/>
        <w:rPr>
          <w:sz w:val="20"/>
          <w:szCs w:val="20"/>
          <w:color w:val="auto"/>
        </w:rPr>
      </w:pPr>
    </w:p>
    <w:p>
      <w:pPr>
        <w:jc w:val="center"/>
        <w:ind w:right="789"/>
        <w:spacing w:after="0"/>
        <w:rPr>
          <w:sz w:val="20"/>
          <w:szCs w:val="20"/>
          <w:color w:val="auto"/>
        </w:rPr>
      </w:pPr>
      <w:r>
        <w:rPr>
          <w:rFonts w:ascii="Courier New" w:cs="Courier New" w:eastAsia="Courier New" w:hAnsi="Courier New"/>
          <w:sz w:val="18"/>
          <w:szCs w:val="18"/>
          <w:color w:val="auto"/>
        </w:rPr>
        <w:t>PARTY</w:t>
      </w:r>
    </w:p>
    <w:p>
      <w:pPr>
        <w:spacing w:after="0" w:line="207" w:lineRule="exact"/>
        <w:rPr>
          <w:sz w:val="20"/>
          <w:szCs w:val="20"/>
          <w:color w:val="auto"/>
        </w:rPr>
      </w:pPr>
    </w:p>
    <w:p>
      <w:pPr>
        <w:jc w:val="center"/>
        <w:ind w:left="2240" w:right="60"/>
        <w:spacing w:after="0" w:line="236" w:lineRule="auto"/>
        <w:rPr>
          <w:sz w:val="20"/>
          <w:szCs w:val="20"/>
          <w:color w:val="auto"/>
        </w:rPr>
      </w:pPr>
      <w:r>
        <w:rPr>
          <w:rFonts w:ascii="Courier New" w:cs="Courier New" w:eastAsia="Courier New" w:hAnsi="Courier New"/>
          <w:sz w:val="18"/>
          <w:szCs w:val="18"/>
          <w:color w:val="auto"/>
        </w:rPr>
        <w:t>In this example, $6.00 of the Full Departmental Costs for the $100 of office supplies for this department/cost center will be allocated to RECEIVING PARTY.</w:t>
      </w:r>
    </w:p>
    <w:p>
      <w:pPr>
        <w:spacing w:after="0" w:line="209" w:lineRule="exact"/>
        <w:rPr>
          <w:sz w:val="20"/>
          <w:szCs w:val="20"/>
          <w:color w:val="auto"/>
        </w:rPr>
      </w:pPr>
    </w:p>
    <w:p>
      <w:pPr>
        <w:jc w:val="center"/>
        <w:ind w:left="1051" w:right="1839" w:hanging="840"/>
        <w:spacing w:after="0" w:line="268" w:lineRule="auto"/>
        <w:tabs>
          <w:tab w:leader="none" w:pos="1156"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Limited Departmental (Overhead) Costs for FNT Transferred Employees: Allocation Based on Employee Head Count. Limited</w:t>
      </w:r>
    </w:p>
    <w:p>
      <w:pPr>
        <w:jc w:val="center"/>
        <w:ind w:left="2240"/>
        <w:spacing w:after="0" w:line="238" w:lineRule="auto"/>
        <w:rPr>
          <w:sz w:val="20"/>
          <w:szCs w:val="20"/>
          <w:color w:val="auto"/>
        </w:rPr>
      </w:pPr>
      <w:r>
        <w:rPr>
          <w:rFonts w:ascii="Courier New" w:cs="Courier New" w:eastAsia="Courier New" w:hAnsi="Courier New"/>
          <w:sz w:val="18"/>
          <w:szCs w:val="18"/>
          <w:color w:val="auto"/>
        </w:rPr>
        <w:t>Departmental Costs of each department/cost center of PROVIDING PARTY that has Transferred Employees (i.e., RECEIVING PARTY employees who are not Servicing Employees of PROVIDING PARTY, but who are physically located within such department/cost center, such as persons who are former PROVIDING PARTY employees who have been transferred to RECEIVING PARTY but whose office is still housed with their former department/cost center) shall be allocated to RECEIVING PARTY based on employee head count, determined by applying a percentage reflecting the number of Transferred Employees in that department/cost center, in relation to the number of all employees in the department/cost center.</w:t>
      </w:r>
    </w:p>
    <w:p>
      <w:pPr>
        <w:spacing w:after="0" w:line="201" w:lineRule="exact"/>
        <w:rPr>
          <w:sz w:val="20"/>
          <w:szCs w:val="20"/>
          <w:color w:val="auto"/>
        </w:rPr>
      </w:pPr>
    </w:p>
    <w:p>
      <w:pPr>
        <w:jc w:val="center"/>
        <w:ind w:right="789"/>
        <w:spacing w:after="0"/>
        <w:rPr>
          <w:sz w:val="20"/>
          <w:szCs w:val="20"/>
          <w:color w:val="auto"/>
        </w:rPr>
      </w:pPr>
      <w:r>
        <w:rPr>
          <w:rFonts w:ascii="Courier New" w:cs="Courier New" w:eastAsia="Courier New" w:hAnsi="Courier New"/>
          <w:sz w:val="18"/>
          <w:szCs w:val="18"/>
          <w:color w:val="auto"/>
        </w:rPr>
        <w:t>By way of example, assume that in a PROVIDING PARTY</w:t>
      </w:r>
    </w:p>
    <w:p>
      <w:pPr>
        <w:spacing w:after="0" w:line="4" w:lineRule="exact"/>
        <w:rPr>
          <w:sz w:val="20"/>
          <w:szCs w:val="20"/>
          <w:color w:val="auto"/>
        </w:rPr>
      </w:pPr>
    </w:p>
    <w:p>
      <w:pPr>
        <w:jc w:val="center"/>
        <w:ind w:left="2240" w:right="60"/>
        <w:spacing w:after="0" w:line="237" w:lineRule="auto"/>
        <w:rPr>
          <w:sz w:val="20"/>
          <w:szCs w:val="20"/>
          <w:color w:val="auto"/>
        </w:rPr>
      </w:pPr>
      <w:r>
        <w:rPr>
          <w:rFonts w:ascii="Courier New" w:cs="Courier New" w:eastAsia="Courier New" w:hAnsi="Courier New"/>
          <w:sz w:val="18"/>
          <w:szCs w:val="18"/>
          <w:color w:val="auto"/>
        </w:rPr>
        <w:t>department/cost center, there are 10 employees, 2 of whom are Transferred Employees now employed by RECEIVING PARTY. The portion of the Limited Departmental Costs that will be allocated to RECEIVING PARTY as follows:</w:t>
      </w:r>
    </w:p>
    <w:p>
      <w:pPr>
        <w:spacing w:after="0" w:line="202" w:lineRule="exact"/>
        <w:rPr>
          <w:sz w:val="20"/>
          <w:szCs w:val="20"/>
          <w:color w:val="auto"/>
        </w:rPr>
      </w:pPr>
    </w:p>
    <w:p>
      <w:pPr>
        <w:jc w:val="center"/>
        <w:ind w:right="-170"/>
        <w:spacing w:after="0"/>
        <w:rPr>
          <w:sz w:val="20"/>
          <w:szCs w:val="20"/>
          <w:color w:val="auto"/>
        </w:rPr>
      </w:pPr>
      <w:r>
        <w:rPr>
          <w:rFonts w:ascii="Courier New" w:cs="Courier New" w:eastAsia="Courier New" w:hAnsi="Courier New"/>
          <w:sz w:val="18"/>
          <w:szCs w:val="18"/>
          <w:color w:val="auto"/>
        </w:rPr>
        <w:t>2 Transferred Employees / 10 Total Department</w:t>
      </w:r>
    </w:p>
    <w:p>
      <w:pPr>
        <w:jc w:val="center"/>
        <w:ind w:right="-170"/>
        <w:spacing w:after="0" w:line="238" w:lineRule="auto"/>
        <w:rPr>
          <w:sz w:val="20"/>
          <w:szCs w:val="20"/>
          <w:color w:val="auto"/>
        </w:rPr>
      </w:pPr>
      <w:r>
        <w:rPr>
          <w:rFonts w:ascii="Courier New" w:cs="Courier New" w:eastAsia="Courier New" w:hAnsi="Courier New"/>
          <w:sz w:val="18"/>
          <w:szCs w:val="18"/>
          <w:color w:val="auto"/>
        </w:rPr>
        <w:t>Employees = 20%.</w:t>
      </w:r>
    </w:p>
    <w:p>
      <w:pPr>
        <w:spacing w:after="0" w:line="207" w:lineRule="exact"/>
        <w:rPr>
          <w:sz w:val="20"/>
          <w:szCs w:val="20"/>
          <w:color w:val="auto"/>
        </w:rPr>
      </w:pPr>
    </w:p>
    <w:p>
      <w:pPr>
        <w:jc w:val="center"/>
        <w:ind w:right="789"/>
        <w:spacing w:after="0"/>
        <w:rPr>
          <w:sz w:val="20"/>
          <w:szCs w:val="20"/>
          <w:color w:val="auto"/>
        </w:rPr>
      </w:pPr>
      <w:r>
        <w:rPr>
          <w:rFonts w:ascii="Courier New" w:cs="Courier New" w:eastAsia="Courier New" w:hAnsi="Courier New"/>
          <w:sz w:val="16"/>
          <w:szCs w:val="16"/>
          <w:color w:val="auto"/>
        </w:rPr>
        <w:t>In this example, 20% of the Limited Departmental Costs of this</w:t>
      </w:r>
    </w:p>
    <w:p>
      <w:pPr>
        <w:spacing w:after="0" w:line="16" w:lineRule="exact"/>
        <w:rPr>
          <w:sz w:val="20"/>
          <w:szCs w:val="20"/>
          <w:color w:val="auto"/>
        </w:rPr>
      </w:pPr>
    </w:p>
    <w:p>
      <w:pPr>
        <w:jc w:val="center"/>
        <w:ind w:right="789"/>
        <w:spacing w:after="0"/>
        <w:rPr>
          <w:sz w:val="20"/>
          <w:szCs w:val="20"/>
          <w:color w:val="auto"/>
        </w:rPr>
      </w:pPr>
      <w:r>
        <w:rPr>
          <w:rFonts w:ascii="Courier New" w:cs="Courier New" w:eastAsia="Courier New" w:hAnsi="Courier New"/>
          <w:sz w:val="18"/>
          <w:szCs w:val="18"/>
          <w:color w:val="auto"/>
        </w:rPr>
        <w:t>department/cost center will be allocated to RECEIVING PARTY.</w:t>
      </w:r>
    </w:p>
    <w:p>
      <w:pPr>
        <w:spacing w:after="0" w:line="207" w:lineRule="exact"/>
        <w:rPr>
          <w:sz w:val="20"/>
          <w:szCs w:val="20"/>
          <w:color w:val="auto"/>
        </w:rPr>
      </w:pPr>
    </w:p>
    <w:p>
      <w:pPr>
        <w:jc w:val="center"/>
        <w:ind w:left="1051" w:right="1739" w:hanging="1051"/>
        <w:spacing w:after="0" w:line="268" w:lineRule="auto"/>
        <w:tabs>
          <w:tab w:leader="none" w:pos="945"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Update of Servicing Employee Work Percentages and Transferred Employee Head Count: At Least Every 6 Months. Except to the</w:t>
      </w:r>
    </w:p>
    <w:p>
      <w:pPr>
        <w:jc w:val="center"/>
        <w:ind w:left="2240"/>
        <w:spacing w:after="0" w:line="238" w:lineRule="auto"/>
        <w:rPr>
          <w:sz w:val="20"/>
          <w:szCs w:val="20"/>
          <w:color w:val="auto"/>
        </w:rPr>
      </w:pPr>
      <w:r>
        <w:rPr>
          <w:rFonts w:ascii="Courier New" w:cs="Courier New" w:eastAsia="Courier New" w:hAnsi="Courier New"/>
          <w:sz w:val="18"/>
          <w:szCs w:val="18"/>
          <w:color w:val="auto"/>
        </w:rPr>
        <w:t>extent otherwise expressly provided herein, for any given 6-month period, all Direct Employee Compensation to be allocated shall be so allocated on the basis of the applicable work time percentage determined as of the most recent work time percentage review undertaken by PROVIDING PARTY (each a "Work Time Percentage Review"). Work Time Percentage Reviews for all Servicing Employees shall be re-examined and updated by PROVIDING PARTY no less frequently than every 6 months, with the first update after the Effective Date to occur in June 2006. Direct Employee Compensation allocations applicable on the Effective Date and continuing until the completion of the June 2006 Work Time Percentage Review shall be based on the Work Time Percentage Review undertaken for the calendar month October 2005. Full Departmental Costs and Limited Departmental Costs will be allocated based on the head count (and, if applicable, the work time percentage) determined as of the most recent Work Time Percentage Review. Without limiting the foregoing, changes in work time percentages based on an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011"/>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9110"/>
          </w:cols>
          <w:pgMar w:left="1349" w:top="520" w:right="1440" w:bottom="1440" w:gutter="0" w:footer="0" w:header="0"/>
        </w:sectPr>
      </w:pPr>
    </w:p>
    <w:bookmarkStart w:id="242" w:name="page243"/>
    <w:bookmarkEnd w:id="242"/>
    <w:p>
      <w:pPr>
        <w:jc w:val="center"/>
        <w:ind w:right="736"/>
        <w:spacing w:after="0"/>
        <w:rPr>
          <w:sz w:val="20"/>
          <w:szCs w:val="20"/>
          <w:color w:val="auto"/>
        </w:rPr>
      </w:pPr>
      <w:r>
        <w:rPr>
          <w:rFonts w:ascii="Courier New" w:cs="Courier New" w:eastAsia="Courier New" w:hAnsi="Courier New"/>
          <w:sz w:val="18"/>
          <w:szCs w:val="18"/>
          <w:color w:val="auto"/>
        </w:rPr>
        <w:t>updated Work Time Percentage Review shall be reviewed and</w:t>
      </w:r>
    </w:p>
    <w:p>
      <w:pPr>
        <w:jc w:val="center"/>
        <w:ind w:right="736"/>
        <w:spacing w:after="0" w:line="238" w:lineRule="auto"/>
        <w:rPr>
          <w:sz w:val="20"/>
          <w:szCs w:val="20"/>
          <w:color w:val="auto"/>
        </w:rPr>
      </w:pPr>
      <w:r>
        <w:rPr>
          <w:rFonts w:ascii="Courier New" w:cs="Courier New" w:eastAsia="Courier New" w:hAnsi="Courier New"/>
          <w:sz w:val="18"/>
          <w:szCs w:val="18"/>
          <w:color w:val="auto"/>
        </w:rPr>
        <w:t>approved by a full-time FNT employee.</w:t>
      </w:r>
    </w:p>
    <w:p>
      <w:pPr>
        <w:spacing w:after="0" w:line="207" w:lineRule="exact"/>
        <w:rPr>
          <w:sz w:val="20"/>
          <w:szCs w:val="20"/>
          <w:color w:val="auto"/>
        </w:rPr>
      </w:pPr>
    </w:p>
    <w:p>
      <w:pPr>
        <w:ind w:left="943" w:hanging="943"/>
        <w:spacing w:after="0"/>
        <w:tabs>
          <w:tab w:leader="none" w:pos="943"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Terminated or Discontinued Services. If at any time during the</w:t>
      </w:r>
    </w:p>
    <w:p>
      <w:pPr>
        <w:spacing w:after="0" w:line="16" w:lineRule="exact"/>
        <w:rPr>
          <w:sz w:val="20"/>
          <w:szCs w:val="20"/>
          <w:color w:val="auto"/>
        </w:rPr>
      </w:pPr>
    </w:p>
    <w:p>
      <w:pPr>
        <w:jc w:val="center"/>
        <w:ind w:right="736"/>
        <w:spacing w:after="0"/>
        <w:rPr>
          <w:sz w:val="20"/>
          <w:szCs w:val="20"/>
          <w:color w:val="auto"/>
        </w:rPr>
      </w:pPr>
      <w:r>
        <w:rPr>
          <w:rFonts w:ascii="Courier New" w:cs="Courier New" w:eastAsia="Courier New" w:hAnsi="Courier New"/>
          <w:sz w:val="18"/>
          <w:szCs w:val="18"/>
          <w:color w:val="auto"/>
        </w:rPr>
        <w:t>Term of this Agreement RECEIVING PARTY terminates or</w:t>
      </w:r>
    </w:p>
    <w:p>
      <w:pPr>
        <w:spacing w:after="0" w:line="4" w:lineRule="exact"/>
        <w:rPr>
          <w:sz w:val="20"/>
          <w:szCs w:val="20"/>
          <w:color w:val="auto"/>
        </w:rPr>
      </w:pPr>
    </w:p>
    <w:p>
      <w:pPr>
        <w:jc w:val="center"/>
        <w:ind w:left="2240"/>
        <w:spacing w:after="0" w:line="272" w:lineRule="auto"/>
        <w:rPr>
          <w:sz w:val="20"/>
          <w:szCs w:val="20"/>
          <w:color w:val="auto"/>
        </w:rPr>
      </w:pPr>
      <w:r>
        <w:rPr>
          <w:rFonts w:ascii="Courier New" w:cs="Courier New" w:eastAsia="Courier New" w:hAnsi="Courier New"/>
          <w:sz w:val="16"/>
          <w:szCs w:val="16"/>
          <w:color w:val="auto"/>
        </w:rPr>
        <w:t>discontinues all or any portion of a Corporate Service prior to the end of the Term or if any Corporate Service (or portion thereof) automatically terminates, pursuant to Section 2.2(b) (hereinafter referred to as a "Discontinued Service"), then effective as of the last day of the calendar month in which such termination or discontinuation is effective, Corporate Service Fees related to the Discontinued Service shall no longer be owing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583"/>
        <w:spacing w:after="0"/>
        <w:rPr>
          <w:sz w:val="20"/>
          <w:szCs w:val="20"/>
          <w:color w:val="auto"/>
        </w:rPr>
      </w:pPr>
      <w:r>
        <w:rPr>
          <w:rFonts w:ascii="Courier New" w:cs="Courier New" w:eastAsia="Courier New" w:hAnsi="Courier New"/>
          <w:sz w:val="18"/>
          <w:szCs w:val="18"/>
          <w:color w:val="auto"/>
        </w:rPr>
        <w:t>LLGM JK233003</w:t>
      </w:r>
    </w:p>
    <w:p>
      <w:pPr>
        <w:spacing w:after="0" w:line="200" w:lineRule="exact"/>
        <w:rPr>
          <w:sz w:val="20"/>
          <w:szCs w:val="20"/>
          <w:color w:val="auto"/>
        </w:rPr>
      </w:pPr>
    </w:p>
    <w:p>
      <w:pPr>
        <w:spacing w:after="0" w:line="204" w:lineRule="exact"/>
        <w:rPr>
          <w:sz w:val="20"/>
          <w:szCs w:val="20"/>
          <w:color w:val="auto"/>
        </w:rPr>
      </w:pPr>
    </w:p>
    <w:p>
      <w:pPr>
        <w:ind w:left="5103"/>
        <w:spacing w:after="0"/>
        <w:rPr>
          <w:sz w:val="20"/>
          <w:szCs w:val="20"/>
          <w:color w:val="auto"/>
        </w:rPr>
      </w:pPr>
      <w:r>
        <w:rPr>
          <w:rFonts w:ascii="Courier New" w:cs="Courier New" w:eastAsia="Courier New" w:hAnsi="Courier New"/>
          <w:sz w:val="18"/>
          <w:szCs w:val="18"/>
          <w:color w:val="auto"/>
        </w:rPr>
        <w:t>-v-</w:t>
      </w:r>
    </w:p>
    <w:p>
      <w:pPr>
        <w:sectPr>
          <w:pgSz w:w="11900" w:h="16838" w:orient="portrait"/>
          <w:cols w:equalWidth="0" w:num="1">
            <w:col w:w="9162"/>
          </w:cols>
          <w:pgMar w:left="1297" w:top="515" w:right="1440"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04"/>
        </w:trPr>
        <w:tc>
          <w:tcPr>
            <w:tcW w:w="7060" w:type="dxa"/>
            <w:vAlign w:val="bottom"/>
          </w:tcPr>
          <w:p>
            <w:pPr>
              <w:spacing w:after="0"/>
              <w:rPr>
                <w:sz w:val="17"/>
                <w:szCs w:val="17"/>
                <w:color w:val="auto"/>
              </w:rPr>
            </w:pP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EXHIBIT 21.1</w:t>
            </w:r>
          </w:p>
        </w:tc>
      </w:tr>
      <w:tr>
        <w:trPr>
          <w:trHeight w:val="405"/>
        </w:trPr>
        <w:tc>
          <w:tcPr>
            <w:tcW w:w="8640" w:type="dxa"/>
            <w:vAlign w:val="bottom"/>
            <w:gridSpan w:val="2"/>
          </w:tcPr>
          <w:p>
            <w:pPr>
              <w:ind w:left="3700"/>
              <w:spacing w:after="0"/>
              <w:rPr>
                <w:sz w:val="20"/>
                <w:szCs w:val="20"/>
                <w:color w:val="auto"/>
              </w:rPr>
            </w:pPr>
            <w:r>
              <w:rPr>
                <w:rFonts w:ascii="Courier New" w:cs="Courier New" w:eastAsia="Courier New" w:hAnsi="Courier New"/>
                <w:sz w:val="18"/>
                <w:szCs w:val="18"/>
                <w:color w:val="auto"/>
              </w:rPr>
              <w:t>FIDELITY NATIONAL TITLE GROUP, INC.</w:t>
            </w:r>
          </w:p>
        </w:tc>
      </w:tr>
      <w:tr>
        <w:trPr>
          <w:trHeight w:val="203"/>
        </w:trPr>
        <w:tc>
          <w:tcPr>
            <w:tcW w:w="7060" w:type="dxa"/>
            <w:vAlign w:val="bottom"/>
          </w:tcPr>
          <w:p>
            <w:pPr>
              <w:ind w:left="4540"/>
              <w:spacing w:after="0" w:line="203" w:lineRule="exact"/>
              <w:rPr>
                <w:sz w:val="20"/>
                <w:szCs w:val="20"/>
                <w:color w:val="auto"/>
              </w:rPr>
            </w:pPr>
            <w:r>
              <w:rPr>
                <w:rFonts w:ascii="Courier New" w:cs="Courier New" w:eastAsia="Courier New" w:hAnsi="Courier New"/>
                <w:sz w:val="18"/>
                <w:szCs w:val="18"/>
                <w:color w:val="auto"/>
                <w:w w:val="96"/>
              </w:rPr>
              <w:t>10K List of subsidiaries</w:t>
            </w:r>
          </w:p>
        </w:tc>
        <w:tc>
          <w:tcPr>
            <w:tcW w:w="1580" w:type="dxa"/>
            <w:vAlign w:val="bottom"/>
          </w:tcPr>
          <w:p>
            <w:pPr>
              <w:spacing w:after="0"/>
              <w:rPr>
                <w:sz w:val="17"/>
                <w:szCs w:val="17"/>
                <w:color w:val="auto"/>
              </w:rPr>
            </w:pPr>
          </w:p>
        </w:tc>
      </w:tr>
      <w:tr>
        <w:trPr>
          <w:trHeight w:val="405"/>
        </w:trPr>
        <w:tc>
          <w:tcPr>
            <w:tcW w:w="7060" w:type="dxa"/>
            <w:vAlign w:val="bottom"/>
          </w:tcPr>
          <w:p>
            <w:pPr>
              <w:ind w:left="5640"/>
              <w:spacing w:after="0"/>
              <w:rPr>
                <w:sz w:val="20"/>
                <w:szCs w:val="20"/>
                <w:color w:val="auto"/>
              </w:rPr>
            </w:pPr>
            <w:r>
              <w:rPr>
                <w:rFonts w:ascii="Courier New" w:cs="Courier New" w:eastAsia="Courier New" w:hAnsi="Courier New"/>
                <w:sz w:val="18"/>
                <w:szCs w:val="18"/>
                <w:color w:val="auto"/>
              </w:rPr>
              <w:t>12/31/2005</w:t>
            </w:r>
          </w:p>
        </w:tc>
        <w:tc>
          <w:tcPr>
            <w:tcW w:w="1580" w:type="dxa"/>
            <w:vAlign w:val="bottom"/>
          </w:tcPr>
          <w:p>
            <w:pPr>
              <w:spacing w:after="0"/>
              <w:rPr>
                <w:sz w:val="24"/>
                <w:szCs w:val="24"/>
                <w:color w:val="auto"/>
              </w:rPr>
            </w:pPr>
          </w:p>
        </w:tc>
      </w:tr>
      <w:tr>
        <w:trPr>
          <w:trHeight w:val="810"/>
        </w:trPr>
        <w:tc>
          <w:tcPr>
            <w:tcW w:w="7060" w:type="dxa"/>
            <w:vAlign w:val="bottom"/>
          </w:tcPr>
          <w:p>
            <w:pPr>
              <w:ind w:left="160"/>
              <w:spacing w:after="0"/>
              <w:rPr>
                <w:sz w:val="20"/>
                <w:szCs w:val="20"/>
                <w:color w:val="auto"/>
              </w:rPr>
            </w:pPr>
            <w:r>
              <w:rPr>
                <w:rFonts w:ascii="Courier New" w:cs="Courier New" w:eastAsia="Courier New" w:hAnsi="Courier New"/>
                <w:sz w:val="18"/>
                <w:szCs w:val="18"/>
                <w:color w:val="auto"/>
              </w:rPr>
              <w:t>COMPANY</w:t>
            </w: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INCORPORATION</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7060" w:type="dxa"/>
            <w:vAlign w:val="bottom"/>
          </w:tcPr>
          <w:p>
            <w:pPr>
              <w:ind w:left="580"/>
              <w:spacing w:after="0"/>
              <w:rPr>
                <w:sz w:val="20"/>
                <w:szCs w:val="20"/>
                <w:color w:val="auto"/>
              </w:rPr>
            </w:pPr>
            <w:r>
              <w:rPr>
                <w:rFonts w:ascii="Courier New" w:cs="Courier New" w:eastAsia="Courier New" w:hAnsi="Courier New"/>
                <w:sz w:val="18"/>
                <w:szCs w:val="18"/>
                <w:color w:val="auto"/>
              </w:rPr>
              <w:t>2027267 Ontario Inc.</w:t>
            </w:r>
          </w:p>
        </w:tc>
        <w:tc>
          <w:tcPr>
            <w:tcW w:w="15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5"/>
              </w:rPr>
              <w:t>Canada</w:t>
            </w:r>
          </w:p>
        </w:tc>
      </w:tr>
      <w:tr>
        <w:trPr>
          <w:trHeight w:val="405"/>
        </w:trPr>
        <w:tc>
          <w:tcPr>
            <w:tcW w:w="7060" w:type="dxa"/>
            <w:vAlign w:val="bottom"/>
          </w:tcPr>
          <w:p>
            <w:pPr>
              <w:ind w:left="680"/>
              <w:spacing w:after="0"/>
              <w:rPr>
                <w:sz w:val="20"/>
                <w:szCs w:val="20"/>
                <w:color w:val="auto"/>
              </w:rPr>
            </w:pPr>
            <w:r>
              <w:rPr>
                <w:rFonts w:ascii="Courier New" w:cs="Courier New" w:eastAsia="Courier New" w:hAnsi="Courier New"/>
                <w:sz w:val="18"/>
                <w:szCs w:val="18"/>
                <w:color w:val="auto"/>
              </w:rPr>
              <w:t>Adnoram Settlement Agency of Ohio, LLC (50.1%)</w:t>
            </w:r>
          </w:p>
        </w:tc>
        <w:tc>
          <w:tcPr>
            <w:tcW w:w="15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Ohio</w:t>
            </w:r>
          </w:p>
        </w:tc>
      </w:tr>
      <w:tr>
        <w:trPr>
          <w:trHeight w:val="405"/>
        </w:trPr>
        <w:tc>
          <w:tcPr>
            <w:tcW w:w="7060" w:type="dxa"/>
            <w:vAlign w:val="bottom"/>
          </w:tcPr>
          <w:p>
            <w:pPr>
              <w:ind w:left="480"/>
              <w:spacing w:after="0"/>
              <w:rPr>
                <w:sz w:val="20"/>
                <w:szCs w:val="20"/>
                <w:color w:val="auto"/>
              </w:rPr>
            </w:pPr>
            <w:r>
              <w:rPr>
                <w:rFonts w:ascii="Courier New" w:cs="Courier New" w:eastAsia="Courier New" w:hAnsi="Courier New"/>
                <w:sz w:val="18"/>
                <w:szCs w:val="18"/>
                <w:color w:val="auto"/>
              </w:rPr>
              <w:t>Aero Records &amp; Title Co.</w:t>
            </w:r>
          </w:p>
        </w:tc>
        <w:tc>
          <w:tcPr>
            <w:tcW w:w="15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Oklahoma</w:t>
            </w:r>
          </w:p>
        </w:tc>
      </w:tr>
      <w:tr>
        <w:trPr>
          <w:trHeight w:val="405"/>
        </w:trPr>
        <w:tc>
          <w:tcPr>
            <w:tcW w:w="7060" w:type="dxa"/>
            <w:vAlign w:val="bottom"/>
          </w:tcPr>
          <w:p>
            <w:pPr>
              <w:ind w:left="640"/>
              <w:spacing w:after="0"/>
              <w:rPr>
                <w:sz w:val="20"/>
                <w:szCs w:val="20"/>
                <w:color w:val="auto"/>
              </w:rPr>
            </w:pPr>
            <w:r>
              <w:rPr>
                <w:rFonts w:ascii="Courier New" w:cs="Courier New" w:eastAsia="Courier New" w:hAnsi="Courier New"/>
                <w:sz w:val="18"/>
                <w:szCs w:val="18"/>
                <w:color w:val="auto"/>
              </w:rPr>
              <w:t>Alamo Title Company</w:t>
            </w:r>
          </w:p>
        </w:tc>
        <w:tc>
          <w:tcPr>
            <w:tcW w:w="15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Texas</w:t>
            </w:r>
          </w:p>
        </w:tc>
      </w:tr>
      <w:tr>
        <w:trPr>
          <w:trHeight w:val="405"/>
        </w:trPr>
        <w:tc>
          <w:tcPr>
            <w:tcW w:w="7060" w:type="dxa"/>
            <w:vAlign w:val="bottom"/>
          </w:tcPr>
          <w:p>
            <w:pPr>
              <w:ind w:left="640"/>
              <w:spacing w:after="0"/>
              <w:rPr>
                <w:sz w:val="20"/>
                <w:szCs w:val="20"/>
                <w:color w:val="auto"/>
              </w:rPr>
            </w:pPr>
            <w:r>
              <w:rPr>
                <w:rFonts w:ascii="Courier New" w:cs="Courier New" w:eastAsia="Courier New" w:hAnsi="Courier New"/>
                <w:sz w:val="18"/>
                <w:szCs w:val="18"/>
                <w:color w:val="auto"/>
              </w:rPr>
              <w:t>Alamo Title Company of Brazoria County, Inc.</w:t>
            </w:r>
          </w:p>
        </w:tc>
        <w:tc>
          <w:tcPr>
            <w:tcW w:w="15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Texas</w:t>
            </w:r>
          </w:p>
        </w:tc>
      </w:tr>
      <w:tr>
        <w:trPr>
          <w:trHeight w:val="203"/>
        </w:trPr>
        <w:tc>
          <w:tcPr>
            <w:tcW w:w="7060" w:type="dxa"/>
            <w:vAlign w:val="bottom"/>
          </w:tcPr>
          <w:p>
            <w:pPr>
              <w:ind w:left="2900"/>
              <w:spacing w:after="0" w:line="203" w:lineRule="exact"/>
              <w:rPr>
                <w:sz w:val="20"/>
                <w:szCs w:val="20"/>
                <w:color w:val="auto"/>
              </w:rPr>
            </w:pPr>
            <w:r>
              <w:rPr>
                <w:rFonts w:ascii="Courier New" w:cs="Courier New" w:eastAsia="Courier New" w:hAnsi="Courier New"/>
                <w:sz w:val="18"/>
                <w:szCs w:val="18"/>
                <w:color w:val="auto"/>
              </w:rPr>
              <w:t>(d/b/a Alamo Title Company)</w:t>
            </w:r>
          </w:p>
        </w:tc>
        <w:tc>
          <w:tcPr>
            <w:tcW w:w="1580" w:type="dxa"/>
            <w:vAlign w:val="bottom"/>
          </w:tcPr>
          <w:p>
            <w:pPr>
              <w:spacing w:after="0"/>
              <w:rPr>
                <w:sz w:val="17"/>
                <w:szCs w:val="17"/>
                <w:color w:val="auto"/>
              </w:rPr>
            </w:pPr>
          </w:p>
        </w:tc>
      </w:tr>
      <w:tr>
        <w:trPr>
          <w:trHeight w:val="405"/>
        </w:trPr>
        <w:tc>
          <w:tcPr>
            <w:tcW w:w="7060" w:type="dxa"/>
            <w:vAlign w:val="bottom"/>
          </w:tcPr>
          <w:p>
            <w:pPr>
              <w:ind w:left="640"/>
              <w:spacing w:after="0"/>
              <w:rPr>
                <w:sz w:val="20"/>
                <w:szCs w:val="20"/>
                <w:color w:val="auto"/>
              </w:rPr>
            </w:pPr>
            <w:r>
              <w:rPr>
                <w:rFonts w:ascii="Courier New" w:cs="Courier New" w:eastAsia="Courier New" w:hAnsi="Courier New"/>
                <w:sz w:val="18"/>
                <w:szCs w:val="18"/>
                <w:color w:val="auto"/>
              </w:rPr>
              <w:t>Alamo Title Company of Harris County, Inc.</w:t>
            </w:r>
          </w:p>
        </w:tc>
        <w:tc>
          <w:tcPr>
            <w:tcW w:w="15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Texas</w:t>
            </w:r>
          </w:p>
        </w:tc>
      </w:tr>
      <w:tr>
        <w:trPr>
          <w:trHeight w:val="203"/>
        </w:trPr>
        <w:tc>
          <w:tcPr>
            <w:tcW w:w="7060" w:type="dxa"/>
            <w:vAlign w:val="bottom"/>
          </w:tcPr>
          <w:p>
            <w:pPr>
              <w:ind w:left="2900"/>
              <w:spacing w:after="0" w:line="203" w:lineRule="exact"/>
              <w:rPr>
                <w:sz w:val="20"/>
                <w:szCs w:val="20"/>
                <w:color w:val="auto"/>
              </w:rPr>
            </w:pPr>
            <w:r>
              <w:rPr>
                <w:rFonts w:ascii="Courier New" w:cs="Courier New" w:eastAsia="Courier New" w:hAnsi="Courier New"/>
                <w:sz w:val="18"/>
                <w:szCs w:val="18"/>
                <w:color w:val="auto"/>
              </w:rPr>
              <w:t>(d/b/a Alamo Title Company)</w:t>
            </w:r>
          </w:p>
        </w:tc>
        <w:tc>
          <w:tcPr>
            <w:tcW w:w="1580" w:type="dxa"/>
            <w:vAlign w:val="bottom"/>
          </w:tcPr>
          <w:p>
            <w:pPr>
              <w:spacing w:after="0"/>
              <w:rPr>
                <w:sz w:val="17"/>
                <w:szCs w:val="17"/>
                <w:color w:val="auto"/>
              </w:rPr>
            </w:pPr>
          </w:p>
        </w:tc>
      </w:tr>
      <w:tr>
        <w:trPr>
          <w:trHeight w:val="405"/>
        </w:trPr>
        <w:tc>
          <w:tcPr>
            <w:tcW w:w="7060" w:type="dxa"/>
            <w:vAlign w:val="bottom"/>
          </w:tcPr>
          <w:p>
            <w:pPr>
              <w:ind w:left="640"/>
              <w:spacing w:after="0"/>
              <w:rPr>
                <w:sz w:val="20"/>
                <w:szCs w:val="20"/>
                <w:color w:val="auto"/>
              </w:rPr>
            </w:pPr>
            <w:r>
              <w:rPr>
                <w:rFonts w:ascii="Courier New" w:cs="Courier New" w:eastAsia="Courier New" w:hAnsi="Courier New"/>
                <w:sz w:val="18"/>
                <w:szCs w:val="18"/>
                <w:color w:val="auto"/>
              </w:rPr>
              <w:t>Alamo Title Company of Tarrant County, Inc.</w:t>
            </w:r>
          </w:p>
        </w:tc>
        <w:tc>
          <w:tcPr>
            <w:tcW w:w="15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Texas</w:t>
            </w:r>
          </w:p>
        </w:tc>
      </w:tr>
      <w:tr>
        <w:trPr>
          <w:trHeight w:val="203"/>
        </w:trPr>
        <w:tc>
          <w:tcPr>
            <w:tcW w:w="7060" w:type="dxa"/>
            <w:vAlign w:val="bottom"/>
          </w:tcPr>
          <w:p>
            <w:pPr>
              <w:ind w:left="2900"/>
              <w:spacing w:after="0" w:line="203" w:lineRule="exact"/>
              <w:rPr>
                <w:sz w:val="20"/>
                <w:szCs w:val="20"/>
                <w:color w:val="auto"/>
              </w:rPr>
            </w:pPr>
            <w:r>
              <w:rPr>
                <w:rFonts w:ascii="Courier New" w:cs="Courier New" w:eastAsia="Courier New" w:hAnsi="Courier New"/>
                <w:sz w:val="18"/>
                <w:szCs w:val="18"/>
                <w:color w:val="auto"/>
              </w:rPr>
              <w:t>(d/b/a Alamo Title Company)</w:t>
            </w:r>
          </w:p>
        </w:tc>
        <w:tc>
          <w:tcPr>
            <w:tcW w:w="1580" w:type="dxa"/>
            <w:vAlign w:val="bottom"/>
          </w:tcPr>
          <w:p>
            <w:pPr>
              <w:spacing w:after="0"/>
              <w:rPr>
                <w:sz w:val="17"/>
                <w:szCs w:val="17"/>
                <w:color w:val="auto"/>
              </w:rPr>
            </w:pPr>
          </w:p>
        </w:tc>
      </w:tr>
      <w:tr>
        <w:trPr>
          <w:trHeight w:val="405"/>
        </w:trPr>
        <w:tc>
          <w:tcPr>
            <w:tcW w:w="7060" w:type="dxa"/>
            <w:vAlign w:val="bottom"/>
          </w:tcPr>
          <w:p>
            <w:pPr>
              <w:ind w:left="640"/>
              <w:spacing w:after="0"/>
              <w:rPr>
                <w:sz w:val="20"/>
                <w:szCs w:val="20"/>
                <w:color w:val="auto"/>
              </w:rPr>
            </w:pPr>
            <w:r>
              <w:rPr>
                <w:rFonts w:ascii="Courier New" w:cs="Courier New" w:eastAsia="Courier New" w:hAnsi="Courier New"/>
                <w:sz w:val="18"/>
                <w:szCs w:val="18"/>
                <w:color w:val="auto"/>
              </w:rPr>
              <w:t>Alamo Title Holding Company</w:t>
            </w:r>
          </w:p>
        </w:tc>
        <w:tc>
          <w:tcPr>
            <w:tcW w:w="15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Texas</w:t>
            </w:r>
          </w:p>
        </w:tc>
      </w:tr>
      <w:tr>
        <w:trPr>
          <w:trHeight w:val="405"/>
        </w:trPr>
        <w:tc>
          <w:tcPr>
            <w:tcW w:w="7060" w:type="dxa"/>
            <w:vAlign w:val="bottom"/>
          </w:tcPr>
          <w:p>
            <w:pPr>
              <w:ind w:left="640"/>
              <w:spacing w:after="0"/>
              <w:rPr>
                <w:sz w:val="20"/>
                <w:szCs w:val="20"/>
                <w:color w:val="auto"/>
              </w:rPr>
            </w:pPr>
            <w:r>
              <w:rPr>
                <w:rFonts w:ascii="Courier New" w:cs="Courier New" w:eastAsia="Courier New" w:hAnsi="Courier New"/>
                <w:sz w:val="18"/>
                <w:szCs w:val="18"/>
                <w:color w:val="auto"/>
              </w:rPr>
              <w:t>Alamo Title Insurance</w:t>
            </w:r>
          </w:p>
        </w:tc>
        <w:tc>
          <w:tcPr>
            <w:tcW w:w="15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Texas</w:t>
            </w:r>
          </w:p>
        </w:tc>
      </w:tr>
      <w:tr>
        <w:trPr>
          <w:trHeight w:val="405"/>
        </w:trPr>
        <w:tc>
          <w:tcPr>
            <w:tcW w:w="7060" w:type="dxa"/>
            <w:vAlign w:val="bottom"/>
          </w:tcPr>
          <w:p>
            <w:pPr>
              <w:ind w:left="640"/>
              <w:spacing w:after="0"/>
              <w:rPr>
                <w:sz w:val="20"/>
                <w:szCs w:val="20"/>
                <w:color w:val="auto"/>
              </w:rPr>
            </w:pPr>
            <w:r>
              <w:rPr>
                <w:rFonts w:ascii="Courier New" w:cs="Courier New" w:eastAsia="Courier New" w:hAnsi="Courier New"/>
                <w:sz w:val="18"/>
                <w:szCs w:val="18"/>
                <w:color w:val="auto"/>
              </w:rPr>
              <w:t>Alamo Title of Guadalupe County, Inc.</w:t>
            </w:r>
          </w:p>
        </w:tc>
        <w:tc>
          <w:tcPr>
            <w:tcW w:w="15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Texas</w:t>
            </w:r>
          </w:p>
        </w:tc>
      </w:tr>
      <w:tr>
        <w:trPr>
          <w:trHeight w:val="203"/>
        </w:trPr>
        <w:tc>
          <w:tcPr>
            <w:tcW w:w="7060" w:type="dxa"/>
            <w:vAlign w:val="bottom"/>
          </w:tcPr>
          <w:p>
            <w:pPr>
              <w:ind w:left="2900"/>
              <w:spacing w:after="0" w:line="203" w:lineRule="exact"/>
              <w:rPr>
                <w:sz w:val="20"/>
                <w:szCs w:val="20"/>
                <w:color w:val="auto"/>
              </w:rPr>
            </w:pPr>
            <w:r>
              <w:rPr>
                <w:rFonts w:ascii="Courier New" w:cs="Courier New" w:eastAsia="Courier New" w:hAnsi="Courier New"/>
                <w:sz w:val="18"/>
                <w:szCs w:val="18"/>
                <w:color w:val="auto"/>
              </w:rPr>
              <w:t>(d/b/a Alamo Title Company)</w:t>
            </w:r>
          </w:p>
        </w:tc>
        <w:tc>
          <w:tcPr>
            <w:tcW w:w="1580" w:type="dxa"/>
            <w:vAlign w:val="bottom"/>
          </w:tcPr>
          <w:p>
            <w:pPr>
              <w:spacing w:after="0"/>
              <w:rPr>
                <w:sz w:val="17"/>
                <w:szCs w:val="17"/>
                <w:color w:val="auto"/>
              </w:rPr>
            </w:pPr>
          </w:p>
        </w:tc>
      </w:tr>
      <w:tr>
        <w:trPr>
          <w:trHeight w:val="405"/>
        </w:trPr>
        <w:tc>
          <w:tcPr>
            <w:tcW w:w="7060" w:type="dxa"/>
            <w:vAlign w:val="bottom"/>
          </w:tcPr>
          <w:p>
            <w:pPr>
              <w:ind w:left="640"/>
              <w:spacing w:after="0"/>
              <w:rPr>
                <w:sz w:val="20"/>
                <w:szCs w:val="20"/>
                <w:color w:val="auto"/>
              </w:rPr>
            </w:pPr>
            <w:r>
              <w:rPr>
                <w:rFonts w:ascii="Courier New" w:cs="Courier New" w:eastAsia="Courier New" w:hAnsi="Courier New"/>
                <w:sz w:val="18"/>
                <w:szCs w:val="18"/>
                <w:color w:val="auto"/>
              </w:rPr>
              <w:t>Alamo Title of Travis County, Inc.</w:t>
            </w:r>
          </w:p>
        </w:tc>
        <w:tc>
          <w:tcPr>
            <w:tcW w:w="15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Texas</w:t>
            </w:r>
          </w:p>
        </w:tc>
      </w:tr>
      <w:tr>
        <w:trPr>
          <w:trHeight w:val="203"/>
        </w:trPr>
        <w:tc>
          <w:tcPr>
            <w:tcW w:w="7060" w:type="dxa"/>
            <w:vAlign w:val="bottom"/>
          </w:tcPr>
          <w:p>
            <w:pPr>
              <w:ind w:left="2900"/>
              <w:spacing w:after="0" w:line="203" w:lineRule="exact"/>
              <w:rPr>
                <w:sz w:val="20"/>
                <w:szCs w:val="20"/>
                <w:color w:val="auto"/>
              </w:rPr>
            </w:pPr>
            <w:r>
              <w:rPr>
                <w:rFonts w:ascii="Courier New" w:cs="Courier New" w:eastAsia="Courier New" w:hAnsi="Courier New"/>
                <w:sz w:val="18"/>
                <w:szCs w:val="18"/>
                <w:color w:val="auto"/>
              </w:rPr>
              <w:t>(d/b/a Alamo Title Company)</w:t>
            </w:r>
          </w:p>
        </w:tc>
        <w:tc>
          <w:tcPr>
            <w:tcW w:w="1580" w:type="dxa"/>
            <w:vAlign w:val="bottom"/>
          </w:tcPr>
          <w:p>
            <w:pPr>
              <w:spacing w:after="0"/>
              <w:rPr>
                <w:sz w:val="17"/>
                <w:szCs w:val="17"/>
                <w:color w:val="auto"/>
              </w:rPr>
            </w:pPr>
          </w:p>
        </w:tc>
      </w:tr>
      <w:tr>
        <w:trPr>
          <w:trHeight w:val="405"/>
        </w:trPr>
        <w:tc>
          <w:tcPr>
            <w:tcW w:w="7060" w:type="dxa"/>
            <w:vAlign w:val="bottom"/>
          </w:tcPr>
          <w:p>
            <w:pPr>
              <w:ind w:left="480"/>
              <w:spacing w:after="0"/>
              <w:rPr>
                <w:sz w:val="20"/>
                <w:szCs w:val="20"/>
                <w:color w:val="auto"/>
              </w:rPr>
            </w:pPr>
            <w:r>
              <w:rPr>
                <w:rFonts w:ascii="Courier New" w:cs="Courier New" w:eastAsia="Courier New" w:hAnsi="Courier New"/>
                <w:sz w:val="18"/>
                <w:szCs w:val="18"/>
                <w:color w:val="auto"/>
              </w:rPr>
              <w:t>Alexander Title Agency, Incorporated</w:t>
            </w:r>
          </w:p>
        </w:tc>
        <w:tc>
          <w:tcPr>
            <w:tcW w:w="15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Virginia</w:t>
            </w:r>
          </w:p>
        </w:tc>
      </w:tr>
      <w:tr>
        <w:trPr>
          <w:trHeight w:val="405"/>
        </w:trPr>
        <w:tc>
          <w:tcPr>
            <w:tcW w:w="7060" w:type="dxa"/>
            <w:vAlign w:val="bottom"/>
          </w:tcPr>
          <w:p>
            <w:pPr>
              <w:ind w:left="380"/>
              <w:spacing w:after="0"/>
              <w:rPr>
                <w:sz w:val="20"/>
                <w:szCs w:val="20"/>
                <w:color w:val="auto"/>
              </w:rPr>
            </w:pPr>
            <w:r>
              <w:rPr>
                <w:rFonts w:ascii="Courier New" w:cs="Courier New" w:eastAsia="Courier New" w:hAnsi="Courier New"/>
                <w:sz w:val="18"/>
                <w:szCs w:val="18"/>
                <w:color w:val="auto"/>
              </w:rPr>
              <w:t>All Counties Courier, Inc. (10%)</w:t>
            </w:r>
          </w:p>
        </w:tc>
        <w:tc>
          <w:tcPr>
            <w:tcW w:w="15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7060" w:type="dxa"/>
            <w:vAlign w:val="bottom"/>
          </w:tcPr>
          <w:p>
            <w:pPr>
              <w:ind w:left="640"/>
              <w:spacing w:after="0"/>
              <w:rPr>
                <w:sz w:val="20"/>
                <w:szCs w:val="20"/>
                <w:color w:val="auto"/>
              </w:rPr>
            </w:pPr>
            <w:r>
              <w:rPr>
                <w:rFonts w:ascii="Courier New" w:cs="Courier New" w:eastAsia="Courier New" w:hAnsi="Courier New"/>
                <w:sz w:val="18"/>
                <w:szCs w:val="18"/>
                <w:color w:val="auto"/>
              </w:rPr>
              <w:t>Amarillo Data, Inc. (33.3%)</w:t>
            </w:r>
          </w:p>
        </w:tc>
        <w:tc>
          <w:tcPr>
            <w:tcW w:w="15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Texas</w:t>
            </w:r>
          </w:p>
        </w:tc>
      </w:tr>
      <w:tr>
        <w:trPr>
          <w:trHeight w:val="405"/>
        </w:trPr>
        <w:tc>
          <w:tcPr>
            <w:tcW w:w="7060" w:type="dxa"/>
            <w:vAlign w:val="bottom"/>
          </w:tcPr>
          <w:p>
            <w:pPr>
              <w:ind w:left="380"/>
              <w:spacing w:after="0"/>
              <w:rPr>
                <w:sz w:val="20"/>
                <w:szCs w:val="20"/>
                <w:color w:val="auto"/>
              </w:rPr>
            </w:pPr>
            <w:r>
              <w:rPr>
                <w:rFonts w:ascii="Courier New" w:cs="Courier New" w:eastAsia="Courier New" w:hAnsi="Courier New"/>
                <w:sz w:val="18"/>
                <w:szCs w:val="18"/>
                <w:color w:val="auto"/>
              </w:rPr>
              <w:t>American Document Services, Inc.</w:t>
            </w:r>
          </w:p>
        </w:tc>
        <w:tc>
          <w:tcPr>
            <w:tcW w:w="15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California</w:t>
            </w:r>
          </w:p>
        </w:tc>
      </w:tr>
      <w:tr>
        <w:trPr>
          <w:trHeight w:val="810"/>
        </w:trPr>
        <w:tc>
          <w:tcPr>
            <w:tcW w:w="7060" w:type="dxa"/>
            <w:vAlign w:val="bottom"/>
          </w:tcPr>
          <w:p>
            <w:pPr>
              <w:ind w:left="6380"/>
              <w:spacing w:after="0"/>
              <w:rPr>
                <w:sz w:val="20"/>
                <w:szCs w:val="20"/>
                <w:color w:val="auto"/>
              </w:rPr>
            </w:pPr>
            <w:r>
              <w:rPr>
                <w:rFonts w:ascii="Courier New" w:cs="Courier New" w:eastAsia="Courier New" w:hAnsi="Courier New"/>
                <w:sz w:val="18"/>
                <w:szCs w:val="18"/>
                <w:color w:val="auto"/>
              </w:rPr>
              <w:t>1</w:t>
            </w:r>
          </w:p>
        </w:tc>
        <w:tc>
          <w:tcPr>
            <w:tcW w:w="1580" w:type="dxa"/>
            <w:vAlign w:val="bottom"/>
          </w:tcPr>
          <w:p>
            <w:pPr>
              <w:spacing w:after="0"/>
              <w:rPr>
                <w:sz w:val="24"/>
                <w:szCs w:val="24"/>
                <w:color w:val="auto"/>
              </w:rPr>
            </w:pPr>
          </w:p>
        </w:tc>
      </w:tr>
    </w:tbl>
    <w:p>
      <w:pPr>
        <w:sectPr>
          <w:pgSz w:w="11900" w:h="16838" w:orient="portrait"/>
          <w:cols w:equalWidth="0" w:num="1">
            <w:col w:w="10219"/>
          </w:cols>
          <w:pgMar w:left="240" w:top="339" w:right="1440" w:bottom="1440" w:gutter="0" w:footer="0" w:header="0"/>
        </w:sectPr>
      </w:pPr>
    </w:p>
    <w:bookmarkStart w:id="244" w:name="page245"/>
    <w:bookmarkEnd w:id="2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20" w:type="dxa"/>
            <w:vAlign w:val="bottom"/>
          </w:tcPr>
          <w:p>
            <w:pPr>
              <w:ind w:left="220"/>
              <w:spacing w:after="0"/>
              <w:rPr>
                <w:sz w:val="20"/>
                <w:szCs w:val="20"/>
                <w:color w:val="auto"/>
              </w:rPr>
            </w:pPr>
            <w:r>
              <w:rPr>
                <w:rFonts w:ascii="Courier New" w:cs="Courier New" w:eastAsia="Courier New" w:hAnsi="Courier New"/>
                <w:sz w:val="18"/>
                <w:szCs w:val="18"/>
                <w:color w:val="auto"/>
              </w:rPr>
              <w:t>American Exchange Services, Inc.</w:t>
            </w:r>
          </w:p>
        </w:tc>
        <w:tc>
          <w:tcPr>
            <w:tcW w:w="26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5520" w:type="dxa"/>
            <w:vAlign w:val="bottom"/>
          </w:tcPr>
          <w:p>
            <w:pPr>
              <w:ind w:left="220"/>
              <w:spacing w:after="0"/>
              <w:rPr>
                <w:sz w:val="20"/>
                <w:szCs w:val="20"/>
                <w:color w:val="auto"/>
              </w:rPr>
            </w:pPr>
            <w:r>
              <w:rPr>
                <w:rFonts w:ascii="Courier New" w:cs="Courier New" w:eastAsia="Courier New" w:hAnsi="Courier New"/>
                <w:sz w:val="18"/>
                <w:szCs w:val="18"/>
                <w:color w:val="auto"/>
              </w:rPr>
              <w:t>American Investment Properties, LLC</w:t>
            </w:r>
          </w:p>
        </w:tc>
        <w:tc>
          <w:tcPr>
            <w:tcW w:w="26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5520" w:type="dxa"/>
            <w:vAlign w:val="bottom"/>
          </w:tcPr>
          <w:p>
            <w:pPr>
              <w:ind w:left="380"/>
              <w:spacing w:after="0"/>
              <w:rPr>
                <w:sz w:val="20"/>
                <w:szCs w:val="20"/>
                <w:color w:val="auto"/>
              </w:rPr>
            </w:pPr>
            <w:r>
              <w:rPr>
                <w:rFonts w:ascii="Courier New" w:cs="Courier New" w:eastAsia="Courier New" w:hAnsi="Courier New"/>
                <w:sz w:val="18"/>
                <w:szCs w:val="18"/>
                <w:color w:val="auto"/>
              </w:rPr>
              <w:t>American Title Company</w:t>
            </w:r>
          </w:p>
        </w:tc>
        <w:tc>
          <w:tcPr>
            <w:tcW w:w="26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6"/>
              </w:rPr>
              <w:t>Texas</w:t>
            </w:r>
          </w:p>
        </w:tc>
      </w:tr>
      <w:tr>
        <w:trPr>
          <w:trHeight w:val="405"/>
        </w:trPr>
        <w:tc>
          <w:tcPr>
            <w:tcW w:w="5520" w:type="dxa"/>
            <w:vAlign w:val="bottom"/>
          </w:tcPr>
          <w:p>
            <w:pPr>
              <w:ind w:left="120"/>
              <w:spacing w:after="0"/>
              <w:rPr>
                <w:sz w:val="20"/>
                <w:szCs w:val="20"/>
                <w:color w:val="auto"/>
              </w:rPr>
            </w:pPr>
            <w:r>
              <w:rPr>
                <w:rFonts w:ascii="Courier New" w:cs="Courier New" w:eastAsia="Courier New" w:hAnsi="Courier New"/>
                <w:sz w:val="18"/>
                <w:szCs w:val="18"/>
                <w:color w:val="auto"/>
              </w:rPr>
              <w:t>Amtitle Company</w:t>
            </w:r>
          </w:p>
        </w:tc>
        <w:tc>
          <w:tcPr>
            <w:tcW w:w="260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5520" w:type="dxa"/>
            <w:vAlign w:val="bottom"/>
          </w:tcPr>
          <w:p>
            <w:pPr>
              <w:ind w:left="220"/>
              <w:spacing w:after="0"/>
              <w:rPr>
                <w:sz w:val="20"/>
                <w:szCs w:val="20"/>
                <w:color w:val="auto"/>
              </w:rPr>
            </w:pPr>
            <w:r>
              <w:rPr>
                <w:rFonts w:ascii="Courier New" w:cs="Courier New" w:eastAsia="Courier New" w:hAnsi="Courier New"/>
                <w:sz w:val="18"/>
                <w:szCs w:val="18"/>
                <w:color w:val="auto"/>
              </w:rPr>
              <w:t>ANFI Holding, LLC</w:t>
            </w:r>
          </w:p>
        </w:tc>
        <w:tc>
          <w:tcPr>
            <w:tcW w:w="26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5520" w:type="dxa"/>
            <w:vAlign w:val="bottom"/>
          </w:tcPr>
          <w:p>
            <w:pPr>
              <w:ind w:left="120"/>
              <w:spacing w:after="0"/>
              <w:rPr>
                <w:sz w:val="20"/>
                <w:szCs w:val="20"/>
                <w:color w:val="auto"/>
              </w:rPr>
            </w:pPr>
            <w:r>
              <w:rPr>
                <w:rFonts w:ascii="Courier New" w:cs="Courier New" w:eastAsia="Courier New" w:hAnsi="Courier New"/>
                <w:sz w:val="18"/>
                <w:szCs w:val="18"/>
                <w:color w:val="auto"/>
              </w:rPr>
              <w:t>ANFI, LLC</w:t>
            </w:r>
          </w:p>
        </w:tc>
        <w:tc>
          <w:tcPr>
            <w:tcW w:w="260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5520" w:type="dxa"/>
            <w:vAlign w:val="bottom"/>
          </w:tcPr>
          <w:p>
            <w:pPr>
              <w:ind w:left="120"/>
              <w:spacing w:after="0"/>
              <w:rPr>
                <w:sz w:val="20"/>
                <w:szCs w:val="20"/>
                <w:color w:val="auto"/>
              </w:rPr>
            </w:pPr>
            <w:r>
              <w:rPr>
                <w:rFonts w:ascii="Courier New" w:cs="Courier New" w:eastAsia="Courier New" w:hAnsi="Courier New"/>
                <w:sz w:val="18"/>
                <w:szCs w:val="18"/>
                <w:color w:val="auto"/>
              </w:rPr>
              <w:t>Antelope Valley Escrow Co.</w:t>
            </w:r>
          </w:p>
        </w:tc>
        <w:tc>
          <w:tcPr>
            <w:tcW w:w="260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5520" w:type="dxa"/>
            <w:vAlign w:val="bottom"/>
          </w:tcPr>
          <w:p>
            <w:pPr>
              <w:ind w:left="220"/>
              <w:spacing w:after="0"/>
              <w:rPr>
                <w:sz w:val="20"/>
                <w:szCs w:val="20"/>
                <w:color w:val="auto"/>
              </w:rPr>
            </w:pPr>
            <w:r>
              <w:rPr>
                <w:rFonts w:ascii="Courier New" w:cs="Courier New" w:eastAsia="Courier New" w:hAnsi="Courier New"/>
                <w:sz w:val="18"/>
                <w:szCs w:val="18"/>
                <w:color w:val="auto"/>
              </w:rPr>
              <w:t>AssetLink Financial Corporation</w:t>
            </w:r>
          </w:p>
        </w:tc>
        <w:tc>
          <w:tcPr>
            <w:tcW w:w="26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7"/>
              </w:rPr>
              <w:t>Colorado</w:t>
            </w:r>
          </w:p>
        </w:tc>
      </w:tr>
      <w:tr>
        <w:trPr>
          <w:trHeight w:val="405"/>
        </w:trPr>
        <w:tc>
          <w:tcPr>
            <w:tcW w:w="5520" w:type="dxa"/>
            <w:vAlign w:val="bottom"/>
          </w:tcPr>
          <w:p>
            <w:pPr>
              <w:spacing w:after="0"/>
              <w:rPr>
                <w:sz w:val="20"/>
                <w:szCs w:val="20"/>
                <w:color w:val="auto"/>
              </w:rPr>
            </w:pPr>
            <w:r>
              <w:rPr>
                <w:rFonts w:ascii="Courier New" w:cs="Courier New" w:eastAsia="Courier New" w:hAnsi="Courier New"/>
                <w:sz w:val="18"/>
                <w:szCs w:val="18"/>
                <w:color w:val="auto"/>
              </w:rPr>
              <w:t>AssetLink, LLC</w:t>
            </w:r>
          </w:p>
        </w:tc>
        <w:tc>
          <w:tcPr>
            <w:tcW w:w="260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7"/>
              </w:rPr>
              <w:t>Pennsylvania</w:t>
            </w:r>
          </w:p>
        </w:tc>
      </w:tr>
      <w:tr>
        <w:trPr>
          <w:trHeight w:val="405"/>
        </w:trPr>
        <w:tc>
          <w:tcPr>
            <w:tcW w:w="5520" w:type="dxa"/>
            <w:vAlign w:val="bottom"/>
          </w:tcPr>
          <w:p>
            <w:pPr>
              <w:ind w:left="220"/>
              <w:spacing w:after="0"/>
              <w:rPr>
                <w:sz w:val="20"/>
                <w:szCs w:val="20"/>
                <w:color w:val="auto"/>
              </w:rPr>
            </w:pPr>
            <w:r>
              <w:rPr>
                <w:rFonts w:ascii="Courier New" w:cs="Courier New" w:eastAsia="Courier New" w:hAnsi="Courier New"/>
                <w:sz w:val="18"/>
                <w:szCs w:val="18"/>
                <w:color w:val="auto"/>
              </w:rPr>
              <w:t>AssetLink, L.L.C.</w:t>
            </w:r>
          </w:p>
        </w:tc>
        <w:tc>
          <w:tcPr>
            <w:tcW w:w="26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7"/>
              </w:rPr>
              <w:t>Colorado</w:t>
            </w:r>
          </w:p>
        </w:tc>
      </w:tr>
      <w:tr>
        <w:trPr>
          <w:trHeight w:val="405"/>
        </w:trPr>
        <w:tc>
          <w:tcPr>
            <w:tcW w:w="5520" w:type="dxa"/>
            <w:vAlign w:val="bottom"/>
          </w:tcPr>
          <w:p>
            <w:pPr>
              <w:ind w:left="220"/>
              <w:spacing w:after="0"/>
              <w:rPr>
                <w:sz w:val="20"/>
                <w:szCs w:val="20"/>
                <w:color w:val="auto"/>
              </w:rPr>
            </w:pPr>
            <w:r>
              <w:rPr>
                <w:rFonts w:ascii="Courier New" w:cs="Courier New" w:eastAsia="Courier New" w:hAnsi="Courier New"/>
                <w:sz w:val="18"/>
                <w:szCs w:val="18"/>
                <w:color w:val="auto"/>
              </w:rPr>
              <w:t>AssetLink, L.P.</w:t>
            </w:r>
          </w:p>
        </w:tc>
        <w:tc>
          <w:tcPr>
            <w:tcW w:w="26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7"/>
              </w:rPr>
              <w:t>Colorado</w:t>
            </w:r>
          </w:p>
        </w:tc>
      </w:tr>
      <w:tr>
        <w:trPr>
          <w:trHeight w:val="405"/>
        </w:trPr>
        <w:tc>
          <w:tcPr>
            <w:tcW w:w="5520" w:type="dxa"/>
            <w:vAlign w:val="bottom"/>
          </w:tcPr>
          <w:p>
            <w:pPr>
              <w:ind w:left="120"/>
              <w:spacing w:after="0"/>
              <w:rPr>
                <w:sz w:val="20"/>
                <w:szCs w:val="20"/>
                <w:color w:val="auto"/>
              </w:rPr>
            </w:pPr>
            <w:r>
              <w:rPr>
                <w:rFonts w:ascii="Courier New" w:cs="Courier New" w:eastAsia="Courier New" w:hAnsi="Courier New"/>
                <w:sz w:val="18"/>
                <w:szCs w:val="18"/>
                <w:color w:val="auto"/>
              </w:rPr>
              <w:t>Bancserv, Inc.</w:t>
            </w:r>
          </w:p>
        </w:tc>
        <w:tc>
          <w:tcPr>
            <w:tcW w:w="260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5520" w:type="dxa"/>
            <w:vAlign w:val="bottom"/>
          </w:tcPr>
          <w:p>
            <w:pPr>
              <w:ind w:left="280"/>
              <w:spacing w:after="0"/>
              <w:rPr>
                <w:sz w:val="20"/>
                <w:szCs w:val="20"/>
                <w:color w:val="auto"/>
              </w:rPr>
            </w:pPr>
            <w:r>
              <w:rPr>
                <w:rFonts w:ascii="Courier New" w:cs="Courier New" w:eastAsia="Courier New" w:hAnsi="Courier New"/>
                <w:sz w:val="18"/>
                <w:szCs w:val="18"/>
                <w:color w:val="auto"/>
              </w:rPr>
              <w:t>Bankers Title of Northwest Indiana, LLC (5%)</w:t>
            </w:r>
          </w:p>
        </w:tc>
        <w:tc>
          <w:tcPr>
            <w:tcW w:w="260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7"/>
              </w:rPr>
              <w:t>Indiana</w:t>
            </w:r>
          </w:p>
        </w:tc>
      </w:tr>
      <w:tr>
        <w:trPr>
          <w:trHeight w:val="405"/>
        </w:trPr>
        <w:tc>
          <w:tcPr>
            <w:tcW w:w="5520" w:type="dxa"/>
            <w:vAlign w:val="bottom"/>
          </w:tcPr>
          <w:p>
            <w:pPr>
              <w:ind w:left="160"/>
              <w:spacing w:after="0"/>
              <w:rPr>
                <w:sz w:val="20"/>
                <w:szCs w:val="20"/>
                <w:color w:val="auto"/>
              </w:rPr>
            </w:pPr>
            <w:r>
              <w:rPr>
                <w:rFonts w:ascii="Courier New" w:cs="Courier New" w:eastAsia="Courier New" w:hAnsi="Courier New"/>
                <w:sz w:val="18"/>
                <w:szCs w:val="18"/>
                <w:color w:val="auto"/>
              </w:rPr>
              <w:t>Baton Rouge Title Company, Inc.</w:t>
            </w:r>
          </w:p>
        </w:tc>
        <w:tc>
          <w:tcPr>
            <w:tcW w:w="260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6"/>
              </w:rPr>
              <w:t>Louisiana</w:t>
            </w:r>
          </w:p>
        </w:tc>
      </w:tr>
      <w:tr>
        <w:trPr>
          <w:trHeight w:val="405"/>
        </w:trPr>
        <w:tc>
          <w:tcPr>
            <w:tcW w:w="5520" w:type="dxa"/>
            <w:vAlign w:val="bottom"/>
          </w:tcPr>
          <w:p>
            <w:pPr>
              <w:ind w:left="220"/>
              <w:spacing w:after="0"/>
              <w:rPr>
                <w:sz w:val="20"/>
                <w:szCs w:val="20"/>
                <w:color w:val="auto"/>
              </w:rPr>
            </w:pPr>
            <w:r>
              <w:rPr>
                <w:rFonts w:ascii="Courier New" w:cs="Courier New" w:eastAsia="Courier New" w:hAnsi="Courier New"/>
                <w:sz w:val="18"/>
                <w:szCs w:val="18"/>
                <w:color w:val="auto"/>
              </w:rPr>
              <w:t>Berrien County Title Agency, L.L.C. (50%)</w:t>
            </w:r>
          </w:p>
        </w:tc>
        <w:tc>
          <w:tcPr>
            <w:tcW w:w="26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7"/>
              </w:rPr>
              <w:t>Michigan</w:t>
            </w:r>
          </w:p>
        </w:tc>
      </w:tr>
      <w:tr>
        <w:trPr>
          <w:trHeight w:val="405"/>
        </w:trPr>
        <w:tc>
          <w:tcPr>
            <w:tcW w:w="5520" w:type="dxa"/>
            <w:vAlign w:val="bottom"/>
          </w:tcPr>
          <w:p>
            <w:pPr>
              <w:ind w:left="220"/>
              <w:spacing w:after="0"/>
              <w:rPr>
                <w:sz w:val="20"/>
                <w:szCs w:val="20"/>
                <w:color w:val="auto"/>
              </w:rPr>
            </w:pPr>
            <w:r>
              <w:rPr>
                <w:rFonts w:ascii="Courier New" w:cs="Courier New" w:eastAsia="Courier New" w:hAnsi="Courier New"/>
                <w:sz w:val="18"/>
                <w:szCs w:val="18"/>
                <w:color w:val="auto"/>
              </w:rPr>
              <w:t>BHC&amp;M, Ltd.</w:t>
            </w:r>
          </w:p>
        </w:tc>
        <w:tc>
          <w:tcPr>
            <w:tcW w:w="26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7"/>
              </w:rPr>
              <w:t>Virginia</w:t>
            </w:r>
          </w:p>
        </w:tc>
      </w:tr>
      <w:tr>
        <w:trPr>
          <w:trHeight w:val="405"/>
        </w:trPr>
        <w:tc>
          <w:tcPr>
            <w:tcW w:w="5520" w:type="dxa"/>
            <w:vAlign w:val="bottom"/>
          </w:tcPr>
          <w:p>
            <w:pPr>
              <w:ind w:left="220"/>
              <w:spacing w:after="0"/>
              <w:rPr>
                <w:sz w:val="20"/>
                <w:szCs w:val="20"/>
                <w:color w:val="auto"/>
              </w:rPr>
            </w:pPr>
            <w:r>
              <w:rPr>
                <w:rFonts w:ascii="Courier New" w:cs="Courier New" w:eastAsia="Courier New" w:hAnsi="Courier New"/>
                <w:sz w:val="18"/>
                <w:szCs w:val="18"/>
                <w:color w:val="auto"/>
              </w:rPr>
              <w:t>Blue Ridge Title/CTIC, LLC (25%)</w:t>
            </w:r>
          </w:p>
        </w:tc>
        <w:tc>
          <w:tcPr>
            <w:tcW w:w="26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7"/>
              </w:rPr>
              <w:t>Virginia</w:t>
            </w:r>
          </w:p>
        </w:tc>
      </w:tr>
      <w:tr>
        <w:trPr>
          <w:trHeight w:val="405"/>
        </w:trPr>
        <w:tc>
          <w:tcPr>
            <w:tcW w:w="5520" w:type="dxa"/>
            <w:vAlign w:val="bottom"/>
          </w:tcPr>
          <w:p>
            <w:pPr>
              <w:ind w:left="280"/>
              <w:spacing w:after="0"/>
              <w:rPr>
                <w:sz w:val="20"/>
                <w:szCs w:val="20"/>
                <w:color w:val="auto"/>
              </w:rPr>
            </w:pPr>
            <w:r>
              <w:rPr>
                <w:rFonts w:ascii="Courier New" w:cs="Courier New" w:eastAsia="Courier New" w:hAnsi="Courier New"/>
                <w:sz w:val="18"/>
                <w:szCs w:val="18"/>
                <w:color w:val="auto"/>
              </w:rPr>
              <w:t>Burnet Title of Indiana, LLC (25%)</w:t>
            </w:r>
          </w:p>
        </w:tc>
        <w:tc>
          <w:tcPr>
            <w:tcW w:w="260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7"/>
              </w:rPr>
              <w:t>Indiana</w:t>
            </w:r>
          </w:p>
        </w:tc>
      </w:tr>
      <w:tr>
        <w:trPr>
          <w:trHeight w:val="405"/>
        </w:trPr>
        <w:tc>
          <w:tcPr>
            <w:tcW w:w="5520" w:type="dxa"/>
            <w:vAlign w:val="bottom"/>
          </w:tcPr>
          <w:p>
            <w:pPr>
              <w:ind w:left="220"/>
              <w:spacing w:after="0"/>
              <w:rPr>
                <w:sz w:val="20"/>
                <w:szCs w:val="20"/>
                <w:color w:val="auto"/>
              </w:rPr>
            </w:pPr>
            <w:r>
              <w:rPr>
                <w:rFonts w:ascii="Courier New" w:cs="Courier New" w:eastAsia="Courier New" w:hAnsi="Courier New"/>
                <w:sz w:val="18"/>
                <w:szCs w:val="18"/>
                <w:color w:val="auto"/>
              </w:rPr>
              <w:t>Capitol Abstract and Title Company</w:t>
            </w:r>
          </w:p>
        </w:tc>
        <w:tc>
          <w:tcPr>
            <w:tcW w:w="26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7"/>
              </w:rPr>
              <w:t>Oklahoma</w:t>
            </w:r>
          </w:p>
        </w:tc>
      </w:tr>
      <w:tr>
        <w:trPr>
          <w:trHeight w:val="405"/>
        </w:trPr>
        <w:tc>
          <w:tcPr>
            <w:tcW w:w="5520" w:type="dxa"/>
            <w:vAlign w:val="bottom"/>
          </w:tcPr>
          <w:p>
            <w:pPr>
              <w:ind w:left="120"/>
              <w:spacing w:after="0"/>
              <w:rPr>
                <w:sz w:val="20"/>
                <w:szCs w:val="20"/>
                <w:color w:val="auto"/>
              </w:rPr>
            </w:pPr>
            <w:r>
              <w:rPr>
                <w:rFonts w:ascii="Courier New" w:cs="Courier New" w:eastAsia="Courier New" w:hAnsi="Courier New"/>
                <w:sz w:val="18"/>
                <w:szCs w:val="18"/>
                <w:color w:val="auto"/>
              </w:rPr>
              <w:t>Castle Escrow Holdings, LLC</w:t>
            </w:r>
          </w:p>
        </w:tc>
        <w:tc>
          <w:tcPr>
            <w:tcW w:w="260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5520" w:type="dxa"/>
            <w:vAlign w:val="bottom"/>
          </w:tcPr>
          <w:p>
            <w:pPr>
              <w:ind w:left="220"/>
              <w:spacing w:after="0"/>
              <w:rPr>
                <w:sz w:val="20"/>
                <w:szCs w:val="20"/>
                <w:color w:val="auto"/>
              </w:rPr>
            </w:pPr>
            <w:r>
              <w:rPr>
                <w:rFonts w:ascii="Courier New" w:cs="Courier New" w:eastAsia="Courier New" w:hAnsi="Courier New"/>
                <w:sz w:val="18"/>
                <w:szCs w:val="18"/>
                <w:color w:val="auto"/>
              </w:rPr>
              <w:t>CATCO, Inc.</w:t>
            </w:r>
          </w:p>
        </w:tc>
        <w:tc>
          <w:tcPr>
            <w:tcW w:w="26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7"/>
              </w:rPr>
              <w:t>Oklahoma</w:t>
            </w:r>
          </w:p>
        </w:tc>
      </w:tr>
      <w:tr>
        <w:trPr>
          <w:trHeight w:val="405"/>
        </w:trPr>
        <w:tc>
          <w:tcPr>
            <w:tcW w:w="5520" w:type="dxa"/>
            <w:vAlign w:val="bottom"/>
          </w:tcPr>
          <w:p>
            <w:pPr>
              <w:ind w:left="280"/>
              <w:spacing w:after="0"/>
              <w:rPr>
                <w:sz w:val="20"/>
                <w:szCs w:val="20"/>
                <w:color w:val="auto"/>
              </w:rPr>
            </w:pPr>
            <w:r>
              <w:rPr>
                <w:rFonts w:ascii="Courier New" w:cs="Courier New" w:eastAsia="Courier New" w:hAnsi="Courier New"/>
                <w:sz w:val="18"/>
                <w:szCs w:val="18"/>
                <w:color w:val="auto"/>
              </w:rPr>
              <w:t>Chelsea Title Company</w:t>
            </w:r>
          </w:p>
        </w:tc>
        <w:tc>
          <w:tcPr>
            <w:tcW w:w="260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7"/>
              </w:rPr>
              <w:t>Florida</w:t>
            </w:r>
          </w:p>
        </w:tc>
      </w:tr>
      <w:tr>
        <w:trPr>
          <w:trHeight w:val="405"/>
        </w:trPr>
        <w:tc>
          <w:tcPr>
            <w:tcW w:w="5520" w:type="dxa"/>
            <w:vAlign w:val="bottom"/>
          </w:tcPr>
          <w:p>
            <w:pPr>
              <w:ind w:left="120"/>
              <w:spacing w:after="0"/>
              <w:rPr>
                <w:sz w:val="20"/>
                <w:szCs w:val="20"/>
                <w:color w:val="auto"/>
              </w:rPr>
            </w:pPr>
            <w:r>
              <w:rPr>
                <w:rFonts w:ascii="Courier New" w:cs="Courier New" w:eastAsia="Courier New" w:hAnsi="Courier New"/>
                <w:sz w:val="18"/>
                <w:szCs w:val="18"/>
                <w:color w:val="auto"/>
              </w:rPr>
              <w:t>Chicago Escrow, Inc.</w:t>
            </w:r>
          </w:p>
        </w:tc>
        <w:tc>
          <w:tcPr>
            <w:tcW w:w="260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8"/>
              </w:rPr>
              <w:t>California</w:t>
            </w:r>
          </w:p>
        </w:tc>
      </w:tr>
      <w:tr>
        <w:trPr>
          <w:trHeight w:val="810"/>
        </w:trPr>
        <w:tc>
          <w:tcPr>
            <w:tcW w:w="5520" w:type="dxa"/>
            <w:vAlign w:val="bottom"/>
          </w:tcPr>
          <w:p>
            <w:pPr>
              <w:spacing w:after="0"/>
              <w:rPr>
                <w:sz w:val="24"/>
                <w:szCs w:val="24"/>
                <w:color w:val="auto"/>
              </w:rPr>
            </w:pPr>
          </w:p>
        </w:tc>
        <w:tc>
          <w:tcPr>
            <w:tcW w:w="2600" w:type="dxa"/>
            <w:vAlign w:val="bottom"/>
          </w:tcPr>
          <w:p>
            <w:pPr>
              <w:jc w:val="right"/>
              <w:ind w:right="1812"/>
              <w:spacing w:after="0"/>
              <w:rPr>
                <w:sz w:val="20"/>
                <w:szCs w:val="20"/>
                <w:color w:val="auto"/>
              </w:rPr>
            </w:pPr>
            <w:r>
              <w:rPr>
                <w:rFonts w:ascii="Courier New" w:cs="Courier New" w:eastAsia="Courier New" w:hAnsi="Courier New"/>
                <w:sz w:val="18"/>
                <w:szCs w:val="18"/>
                <w:color w:val="auto"/>
              </w:rPr>
              <w:t>2</w:t>
            </w:r>
          </w:p>
        </w:tc>
      </w:tr>
    </w:tbl>
    <w:p>
      <w:pPr>
        <w:sectPr>
          <w:pgSz w:w="11900" w:h="16838" w:orient="portrait"/>
          <w:cols w:equalWidth="0" w:num="1">
            <w:col w:w="9959"/>
          </w:cols>
          <w:pgMar w:left="500" w:top="1122" w:right="1440" w:bottom="1440" w:gutter="0" w:footer="0" w:header="0"/>
        </w:sectPr>
      </w:pPr>
    </w:p>
    <w:bookmarkStart w:id="245" w:name="page246"/>
    <w:bookmarkEnd w:id="2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60" w:type="dxa"/>
            <w:vAlign w:val="bottom"/>
          </w:tcPr>
          <w:p>
            <w:pPr>
              <w:ind w:left="220"/>
              <w:spacing w:after="0"/>
              <w:rPr>
                <w:sz w:val="20"/>
                <w:szCs w:val="20"/>
                <w:color w:val="auto"/>
              </w:rPr>
            </w:pPr>
            <w:r>
              <w:rPr>
                <w:rFonts w:ascii="Courier New" w:cs="Courier New" w:eastAsia="Courier New" w:hAnsi="Courier New"/>
                <w:sz w:val="18"/>
                <w:szCs w:val="18"/>
                <w:color w:val="auto"/>
              </w:rPr>
              <w:t>Chicago Land Agency Services, Inc. (52%)</w:t>
            </w:r>
          </w:p>
        </w:tc>
        <w:tc>
          <w:tcPr>
            <w:tcW w:w="1460" w:type="dxa"/>
            <w:vAlign w:val="bottom"/>
          </w:tcPr>
          <w:p>
            <w:pPr>
              <w:jc w:val="center"/>
              <w:ind w:left="92"/>
              <w:spacing w:after="0"/>
              <w:rPr>
                <w:sz w:val="20"/>
                <w:szCs w:val="20"/>
                <w:color w:val="auto"/>
              </w:rPr>
            </w:pPr>
            <w:r>
              <w:rPr>
                <w:rFonts w:ascii="Courier New" w:cs="Courier New" w:eastAsia="Courier New" w:hAnsi="Courier New"/>
                <w:sz w:val="18"/>
                <w:szCs w:val="18"/>
                <w:color w:val="auto"/>
                <w:w w:val="97"/>
              </w:rPr>
              <w:t>Illinois</w:t>
            </w:r>
          </w:p>
        </w:tc>
      </w:tr>
      <w:tr>
        <w:trPr>
          <w:trHeight w:val="405"/>
        </w:trPr>
        <w:tc>
          <w:tcPr>
            <w:tcW w:w="6660" w:type="dxa"/>
            <w:vAlign w:val="bottom"/>
          </w:tcPr>
          <w:p>
            <w:pPr>
              <w:ind w:left="320"/>
              <w:spacing w:after="0"/>
              <w:rPr>
                <w:sz w:val="20"/>
                <w:szCs w:val="20"/>
                <w:color w:val="auto"/>
              </w:rPr>
            </w:pPr>
            <w:r>
              <w:rPr>
                <w:rFonts w:ascii="Courier New" w:cs="Courier New" w:eastAsia="Courier New" w:hAnsi="Courier New"/>
                <w:sz w:val="18"/>
                <w:szCs w:val="18"/>
                <w:color w:val="auto"/>
              </w:rPr>
              <w:t>Chicago Title Agency of Nevada, Inc.</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5"/>
              </w:rPr>
              <w:t>Nevada</w:t>
            </w:r>
          </w:p>
        </w:tc>
      </w:tr>
      <w:tr>
        <w:trPr>
          <w:trHeight w:val="405"/>
        </w:trPr>
        <w:tc>
          <w:tcPr>
            <w:tcW w:w="6660" w:type="dxa"/>
            <w:vAlign w:val="bottom"/>
          </w:tcPr>
          <w:p>
            <w:pPr>
              <w:ind w:left="220"/>
              <w:spacing w:after="0"/>
              <w:rPr>
                <w:sz w:val="20"/>
                <w:szCs w:val="20"/>
                <w:color w:val="auto"/>
              </w:rPr>
            </w:pPr>
            <w:r>
              <w:rPr>
                <w:rFonts w:ascii="Courier New" w:cs="Courier New" w:eastAsia="Courier New" w:hAnsi="Courier New"/>
                <w:sz w:val="18"/>
                <w:szCs w:val="18"/>
                <w:color w:val="auto"/>
              </w:rPr>
              <w:t>Chicago Title and Trust Company</w:t>
            </w:r>
          </w:p>
        </w:tc>
        <w:tc>
          <w:tcPr>
            <w:tcW w:w="1460" w:type="dxa"/>
            <w:vAlign w:val="bottom"/>
          </w:tcPr>
          <w:p>
            <w:pPr>
              <w:jc w:val="center"/>
              <w:ind w:left="92"/>
              <w:spacing w:after="0"/>
              <w:rPr>
                <w:sz w:val="20"/>
                <w:szCs w:val="20"/>
                <w:color w:val="auto"/>
              </w:rPr>
            </w:pPr>
            <w:r>
              <w:rPr>
                <w:rFonts w:ascii="Courier New" w:cs="Courier New" w:eastAsia="Courier New" w:hAnsi="Courier New"/>
                <w:sz w:val="18"/>
                <w:szCs w:val="18"/>
                <w:color w:val="auto"/>
                <w:w w:val="97"/>
              </w:rPr>
              <w:t>Illinois</w:t>
            </w:r>
          </w:p>
        </w:tc>
      </w:tr>
      <w:tr>
        <w:trPr>
          <w:trHeight w:val="405"/>
        </w:trPr>
        <w:tc>
          <w:tcPr>
            <w:tcW w:w="6660" w:type="dxa"/>
            <w:vAlign w:val="bottom"/>
          </w:tcPr>
          <w:p>
            <w:pPr>
              <w:ind w:left="120"/>
              <w:spacing w:after="0"/>
              <w:rPr>
                <w:sz w:val="20"/>
                <w:szCs w:val="20"/>
                <w:color w:val="auto"/>
              </w:rPr>
            </w:pPr>
            <w:r>
              <w:rPr>
                <w:rFonts w:ascii="Courier New" w:cs="Courier New" w:eastAsia="Courier New" w:hAnsi="Courier New"/>
                <w:sz w:val="18"/>
                <w:szCs w:val="18"/>
                <w:color w:val="auto"/>
              </w:rPr>
              <w:t>Chicago Title Company</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6660" w:type="dxa"/>
            <w:vAlign w:val="bottom"/>
          </w:tcPr>
          <w:p>
            <w:pPr>
              <w:ind w:left="120"/>
              <w:spacing w:after="0"/>
              <w:rPr>
                <w:sz w:val="20"/>
                <w:szCs w:val="20"/>
                <w:color w:val="auto"/>
              </w:rPr>
            </w:pPr>
            <w:r>
              <w:rPr>
                <w:rFonts w:ascii="Courier New" w:cs="Courier New" w:eastAsia="Courier New" w:hAnsi="Courier New"/>
                <w:sz w:val="18"/>
                <w:szCs w:val="18"/>
                <w:color w:val="auto"/>
              </w:rPr>
              <w:t>Chicago Title Company of Washington</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8"/>
              </w:rPr>
              <w:t>Washington</w:t>
            </w:r>
          </w:p>
        </w:tc>
      </w:tr>
      <w:tr>
        <w:trPr>
          <w:trHeight w:val="203"/>
        </w:trPr>
        <w:tc>
          <w:tcPr>
            <w:tcW w:w="6660" w:type="dxa"/>
            <w:vAlign w:val="bottom"/>
          </w:tcPr>
          <w:p>
            <w:pPr>
              <w:ind w:left="1640"/>
              <w:spacing w:after="0" w:line="203" w:lineRule="exact"/>
              <w:rPr>
                <w:sz w:val="20"/>
                <w:szCs w:val="20"/>
                <w:color w:val="auto"/>
              </w:rPr>
            </w:pPr>
            <w:r>
              <w:rPr>
                <w:rFonts w:ascii="Courier New" w:cs="Courier New" w:eastAsia="Courier New" w:hAnsi="Courier New"/>
                <w:sz w:val="18"/>
                <w:szCs w:val="18"/>
                <w:color w:val="auto"/>
              </w:rPr>
              <w:t>(d/b/a Chicago Title Company, Island Division)</w:t>
            </w:r>
          </w:p>
        </w:tc>
        <w:tc>
          <w:tcPr>
            <w:tcW w:w="1460" w:type="dxa"/>
            <w:vAlign w:val="bottom"/>
          </w:tcPr>
          <w:p>
            <w:pPr>
              <w:spacing w:after="0"/>
              <w:rPr>
                <w:sz w:val="17"/>
                <w:szCs w:val="17"/>
                <w:color w:val="auto"/>
              </w:rPr>
            </w:pPr>
          </w:p>
        </w:tc>
      </w:tr>
      <w:tr>
        <w:trPr>
          <w:trHeight w:val="405"/>
        </w:trPr>
        <w:tc>
          <w:tcPr>
            <w:tcW w:w="6660" w:type="dxa"/>
            <w:vAlign w:val="bottom"/>
          </w:tcPr>
          <w:p>
            <w:pPr>
              <w:ind w:left="220"/>
              <w:spacing w:after="0"/>
              <w:rPr>
                <w:sz w:val="20"/>
                <w:szCs w:val="20"/>
                <w:color w:val="auto"/>
              </w:rPr>
            </w:pPr>
            <w:r>
              <w:rPr>
                <w:rFonts w:ascii="Courier New" w:cs="Courier New" w:eastAsia="Courier New" w:hAnsi="Courier New"/>
                <w:sz w:val="18"/>
                <w:szCs w:val="18"/>
                <w:color w:val="auto"/>
              </w:rPr>
              <w:t>Chicago Title Insurance Company</w:t>
            </w:r>
          </w:p>
        </w:tc>
        <w:tc>
          <w:tcPr>
            <w:tcW w:w="1460" w:type="dxa"/>
            <w:vAlign w:val="bottom"/>
          </w:tcPr>
          <w:p>
            <w:pPr>
              <w:jc w:val="center"/>
              <w:ind w:left="92"/>
              <w:spacing w:after="0"/>
              <w:rPr>
                <w:sz w:val="20"/>
                <w:szCs w:val="20"/>
                <w:color w:val="auto"/>
              </w:rPr>
            </w:pPr>
            <w:r>
              <w:rPr>
                <w:rFonts w:ascii="Courier New" w:cs="Courier New" w:eastAsia="Courier New" w:hAnsi="Courier New"/>
                <w:sz w:val="18"/>
                <w:szCs w:val="18"/>
                <w:color w:val="auto"/>
                <w:w w:val="97"/>
              </w:rPr>
              <w:t>Missouri</w:t>
            </w:r>
          </w:p>
        </w:tc>
      </w:tr>
      <w:tr>
        <w:trPr>
          <w:trHeight w:val="405"/>
        </w:trPr>
        <w:tc>
          <w:tcPr>
            <w:tcW w:w="6660" w:type="dxa"/>
            <w:vAlign w:val="bottom"/>
          </w:tcPr>
          <w:p>
            <w:pPr>
              <w:ind w:left="320"/>
              <w:spacing w:after="0"/>
              <w:rPr>
                <w:sz w:val="20"/>
                <w:szCs w:val="20"/>
                <w:color w:val="auto"/>
              </w:rPr>
            </w:pPr>
            <w:r>
              <w:rPr>
                <w:rFonts w:ascii="Courier New" w:cs="Courier New" w:eastAsia="Courier New" w:hAnsi="Courier New"/>
                <w:sz w:val="18"/>
                <w:szCs w:val="18"/>
                <w:color w:val="auto"/>
              </w:rPr>
              <w:t>Chicago Title Insurance Company of Oregon</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5"/>
              </w:rPr>
              <w:t>Oregon</w:t>
            </w:r>
          </w:p>
        </w:tc>
      </w:tr>
      <w:tr>
        <w:trPr>
          <w:trHeight w:val="405"/>
        </w:trPr>
        <w:tc>
          <w:tcPr>
            <w:tcW w:w="6660" w:type="dxa"/>
            <w:vAlign w:val="bottom"/>
          </w:tcPr>
          <w:p>
            <w:pPr>
              <w:ind w:left="60"/>
              <w:spacing w:after="0"/>
              <w:rPr>
                <w:sz w:val="20"/>
                <w:szCs w:val="20"/>
                <w:color w:val="auto"/>
              </w:rPr>
            </w:pPr>
            <w:r>
              <w:rPr>
                <w:rFonts w:ascii="Courier New" w:cs="Courier New" w:eastAsia="Courier New" w:hAnsi="Courier New"/>
                <w:sz w:val="18"/>
                <w:szCs w:val="18"/>
                <w:color w:val="auto"/>
              </w:rPr>
              <w:t>Chicago Title Insurance Company of Puerto Rico (99.2%)</w:t>
            </w:r>
          </w:p>
        </w:tc>
        <w:tc>
          <w:tcPr>
            <w:tcW w:w="1460" w:type="dxa"/>
            <w:vAlign w:val="bottom"/>
          </w:tcPr>
          <w:p>
            <w:pPr>
              <w:jc w:val="center"/>
              <w:ind w:left="92"/>
              <w:spacing w:after="0"/>
              <w:rPr>
                <w:sz w:val="20"/>
                <w:szCs w:val="20"/>
                <w:color w:val="auto"/>
              </w:rPr>
            </w:pPr>
            <w:r>
              <w:rPr>
                <w:rFonts w:ascii="Courier New" w:cs="Courier New" w:eastAsia="Courier New" w:hAnsi="Courier New"/>
                <w:sz w:val="18"/>
                <w:szCs w:val="18"/>
                <w:color w:val="auto"/>
                <w:w w:val="97"/>
              </w:rPr>
              <w:t>Puerto Rico</w:t>
            </w:r>
          </w:p>
        </w:tc>
      </w:tr>
      <w:tr>
        <w:trPr>
          <w:trHeight w:val="405"/>
        </w:trPr>
        <w:tc>
          <w:tcPr>
            <w:tcW w:w="6660" w:type="dxa"/>
            <w:vAlign w:val="bottom"/>
          </w:tcPr>
          <w:p>
            <w:pPr>
              <w:ind w:left="220"/>
              <w:spacing w:after="0"/>
              <w:rPr>
                <w:sz w:val="20"/>
                <w:szCs w:val="20"/>
                <w:color w:val="auto"/>
              </w:rPr>
            </w:pPr>
            <w:r>
              <w:rPr>
                <w:rFonts w:ascii="Courier New" w:cs="Courier New" w:eastAsia="Courier New" w:hAnsi="Courier New"/>
                <w:sz w:val="18"/>
                <w:szCs w:val="18"/>
                <w:color w:val="auto"/>
              </w:rPr>
              <w:t>Chicago Title Land Trust Company</w:t>
            </w:r>
          </w:p>
        </w:tc>
        <w:tc>
          <w:tcPr>
            <w:tcW w:w="1460" w:type="dxa"/>
            <w:vAlign w:val="bottom"/>
          </w:tcPr>
          <w:p>
            <w:pPr>
              <w:jc w:val="center"/>
              <w:ind w:left="92"/>
              <w:spacing w:after="0"/>
              <w:rPr>
                <w:sz w:val="20"/>
                <w:szCs w:val="20"/>
                <w:color w:val="auto"/>
              </w:rPr>
            </w:pPr>
            <w:r>
              <w:rPr>
                <w:rFonts w:ascii="Courier New" w:cs="Courier New" w:eastAsia="Courier New" w:hAnsi="Courier New"/>
                <w:sz w:val="18"/>
                <w:szCs w:val="18"/>
                <w:color w:val="auto"/>
                <w:w w:val="97"/>
              </w:rPr>
              <w:t>Illinois</w:t>
            </w:r>
          </w:p>
        </w:tc>
      </w:tr>
      <w:tr>
        <w:trPr>
          <w:trHeight w:val="405"/>
        </w:trPr>
        <w:tc>
          <w:tcPr>
            <w:tcW w:w="6660" w:type="dxa"/>
            <w:vAlign w:val="bottom"/>
          </w:tcPr>
          <w:p>
            <w:pPr>
              <w:ind w:left="220"/>
              <w:spacing w:after="0"/>
              <w:rPr>
                <w:sz w:val="20"/>
                <w:szCs w:val="20"/>
                <w:color w:val="auto"/>
              </w:rPr>
            </w:pPr>
            <w:r>
              <w:rPr>
                <w:rFonts w:ascii="Courier New" w:cs="Courier New" w:eastAsia="Courier New" w:hAnsi="Courier New"/>
                <w:sz w:val="18"/>
                <w:szCs w:val="18"/>
                <w:color w:val="auto"/>
              </w:rPr>
              <w:t>Chicago Title of Colorado, Inc.</w:t>
            </w:r>
          </w:p>
        </w:tc>
        <w:tc>
          <w:tcPr>
            <w:tcW w:w="1460" w:type="dxa"/>
            <w:vAlign w:val="bottom"/>
          </w:tcPr>
          <w:p>
            <w:pPr>
              <w:jc w:val="center"/>
              <w:ind w:left="92"/>
              <w:spacing w:after="0"/>
              <w:rPr>
                <w:sz w:val="20"/>
                <w:szCs w:val="20"/>
                <w:color w:val="auto"/>
              </w:rPr>
            </w:pPr>
            <w:r>
              <w:rPr>
                <w:rFonts w:ascii="Courier New" w:cs="Courier New" w:eastAsia="Courier New" w:hAnsi="Courier New"/>
                <w:sz w:val="18"/>
                <w:szCs w:val="18"/>
                <w:color w:val="auto"/>
                <w:w w:val="97"/>
              </w:rPr>
              <w:t>Colorado</w:t>
            </w:r>
          </w:p>
        </w:tc>
      </w:tr>
      <w:tr>
        <w:trPr>
          <w:trHeight w:val="405"/>
        </w:trPr>
        <w:tc>
          <w:tcPr>
            <w:tcW w:w="6660" w:type="dxa"/>
            <w:vAlign w:val="bottom"/>
          </w:tcPr>
          <w:p>
            <w:pPr>
              <w:ind w:left="220"/>
              <w:spacing w:after="0"/>
              <w:rPr>
                <w:sz w:val="20"/>
                <w:szCs w:val="20"/>
                <w:color w:val="auto"/>
              </w:rPr>
            </w:pPr>
            <w:r>
              <w:rPr>
                <w:rFonts w:ascii="Courier New" w:cs="Courier New" w:eastAsia="Courier New" w:hAnsi="Courier New"/>
                <w:sz w:val="18"/>
                <w:szCs w:val="18"/>
                <w:color w:val="auto"/>
              </w:rPr>
              <w:t>Chicago Title of Michigan, Inc.</w:t>
            </w:r>
          </w:p>
        </w:tc>
        <w:tc>
          <w:tcPr>
            <w:tcW w:w="1460" w:type="dxa"/>
            <w:vAlign w:val="bottom"/>
          </w:tcPr>
          <w:p>
            <w:pPr>
              <w:jc w:val="center"/>
              <w:ind w:left="92"/>
              <w:spacing w:after="0"/>
              <w:rPr>
                <w:sz w:val="20"/>
                <w:szCs w:val="20"/>
                <w:color w:val="auto"/>
              </w:rPr>
            </w:pPr>
            <w:r>
              <w:rPr>
                <w:rFonts w:ascii="Courier New" w:cs="Courier New" w:eastAsia="Courier New" w:hAnsi="Courier New"/>
                <w:sz w:val="18"/>
                <w:szCs w:val="18"/>
                <w:color w:val="auto"/>
                <w:w w:val="97"/>
              </w:rPr>
              <w:t>Michigan</w:t>
            </w:r>
          </w:p>
        </w:tc>
      </w:tr>
      <w:tr>
        <w:trPr>
          <w:trHeight w:val="405"/>
        </w:trPr>
        <w:tc>
          <w:tcPr>
            <w:tcW w:w="6660" w:type="dxa"/>
            <w:vAlign w:val="bottom"/>
          </w:tcPr>
          <w:p>
            <w:pPr>
              <w:ind w:left="280"/>
              <w:spacing w:after="0"/>
              <w:rPr>
                <w:sz w:val="20"/>
                <w:szCs w:val="20"/>
                <w:color w:val="auto"/>
              </w:rPr>
            </w:pPr>
            <w:r>
              <w:rPr>
                <w:rFonts w:ascii="Courier New" w:cs="Courier New" w:eastAsia="Courier New" w:hAnsi="Courier New"/>
                <w:sz w:val="18"/>
                <w:szCs w:val="18"/>
                <w:color w:val="auto"/>
              </w:rPr>
              <w:t>Chicago Title of the Florida Keys, Inc. (85%)</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Florida</w:t>
            </w:r>
          </w:p>
        </w:tc>
      </w:tr>
      <w:tr>
        <w:trPr>
          <w:trHeight w:val="405"/>
        </w:trPr>
        <w:tc>
          <w:tcPr>
            <w:tcW w:w="6660" w:type="dxa"/>
            <w:vAlign w:val="bottom"/>
          </w:tcPr>
          <w:p>
            <w:pPr>
              <w:spacing w:after="0"/>
              <w:rPr>
                <w:sz w:val="20"/>
                <w:szCs w:val="20"/>
                <w:color w:val="auto"/>
              </w:rPr>
            </w:pPr>
            <w:r>
              <w:rPr>
                <w:rFonts w:ascii="Courier New" w:cs="Courier New" w:eastAsia="Courier New" w:hAnsi="Courier New"/>
                <w:sz w:val="18"/>
                <w:szCs w:val="18"/>
                <w:color w:val="auto"/>
              </w:rPr>
              <w:t>Closing Concepts, L.L.C.</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Pennsylvania</w:t>
            </w:r>
          </w:p>
        </w:tc>
      </w:tr>
      <w:tr>
        <w:trPr>
          <w:trHeight w:val="405"/>
        </w:trPr>
        <w:tc>
          <w:tcPr>
            <w:tcW w:w="6660" w:type="dxa"/>
            <w:vAlign w:val="bottom"/>
          </w:tcPr>
          <w:p>
            <w:pPr>
              <w:spacing w:after="0"/>
              <w:rPr>
                <w:sz w:val="20"/>
                <w:szCs w:val="20"/>
                <w:color w:val="auto"/>
              </w:rPr>
            </w:pPr>
            <w:r>
              <w:rPr>
                <w:rFonts w:ascii="Courier New" w:cs="Courier New" w:eastAsia="Courier New" w:hAnsi="Courier New"/>
                <w:sz w:val="18"/>
                <w:szCs w:val="18"/>
                <w:color w:val="auto"/>
              </w:rPr>
              <w:t>Closing Concepts, L.P.</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Pennsylvania</w:t>
            </w:r>
          </w:p>
        </w:tc>
      </w:tr>
      <w:tr>
        <w:trPr>
          <w:trHeight w:val="405"/>
        </w:trPr>
        <w:tc>
          <w:tcPr>
            <w:tcW w:w="6660" w:type="dxa"/>
            <w:vAlign w:val="bottom"/>
          </w:tcPr>
          <w:p>
            <w:pPr>
              <w:ind w:left="280"/>
              <w:spacing w:after="0"/>
              <w:rPr>
                <w:sz w:val="20"/>
                <w:szCs w:val="20"/>
                <w:color w:val="auto"/>
              </w:rPr>
            </w:pPr>
            <w:r>
              <w:rPr>
                <w:rFonts w:ascii="Courier New" w:cs="Courier New" w:eastAsia="Courier New" w:hAnsi="Courier New"/>
                <w:sz w:val="18"/>
                <w:szCs w:val="18"/>
                <w:color w:val="auto"/>
              </w:rPr>
              <w:t>Closing Concepts of Alabama, L.L.C.</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Alabama</w:t>
            </w:r>
          </w:p>
        </w:tc>
      </w:tr>
      <w:tr>
        <w:trPr>
          <w:trHeight w:val="405"/>
        </w:trPr>
        <w:tc>
          <w:tcPr>
            <w:tcW w:w="6660" w:type="dxa"/>
            <w:vAlign w:val="bottom"/>
          </w:tcPr>
          <w:p>
            <w:pPr>
              <w:ind w:left="120"/>
              <w:spacing w:after="0"/>
              <w:rPr>
                <w:sz w:val="20"/>
                <w:szCs w:val="20"/>
                <w:color w:val="auto"/>
              </w:rPr>
            </w:pPr>
            <w:r>
              <w:rPr>
                <w:rFonts w:ascii="Courier New" w:cs="Courier New" w:eastAsia="Courier New" w:hAnsi="Courier New"/>
                <w:sz w:val="18"/>
                <w:szCs w:val="18"/>
                <w:color w:val="auto"/>
              </w:rPr>
              <w:t>Commonwealth Title Company</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8"/>
              </w:rPr>
              <w:t>Washington</w:t>
            </w:r>
          </w:p>
        </w:tc>
      </w:tr>
      <w:tr>
        <w:trPr>
          <w:trHeight w:val="405"/>
        </w:trPr>
        <w:tc>
          <w:tcPr>
            <w:tcW w:w="6660" w:type="dxa"/>
            <w:vAlign w:val="bottom"/>
          </w:tcPr>
          <w:p>
            <w:pPr>
              <w:ind w:left="120"/>
              <w:spacing w:after="0"/>
              <w:rPr>
                <w:sz w:val="20"/>
                <w:szCs w:val="20"/>
                <w:color w:val="auto"/>
              </w:rPr>
            </w:pPr>
            <w:r>
              <w:rPr>
                <w:rFonts w:ascii="Courier New" w:cs="Courier New" w:eastAsia="Courier New" w:hAnsi="Courier New"/>
                <w:sz w:val="18"/>
                <w:szCs w:val="18"/>
                <w:color w:val="auto"/>
              </w:rPr>
              <w:t>Community Title Company (51%)</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6660" w:type="dxa"/>
            <w:vAlign w:val="bottom"/>
          </w:tcPr>
          <w:p>
            <w:pPr>
              <w:ind w:left="380"/>
              <w:spacing w:after="0"/>
              <w:rPr>
                <w:sz w:val="20"/>
                <w:szCs w:val="20"/>
                <w:color w:val="auto"/>
              </w:rPr>
            </w:pPr>
            <w:r>
              <w:rPr>
                <w:rFonts w:ascii="Courier New" w:cs="Courier New" w:eastAsia="Courier New" w:hAnsi="Courier New"/>
                <w:sz w:val="18"/>
                <w:szCs w:val="18"/>
                <w:color w:val="auto"/>
              </w:rPr>
              <w:t>Community Title, LLC (25%)</w:t>
            </w:r>
          </w:p>
        </w:tc>
        <w:tc>
          <w:tcPr>
            <w:tcW w:w="1460" w:type="dxa"/>
            <w:vAlign w:val="bottom"/>
          </w:tcPr>
          <w:p>
            <w:pPr>
              <w:jc w:val="center"/>
              <w:ind w:left="92"/>
              <w:spacing w:after="0"/>
              <w:rPr>
                <w:sz w:val="20"/>
                <w:szCs w:val="20"/>
                <w:color w:val="auto"/>
              </w:rPr>
            </w:pPr>
            <w:r>
              <w:rPr>
                <w:rFonts w:ascii="Courier New" w:cs="Courier New" w:eastAsia="Courier New" w:hAnsi="Courier New"/>
                <w:sz w:val="18"/>
                <w:szCs w:val="18"/>
                <w:color w:val="auto"/>
                <w:w w:val="96"/>
              </w:rPr>
              <w:t>Texas</w:t>
            </w:r>
          </w:p>
        </w:tc>
      </w:tr>
      <w:tr>
        <w:trPr>
          <w:trHeight w:val="405"/>
        </w:trPr>
        <w:tc>
          <w:tcPr>
            <w:tcW w:w="6660" w:type="dxa"/>
            <w:vAlign w:val="bottom"/>
          </w:tcPr>
          <w:p>
            <w:pPr>
              <w:ind w:left="320"/>
              <w:spacing w:after="0"/>
              <w:rPr>
                <w:sz w:val="20"/>
                <w:szCs w:val="20"/>
                <w:color w:val="auto"/>
              </w:rPr>
            </w:pPr>
            <w:r>
              <w:rPr>
                <w:rFonts w:ascii="Courier New" w:cs="Courier New" w:eastAsia="Courier New" w:hAnsi="Courier New"/>
                <w:sz w:val="18"/>
                <w:szCs w:val="18"/>
                <w:color w:val="auto"/>
              </w:rPr>
              <w:t>Construction Disbursements LLC</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5"/>
              </w:rPr>
              <w:t>Oregon</w:t>
            </w:r>
          </w:p>
        </w:tc>
      </w:tr>
      <w:tr>
        <w:trPr>
          <w:trHeight w:val="405"/>
        </w:trPr>
        <w:tc>
          <w:tcPr>
            <w:tcW w:w="6660" w:type="dxa"/>
            <w:vAlign w:val="bottom"/>
          </w:tcPr>
          <w:p>
            <w:pPr>
              <w:ind w:left="220"/>
              <w:spacing w:after="0"/>
              <w:rPr>
                <w:sz w:val="20"/>
                <w:szCs w:val="20"/>
                <w:color w:val="auto"/>
              </w:rPr>
            </w:pPr>
            <w:r>
              <w:rPr>
                <w:rFonts w:ascii="Courier New" w:cs="Courier New" w:eastAsia="Courier New" w:hAnsi="Courier New"/>
                <w:sz w:val="18"/>
                <w:szCs w:val="18"/>
                <w:color w:val="auto"/>
              </w:rPr>
              <w:t>CTC GP, LLC</w:t>
            </w:r>
          </w:p>
        </w:tc>
        <w:tc>
          <w:tcPr>
            <w:tcW w:w="1460" w:type="dxa"/>
            <w:vAlign w:val="bottom"/>
          </w:tcPr>
          <w:p>
            <w:pPr>
              <w:jc w:val="center"/>
              <w:ind w:left="9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6660" w:type="dxa"/>
            <w:vAlign w:val="bottom"/>
          </w:tcPr>
          <w:p>
            <w:pPr>
              <w:ind w:left="220"/>
              <w:spacing w:after="0"/>
              <w:rPr>
                <w:sz w:val="20"/>
                <w:szCs w:val="20"/>
                <w:color w:val="auto"/>
              </w:rPr>
            </w:pPr>
            <w:r>
              <w:rPr>
                <w:rFonts w:ascii="Courier New" w:cs="Courier New" w:eastAsia="Courier New" w:hAnsi="Courier New"/>
                <w:sz w:val="18"/>
                <w:szCs w:val="18"/>
                <w:color w:val="auto"/>
              </w:rPr>
              <w:t>CTC LP, LLC</w:t>
            </w:r>
          </w:p>
        </w:tc>
        <w:tc>
          <w:tcPr>
            <w:tcW w:w="1460" w:type="dxa"/>
            <w:vAlign w:val="bottom"/>
          </w:tcPr>
          <w:p>
            <w:pPr>
              <w:jc w:val="center"/>
              <w:ind w:left="9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6660" w:type="dxa"/>
            <w:vAlign w:val="bottom"/>
          </w:tcPr>
          <w:p>
            <w:pPr>
              <w:ind w:left="320"/>
              <w:spacing w:after="0"/>
              <w:rPr>
                <w:sz w:val="20"/>
                <w:szCs w:val="20"/>
                <w:color w:val="auto"/>
              </w:rPr>
            </w:pPr>
            <w:r>
              <w:rPr>
                <w:rFonts w:ascii="Courier New" w:cs="Courier New" w:eastAsia="Courier New" w:hAnsi="Courier New"/>
                <w:sz w:val="18"/>
                <w:szCs w:val="18"/>
                <w:color w:val="auto"/>
              </w:rPr>
              <w:t>CT/Nevada Holding Company</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5"/>
              </w:rPr>
              <w:t>Nevada</w:t>
            </w:r>
          </w:p>
        </w:tc>
      </w:tr>
      <w:tr>
        <w:trPr>
          <w:trHeight w:val="405"/>
        </w:trPr>
        <w:tc>
          <w:tcPr>
            <w:tcW w:w="6660" w:type="dxa"/>
            <w:vAlign w:val="bottom"/>
          </w:tcPr>
          <w:p>
            <w:pPr>
              <w:ind w:left="220"/>
              <w:spacing w:after="0"/>
              <w:rPr>
                <w:sz w:val="20"/>
                <w:szCs w:val="20"/>
                <w:color w:val="auto"/>
              </w:rPr>
            </w:pPr>
            <w:r>
              <w:rPr>
                <w:rFonts w:ascii="Courier New" w:cs="Courier New" w:eastAsia="Courier New" w:hAnsi="Courier New"/>
                <w:sz w:val="18"/>
                <w:szCs w:val="18"/>
                <w:color w:val="auto"/>
              </w:rPr>
              <w:t>CUMC Title Agency, LLC (50%)</w:t>
            </w:r>
          </w:p>
        </w:tc>
        <w:tc>
          <w:tcPr>
            <w:tcW w:w="1460" w:type="dxa"/>
            <w:vAlign w:val="bottom"/>
          </w:tcPr>
          <w:p>
            <w:pPr>
              <w:jc w:val="center"/>
              <w:ind w:left="92"/>
              <w:spacing w:after="0"/>
              <w:rPr>
                <w:sz w:val="20"/>
                <w:szCs w:val="20"/>
                <w:color w:val="auto"/>
              </w:rPr>
            </w:pPr>
            <w:r>
              <w:rPr>
                <w:rFonts w:ascii="Courier New" w:cs="Courier New" w:eastAsia="Courier New" w:hAnsi="Courier New"/>
                <w:sz w:val="18"/>
                <w:szCs w:val="18"/>
                <w:color w:val="auto"/>
                <w:w w:val="97"/>
              </w:rPr>
              <w:t>Michigan</w:t>
            </w:r>
          </w:p>
        </w:tc>
      </w:tr>
      <w:tr>
        <w:trPr>
          <w:trHeight w:val="810"/>
        </w:trPr>
        <w:tc>
          <w:tcPr>
            <w:tcW w:w="6660" w:type="dxa"/>
            <w:vAlign w:val="bottom"/>
          </w:tcPr>
          <w:p>
            <w:pPr>
              <w:ind w:left="6120"/>
              <w:spacing w:after="0"/>
              <w:rPr>
                <w:sz w:val="20"/>
                <w:szCs w:val="20"/>
                <w:color w:val="auto"/>
              </w:rPr>
            </w:pPr>
            <w:r>
              <w:rPr>
                <w:rFonts w:ascii="Courier New" w:cs="Courier New" w:eastAsia="Courier New" w:hAnsi="Courier New"/>
                <w:sz w:val="18"/>
                <w:szCs w:val="18"/>
                <w:color w:val="auto"/>
              </w:rPr>
              <w:t>3</w:t>
            </w:r>
          </w:p>
        </w:tc>
        <w:tc>
          <w:tcPr>
            <w:tcW w:w="1460" w:type="dxa"/>
            <w:vAlign w:val="bottom"/>
          </w:tcPr>
          <w:p>
            <w:pPr>
              <w:spacing w:after="0"/>
              <w:rPr>
                <w:sz w:val="24"/>
                <w:szCs w:val="24"/>
                <w:color w:val="auto"/>
              </w:rPr>
            </w:pPr>
          </w:p>
        </w:tc>
      </w:tr>
    </w:tbl>
    <w:p>
      <w:pPr>
        <w:sectPr>
          <w:pgSz w:w="11900" w:h="16838" w:orient="portrait"/>
          <w:cols w:equalWidth="0" w:num="1">
            <w:col w:w="9959"/>
          </w:cols>
          <w:pgMar w:left="500" w:top="1122" w:right="1440" w:bottom="1440" w:gutter="0" w:footer="0" w:header="0"/>
        </w:sectPr>
      </w:pPr>
    </w:p>
    <w:bookmarkStart w:id="246" w:name="page247"/>
    <w:bookmarkEnd w:id="2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20" w:type="dxa"/>
            <w:vAlign w:val="bottom"/>
          </w:tcPr>
          <w:p>
            <w:pPr>
              <w:ind w:left="380"/>
              <w:spacing w:after="0"/>
              <w:rPr>
                <w:sz w:val="20"/>
                <w:szCs w:val="20"/>
                <w:color w:val="auto"/>
              </w:rPr>
            </w:pPr>
            <w:r>
              <w:rPr>
                <w:rFonts w:ascii="Courier New" w:cs="Courier New" w:eastAsia="Courier New" w:hAnsi="Courier New"/>
                <w:sz w:val="18"/>
                <w:szCs w:val="18"/>
                <w:color w:val="auto"/>
              </w:rPr>
              <w:t>Dallas-Fidelity National Title Agency, Inc.</w:t>
            </w:r>
          </w:p>
        </w:tc>
        <w:tc>
          <w:tcPr>
            <w:tcW w:w="150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6"/>
              </w:rPr>
              <w:t>Texas</w:t>
            </w:r>
          </w:p>
        </w:tc>
      </w:tr>
      <w:tr>
        <w:trPr>
          <w:trHeight w:val="203"/>
        </w:trPr>
        <w:tc>
          <w:tcPr>
            <w:tcW w:w="6620" w:type="dxa"/>
            <w:vAlign w:val="bottom"/>
          </w:tcPr>
          <w:p>
            <w:pPr>
              <w:ind w:left="1740"/>
              <w:spacing w:after="0" w:line="203" w:lineRule="exact"/>
              <w:rPr>
                <w:sz w:val="20"/>
                <w:szCs w:val="20"/>
                <w:color w:val="auto"/>
              </w:rPr>
            </w:pPr>
            <w:r>
              <w:rPr>
                <w:rFonts w:ascii="Courier New" w:cs="Courier New" w:eastAsia="Courier New" w:hAnsi="Courier New"/>
                <w:sz w:val="18"/>
                <w:szCs w:val="18"/>
                <w:color w:val="auto"/>
              </w:rPr>
              <w:t>(d/b/a Fidelity National Title Agency, Inc.)</w:t>
            </w:r>
          </w:p>
        </w:tc>
        <w:tc>
          <w:tcPr>
            <w:tcW w:w="1500" w:type="dxa"/>
            <w:vAlign w:val="bottom"/>
          </w:tcPr>
          <w:p>
            <w:pPr>
              <w:spacing w:after="0"/>
              <w:rPr>
                <w:sz w:val="17"/>
                <w:szCs w:val="17"/>
                <w:color w:val="auto"/>
              </w:rPr>
            </w:pPr>
          </w:p>
        </w:tc>
      </w:tr>
      <w:tr>
        <w:trPr>
          <w:trHeight w:val="405"/>
        </w:trPr>
        <w:tc>
          <w:tcPr>
            <w:tcW w:w="6620" w:type="dxa"/>
            <w:vAlign w:val="bottom"/>
          </w:tcPr>
          <w:p>
            <w:pPr>
              <w:ind w:left="380"/>
              <w:spacing w:after="0"/>
              <w:rPr>
                <w:sz w:val="20"/>
                <w:szCs w:val="20"/>
                <w:color w:val="auto"/>
              </w:rPr>
            </w:pPr>
            <w:r>
              <w:rPr>
                <w:rFonts w:ascii="Courier New" w:cs="Courier New" w:eastAsia="Courier New" w:hAnsi="Courier New"/>
                <w:sz w:val="18"/>
                <w:szCs w:val="18"/>
                <w:color w:val="auto"/>
              </w:rPr>
              <w:t>Dallas Seven Index, Inc. (14.3%)</w:t>
            </w:r>
          </w:p>
        </w:tc>
        <w:tc>
          <w:tcPr>
            <w:tcW w:w="150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6"/>
              </w:rPr>
              <w:t>Texas</w:t>
            </w:r>
          </w:p>
        </w:tc>
      </w:tr>
      <w:tr>
        <w:trPr>
          <w:trHeight w:val="405"/>
        </w:trPr>
        <w:tc>
          <w:tcPr>
            <w:tcW w:w="6620" w:type="dxa"/>
            <w:vAlign w:val="bottom"/>
          </w:tcPr>
          <w:p>
            <w:pPr>
              <w:ind w:left="220"/>
              <w:spacing w:after="0"/>
              <w:rPr>
                <w:sz w:val="20"/>
                <w:szCs w:val="20"/>
                <w:color w:val="auto"/>
              </w:rPr>
            </w:pPr>
            <w:r>
              <w:rPr>
                <w:rFonts w:ascii="Courier New" w:cs="Courier New" w:eastAsia="Courier New" w:hAnsi="Courier New"/>
                <w:sz w:val="18"/>
                <w:szCs w:val="18"/>
                <w:color w:val="auto"/>
              </w:rPr>
              <w:t>Decatur Title Company, L.L.C.</w:t>
            </w:r>
          </w:p>
        </w:tc>
        <w:tc>
          <w:tcPr>
            <w:tcW w:w="150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Illinois</w:t>
            </w:r>
          </w:p>
        </w:tc>
      </w:tr>
      <w:tr>
        <w:trPr>
          <w:trHeight w:val="405"/>
        </w:trPr>
        <w:tc>
          <w:tcPr>
            <w:tcW w:w="6620" w:type="dxa"/>
            <w:vAlign w:val="bottom"/>
          </w:tcPr>
          <w:p>
            <w:pPr>
              <w:ind w:left="220"/>
              <w:spacing w:after="0"/>
              <w:rPr>
                <w:sz w:val="20"/>
                <w:szCs w:val="20"/>
                <w:color w:val="auto"/>
              </w:rPr>
            </w:pPr>
            <w:r>
              <w:rPr>
                <w:rFonts w:ascii="Courier New" w:cs="Courier New" w:eastAsia="Courier New" w:hAnsi="Courier New"/>
                <w:sz w:val="18"/>
                <w:szCs w:val="18"/>
                <w:color w:val="auto"/>
              </w:rPr>
              <w:t>DFCU Financial Title Agency, L.L.C. (51%)</w:t>
            </w:r>
          </w:p>
        </w:tc>
        <w:tc>
          <w:tcPr>
            <w:tcW w:w="150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Michigan</w:t>
            </w:r>
          </w:p>
        </w:tc>
      </w:tr>
      <w:tr>
        <w:trPr>
          <w:trHeight w:val="405"/>
        </w:trPr>
        <w:tc>
          <w:tcPr>
            <w:tcW w:w="6620" w:type="dxa"/>
            <w:vAlign w:val="bottom"/>
          </w:tcPr>
          <w:p>
            <w:pPr>
              <w:ind w:left="420"/>
              <w:spacing w:after="0"/>
              <w:rPr>
                <w:sz w:val="20"/>
                <w:szCs w:val="20"/>
                <w:color w:val="auto"/>
              </w:rPr>
            </w:pPr>
            <w:r>
              <w:rPr>
                <w:rFonts w:ascii="Courier New" w:cs="Courier New" w:eastAsia="Courier New" w:hAnsi="Courier New"/>
                <w:sz w:val="18"/>
                <w:szCs w:val="18"/>
                <w:color w:val="auto"/>
              </w:rPr>
              <w:t>Diversified Title Agency, LLC (50.1%)</w:t>
            </w:r>
          </w:p>
        </w:tc>
        <w:tc>
          <w:tcPr>
            <w:tcW w:w="1500" w:type="dxa"/>
            <w:vAlign w:val="bottom"/>
          </w:tcPr>
          <w:p>
            <w:pPr>
              <w:jc w:val="center"/>
              <w:ind w:left="152"/>
              <w:spacing w:after="0"/>
              <w:rPr>
                <w:sz w:val="20"/>
                <w:szCs w:val="20"/>
                <w:color w:val="auto"/>
              </w:rPr>
            </w:pPr>
            <w:r>
              <w:rPr>
                <w:rFonts w:ascii="Courier New" w:cs="Courier New" w:eastAsia="Courier New" w:hAnsi="Courier New"/>
                <w:sz w:val="18"/>
                <w:szCs w:val="18"/>
                <w:color w:val="auto"/>
                <w:w w:val="97"/>
              </w:rPr>
              <w:t>Ohio</w:t>
            </w:r>
          </w:p>
        </w:tc>
      </w:tr>
      <w:tr>
        <w:trPr>
          <w:trHeight w:val="405"/>
        </w:trPr>
        <w:tc>
          <w:tcPr>
            <w:tcW w:w="6620" w:type="dxa"/>
            <w:vAlign w:val="bottom"/>
          </w:tcPr>
          <w:p>
            <w:pPr>
              <w:ind w:left="120"/>
              <w:spacing w:after="0"/>
              <w:rPr>
                <w:sz w:val="20"/>
                <w:szCs w:val="20"/>
                <w:color w:val="auto"/>
              </w:rPr>
            </w:pPr>
            <w:r>
              <w:rPr>
                <w:rFonts w:ascii="Courier New" w:cs="Courier New" w:eastAsia="Courier New" w:hAnsi="Courier New"/>
                <w:sz w:val="18"/>
                <w:szCs w:val="18"/>
                <w:color w:val="auto"/>
              </w:rPr>
              <w:t>Duxford Escrow, Inc. (51%)</w:t>
            </w:r>
          </w:p>
        </w:tc>
        <w:tc>
          <w:tcPr>
            <w:tcW w:w="1500" w:type="dxa"/>
            <w:vAlign w:val="bottom"/>
          </w:tcPr>
          <w:p>
            <w:pPr>
              <w:jc w:val="center"/>
              <w:ind w:left="15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6620" w:type="dxa"/>
            <w:vAlign w:val="bottom"/>
          </w:tcPr>
          <w:p>
            <w:pPr>
              <w:ind w:left="220"/>
              <w:spacing w:after="0"/>
              <w:rPr>
                <w:sz w:val="20"/>
                <w:szCs w:val="20"/>
                <w:color w:val="auto"/>
              </w:rPr>
            </w:pPr>
            <w:r>
              <w:rPr>
                <w:rFonts w:ascii="Courier New" w:cs="Courier New" w:eastAsia="Courier New" w:hAnsi="Courier New"/>
                <w:sz w:val="18"/>
                <w:szCs w:val="18"/>
                <w:color w:val="auto"/>
              </w:rPr>
              <w:t>EC Purchasing.com, Inc.</w:t>
            </w:r>
          </w:p>
        </w:tc>
        <w:tc>
          <w:tcPr>
            <w:tcW w:w="150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6620" w:type="dxa"/>
            <w:vAlign w:val="bottom"/>
          </w:tcPr>
          <w:p>
            <w:pPr>
              <w:ind w:left="220"/>
              <w:spacing w:after="0"/>
              <w:rPr>
                <w:sz w:val="20"/>
                <w:szCs w:val="20"/>
                <w:color w:val="auto"/>
              </w:rPr>
            </w:pPr>
            <w:r>
              <w:rPr>
                <w:rFonts w:ascii="Courier New" w:cs="Courier New" w:eastAsia="Courier New" w:hAnsi="Courier New"/>
                <w:sz w:val="18"/>
                <w:szCs w:val="18"/>
                <w:color w:val="auto"/>
              </w:rPr>
              <w:t>Entrust Title Agency LLC (50%)</w:t>
            </w:r>
          </w:p>
        </w:tc>
        <w:tc>
          <w:tcPr>
            <w:tcW w:w="150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New York</w:t>
            </w:r>
          </w:p>
        </w:tc>
      </w:tr>
      <w:tr>
        <w:trPr>
          <w:trHeight w:val="405"/>
        </w:trPr>
        <w:tc>
          <w:tcPr>
            <w:tcW w:w="6620" w:type="dxa"/>
            <w:vAlign w:val="bottom"/>
          </w:tcPr>
          <w:p>
            <w:pPr>
              <w:ind w:left="420"/>
              <w:spacing w:after="0"/>
              <w:rPr>
                <w:sz w:val="20"/>
                <w:szCs w:val="20"/>
                <w:color w:val="auto"/>
              </w:rPr>
            </w:pPr>
            <w:r>
              <w:rPr>
                <w:rFonts w:ascii="Courier New" w:cs="Courier New" w:eastAsia="Courier New" w:hAnsi="Courier New"/>
                <w:sz w:val="18"/>
                <w:szCs w:val="18"/>
                <w:color w:val="auto"/>
              </w:rPr>
              <w:t>Executive Title Agency Corp.</w:t>
            </w:r>
          </w:p>
        </w:tc>
        <w:tc>
          <w:tcPr>
            <w:tcW w:w="1500" w:type="dxa"/>
            <w:vAlign w:val="bottom"/>
          </w:tcPr>
          <w:p>
            <w:pPr>
              <w:jc w:val="center"/>
              <w:ind w:left="152"/>
              <w:spacing w:after="0"/>
              <w:rPr>
                <w:sz w:val="20"/>
                <w:szCs w:val="20"/>
                <w:color w:val="auto"/>
              </w:rPr>
            </w:pPr>
            <w:r>
              <w:rPr>
                <w:rFonts w:ascii="Courier New" w:cs="Courier New" w:eastAsia="Courier New" w:hAnsi="Courier New"/>
                <w:sz w:val="18"/>
                <w:szCs w:val="18"/>
                <w:color w:val="auto"/>
                <w:w w:val="97"/>
              </w:rPr>
              <w:t>Ohio</w:t>
            </w:r>
          </w:p>
        </w:tc>
      </w:tr>
      <w:tr>
        <w:trPr>
          <w:trHeight w:val="405"/>
        </w:trPr>
        <w:tc>
          <w:tcPr>
            <w:tcW w:w="6620" w:type="dxa"/>
            <w:vAlign w:val="bottom"/>
          </w:tcPr>
          <w:p>
            <w:pPr>
              <w:ind w:left="280"/>
              <w:spacing w:after="0"/>
              <w:rPr>
                <w:sz w:val="20"/>
                <w:szCs w:val="20"/>
                <w:color w:val="auto"/>
              </w:rPr>
            </w:pPr>
            <w:r>
              <w:rPr>
                <w:rFonts w:ascii="Courier New" w:cs="Courier New" w:eastAsia="Courier New" w:hAnsi="Courier New"/>
                <w:sz w:val="18"/>
                <w:szCs w:val="18"/>
                <w:color w:val="auto"/>
              </w:rPr>
              <w:t>Fidelity Affiliates, LLC</w:t>
            </w:r>
          </w:p>
        </w:tc>
        <w:tc>
          <w:tcPr>
            <w:tcW w:w="1500" w:type="dxa"/>
            <w:vAlign w:val="bottom"/>
          </w:tcPr>
          <w:p>
            <w:pPr>
              <w:jc w:val="center"/>
              <w:ind w:left="152"/>
              <w:spacing w:after="0"/>
              <w:rPr>
                <w:sz w:val="20"/>
                <w:szCs w:val="20"/>
                <w:color w:val="auto"/>
              </w:rPr>
            </w:pPr>
            <w:r>
              <w:rPr>
                <w:rFonts w:ascii="Courier New" w:cs="Courier New" w:eastAsia="Courier New" w:hAnsi="Courier New"/>
                <w:sz w:val="18"/>
                <w:szCs w:val="18"/>
                <w:color w:val="auto"/>
                <w:w w:val="97"/>
              </w:rPr>
              <w:t>Florida</w:t>
            </w:r>
          </w:p>
        </w:tc>
      </w:tr>
      <w:tr>
        <w:trPr>
          <w:trHeight w:val="405"/>
        </w:trPr>
        <w:tc>
          <w:tcPr>
            <w:tcW w:w="6620" w:type="dxa"/>
            <w:vAlign w:val="bottom"/>
          </w:tcPr>
          <w:p>
            <w:pPr>
              <w:ind w:left="120"/>
              <w:spacing w:after="0"/>
              <w:rPr>
                <w:sz w:val="20"/>
                <w:szCs w:val="20"/>
                <w:color w:val="auto"/>
              </w:rPr>
            </w:pPr>
            <w:r>
              <w:rPr>
                <w:rFonts w:ascii="Courier New" w:cs="Courier New" w:eastAsia="Courier New" w:hAnsi="Courier New"/>
                <w:sz w:val="18"/>
                <w:szCs w:val="18"/>
                <w:color w:val="auto"/>
              </w:rPr>
              <w:t>Fidelity Asset Management, Inc.</w:t>
            </w:r>
          </w:p>
        </w:tc>
        <w:tc>
          <w:tcPr>
            <w:tcW w:w="1500" w:type="dxa"/>
            <w:vAlign w:val="bottom"/>
          </w:tcPr>
          <w:p>
            <w:pPr>
              <w:jc w:val="center"/>
              <w:ind w:left="15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6620" w:type="dxa"/>
            <w:vAlign w:val="bottom"/>
          </w:tcPr>
          <w:p>
            <w:pPr>
              <w:ind w:left="120"/>
              <w:spacing w:after="0"/>
              <w:rPr>
                <w:sz w:val="20"/>
                <w:szCs w:val="20"/>
                <w:color w:val="auto"/>
              </w:rPr>
            </w:pPr>
            <w:r>
              <w:rPr>
                <w:rFonts w:ascii="Courier New" w:cs="Courier New" w:eastAsia="Courier New" w:hAnsi="Courier New"/>
                <w:sz w:val="18"/>
                <w:szCs w:val="18"/>
                <w:color w:val="auto"/>
              </w:rPr>
              <w:t>Fidelity Express Network, Inc.</w:t>
            </w:r>
          </w:p>
        </w:tc>
        <w:tc>
          <w:tcPr>
            <w:tcW w:w="1500" w:type="dxa"/>
            <w:vAlign w:val="bottom"/>
          </w:tcPr>
          <w:p>
            <w:pPr>
              <w:jc w:val="center"/>
              <w:ind w:left="15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6620" w:type="dxa"/>
            <w:vAlign w:val="bottom"/>
          </w:tcPr>
          <w:p>
            <w:pPr>
              <w:ind w:left="220"/>
              <w:spacing w:after="0"/>
              <w:rPr>
                <w:sz w:val="20"/>
                <w:szCs w:val="20"/>
                <w:color w:val="auto"/>
              </w:rPr>
            </w:pPr>
            <w:r>
              <w:rPr>
                <w:rFonts w:ascii="Courier New" w:cs="Courier New" w:eastAsia="Courier New" w:hAnsi="Courier New"/>
                <w:sz w:val="18"/>
                <w:szCs w:val="18"/>
                <w:color w:val="auto"/>
              </w:rPr>
              <w:t>Fidelity Fulfillment Center, LLC (51%)</w:t>
            </w:r>
          </w:p>
        </w:tc>
        <w:tc>
          <w:tcPr>
            <w:tcW w:w="150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6620" w:type="dxa"/>
            <w:vAlign w:val="bottom"/>
          </w:tcPr>
          <w:p>
            <w:pPr>
              <w:ind w:left="120"/>
              <w:spacing w:after="0"/>
              <w:rPr>
                <w:sz w:val="20"/>
                <w:szCs w:val="20"/>
                <w:color w:val="auto"/>
              </w:rPr>
            </w:pPr>
            <w:r>
              <w:rPr>
                <w:rFonts w:ascii="Courier New" w:cs="Courier New" w:eastAsia="Courier New" w:hAnsi="Courier New"/>
                <w:sz w:val="18"/>
                <w:szCs w:val="18"/>
                <w:color w:val="auto"/>
              </w:rPr>
              <w:t>Fidelity Global Solutions Costa Rica, S.A.</w:t>
            </w:r>
          </w:p>
        </w:tc>
        <w:tc>
          <w:tcPr>
            <w:tcW w:w="1500" w:type="dxa"/>
            <w:vAlign w:val="bottom"/>
          </w:tcPr>
          <w:p>
            <w:pPr>
              <w:jc w:val="center"/>
              <w:ind w:left="152"/>
              <w:spacing w:after="0"/>
              <w:rPr>
                <w:sz w:val="20"/>
                <w:szCs w:val="20"/>
                <w:color w:val="auto"/>
              </w:rPr>
            </w:pPr>
            <w:r>
              <w:rPr>
                <w:rFonts w:ascii="Courier New" w:cs="Courier New" w:eastAsia="Courier New" w:hAnsi="Courier New"/>
                <w:sz w:val="18"/>
                <w:szCs w:val="18"/>
                <w:color w:val="auto"/>
                <w:w w:val="98"/>
              </w:rPr>
              <w:t>Costa Rica</w:t>
            </w:r>
          </w:p>
        </w:tc>
      </w:tr>
      <w:tr>
        <w:trPr>
          <w:trHeight w:val="405"/>
        </w:trPr>
        <w:tc>
          <w:tcPr>
            <w:tcW w:w="6620" w:type="dxa"/>
            <w:vAlign w:val="bottom"/>
          </w:tcPr>
          <w:p>
            <w:pPr>
              <w:spacing w:after="0"/>
              <w:rPr>
                <w:sz w:val="20"/>
                <w:szCs w:val="20"/>
                <w:color w:val="auto"/>
              </w:rPr>
            </w:pPr>
            <w:r>
              <w:rPr>
                <w:rFonts w:ascii="Courier New" w:cs="Courier New" w:eastAsia="Courier New" w:hAnsi="Courier New"/>
                <w:sz w:val="18"/>
                <w:szCs w:val="18"/>
                <w:color w:val="auto"/>
              </w:rPr>
              <w:t>Fidelity Inspection &amp; Consulting Services, Inc.</w:t>
            </w:r>
          </w:p>
        </w:tc>
        <w:tc>
          <w:tcPr>
            <w:tcW w:w="1500" w:type="dxa"/>
            <w:vAlign w:val="bottom"/>
          </w:tcPr>
          <w:p>
            <w:pPr>
              <w:jc w:val="center"/>
              <w:ind w:left="152"/>
              <w:spacing w:after="0"/>
              <w:rPr>
                <w:sz w:val="20"/>
                <w:szCs w:val="20"/>
                <w:color w:val="auto"/>
              </w:rPr>
            </w:pPr>
            <w:r>
              <w:rPr>
                <w:rFonts w:ascii="Courier New" w:cs="Courier New" w:eastAsia="Courier New" w:hAnsi="Courier New"/>
                <w:sz w:val="18"/>
                <w:szCs w:val="18"/>
                <w:color w:val="auto"/>
                <w:w w:val="97"/>
              </w:rPr>
              <w:t>Pennsylvania</w:t>
            </w:r>
          </w:p>
        </w:tc>
      </w:tr>
      <w:tr>
        <w:trPr>
          <w:trHeight w:val="405"/>
        </w:trPr>
        <w:tc>
          <w:tcPr>
            <w:tcW w:w="6620" w:type="dxa"/>
            <w:vAlign w:val="bottom"/>
          </w:tcPr>
          <w:p>
            <w:pPr>
              <w:ind w:left="280"/>
              <w:spacing w:after="0"/>
              <w:rPr>
                <w:sz w:val="20"/>
                <w:szCs w:val="20"/>
                <w:color w:val="auto"/>
              </w:rPr>
            </w:pPr>
            <w:r>
              <w:rPr>
                <w:rFonts w:ascii="Courier New" w:cs="Courier New" w:eastAsia="Courier New" w:hAnsi="Courier New"/>
                <w:sz w:val="18"/>
                <w:szCs w:val="18"/>
                <w:color w:val="auto"/>
              </w:rPr>
              <w:t>Fidelity National Agency of Arizona, Inc. (51%)</w:t>
            </w:r>
          </w:p>
        </w:tc>
        <w:tc>
          <w:tcPr>
            <w:tcW w:w="1500" w:type="dxa"/>
            <w:vAlign w:val="bottom"/>
          </w:tcPr>
          <w:p>
            <w:pPr>
              <w:jc w:val="center"/>
              <w:ind w:left="152"/>
              <w:spacing w:after="0"/>
              <w:rPr>
                <w:sz w:val="20"/>
                <w:szCs w:val="20"/>
                <w:color w:val="auto"/>
              </w:rPr>
            </w:pPr>
            <w:r>
              <w:rPr>
                <w:rFonts w:ascii="Courier New" w:cs="Courier New" w:eastAsia="Courier New" w:hAnsi="Courier New"/>
                <w:sz w:val="18"/>
                <w:szCs w:val="18"/>
                <w:color w:val="auto"/>
                <w:w w:val="97"/>
              </w:rPr>
              <w:t>Arizona</w:t>
            </w:r>
          </w:p>
        </w:tc>
      </w:tr>
      <w:tr>
        <w:trPr>
          <w:trHeight w:val="405"/>
        </w:trPr>
        <w:tc>
          <w:tcPr>
            <w:tcW w:w="6620" w:type="dxa"/>
            <w:vAlign w:val="bottom"/>
          </w:tcPr>
          <w:p>
            <w:pPr>
              <w:ind w:left="220"/>
              <w:spacing w:after="0"/>
              <w:rPr>
                <w:sz w:val="20"/>
                <w:szCs w:val="20"/>
                <w:color w:val="auto"/>
              </w:rPr>
            </w:pPr>
            <w:r>
              <w:rPr>
                <w:rFonts w:ascii="Courier New" w:cs="Courier New" w:eastAsia="Courier New" w:hAnsi="Courier New"/>
                <w:sz w:val="18"/>
                <w:szCs w:val="18"/>
                <w:color w:val="auto"/>
              </w:rPr>
              <w:t>Fidelity National Management Services, LLC</w:t>
            </w:r>
          </w:p>
        </w:tc>
        <w:tc>
          <w:tcPr>
            <w:tcW w:w="150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6620" w:type="dxa"/>
            <w:vAlign w:val="bottom"/>
          </w:tcPr>
          <w:p>
            <w:pPr>
              <w:ind w:left="280"/>
              <w:spacing w:after="0"/>
              <w:rPr>
                <w:sz w:val="20"/>
                <w:szCs w:val="20"/>
                <w:color w:val="auto"/>
              </w:rPr>
            </w:pPr>
            <w:r>
              <w:rPr>
                <w:rFonts w:ascii="Courier New" w:cs="Courier New" w:eastAsia="Courier New" w:hAnsi="Courier New"/>
                <w:sz w:val="18"/>
                <w:szCs w:val="18"/>
                <w:color w:val="auto"/>
              </w:rPr>
              <w:t>Fidelity National Title Agency, Inc.</w:t>
            </w:r>
          </w:p>
        </w:tc>
        <w:tc>
          <w:tcPr>
            <w:tcW w:w="1500" w:type="dxa"/>
            <w:vAlign w:val="bottom"/>
          </w:tcPr>
          <w:p>
            <w:pPr>
              <w:jc w:val="center"/>
              <w:ind w:left="152"/>
              <w:spacing w:after="0"/>
              <w:rPr>
                <w:sz w:val="20"/>
                <w:szCs w:val="20"/>
                <w:color w:val="auto"/>
              </w:rPr>
            </w:pPr>
            <w:r>
              <w:rPr>
                <w:rFonts w:ascii="Courier New" w:cs="Courier New" w:eastAsia="Courier New" w:hAnsi="Courier New"/>
                <w:sz w:val="18"/>
                <w:szCs w:val="18"/>
                <w:color w:val="auto"/>
                <w:w w:val="97"/>
              </w:rPr>
              <w:t>Arizona</w:t>
            </w:r>
          </w:p>
        </w:tc>
      </w:tr>
      <w:tr>
        <w:trPr>
          <w:trHeight w:val="405"/>
        </w:trPr>
        <w:tc>
          <w:tcPr>
            <w:tcW w:w="6620" w:type="dxa"/>
            <w:vAlign w:val="bottom"/>
          </w:tcPr>
          <w:p>
            <w:pPr>
              <w:ind w:left="320"/>
              <w:spacing w:after="0"/>
              <w:rPr>
                <w:sz w:val="20"/>
                <w:szCs w:val="20"/>
                <w:color w:val="auto"/>
              </w:rPr>
            </w:pPr>
            <w:r>
              <w:rPr>
                <w:rFonts w:ascii="Courier New" w:cs="Courier New" w:eastAsia="Courier New" w:hAnsi="Courier New"/>
                <w:sz w:val="18"/>
                <w:szCs w:val="18"/>
                <w:color w:val="auto"/>
              </w:rPr>
              <w:t>Fidelity National Title Agency of Nevada, Inc.</w:t>
            </w:r>
          </w:p>
        </w:tc>
        <w:tc>
          <w:tcPr>
            <w:tcW w:w="1500" w:type="dxa"/>
            <w:vAlign w:val="bottom"/>
          </w:tcPr>
          <w:p>
            <w:pPr>
              <w:jc w:val="center"/>
              <w:ind w:left="152"/>
              <w:spacing w:after="0"/>
              <w:rPr>
                <w:sz w:val="20"/>
                <w:szCs w:val="20"/>
                <w:color w:val="auto"/>
              </w:rPr>
            </w:pPr>
            <w:r>
              <w:rPr>
                <w:rFonts w:ascii="Courier New" w:cs="Courier New" w:eastAsia="Courier New" w:hAnsi="Courier New"/>
                <w:sz w:val="18"/>
                <w:szCs w:val="18"/>
                <w:color w:val="auto"/>
                <w:w w:val="95"/>
              </w:rPr>
              <w:t>Nevada</w:t>
            </w:r>
          </w:p>
        </w:tc>
      </w:tr>
      <w:tr>
        <w:trPr>
          <w:trHeight w:val="405"/>
        </w:trPr>
        <w:tc>
          <w:tcPr>
            <w:tcW w:w="6620" w:type="dxa"/>
            <w:vAlign w:val="bottom"/>
          </w:tcPr>
          <w:p>
            <w:pPr>
              <w:ind w:left="280"/>
              <w:spacing w:after="0"/>
              <w:rPr>
                <w:sz w:val="20"/>
                <w:szCs w:val="20"/>
                <w:color w:val="auto"/>
              </w:rPr>
            </w:pPr>
            <w:r>
              <w:rPr>
                <w:rFonts w:ascii="Courier New" w:cs="Courier New" w:eastAsia="Courier New" w:hAnsi="Courier New"/>
                <w:sz w:val="18"/>
                <w:szCs w:val="18"/>
                <w:color w:val="auto"/>
              </w:rPr>
              <w:t>Fidelity National Title Agency of Pinal County, Inc.</w:t>
            </w:r>
          </w:p>
        </w:tc>
        <w:tc>
          <w:tcPr>
            <w:tcW w:w="1500" w:type="dxa"/>
            <w:vAlign w:val="bottom"/>
          </w:tcPr>
          <w:p>
            <w:pPr>
              <w:jc w:val="center"/>
              <w:ind w:left="152"/>
              <w:spacing w:after="0"/>
              <w:rPr>
                <w:sz w:val="20"/>
                <w:szCs w:val="20"/>
                <w:color w:val="auto"/>
              </w:rPr>
            </w:pPr>
            <w:r>
              <w:rPr>
                <w:rFonts w:ascii="Courier New" w:cs="Courier New" w:eastAsia="Courier New" w:hAnsi="Courier New"/>
                <w:sz w:val="18"/>
                <w:szCs w:val="18"/>
                <w:color w:val="auto"/>
                <w:w w:val="97"/>
              </w:rPr>
              <w:t>Arizona</w:t>
            </w:r>
          </w:p>
        </w:tc>
      </w:tr>
      <w:tr>
        <w:trPr>
          <w:trHeight w:val="405"/>
        </w:trPr>
        <w:tc>
          <w:tcPr>
            <w:tcW w:w="6620" w:type="dxa"/>
            <w:vAlign w:val="bottom"/>
          </w:tcPr>
          <w:p>
            <w:pPr>
              <w:ind w:left="220"/>
              <w:spacing w:after="0"/>
              <w:rPr>
                <w:sz w:val="20"/>
                <w:szCs w:val="20"/>
                <w:color w:val="auto"/>
              </w:rPr>
            </w:pPr>
            <w:r>
              <w:rPr>
                <w:rFonts w:ascii="Courier New" w:cs="Courier New" w:eastAsia="Courier New" w:hAnsi="Courier New"/>
                <w:sz w:val="18"/>
                <w:szCs w:val="18"/>
                <w:color w:val="auto"/>
              </w:rPr>
              <w:t>Fidelity National Title &amp; Abstract, Inc.</w:t>
            </w:r>
          </w:p>
        </w:tc>
        <w:tc>
          <w:tcPr>
            <w:tcW w:w="150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Maryland</w:t>
            </w:r>
          </w:p>
        </w:tc>
      </w:tr>
      <w:tr>
        <w:trPr>
          <w:trHeight w:val="405"/>
        </w:trPr>
        <w:tc>
          <w:tcPr>
            <w:tcW w:w="6620" w:type="dxa"/>
            <w:vAlign w:val="bottom"/>
          </w:tcPr>
          <w:p>
            <w:pPr>
              <w:ind w:left="320"/>
              <w:spacing w:after="0"/>
              <w:rPr>
                <w:sz w:val="20"/>
                <w:szCs w:val="20"/>
                <w:color w:val="auto"/>
              </w:rPr>
            </w:pPr>
            <w:r>
              <w:rPr>
                <w:rFonts w:ascii="Courier New" w:cs="Courier New" w:eastAsia="Courier New" w:hAnsi="Courier New"/>
                <w:sz w:val="18"/>
                <w:szCs w:val="18"/>
                <w:color w:val="auto"/>
              </w:rPr>
              <w:t>Fidelity National Title &amp; Escrow of Hawaii, Inc.</w:t>
            </w:r>
          </w:p>
        </w:tc>
        <w:tc>
          <w:tcPr>
            <w:tcW w:w="1500" w:type="dxa"/>
            <w:vAlign w:val="bottom"/>
          </w:tcPr>
          <w:p>
            <w:pPr>
              <w:jc w:val="center"/>
              <w:ind w:left="152"/>
              <w:spacing w:after="0"/>
              <w:rPr>
                <w:sz w:val="20"/>
                <w:szCs w:val="20"/>
                <w:color w:val="auto"/>
              </w:rPr>
            </w:pPr>
            <w:r>
              <w:rPr>
                <w:rFonts w:ascii="Courier New" w:cs="Courier New" w:eastAsia="Courier New" w:hAnsi="Courier New"/>
                <w:sz w:val="18"/>
                <w:szCs w:val="18"/>
                <w:color w:val="auto"/>
                <w:w w:val="95"/>
              </w:rPr>
              <w:t>Hawaii</w:t>
            </w:r>
          </w:p>
        </w:tc>
      </w:tr>
      <w:tr>
        <w:trPr>
          <w:trHeight w:val="810"/>
        </w:trPr>
        <w:tc>
          <w:tcPr>
            <w:tcW w:w="6620" w:type="dxa"/>
            <w:vAlign w:val="bottom"/>
          </w:tcPr>
          <w:p>
            <w:pPr>
              <w:ind w:left="6120"/>
              <w:spacing w:after="0"/>
              <w:rPr>
                <w:sz w:val="20"/>
                <w:szCs w:val="20"/>
                <w:color w:val="auto"/>
              </w:rPr>
            </w:pPr>
            <w:r>
              <w:rPr>
                <w:rFonts w:ascii="Courier New" w:cs="Courier New" w:eastAsia="Courier New" w:hAnsi="Courier New"/>
                <w:sz w:val="18"/>
                <w:szCs w:val="18"/>
                <w:color w:val="auto"/>
              </w:rPr>
              <w:t>4</w:t>
            </w:r>
          </w:p>
        </w:tc>
        <w:tc>
          <w:tcPr>
            <w:tcW w:w="1500" w:type="dxa"/>
            <w:vAlign w:val="bottom"/>
          </w:tcPr>
          <w:p>
            <w:pPr>
              <w:spacing w:after="0"/>
              <w:rPr>
                <w:sz w:val="24"/>
                <w:szCs w:val="24"/>
                <w:color w:val="auto"/>
              </w:rPr>
            </w:pPr>
          </w:p>
        </w:tc>
      </w:tr>
    </w:tbl>
    <w:p>
      <w:pPr>
        <w:sectPr>
          <w:pgSz w:w="11900" w:h="16838" w:orient="portrait"/>
          <w:cols w:equalWidth="0" w:num="1">
            <w:col w:w="9959"/>
          </w:cols>
          <w:pgMar w:left="500" w:top="1122" w:right="1440" w:bottom="1440" w:gutter="0" w:footer="0" w:header="0"/>
        </w:sectPr>
      </w:pPr>
    </w:p>
    <w:bookmarkStart w:id="247" w:name="page248"/>
    <w:bookmarkEnd w:id="2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00" w:type="dxa"/>
            <w:vAlign w:val="bottom"/>
          </w:tcPr>
          <w:p>
            <w:pPr>
              <w:ind w:left="280"/>
              <w:spacing w:after="0"/>
              <w:rPr>
                <w:sz w:val="20"/>
                <w:szCs w:val="20"/>
                <w:color w:val="auto"/>
              </w:rPr>
            </w:pPr>
            <w:r>
              <w:rPr>
                <w:rFonts w:ascii="Courier New" w:cs="Courier New" w:eastAsia="Courier New" w:hAnsi="Courier New"/>
                <w:sz w:val="18"/>
                <w:szCs w:val="18"/>
                <w:color w:val="auto"/>
              </w:rPr>
              <w:t>Fidelity National Title Company</w:t>
            </w:r>
          </w:p>
        </w:tc>
        <w:tc>
          <w:tcPr>
            <w:tcW w:w="17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6700" w:type="dxa"/>
            <w:vAlign w:val="bottom"/>
          </w:tcPr>
          <w:p>
            <w:pPr>
              <w:ind w:left="280"/>
              <w:spacing w:after="0"/>
              <w:rPr>
                <w:sz w:val="20"/>
                <w:szCs w:val="20"/>
                <w:color w:val="auto"/>
              </w:rPr>
            </w:pPr>
            <w:r>
              <w:rPr>
                <w:rFonts w:ascii="Courier New" w:cs="Courier New" w:eastAsia="Courier New" w:hAnsi="Courier New"/>
                <w:sz w:val="18"/>
                <w:szCs w:val="18"/>
                <w:color w:val="auto"/>
              </w:rPr>
              <w:t>Fidelity National Title Company of California</w:t>
            </w:r>
          </w:p>
        </w:tc>
        <w:tc>
          <w:tcPr>
            <w:tcW w:w="17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6700" w:type="dxa"/>
            <w:vAlign w:val="bottom"/>
          </w:tcPr>
          <w:p>
            <w:pPr>
              <w:ind w:left="480"/>
              <w:spacing w:after="0"/>
              <w:rPr>
                <w:sz w:val="20"/>
                <w:szCs w:val="20"/>
                <w:color w:val="auto"/>
              </w:rPr>
            </w:pPr>
            <w:r>
              <w:rPr>
                <w:rFonts w:ascii="Courier New" w:cs="Courier New" w:eastAsia="Courier New" w:hAnsi="Courier New"/>
                <w:sz w:val="18"/>
                <w:szCs w:val="18"/>
                <w:color w:val="auto"/>
              </w:rPr>
              <w:t>Fidelity National Title Company of Oregon</w:t>
            </w:r>
          </w:p>
        </w:tc>
        <w:tc>
          <w:tcPr>
            <w:tcW w:w="17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5"/>
              </w:rPr>
              <w:t>Oregon</w:t>
            </w:r>
          </w:p>
        </w:tc>
      </w:tr>
      <w:tr>
        <w:trPr>
          <w:trHeight w:val="405"/>
        </w:trPr>
        <w:tc>
          <w:tcPr>
            <w:tcW w:w="6700" w:type="dxa"/>
            <w:vAlign w:val="bottom"/>
          </w:tcPr>
          <w:p>
            <w:pPr>
              <w:ind w:left="280"/>
              <w:spacing w:after="0"/>
              <w:rPr>
                <w:sz w:val="20"/>
                <w:szCs w:val="20"/>
                <w:color w:val="auto"/>
              </w:rPr>
            </w:pPr>
            <w:r>
              <w:rPr>
                <w:rFonts w:ascii="Courier New" w:cs="Courier New" w:eastAsia="Courier New" w:hAnsi="Courier New"/>
                <w:sz w:val="18"/>
                <w:szCs w:val="18"/>
                <w:color w:val="auto"/>
              </w:rPr>
              <w:t>Fidelity National Title Company of Washington, Inc.</w:t>
            </w:r>
          </w:p>
        </w:tc>
        <w:tc>
          <w:tcPr>
            <w:tcW w:w="17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Washington</w:t>
            </w:r>
          </w:p>
        </w:tc>
      </w:tr>
      <w:tr>
        <w:trPr>
          <w:trHeight w:val="405"/>
        </w:trPr>
        <w:tc>
          <w:tcPr>
            <w:tcW w:w="6700" w:type="dxa"/>
            <w:vAlign w:val="bottom"/>
          </w:tcPr>
          <w:p>
            <w:pPr>
              <w:ind w:left="440"/>
              <w:spacing w:after="0"/>
              <w:rPr>
                <w:sz w:val="20"/>
                <w:szCs w:val="20"/>
                <w:color w:val="auto"/>
              </w:rPr>
            </w:pPr>
            <w:r>
              <w:rPr>
                <w:rFonts w:ascii="Courier New" w:cs="Courier New" w:eastAsia="Courier New" w:hAnsi="Courier New"/>
                <w:sz w:val="18"/>
                <w:szCs w:val="18"/>
                <w:color w:val="auto"/>
                <w:w w:val="99"/>
              </w:rPr>
              <w:t>Fidelity National Title Insurance Agency of Coconino, Inc.</w:t>
            </w:r>
          </w:p>
        </w:tc>
        <w:tc>
          <w:tcPr>
            <w:tcW w:w="17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Arizona</w:t>
            </w:r>
          </w:p>
        </w:tc>
      </w:tr>
      <w:tr>
        <w:trPr>
          <w:trHeight w:val="405"/>
        </w:trPr>
        <w:tc>
          <w:tcPr>
            <w:tcW w:w="6700" w:type="dxa"/>
            <w:vAlign w:val="bottom"/>
          </w:tcPr>
          <w:p>
            <w:pPr>
              <w:ind w:left="280"/>
              <w:spacing w:after="0"/>
              <w:rPr>
                <w:sz w:val="20"/>
                <w:szCs w:val="20"/>
                <w:color w:val="auto"/>
              </w:rPr>
            </w:pPr>
            <w:r>
              <w:rPr>
                <w:rFonts w:ascii="Courier New" w:cs="Courier New" w:eastAsia="Courier New" w:hAnsi="Courier New"/>
                <w:sz w:val="18"/>
                <w:szCs w:val="18"/>
                <w:color w:val="auto"/>
              </w:rPr>
              <w:t>Fidelity National Title Insurance Company</w:t>
            </w:r>
          </w:p>
        </w:tc>
        <w:tc>
          <w:tcPr>
            <w:tcW w:w="17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6700" w:type="dxa"/>
            <w:vAlign w:val="bottom"/>
          </w:tcPr>
          <w:p>
            <w:pPr>
              <w:ind w:left="480"/>
              <w:spacing w:after="0"/>
              <w:rPr>
                <w:sz w:val="20"/>
                <w:szCs w:val="20"/>
                <w:color w:val="auto"/>
              </w:rPr>
            </w:pPr>
            <w:r>
              <w:rPr>
                <w:rFonts w:ascii="Courier New" w:cs="Courier New" w:eastAsia="Courier New" w:hAnsi="Courier New"/>
                <w:sz w:val="18"/>
                <w:szCs w:val="18"/>
                <w:color w:val="auto"/>
              </w:rPr>
              <w:t>Fidelity Residential Solutions, Inc.</w:t>
            </w:r>
          </w:p>
        </w:tc>
        <w:tc>
          <w:tcPr>
            <w:tcW w:w="17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5"/>
              </w:rPr>
              <w:t>Kansas</w:t>
            </w:r>
          </w:p>
        </w:tc>
      </w:tr>
      <w:tr>
        <w:trPr>
          <w:trHeight w:val="405"/>
        </w:trPr>
        <w:tc>
          <w:tcPr>
            <w:tcW w:w="6700" w:type="dxa"/>
            <w:vAlign w:val="bottom"/>
          </w:tcPr>
          <w:p>
            <w:pPr>
              <w:ind w:left="580"/>
              <w:spacing w:after="0"/>
              <w:rPr>
                <w:sz w:val="20"/>
                <w:szCs w:val="20"/>
                <w:color w:val="auto"/>
              </w:rPr>
            </w:pPr>
            <w:r>
              <w:rPr>
                <w:rFonts w:ascii="Courier New" w:cs="Courier New" w:eastAsia="Courier New" w:hAnsi="Courier New"/>
                <w:sz w:val="18"/>
                <w:szCs w:val="18"/>
                <w:color w:val="auto"/>
              </w:rPr>
              <w:t>FIP Title Agency, LLC (50.1%)</w:t>
            </w:r>
          </w:p>
        </w:tc>
        <w:tc>
          <w:tcPr>
            <w:tcW w:w="17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Ohio</w:t>
            </w:r>
          </w:p>
        </w:tc>
      </w:tr>
      <w:tr>
        <w:trPr>
          <w:trHeight w:val="405"/>
        </w:trPr>
        <w:tc>
          <w:tcPr>
            <w:tcW w:w="6700" w:type="dxa"/>
            <w:vAlign w:val="bottom"/>
          </w:tcPr>
          <w:p>
            <w:pPr>
              <w:ind w:left="440"/>
              <w:spacing w:after="0"/>
              <w:rPr>
                <w:sz w:val="20"/>
                <w:szCs w:val="20"/>
                <w:color w:val="auto"/>
              </w:rPr>
            </w:pPr>
            <w:r>
              <w:rPr>
                <w:rFonts w:ascii="Courier New" w:cs="Courier New" w:eastAsia="Courier New" w:hAnsi="Courier New"/>
                <w:sz w:val="18"/>
                <w:szCs w:val="18"/>
                <w:color w:val="auto"/>
              </w:rPr>
              <w:t>First National Financial Title Services of Alabama, Inc.</w:t>
            </w:r>
          </w:p>
        </w:tc>
        <w:tc>
          <w:tcPr>
            <w:tcW w:w="17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Alabama</w:t>
            </w:r>
          </w:p>
        </w:tc>
      </w:tr>
      <w:tr>
        <w:trPr>
          <w:trHeight w:val="405"/>
        </w:trPr>
        <w:tc>
          <w:tcPr>
            <w:tcW w:w="6700" w:type="dxa"/>
            <w:vAlign w:val="bottom"/>
          </w:tcPr>
          <w:p>
            <w:pPr>
              <w:ind w:left="580"/>
              <w:spacing w:after="0"/>
              <w:rPr>
                <w:sz w:val="20"/>
                <w:szCs w:val="20"/>
                <w:color w:val="auto"/>
              </w:rPr>
            </w:pPr>
            <w:r>
              <w:rPr>
                <w:rFonts w:ascii="Courier New" w:cs="Courier New" w:eastAsia="Courier New" w:hAnsi="Courier New"/>
                <w:sz w:val="18"/>
                <w:szCs w:val="18"/>
                <w:color w:val="auto"/>
              </w:rPr>
              <w:t>First Partners Title Agency, LLC (51.61%)</w:t>
            </w:r>
          </w:p>
        </w:tc>
        <w:tc>
          <w:tcPr>
            <w:tcW w:w="17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Ohio</w:t>
            </w:r>
          </w:p>
        </w:tc>
      </w:tr>
      <w:tr>
        <w:trPr>
          <w:trHeight w:val="405"/>
        </w:trPr>
        <w:tc>
          <w:tcPr>
            <w:tcW w:w="6700" w:type="dxa"/>
            <w:vAlign w:val="bottom"/>
          </w:tcPr>
          <w:p>
            <w:pPr>
              <w:ind w:left="320"/>
              <w:spacing w:after="0"/>
              <w:rPr>
                <w:sz w:val="20"/>
                <w:szCs w:val="20"/>
                <w:color w:val="auto"/>
              </w:rPr>
            </w:pPr>
            <w:r>
              <w:rPr>
                <w:rFonts w:ascii="Courier New" w:cs="Courier New" w:eastAsia="Courier New" w:hAnsi="Courier New"/>
                <w:sz w:val="18"/>
                <w:szCs w:val="18"/>
                <w:color w:val="auto"/>
              </w:rPr>
              <w:t>First Title Corporation</w:t>
            </w:r>
          </w:p>
        </w:tc>
        <w:tc>
          <w:tcPr>
            <w:tcW w:w="17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6"/>
              </w:rPr>
              <w:t>Tennessee</w:t>
            </w:r>
          </w:p>
        </w:tc>
      </w:tr>
      <w:tr>
        <w:trPr>
          <w:trHeight w:val="203"/>
        </w:trPr>
        <w:tc>
          <w:tcPr>
            <w:tcW w:w="8440" w:type="dxa"/>
            <w:vAlign w:val="bottom"/>
            <w:gridSpan w:val="2"/>
          </w:tcPr>
          <w:p>
            <w:pPr>
              <w:ind w:left="1480"/>
              <w:spacing w:after="0" w:line="203" w:lineRule="exact"/>
              <w:rPr>
                <w:sz w:val="20"/>
                <w:szCs w:val="20"/>
                <w:color w:val="auto"/>
              </w:rPr>
            </w:pPr>
            <w:r>
              <w:rPr>
                <w:rFonts w:ascii="Courier New" w:cs="Courier New" w:eastAsia="Courier New" w:hAnsi="Courier New"/>
                <w:sz w:val="18"/>
                <w:szCs w:val="18"/>
                <w:color w:val="auto"/>
              </w:rPr>
              <w:t>(d/b/a FTC Lenders Express and d/b/a Lenders Express</w:t>
            </w:r>
          </w:p>
        </w:tc>
      </w:tr>
      <w:tr>
        <w:trPr>
          <w:trHeight w:val="203"/>
        </w:trPr>
        <w:tc>
          <w:tcPr>
            <w:tcW w:w="6700" w:type="dxa"/>
            <w:vAlign w:val="bottom"/>
          </w:tcPr>
          <w:p>
            <w:pPr>
              <w:ind w:left="3320"/>
              <w:spacing w:after="0" w:line="203" w:lineRule="exact"/>
              <w:rPr>
                <w:sz w:val="20"/>
                <w:szCs w:val="20"/>
                <w:color w:val="auto"/>
              </w:rPr>
            </w:pPr>
            <w:r>
              <w:rPr>
                <w:rFonts w:ascii="Courier New" w:cs="Courier New" w:eastAsia="Courier New" w:hAnsi="Courier New"/>
                <w:sz w:val="18"/>
                <w:szCs w:val="18"/>
                <w:color w:val="auto"/>
              </w:rPr>
              <w:t>Title and Escrow)</w:t>
            </w:r>
          </w:p>
        </w:tc>
        <w:tc>
          <w:tcPr>
            <w:tcW w:w="1740" w:type="dxa"/>
            <w:vAlign w:val="bottom"/>
          </w:tcPr>
          <w:p>
            <w:pPr>
              <w:spacing w:after="0"/>
              <w:rPr>
                <w:sz w:val="17"/>
                <w:szCs w:val="17"/>
                <w:color w:val="auto"/>
              </w:rPr>
            </w:pPr>
          </w:p>
        </w:tc>
      </w:tr>
      <w:tr>
        <w:trPr>
          <w:trHeight w:val="405"/>
        </w:trPr>
        <w:tc>
          <w:tcPr>
            <w:tcW w:w="6700" w:type="dxa"/>
            <w:vAlign w:val="bottom"/>
          </w:tcPr>
          <w:p>
            <w:pPr>
              <w:ind w:left="440"/>
              <w:spacing w:after="0"/>
              <w:rPr>
                <w:sz w:val="20"/>
                <w:szCs w:val="20"/>
                <w:color w:val="auto"/>
              </w:rPr>
            </w:pPr>
            <w:r>
              <w:rPr>
                <w:rFonts w:ascii="Courier New" w:cs="Courier New" w:eastAsia="Courier New" w:hAnsi="Courier New"/>
                <w:sz w:val="18"/>
                <w:szCs w:val="18"/>
                <w:color w:val="auto"/>
              </w:rPr>
              <w:t>First Title Corporation of Alabama, Inc.</w:t>
            </w:r>
          </w:p>
        </w:tc>
        <w:tc>
          <w:tcPr>
            <w:tcW w:w="17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Alabama</w:t>
            </w:r>
          </w:p>
        </w:tc>
      </w:tr>
      <w:tr>
        <w:trPr>
          <w:trHeight w:val="405"/>
        </w:trPr>
        <w:tc>
          <w:tcPr>
            <w:tcW w:w="6700" w:type="dxa"/>
            <w:vAlign w:val="bottom"/>
          </w:tcPr>
          <w:p>
            <w:pPr>
              <w:ind w:left="440"/>
              <w:spacing w:after="0"/>
              <w:rPr>
                <w:sz w:val="20"/>
                <w:szCs w:val="20"/>
                <w:color w:val="auto"/>
              </w:rPr>
            </w:pPr>
            <w:r>
              <w:rPr>
                <w:rFonts w:ascii="Courier New" w:cs="Courier New" w:eastAsia="Courier New" w:hAnsi="Courier New"/>
                <w:sz w:val="18"/>
                <w:szCs w:val="18"/>
                <w:color w:val="auto"/>
              </w:rPr>
              <w:t>Florida Affiliated Title Services, LLC (51%)</w:t>
            </w:r>
          </w:p>
        </w:tc>
        <w:tc>
          <w:tcPr>
            <w:tcW w:w="17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Florida</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rPr>
              <w:t>FNF Canada Company</w:t>
            </w:r>
          </w:p>
        </w:tc>
        <w:tc>
          <w:tcPr>
            <w:tcW w:w="17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Ontario, Canada</w:t>
            </w:r>
          </w:p>
        </w:tc>
      </w:tr>
      <w:tr>
        <w:trPr>
          <w:trHeight w:val="405"/>
        </w:trPr>
        <w:tc>
          <w:tcPr>
            <w:tcW w:w="6700" w:type="dxa"/>
            <w:vAlign w:val="bottom"/>
          </w:tcPr>
          <w:p>
            <w:pPr>
              <w:ind w:left="280"/>
              <w:spacing w:after="0"/>
              <w:rPr>
                <w:sz w:val="20"/>
                <w:szCs w:val="20"/>
                <w:color w:val="auto"/>
              </w:rPr>
            </w:pPr>
            <w:r>
              <w:rPr>
                <w:rFonts w:ascii="Courier New" w:cs="Courier New" w:eastAsia="Courier New" w:hAnsi="Courier New"/>
                <w:sz w:val="18"/>
                <w:szCs w:val="18"/>
                <w:color w:val="auto"/>
              </w:rPr>
              <w:t>FNF Escrow Holdings, LLC</w:t>
            </w:r>
          </w:p>
        </w:tc>
        <w:tc>
          <w:tcPr>
            <w:tcW w:w="17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6700" w:type="dxa"/>
            <w:vAlign w:val="bottom"/>
          </w:tcPr>
          <w:p>
            <w:pPr>
              <w:ind w:left="280"/>
              <w:spacing w:after="0"/>
              <w:rPr>
                <w:sz w:val="20"/>
                <w:szCs w:val="20"/>
                <w:color w:val="auto"/>
              </w:rPr>
            </w:pPr>
            <w:r>
              <w:rPr>
                <w:rFonts w:ascii="Courier New" w:cs="Courier New" w:eastAsia="Courier New" w:hAnsi="Courier New"/>
                <w:sz w:val="18"/>
                <w:szCs w:val="18"/>
                <w:color w:val="auto"/>
              </w:rPr>
              <w:t>FNF Escrow Holdings II, LLC</w:t>
            </w:r>
          </w:p>
        </w:tc>
        <w:tc>
          <w:tcPr>
            <w:tcW w:w="17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6700" w:type="dxa"/>
            <w:vAlign w:val="bottom"/>
          </w:tcPr>
          <w:p>
            <w:pPr>
              <w:ind w:left="280"/>
              <w:spacing w:after="0"/>
              <w:rPr>
                <w:sz w:val="20"/>
                <w:szCs w:val="20"/>
                <w:color w:val="auto"/>
              </w:rPr>
            </w:pPr>
            <w:r>
              <w:rPr>
                <w:rFonts w:ascii="Courier New" w:cs="Courier New" w:eastAsia="Courier New" w:hAnsi="Courier New"/>
                <w:sz w:val="18"/>
                <w:szCs w:val="18"/>
                <w:color w:val="auto"/>
              </w:rPr>
              <w:t>FNF Escrow Holdings III, LLC</w:t>
            </w:r>
          </w:p>
        </w:tc>
        <w:tc>
          <w:tcPr>
            <w:tcW w:w="17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6700" w:type="dxa"/>
            <w:vAlign w:val="bottom"/>
          </w:tcPr>
          <w:p>
            <w:pPr>
              <w:ind w:left="380"/>
              <w:spacing w:after="0"/>
              <w:rPr>
                <w:sz w:val="20"/>
                <w:szCs w:val="20"/>
                <w:color w:val="auto"/>
              </w:rPr>
            </w:pPr>
            <w:r>
              <w:rPr>
                <w:rFonts w:ascii="Courier New" w:cs="Courier New" w:eastAsia="Courier New" w:hAnsi="Courier New"/>
                <w:sz w:val="18"/>
                <w:szCs w:val="18"/>
                <w:color w:val="auto"/>
              </w:rPr>
              <w:t>FNF Funding X, LLC</w:t>
            </w:r>
          </w:p>
        </w:tc>
        <w:tc>
          <w:tcPr>
            <w:tcW w:w="174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6700" w:type="dxa"/>
            <w:vAlign w:val="bottom"/>
          </w:tcPr>
          <w:p>
            <w:pPr>
              <w:ind w:left="380"/>
              <w:spacing w:after="0"/>
              <w:rPr>
                <w:sz w:val="20"/>
                <w:szCs w:val="20"/>
                <w:color w:val="auto"/>
              </w:rPr>
            </w:pPr>
            <w:r>
              <w:rPr>
                <w:rFonts w:ascii="Courier New" w:cs="Courier New" w:eastAsia="Courier New" w:hAnsi="Courier New"/>
                <w:sz w:val="18"/>
                <w:szCs w:val="18"/>
                <w:color w:val="auto"/>
              </w:rPr>
              <w:t>FNF Intellectual Property Holdings, Inc.</w:t>
            </w:r>
          </w:p>
        </w:tc>
        <w:tc>
          <w:tcPr>
            <w:tcW w:w="174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6700" w:type="dxa"/>
            <w:vAlign w:val="bottom"/>
          </w:tcPr>
          <w:p>
            <w:pPr>
              <w:ind w:left="380"/>
              <w:spacing w:after="0"/>
              <w:rPr>
                <w:sz w:val="20"/>
                <w:szCs w:val="20"/>
                <w:color w:val="auto"/>
              </w:rPr>
            </w:pPr>
            <w:r>
              <w:rPr>
                <w:rFonts w:ascii="Courier New" w:cs="Courier New" w:eastAsia="Courier New" w:hAnsi="Courier New"/>
                <w:sz w:val="18"/>
                <w:szCs w:val="18"/>
                <w:color w:val="auto"/>
              </w:rPr>
              <w:t>FNF National Record Centers, Inc.</w:t>
            </w:r>
          </w:p>
        </w:tc>
        <w:tc>
          <w:tcPr>
            <w:tcW w:w="174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6700" w:type="dxa"/>
            <w:vAlign w:val="bottom"/>
          </w:tcPr>
          <w:p>
            <w:pPr>
              <w:ind w:left="440"/>
              <w:spacing w:after="0"/>
              <w:rPr>
                <w:sz w:val="20"/>
                <w:szCs w:val="20"/>
                <w:color w:val="auto"/>
              </w:rPr>
            </w:pPr>
            <w:r>
              <w:rPr>
                <w:rFonts w:ascii="Courier New" w:cs="Courier New" w:eastAsia="Courier New" w:hAnsi="Courier New"/>
                <w:sz w:val="18"/>
                <w:szCs w:val="18"/>
                <w:color w:val="auto"/>
              </w:rPr>
              <w:t>FNF Title Reinsurance Company</w:t>
            </w:r>
          </w:p>
        </w:tc>
        <w:tc>
          <w:tcPr>
            <w:tcW w:w="17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Vermont</w:t>
            </w:r>
          </w:p>
        </w:tc>
      </w:tr>
      <w:tr>
        <w:trPr>
          <w:trHeight w:val="405"/>
        </w:trPr>
        <w:tc>
          <w:tcPr>
            <w:tcW w:w="6700" w:type="dxa"/>
            <w:vAlign w:val="bottom"/>
          </w:tcPr>
          <w:p>
            <w:pPr>
              <w:ind w:left="280"/>
              <w:spacing w:after="0"/>
              <w:rPr>
                <w:sz w:val="20"/>
                <w:szCs w:val="20"/>
                <w:color w:val="auto"/>
              </w:rPr>
            </w:pPr>
            <w:r>
              <w:rPr>
                <w:rFonts w:ascii="Courier New" w:cs="Courier New" w:eastAsia="Courier New" w:hAnsi="Courier New"/>
                <w:sz w:val="18"/>
                <w:szCs w:val="18"/>
                <w:color w:val="auto"/>
              </w:rPr>
              <w:t>FNT Real Estate Coordinators, LLC</w:t>
            </w:r>
          </w:p>
        </w:tc>
        <w:tc>
          <w:tcPr>
            <w:tcW w:w="17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New Jersey</w:t>
            </w:r>
          </w:p>
        </w:tc>
      </w:tr>
      <w:tr>
        <w:trPr>
          <w:trHeight w:val="810"/>
        </w:trPr>
        <w:tc>
          <w:tcPr>
            <w:tcW w:w="6700" w:type="dxa"/>
            <w:vAlign w:val="bottom"/>
          </w:tcPr>
          <w:p>
            <w:pPr>
              <w:ind w:left="6280"/>
              <w:spacing w:after="0"/>
              <w:rPr>
                <w:sz w:val="20"/>
                <w:szCs w:val="20"/>
                <w:color w:val="auto"/>
              </w:rPr>
            </w:pPr>
            <w:r>
              <w:rPr>
                <w:rFonts w:ascii="Courier New" w:cs="Courier New" w:eastAsia="Courier New" w:hAnsi="Courier New"/>
                <w:sz w:val="18"/>
                <w:szCs w:val="18"/>
                <w:color w:val="auto"/>
              </w:rPr>
              <w:t>5</w:t>
            </w:r>
          </w:p>
        </w:tc>
        <w:tc>
          <w:tcPr>
            <w:tcW w:w="1740" w:type="dxa"/>
            <w:vAlign w:val="bottom"/>
          </w:tcPr>
          <w:p>
            <w:pPr>
              <w:spacing w:after="0"/>
              <w:rPr>
                <w:sz w:val="24"/>
                <w:szCs w:val="24"/>
                <w:color w:val="auto"/>
              </w:rPr>
            </w:pPr>
          </w:p>
        </w:tc>
      </w:tr>
    </w:tbl>
    <w:p>
      <w:pPr>
        <w:sectPr>
          <w:pgSz w:w="11900" w:h="16838" w:orient="portrait"/>
          <w:cols w:equalWidth="0" w:num="1">
            <w:col w:w="10119"/>
          </w:cols>
          <w:pgMar w:left="340" w:top="1122" w:right="1440" w:bottom="1440" w:gutter="0" w:footer="0" w:header="0"/>
        </w:sectPr>
      </w:pPr>
    </w:p>
    <w:bookmarkStart w:id="248" w:name="page249"/>
    <w:bookmarkEnd w:id="2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80" w:type="dxa"/>
            <w:vAlign w:val="bottom"/>
          </w:tcPr>
          <w:p>
            <w:pPr>
              <w:spacing w:after="0"/>
              <w:rPr>
                <w:sz w:val="20"/>
                <w:szCs w:val="20"/>
                <w:color w:val="auto"/>
              </w:rPr>
            </w:pPr>
            <w:r>
              <w:rPr>
                <w:rFonts w:ascii="Courier New" w:cs="Courier New" w:eastAsia="Courier New" w:hAnsi="Courier New"/>
                <w:sz w:val="18"/>
                <w:szCs w:val="18"/>
                <w:color w:val="auto"/>
              </w:rPr>
              <w:t>Fortuna Service Company, LLC</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6780" w:type="dxa"/>
            <w:vAlign w:val="bottom"/>
          </w:tcPr>
          <w:p>
            <w:pPr>
              <w:ind w:left="100"/>
              <w:spacing w:after="0"/>
              <w:rPr>
                <w:sz w:val="20"/>
                <w:szCs w:val="20"/>
                <w:color w:val="auto"/>
              </w:rPr>
            </w:pPr>
            <w:r>
              <w:rPr>
                <w:rFonts w:ascii="Courier New" w:cs="Courier New" w:eastAsia="Courier New" w:hAnsi="Courier New"/>
                <w:sz w:val="18"/>
                <w:szCs w:val="18"/>
                <w:color w:val="auto"/>
              </w:rPr>
              <w:t>Franchise Resale Consultants, LLC (25%)</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6780" w:type="dxa"/>
            <w:vAlign w:val="bottom"/>
          </w:tcPr>
          <w:p>
            <w:pPr>
              <w:ind w:left="160"/>
              <w:spacing w:after="0"/>
              <w:rPr>
                <w:sz w:val="20"/>
                <w:szCs w:val="20"/>
                <w:color w:val="auto"/>
              </w:rPr>
            </w:pPr>
            <w:r>
              <w:rPr>
                <w:rFonts w:ascii="Courier New" w:cs="Courier New" w:eastAsia="Courier New" w:hAnsi="Courier New"/>
                <w:sz w:val="18"/>
                <w:szCs w:val="18"/>
                <w:color w:val="auto"/>
              </w:rPr>
              <w:t>Fuentes and Kreischer Title Company</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7"/>
              </w:rPr>
              <w:t>Florida</w:t>
            </w:r>
          </w:p>
        </w:tc>
      </w:tr>
      <w:tr>
        <w:trPr>
          <w:trHeight w:val="405"/>
        </w:trPr>
        <w:tc>
          <w:tcPr>
            <w:tcW w:w="6780" w:type="dxa"/>
            <w:vAlign w:val="bottom"/>
          </w:tcPr>
          <w:p>
            <w:pPr>
              <w:spacing w:after="0"/>
              <w:rPr>
                <w:sz w:val="20"/>
                <w:szCs w:val="20"/>
                <w:color w:val="auto"/>
              </w:rPr>
            </w:pPr>
            <w:r>
              <w:rPr>
                <w:rFonts w:ascii="Courier New" w:cs="Courier New" w:eastAsia="Courier New" w:hAnsi="Courier New"/>
                <w:sz w:val="18"/>
                <w:szCs w:val="18"/>
                <w:color w:val="auto"/>
              </w:rPr>
              <w:t>Gemini Escrow Services, Inc. (51%)</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6780" w:type="dxa"/>
            <w:vAlign w:val="bottom"/>
          </w:tcPr>
          <w:p>
            <w:pPr>
              <w:ind w:left="100"/>
              <w:spacing w:after="0"/>
              <w:rPr>
                <w:sz w:val="20"/>
                <w:szCs w:val="20"/>
                <w:color w:val="auto"/>
              </w:rPr>
            </w:pPr>
            <w:r>
              <w:rPr>
                <w:rFonts w:ascii="Courier New" w:cs="Courier New" w:eastAsia="Courier New" w:hAnsi="Courier New"/>
                <w:sz w:val="18"/>
                <w:szCs w:val="18"/>
                <w:color w:val="auto"/>
              </w:rPr>
              <w:t>GIT Holding Company, Inc. (60%)</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7"/>
              </w:rPr>
              <w:t>Illinois</w:t>
            </w:r>
          </w:p>
        </w:tc>
      </w:tr>
      <w:tr>
        <w:trPr>
          <w:trHeight w:val="405"/>
        </w:trPr>
        <w:tc>
          <w:tcPr>
            <w:tcW w:w="6780" w:type="dxa"/>
            <w:vAlign w:val="bottom"/>
          </w:tcPr>
          <w:p>
            <w:pPr>
              <w:ind w:left="260"/>
              <w:spacing w:after="0"/>
              <w:rPr>
                <w:sz w:val="20"/>
                <w:szCs w:val="20"/>
                <w:color w:val="auto"/>
              </w:rPr>
            </w:pPr>
            <w:r>
              <w:rPr>
                <w:rFonts w:ascii="Courier New" w:cs="Courier New" w:eastAsia="Courier New" w:hAnsi="Courier New"/>
                <w:sz w:val="18"/>
                <w:szCs w:val="18"/>
                <w:color w:val="auto"/>
              </w:rPr>
              <w:t>Granite Title Company, LLC (12%)</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6"/>
              </w:rPr>
              <w:t>Texas</w:t>
            </w:r>
          </w:p>
        </w:tc>
      </w:tr>
      <w:tr>
        <w:trPr>
          <w:trHeight w:val="405"/>
        </w:trPr>
        <w:tc>
          <w:tcPr>
            <w:tcW w:w="6780" w:type="dxa"/>
            <w:vAlign w:val="bottom"/>
          </w:tcPr>
          <w:p>
            <w:pPr>
              <w:ind w:left="300"/>
              <w:spacing w:after="0"/>
              <w:rPr>
                <w:sz w:val="20"/>
                <w:szCs w:val="20"/>
                <w:color w:val="auto"/>
              </w:rPr>
            </w:pPr>
            <w:r>
              <w:rPr>
                <w:rFonts w:ascii="Courier New" w:cs="Courier New" w:eastAsia="Courier New" w:hAnsi="Courier New"/>
                <w:sz w:val="18"/>
                <w:szCs w:val="18"/>
                <w:color w:val="auto"/>
              </w:rPr>
              <w:t>Great Northern Title Agency, LLC (51.64%)</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7"/>
              </w:rPr>
              <w:t>Ohio</w:t>
            </w:r>
          </w:p>
        </w:tc>
      </w:tr>
      <w:tr>
        <w:trPr>
          <w:trHeight w:val="405"/>
        </w:trPr>
        <w:tc>
          <w:tcPr>
            <w:tcW w:w="6780" w:type="dxa"/>
            <w:vAlign w:val="bottom"/>
          </w:tcPr>
          <w:p>
            <w:pPr>
              <w:ind w:left="100"/>
              <w:spacing w:after="0"/>
              <w:rPr>
                <w:sz w:val="20"/>
                <w:szCs w:val="20"/>
                <w:color w:val="auto"/>
              </w:rPr>
            </w:pPr>
            <w:r>
              <w:rPr>
                <w:rFonts w:ascii="Courier New" w:cs="Courier New" w:eastAsia="Courier New" w:hAnsi="Courier New"/>
                <w:sz w:val="18"/>
                <w:szCs w:val="18"/>
                <w:color w:val="auto"/>
              </w:rPr>
              <w:t>Greater Illinois Title Company, Inc. (60%)</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7"/>
              </w:rPr>
              <w:t>Illinois</w:t>
            </w:r>
          </w:p>
        </w:tc>
      </w:tr>
      <w:tr>
        <w:trPr>
          <w:trHeight w:val="405"/>
        </w:trPr>
        <w:tc>
          <w:tcPr>
            <w:tcW w:w="6780" w:type="dxa"/>
            <w:vAlign w:val="bottom"/>
          </w:tcPr>
          <w:p>
            <w:pPr>
              <w:ind w:left="100"/>
              <w:spacing w:after="0"/>
              <w:rPr>
                <w:sz w:val="20"/>
                <w:szCs w:val="20"/>
                <w:color w:val="auto"/>
              </w:rPr>
            </w:pPr>
            <w:r>
              <w:rPr>
                <w:rFonts w:ascii="Courier New" w:cs="Courier New" w:eastAsia="Courier New" w:hAnsi="Courier New"/>
                <w:sz w:val="18"/>
                <w:szCs w:val="18"/>
                <w:color w:val="auto"/>
              </w:rPr>
              <w:t>Greenridge Title Agency, LLC (50%)</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7"/>
              </w:rPr>
              <w:t>Michigan</w:t>
            </w:r>
          </w:p>
        </w:tc>
      </w:tr>
      <w:tr>
        <w:trPr>
          <w:trHeight w:val="405"/>
        </w:trPr>
        <w:tc>
          <w:tcPr>
            <w:tcW w:w="6780" w:type="dxa"/>
            <w:vAlign w:val="bottom"/>
          </w:tcPr>
          <w:p>
            <w:pPr>
              <w:ind w:left="100"/>
              <w:spacing w:after="0"/>
              <w:rPr>
                <w:sz w:val="20"/>
                <w:szCs w:val="20"/>
                <w:color w:val="auto"/>
              </w:rPr>
            </w:pPr>
            <w:r>
              <w:rPr>
                <w:rFonts w:ascii="Courier New" w:cs="Courier New" w:eastAsia="Courier New" w:hAnsi="Courier New"/>
                <w:sz w:val="18"/>
                <w:szCs w:val="18"/>
                <w:color w:val="auto"/>
              </w:rPr>
              <w:t>Grundy Pioneer Title Company</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7"/>
              </w:rPr>
              <w:t>Illinois</w:t>
            </w:r>
          </w:p>
        </w:tc>
      </w:tr>
      <w:tr>
        <w:trPr>
          <w:trHeight w:val="405"/>
        </w:trPr>
        <w:tc>
          <w:tcPr>
            <w:tcW w:w="6780" w:type="dxa"/>
            <w:vAlign w:val="bottom"/>
          </w:tcPr>
          <w:p>
            <w:pPr>
              <w:ind w:left="260"/>
              <w:spacing w:after="0"/>
              <w:rPr>
                <w:sz w:val="20"/>
                <w:szCs w:val="20"/>
                <w:color w:val="auto"/>
              </w:rPr>
            </w:pPr>
            <w:r>
              <w:rPr>
                <w:rFonts w:ascii="Courier New" w:cs="Courier New" w:eastAsia="Courier New" w:hAnsi="Courier New"/>
                <w:sz w:val="18"/>
                <w:szCs w:val="18"/>
                <w:color w:val="auto"/>
              </w:rPr>
              <w:t>Heritage Title Company</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6"/>
              </w:rPr>
              <w:t>Texas</w:t>
            </w:r>
          </w:p>
        </w:tc>
      </w:tr>
      <w:tr>
        <w:trPr>
          <w:trHeight w:val="405"/>
        </w:trPr>
        <w:tc>
          <w:tcPr>
            <w:tcW w:w="6780" w:type="dxa"/>
            <w:vAlign w:val="bottom"/>
          </w:tcPr>
          <w:p>
            <w:pPr>
              <w:spacing w:after="0"/>
              <w:rPr>
                <w:sz w:val="20"/>
                <w:szCs w:val="20"/>
                <w:color w:val="auto"/>
              </w:rPr>
            </w:pPr>
            <w:r>
              <w:rPr>
                <w:rFonts w:ascii="Courier New" w:cs="Courier New" w:eastAsia="Courier New" w:hAnsi="Courier New"/>
                <w:sz w:val="18"/>
                <w:szCs w:val="18"/>
                <w:color w:val="auto"/>
              </w:rPr>
              <w:t>HomeOwnershipTeam.com, Inc.</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6780" w:type="dxa"/>
            <w:vAlign w:val="bottom"/>
          </w:tcPr>
          <w:p>
            <w:pPr>
              <w:spacing w:after="0"/>
              <w:rPr>
                <w:sz w:val="20"/>
                <w:szCs w:val="20"/>
                <w:color w:val="auto"/>
              </w:rPr>
            </w:pPr>
            <w:r>
              <w:rPr>
                <w:rFonts w:ascii="Courier New" w:cs="Courier New" w:eastAsia="Courier New" w:hAnsi="Courier New"/>
                <w:sz w:val="18"/>
                <w:szCs w:val="18"/>
                <w:color w:val="auto"/>
              </w:rPr>
              <w:t>Homesold</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8"/>
              </w:rPr>
              <w:t>California</w:t>
            </w:r>
          </w:p>
        </w:tc>
      </w:tr>
      <w:tr>
        <w:trPr>
          <w:trHeight w:val="203"/>
        </w:trPr>
        <w:tc>
          <w:tcPr>
            <w:tcW w:w="6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7"/>
              </w:rPr>
              <w:t>(d/b/a Real Property Marketing and d/b/a Professional</w:t>
            </w:r>
          </w:p>
        </w:tc>
        <w:tc>
          <w:tcPr>
            <w:tcW w:w="1120" w:type="dxa"/>
            <w:vAlign w:val="bottom"/>
          </w:tcPr>
          <w:p>
            <w:pPr>
              <w:spacing w:after="0"/>
              <w:rPr>
                <w:sz w:val="17"/>
                <w:szCs w:val="17"/>
                <w:color w:val="auto"/>
              </w:rPr>
            </w:pPr>
          </w:p>
        </w:tc>
      </w:tr>
      <w:tr>
        <w:trPr>
          <w:trHeight w:val="203"/>
        </w:trPr>
        <w:tc>
          <w:tcPr>
            <w:tcW w:w="6780" w:type="dxa"/>
            <w:vAlign w:val="bottom"/>
          </w:tcPr>
          <w:p>
            <w:pPr>
              <w:ind w:left="3160"/>
              <w:spacing w:after="0" w:line="203" w:lineRule="exact"/>
              <w:rPr>
                <w:sz w:val="20"/>
                <w:szCs w:val="20"/>
                <w:color w:val="auto"/>
              </w:rPr>
            </w:pPr>
            <w:r>
              <w:rPr>
                <w:rFonts w:ascii="Courier New" w:cs="Courier New" w:eastAsia="Courier New" w:hAnsi="Courier New"/>
                <w:sz w:val="18"/>
                <w:szCs w:val="18"/>
                <w:color w:val="auto"/>
              </w:rPr>
              <w:t>Agent Referral)</w:t>
            </w:r>
          </w:p>
        </w:tc>
        <w:tc>
          <w:tcPr>
            <w:tcW w:w="1120" w:type="dxa"/>
            <w:vAlign w:val="bottom"/>
          </w:tcPr>
          <w:p>
            <w:pPr>
              <w:spacing w:after="0"/>
              <w:rPr>
                <w:sz w:val="17"/>
                <w:szCs w:val="17"/>
                <w:color w:val="auto"/>
              </w:rPr>
            </w:pPr>
          </w:p>
        </w:tc>
      </w:tr>
      <w:tr>
        <w:trPr>
          <w:trHeight w:val="405"/>
        </w:trPr>
        <w:tc>
          <w:tcPr>
            <w:tcW w:w="6780" w:type="dxa"/>
            <w:vAlign w:val="bottom"/>
          </w:tcPr>
          <w:p>
            <w:pPr>
              <w:ind w:left="100"/>
              <w:spacing w:after="0"/>
              <w:rPr>
                <w:sz w:val="20"/>
                <w:szCs w:val="20"/>
                <w:color w:val="auto"/>
              </w:rPr>
            </w:pPr>
            <w:r>
              <w:rPr>
                <w:rFonts w:ascii="Courier New" w:cs="Courier New" w:eastAsia="Courier New" w:hAnsi="Courier New"/>
                <w:sz w:val="18"/>
                <w:szCs w:val="18"/>
                <w:color w:val="auto"/>
              </w:rPr>
              <w:t>iLumin Corporation (12.3%)</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6780" w:type="dxa"/>
            <w:vAlign w:val="bottom"/>
          </w:tcPr>
          <w:p>
            <w:pPr>
              <w:spacing w:after="0"/>
              <w:rPr>
                <w:sz w:val="20"/>
                <w:szCs w:val="20"/>
                <w:color w:val="auto"/>
              </w:rPr>
            </w:pPr>
            <w:r>
              <w:rPr>
                <w:rFonts w:ascii="Courier New" w:cs="Courier New" w:eastAsia="Courier New" w:hAnsi="Courier New"/>
                <w:sz w:val="18"/>
                <w:szCs w:val="18"/>
                <w:color w:val="auto"/>
              </w:rPr>
              <w:t>Imaged Library Co., L.L.C. (29.79%)</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8"/>
              </w:rPr>
              <w:t>Washington</w:t>
            </w:r>
          </w:p>
        </w:tc>
      </w:tr>
      <w:tr>
        <w:trPr>
          <w:trHeight w:val="405"/>
        </w:trPr>
        <w:tc>
          <w:tcPr>
            <w:tcW w:w="6780" w:type="dxa"/>
            <w:vAlign w:val="bottom"/>
          </w:tcPr>
          <w:p>
            <w:pPr>
              <w:ind w:left="300"/>
              <w:spacing w:after="0"/>
              <w:rPr>
                <w:sz w:val="20"/>
                <w:szCs w:val="20"/>
                <w:color w:val="auto"/>
              </w:rPr>
            </w:pPr>
            <w:r>
              <w:rPr>
                <w:rFonts w:ascii="Courier New" w:cs="Courier New" w:eastAsia="Courier New" w:hAnsi="Courier New"/>
                <w:sz w:val="18"/>
                <w:szCs w:val="18"/>
                <w:color w:val="auto"/>
              </w:rPr>
              <w:t>Integrity Title Agency of Ohio &amp; Michigan, Ltd. (25.05%)</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7"/>
              </w:rPr>
              <w:t>Ohio</w:t>
            </w:r>
          </w:p>
        </w:tc>
      </w:tr>
      <w:tr>
        <w:trPr>
          <w:trHeight w:val="405"/>
        </w:trPr>
        <w:tc>
          <w:tcPr>
            <w:tcW w:w="6780" w:type="dxa"/>
            <w:vAlign w:val="bottom"/>
          </w:tcPr>
          <w:p>
            <w:pPr>
              <w:spacing w:after="0"/>
              <w:rPr>
                <w:sz w:val="20"/>
                <w:szCs w:val="20"/>
                <w:color w:val="auto"/>
              </w:rPr>
            </w:pPr>
            <w:r>
              <w:rPr>
                <w:rFonts w:ascii="Courier New" w:cs="Courier New" w:eastAsia="Courier New" w:hAnsi="Courier New"/>
                <w:sz w:val="18"/>
                <w:szCs w:val="18"/>
                <w:color w:val="auto"/>
              </w:rPr>
              <w:t>Interfirst Escrow, Inc. (51%)</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6780" w:type="dxa"/>
            <w:vAlign w:val="bottom"/>
          </w:tcPr>
          <w:p>
            <w:pPr>
              <w:spacing w:after="0"/>
              <w:rPr>
                <w:sz w:val="20"/>
                <w:szCs w:val="20"/>
                <w:color w:val="auto"/>
              </w:rPr>
            </w:pPr>
            <w:r>
              <w:rPr>
                <w:rFonts w:ascii="Courier New" w:cs="Courier New" w:eastAsia="Courier New" w:hAnsi="Courier New"/>
                <w:sz w:val="18"/>
                <w:szCs w:val="18"/>
                <w:color w:val="auto"/>
              </w:rPr>
              <w:t>Island Title Company</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8"/>
              </w:rPr>
              <w:t>Washington</w:t>
            </w:r>
          </w:p>
        </w:tc>
      </w:tr>
      <w:tr>
        <w:trPr>
          <w:trHeight w:val="405"/>
        </w:trPr>
        <w:tc>
          <w:tcPr>
            <w:tcW w:w="6780" w:type="dxa"/>
            <w:vAlign w:val="bottom"/>
          </w:tcPr>
          <w:p>
            <w:pPr>
              <w:spacing w:after="0"/>
              <w:rPr>
                <w:sz w:val="20"/>
                <w:szCs w:val="20"/>
                <w:color w:val="auto"/>
              </w:rPr>
            </w:pPr>
            <w:r>
              <w:rPr>
                <w:rFonts w:ascii="Courier New" w:cs="Courier New" w:eastAsia="Courier New" w:hAnsi="Courier New"/>
                <w:sz w:val="18"/>
                <w:szCs w:val="18"/>
                <w:color w:val="auto"/>
              </w:rPr>
              <w:t>Kensington Development Corporation</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6780" w:type="dxa"/>
            <w:vAlign w:val="bottom"/>
          </w:tcPr>
          <w:p>
            <w:pPr>
              <w:ind w:left="160"/>
              <w:spacing w:after="0"/>
              <w:rPr>
                <w:sz w:val="20"/>
                <w:szCs w:val="20"/>
                <w:color w:val="auto"/>
              </w:rPr>
            </w:pPr>
            <w:r>
              <w:rPr>
                <w:rFonts w:ascii="Courier New" w:cs="Courier New" w:eastAsia="Courier New" w:hAnsi="Courier New"/>
                <w:sz w:val="18"/>
                <w:szCs w:val="18"/>
                <w:color w:val="auto"/>
              </w:rPr>
              <w:t>Lake County Trust Company</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7"/>
              </w:rPr>
              <w:t>Indiana</w:t>
            </w:r>
          </w:p>
        </w:tc>
      </w:tr>
      <w:tr>
        <w:trPr>
          <w:trHeight w:val="405"/>
        </w:trPr>
        <w:tc>
          <w:tcPr>
            <w:tcW w:w="6780" w:type="dxa"/>
            <w:vAlign w:val="bottom"/>
          </w:tcPr>
          <w:p>
            <w:pPr>
              <w:ind w:left="300"/>
              <w:spacing w:after="0"/>
              <w:rPr>
                <w:sz w:val="20"/>
                <w:szCs w:val="20"/>
                <w:color w:val="auto"/>
              </w:rPr>
            </w:pPr>
            <w:r>
              <w:rPr>
                <w:rFonts w:ascii="Courier New" w:cs="Courier New" w:eastAsia="Courier New" w:hAnsi="Courier New"/>
                <w:sz w:val="18"/>
                <w:szCs w:val="18"/>
                <w:color w:val="auto"/>
              </w:rPr>
              <w:t>Lake First Title Agency, LLC (50.1%)</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7"/>
              </w:rPr>
              <w:t>Ohio</w:t>
            </w:r>
          </w:p>
        </w:tc>
      </w:tr>
      <w:tr>
        <w:trPr>
          <w:trHeight w:val="405"/>
        </w:trPr>
        <w:tc>
          <w:tcPr>
            <w:tcW w:w="6780" w:type="dxa"/>
            <w:vAlign w:val="bottom"/>
          </w:tcPr>
          <w:p>
            <w:pPr>
              <w:ind w:left="40"/>
              <w:spacing w:after="0"/>
              <w:rPr>
                <w:sz w:val="20"/>
                <w:szCs w:val="20"/>
                <w:color w:val="auto"/>
              </w:rPr>
            </w:pPr>
            <w:r>
              <w:rPr>
                <w:rFonts w:ascii="Courier New" w:cs="Courier New" w:eastAsia="Courier New" w:hAnsi="Courier New"/>
                <w:sz w:val="18"/>
                <w:szCs w:val="18"/>
                <w:color w:val="auto"/>
              </w:rPr>
              <w:t>Lakeland Title Services, Inc.</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6"/>
              </w:rPr>
              <w:t>Wisconsin</w:t>
            </w:r>
          </w:p>
        </w:tc>
      </w:tr>
      <w:tr>
        <w:trPr>
          <w:trHeight w:val="810"/>
        </w:trPr>
        <w:tc>
          <w:tcPr>
            <w:tcW w:w="6780" w:type="dxa"/>
            <w:vAlign w:val="bottom"/>
          </w:tcPr>
          <w:p>
            <w:pPr>
              <w:ind w:left="6000"/>
              <w:spacing w:after="0"/>
              <w:rPr>
                <w:sz w:val="20"/>
                <w:szCs w:val="20"/>
                <w:color w:val="auto"/>
              </w:rPr>
            </w:pPr>
            <w:r>
              <w:rPr>
                <w:rFonts w:ascii="Courier New" w:cs="Courier New" w:eastAsia="Courier New" w:hAnsi="Courier New"/>
                <w:sz w:val="18"/>
                <w:szCs w:val="18"/>
                <w:color w:val="auto"/>
              </w:rPr>
              <w:t>6</w:t>
            </w:r>
          </w:p>
        </w:tc>
        <w:tc>
          <w:tcPr>
            <w:tcW w:w="1120" w:type="dxa"/>
            <w:vAlign w:val="bottom"/>
          </w:tcPr>
          <w:p>
            <w:pPr>
              <w:spacing w:after="0"/>
              <w:rPr>
                <w:sz w:val="24"/>
                <w:szCs w:val="24"/>
                <w:color w:val="auto"/>
              </w:rPr>
            </w:pPr>
          </w:p>
        </w:tc>
      </w:tr>
    </w:tbl>
    <w:p>
      <w:pPr>
        <w:sectPr>
          <w:pgSz w:w="11900" w:h="16838" w:orient="portrait"/>
          <w:cols w:equalWidth="0" w:num="1">
            <w:col w:w="9839"/>
          </w:cols>
          <w:pgMar w:left="620" w:top="1122" w:right="1440" w:bottom="1440" w:gutter="0" w:footer="0" w:header="0"/>
        </w:sectPr>
      </w:pPr>
    </w:p>
    <w:bookmarkStart w:id="249" w:name="page250"/>
    <w:bookmarkEnd w:id="2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ind w:left="320"/>
              <w:spacing w:after="0"/>
              <w:rPr>
                <w:sz w:val="20"/>
                <w:szCs w:val="20"/>
                <w:color w:val="auto"/>
              </w:rPr>
            </w:pPr>
            <w:r>
              <w:rPr>
                <w:rFonts w:ascii="Courier New" w:cs="Courier New" w:eastAsia="Courier New" w:hAnsi="Courier New"/>
                <w:sz w:val="18"/>
                <w:szCs w:val="18"/>
                <w:color w:val="auto"/>
              </w:rPr>
              <w:t>Landmark REO Management Services, Inc.</w:t>
            </w:r>
          </w:p>
        </w:tc>
        <w:tc>
          <w:tcPr>
            <w:tcW w:w="2320" w:type="dxa"/>
            <w:vAlign w:val="bottom"/>
          </w:tcPr>
          <w:p>
            <w:pPr>
              <w:jc w:val="center"/>
              <w:ind w:left="972"/>
              <w:spacing w:after="0"/>
              <w:rPr>
                <w:sz w:val="20"/>
                <w:szCs w:val="20"/>
                <w:color w:val="auto"/>
              </w:rPr>
            </w:pPr>
            <w:r>
              <w:rPr>
                <w:rFonts w:ascii="Courier New" w:cs="Courier New" w:eastAsia="Courier New" w:hAnsi="Courier New"/>
                <w:sz w:val="18"/>
                <w:szCs w:val="18"/>
                <w:color w:val="auto"/>
                <w:w w:val="95"/>
              </w:rPr>
              <w:t>Kansas</w:t>
            </w:r>
          </w:p>
        </w:tc>
      </w:tr>
      <w:tr>
        <w:trPr>
          <w:trHeight w:val="405"/>
        </w:trPr>
        <w:tc>
          <w:tcPr>
            <w:tcW w:w="5800" w:type="dxa"/>
            <w:vAlign w:val="bottom"/>
          </w:tcPr>
          <w:p>
            <w:pPr>
              <w:ind w:left="120"/>
              <w:spacing w:after="0"/>
              <w:rPr>
                <w:sz w:val="20"/>
                <w:szCs w:val="20"/>
                <w:color w:val="auto"/>
              </w:rPr>
            </w:pPr>
            <w:r>
              <w:rPr>
                <w:rFonts w:ascii="Courier New" w:cs="Courier New" w:eastAsia="Courier New" w:hAnsi="Courier New"/>
                <w:sz w:val="18"/>
                <w:szCs w:val="18"/>
                <w:color w:val="auto"/>
              </w:rPr>
              <w:t>Land Title Company of Kitsap County (44.58%)</w:t>
            </w:r>
          </w:p>
        </w:tc>
        <w:tc>
          <w:tcPr>
            <w:tcW w:w="2320" w:type="dxa"/>
            <w:vAlign w:val="bottom"/>
          </w:tcPr>
          <w:p>
            <w:pPr>
              <w:jc w:val="center"/>
              <w:ind w:left="972"/>
              <w:spacing w:after="0"/>
              <w:rPr>
                <w:sz w:val="20"/>
                <w:szCs w:val="20"/>
                <w:color w:val="auto"/>
              </w:rPr>
            </w:pPr>
            <w:r>
              <w:rPr>
                <w:rFonts w:ascii="Courier New" w:cs="Courier New" w:eastAsia="Courier New" w:hAnsi="Courier New"/>
                <w:sz w:val="18"/>
                <w:szCs w:val="18"/>
                <w:color w:val="auto"/>
                <w:w w:val="98"/>
              </w:rPr>
              <w:t>Washington</w:t>
            </w:r>
          </w:p>
        </w:tc>
      </w:tr>
      <w:tr>
        <w:trPr>
          <w:trHeight w:val="405"/>
        </w:trPr>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LaSalle County Title Company,  L.L.C. (70%)</w:t>
            </w:r>
          </w:p>
        </w:tc>
        <w:tc>
          <w:tcPr>
            <w:tcW w:w="2320" w:type="dxa"/>
            <w:vAlign w:val="bottom"/>
          </w:tcPr>
          <w:p>
            <w:pPr>
              <w:jc w:val="center"/>
              <w:ind w:left="952"/>
              <w:spacing w:after="0"/>
              <w:rPr>
                <w:sz w:val="20"/>
                <w:szCs w:val="20"/>
                <w:color w:val="auto"/>
              </w:rPr>
            </w:pPr>
            <w:r>
              <w:rPr>
                <w:rFonts w:ascii="Courier New" w:cs="Courier New" w:eastAsia="Courier New" w:hAnsi="Courier New"/>
                <w:sz w:val="18"/>
                <w:szCs w:val="18"/>
                <w:color w:val="auto"/>
                <w:w w:val="97"/>
              </w:rPr>
              <w:t>Illinois</w:t>
            </w:r>
          </w:p>
        </w:tc>
      </w:tr>
      <w:tr>
        <w:trPr>
          <w:trHeight w:val="405"/>
        </w:trPr>
        <w:tc>
          <w:tcPr>
            <w:tcW w:w="5800" w:type="dxa"/>
            <w:vAlign w:val="bottom"/>
          </w:tcPr>
          <w:p>
            <w:pPr>
              <w:ind w:left="280"/>
              <w:spacing w:after="0"/>
              <w:rPr>
                <w:sz w:val="20"/>
                <w:szCs w:val="20"/>
                <w:color w:val="auto"/>
              </w:rPr>
            </w:pPr>
            <w:r>
              <w:rPr>
                <w:rFonts w:ascii="Courier New" w:cs="Courier New" w:eastAsia="Courier New" w:hAnsi="Courier New"/>
                <w:sz w:val="18"/>
                <w:szCs w:val="18"/>
                <w:color w:val="auto"/>
              </w:rPr>
              <w:t>LC Investment Corporation</w:t>
            </w:r>
          </w:p>
        </w:tc>
        <w:tc>
          <w:tcPr>
            <w:tcW w:w="2320" w:type="dxa"/>
            <w:vAlign w:val="bottom"/>
          </w:tcPr>
          <w:p>
            <w:pPr>
              <w:jc w:val="center"/>
              <w:ind w:left="972"/>
              <w:spacing w:after="0"/>
              <w:rPr>
                <w:sz w:val="20"/>
                <w:szCs w:val="20"/>
                <w:color w:val="auto"/>
              </w:rPr>
            </w:pPr>
            <w:r>
              <w:rPr>
                <w:rFonts w:ascii="Courier New" w:cs="Courier New" w:eastAsia="Courier New" w:hAnsi="Courier New"/>
                <w:sz w:val="18"/>
                <w:szCs w:val="18"/>
                <w:color w:val="auto"/>
                <w:w w:val="97"/>
              </w:rPr>
              <w:t>Indiana</w:t>
            </w:r>
          </w:p>
        </w:tc>
      </w:tr>
      <w:tr>
        <w:trPr>
          <w:trHeight w:val="405"/>
        </w:trPr>
        <w:tc>
          <w:tcPr>
            <w:tcW w:w="5800" w:type="dxa"/>
            <w:vAlign w:val="bottom"/>
          </w:tcPr>
          <w:p>
            <w:pPr>
              <w:ind w:left="420"/>
              <w:spacing w:after="0"/>
              <w:rPr>
                <w:sz w:val="20"/>
                <w:szCs w:val="20"/>
                <w:color w:val="auto"/>
              </w:rPr>
            </w:pPr>
            <w:r>
              <w:rPr>
                <w:rFonts w:ascii="Courier New" w:cs="Courier New" w:eastAsia="Courier New" w:hAnsi="Courier New"/>
                <w:sz w:val="18"/>
                <w:szCs w:val="18"/>
                <w:color w:val="auto"/>
              </w:rPr>
              <w:t>Lenders Title Agency, LLC (50.1%)</w:t>
            </w:r>
          </w:p>
        </w:tc>
        <w:tc>
          <w:tcPr>
            <w:tcW w:w="2320" w:type="dxa"/>
            <w:vAlign w:val="bottom"/>
          </w:tcPr>
          <w:p>
            <w:pPr>
              <w:jc w:val="center"/>
              <w:ind w:left="972"/>
              <w:spacing w:after="0"/>
              <w:rPr>
                <w:sz w:val="20"/>
                <w:szCs w:val="20"/>
                <w:color w:val="auto"/>
              </w:rPr>
            </w:pPr>
            <w:r>
              <w:rPr>
                <w:rFonts w:ascii="Courier New" w:cs="Courier New" w:eastAsia="Courier New" w:hAnsi="Courier New"/>
                <w:sz w:val="18"/>
                <w:szCs w:val="18"/>
                <w:color w:val="auto"/>
                <w:w w:val="97"/>
              </w:rPr>
              <w:t>Ohio</w:t>
            </w:r>
          </w:p>
        </w:tc>
      </w:tr>
      <w:tr>
        <w:trPr>
          <w:trHeight w:val="405"/>
        </w:trPr>
        <w:tc>
          <w:tcPr>
            <w:tcW w:w="5800" w:type="dxa"/>
            <w:vAlign w:val="bottom"/>
          </w:tcPr>
          <w:p>
            <w:pPr>
              <w:ind w:left="280"/>
              <w:spacing w:after="0"/>
              <w:rPr>
                <w:sz w:val="20"/>
                <w:szCs w:val="20"/>
                <w:color w:val="auto"/>
              </w:rPr>
            </w:pPr>
            <w:r>
              <w:rPr>
                <w:rFonts w:ascii="Courier New" w:cs="Courier New" w:eastAsia="Courier New" w:hAnsi="Courier New"/>
                <w:sz w:val="18"/>
                <w:szCs w:val="18"/>
                <w:color w:val="auto"/>
              </w:rPr>
              <w:t>Liberty Title Agency, Inc. (51%)</w:t>
            </w:r>
          </w:p>
        </w:tc>
        <w:tc>
          <w:tcPr>
            <w:tcW w:w="2320" w:type="dxa"/>
            <w:vAlign w:val="bottom"/>
          </w:tcPr>
          <w:p>
            <w:pPr>
              <w:jc w:val="center"/>
              <w:ind w:left="972"/>
              <w:spacing w:after="0"/>
              <w:rPr>
                <w:sz w:val="20"/>
                <w:szCs w:val="20"/>
                <w:color w:val="auto"/>
              </w:rPr>
            </w:pPr>
            <w:r>
              <w:rPr>
                <w:rFonts w:ascii="Courier New" w:cs="Courier New" w:eastAsia="Courier New" w:hAnsi="Courier New"/>
                <w:sz w:val="18"/>
                <w:szCs w:val="18"/>
                <w:color w:val="auto"/>
                <w:w w:val="97"/>
              </w:rPr>
              <w:t>Arizona</w:t>
            </w:r>
          </w:p>
        </w:tc>
      </w:tr>
      <w:tr>
        <w:trPr>
          <w:trHeight w:val="405"/>
        </w:trPr>
        <w:tc>
          <w:tcPr>
            <w:tcW w:w="5800" w:type="dxa"/>
            <w:vAlign w:val="bottom"/>
          </w:tcPr>
          <w:p>
            <w:pPr>
              <w:ind w:left="120"/>
              <w:spacing w:after="0"/>
              <w:rPr>
                <w:sz w:val="20"/>
                <w:szCs w:val="20"/>
                <w:color w:val="auto"/>
              </w:rPr>
            </w:pPr>
            <w:r>
              <w:rPr>
                <w:rFonts w:ascii="Courier New" w:cs="Courier New" w:eastAsia="Courier New" w:hAnsi="Courier New"/>
                <w:sz w:val="18"/>
                <w:szCs w:val="18"/>
                <w:color w:val="auto"/>
              </w:rPr>
              <w:t>Manchester Development Corporation</w:t>
            </w:r>
          </w:p>
        </w:tc>
        <w:tc>
          <w:tcPr>
            <w:tcW w:w="2320" w:type="dxa"/>
            <w:vAlign w:val="bottom"/>
          </w:tcPr>
          <w:p>
            <w:pPr>
              <w:jc w:val="center"/>
              <w:ind w:left="972"/>
              <w:spacing w:after="0"/>
              <w:rPr>
                <w:sz w:val="20"/>
                <w:szCs w:val="20"/>
                <w:color w:val="auto"/>
              </w:rPr>
            </w:pPr>
            <w:r>
              <w:rPr>
                <w:rFonts w:ascii="Courier New" w:cs="Courier New" w:eastAsia="Courier New" w:hAnsi="Courier New"/>
                <w:sz w:val="18"/>
                <w:szCs w:val="18"/>
                <w:color w:val="auto"/>
                <w:w w:val="98"/>
              </w:rPr>
              <w:t>California</w:t>
            </w:r>
          </w:p>
        </w:tc>
      </w:tr>
      <w:tr>
        <w:trPr>
          <w:trHeight w:val="203"/>
        </w:trPr>
        <w:tc>
          <w:tcPr>
            <w:tcW w:w="5800" w:type="dxa"/>
            <w:vAlign w:val="bottom"/>
          </w:tcPr>
          <w:p>
            <w:pPr>
              <w:ind w:left="2700"/>
              <w:spacing w:after="0" w:line="203" w:lineRule="exact"/>
              <w:rPr>
                <w:sz w:val="20"/>
                <w:szCs w:val="20"/>
                <w:color w:val="auto"/>
              </w:rPr>
            </w:pPr>
            <w:r>
              <w:rPr>
                <w:rFonts w:ascii="Courier New" w:cs="Courier New" w:eastAsia="Courier New" w:hAnsi="Courier New"/>
                <w:sz w:val="18"/>
                <w:szCs w:val="18"/>
                <w:color w:val="auto"/>
              </w:rPr>
              <w:t>(d/b/a Orion Realty Group)</w:t>
            </w:r>
          </w:p>
        </w:tc>
        <w:tc>
          <w:tcPr>
            <w:tcW w:w="2320" w:type="dxa"/>
            <w:vAlign w:val="bottom"/>
          </w:tcPr>
          <w:p>
            <w:pPr>
              <w:spacing w:after="0"/>
              <w:rPr>
                <w:sz w:val="17"/>
                <w:szCs w:val="17"/>
                <w:color w:val="auto"/>
              </w:rPr>
            </w:pPr>
          </w:p>
        </w:tc>
      </w:tr>
      <w:tr>
        <w:trPr>
          <w:trHeight w:val="405"/>
        </w:trPr>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Marble Title Company, LLC (12%)</w:t>
            </w:r>
          </w:p>
        </w:tc>
        <w:tc>
          <w:tcPr>
            <w:tcW w:w="2320" w:type="dxa"/>
            <w:vAlign w:val="bottom"/>
          </w:tcPr>
          <w:p>
            <w:pPr>
              <w:jc w:val="center"/>
              <w:ind w:left="952"/>
              <w:spacing w:after="0"/>
              <w:rPr>
                <w:sz w:val="20"/>
                <w:szCs w:val="20"/>
                <w:color w:val="auto"/>
              </w:rPr>
            </w:pPr>
            <w:r>
              <w:rPr>
                <w:rFonts w:ascii="Courier New" w:cs="Courier New" w:eastAsia="Courier New" w:hAnsi="Courier New"/>
                <w:sz w:val="18"/>
                <w:szCs w:val="18"/>
                <w:color w:val="auto"/>
                <w:w w:val="96"/>
              </w:rPr>
              <w:t>Texas</w:t>
            </w:r>
          </w:p>
        </w:tc>
      </w:tr>
      <w:tr>
        <w:trPr>
          <w:trHeight w:val="405"/>
        </w:trPr>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McHenry County Title Company</w:t>
            </w:r>
          </w:p>
        </w:tc>
        <w:tc>
          <w:tcPr>
            <w:tcW w:w="2320" w:type="dxa"/>
            <w:vAlign w:val="bottom"/>
          </w:tcPr>
          <w:p>
            <w:pPr>
              <w:jc w:val="center"/>
              <w:ind w:left="952"/>
              <w:spacing w:after="0"/>
              <w:rPr>
                <w:sz w:val="20"/>
                <w:szCs w:val="20"/>
                <w:color w:val="auto"/>
              </w:rPr>
            </w:pPr>
            <w:r>
              <w:rPr>
                <w:rFonts w:ascii="Courier New" w:cs="Courier New" w:eastAsia="Courier New" w:hAnsi="Courier New"/>
                <w:sz w:val="18"/>
                <w:szCs w:val="18"/>
                <w:color w:val="auto"/>
                <w:w w:val="97"/>
              </w:rPr>
              <w:t>Illinois</w:t>
            </w:r>
          </w:p>
        </w:tc>
      </w:tr>
      <w:tr>
        <w:trPr>
          <w:trHeight w:val="405"/>
        </w:trPr>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McLean County Title Company</w:t>
            </w:r>
          </w:p>
        </w:tc>
        <w:tc>
          <w:tcPr>
            <w:tcW w:w="2320" w:type="dxa"/>
            <w:vAlign w:val="bottom"/>
          </w:tcPr>
          <w:p>
            <w:pPr>
              <w:jc w:val="center"/>
              <w:ind w:left="952"/>
              <w:spacing w:after="0"/>
              <w:rPr>
                <w:sz w:val="20"/>
                <w:szCs w:val="20"/>
                <w:color w:val="auto"/>
              </w:rPr>
            </w:pPr>
            <w:r>
              <w:rPr>
                <w:rFonts w:ascii="Courier New" w:cs="Courier New" w:eastAsia="Courier New" w:hAnsi="Courier New"/>
                <w:sz w:val="18"/>
                <w:szCs w:val="18"/>
                <w:color w:val="auto"/>
                <w:w w:val="97"/>
              </w:rPr>
              <w:t>Illinois</w:t>
            </w:r>
          </w:p>
        </w:tc>
      </w:tr>
      <w:tr>
        <w:trPr>
          <w:trHeight w:val="405"/>
        </w:trPr>
        <w:tc>
          <w:tcPr>
            <w:tcW w:w="5800" w:type="dxa"/>
            <w:vAlign w:val="bottom"/>
          </w:tcPr>
          <w:p>
            <w:pPr>
              <w:ind w:left="320"/>
              <w:spacing w:after="0"/>
              <w:rPr>
                <w:sz w:val="20"/>
                <w:szCs w:val="20"/>
                <w:color w:val="auto"/>
              </w:rPr>
            </w:pPr>
            <w:r>
              <w:rPr>
                <w:rFonts w:ascii="Courier New" w:cs="Courier New" w:eastAsia="Courier New" w:hAnsi="Courier New"/>
                <w:sz w:val="18"/>
                <w:szCs w:val="18"/>
                <w:color w:val="auto"/>
              </w:rPr>
              <w:t>McNamara, LLC</w:t>
            </w:r>
          </w:p>
        </w:tc>
        <w:tc>
          <w:tcPr>
            <w:tcW w:w="2320" w:type="dxa"/>
            <w:vAlign w:val="bottom"/>
          </w:tcPr>
          <w:p>
            <w:pPr>
              <w:jc w:val="center"/>
              <w:ind w:left="972"/>
              <w:spacing w:after="0"/>
              <w:rPr>
                <w:sz w:val="20"/>
                <w:szCs w:val="20"/>
                <w:color w:val="auto"/>
              </w:rPr>
            </w:pPr>
            <w:r>
              <w:rPr>
                <w:rFonts w:ascii="Courier New" w:cs="Courier New" w:eastAsia="Courier New" w:hAnsi="Courier New"/>
                <w:sz w:val="18"/>
                <w:szCs w:val="18"/>
                <w:color w:val="auto"/>
                <w:w w:val="95"/>
              </w:rPr>
              <w:t>Nevada</w:t>
            </w:r>
          </w:p>
        </w:tc>
      </w:tr>
      <w:tr>
        <w:trPr>
          <w:trHeight w:val="405"/>
        </w:trPr>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Member First Title Agency, LLC (50%)</w:t>
            </w:r>
          </w:p>
        </w:tc>
        <w:tc>
          <w:tcPr>
            <w:tcW w:w="2320" w:type="dxa"/>
            <w:vAlign w:val="bottom"/>
          </w:tcPr>
          <w:p>
            <w:pPr>
              <w:jc w:val="center"/>
              <w:ind w:left="952"/>
              <w:spacing w:after="0"/>
              <w:rPr>
                <w:sz w:val="20"/>
                <w:szCs w:val="20"/>
                <w:color w:val="auto"/>
              </w:rPr>
            </w:pPr>
            <w:r>
              <w:rPr>
                <w:rFonts w:ascii="Courier New" w:cs="Courier New" w:eastAsia="Courier New" w:hAnsi="Courier New"/>
                <w:sz w:val="18"/>
                <w:szCs w:val="18"/>
                <w:color w:val="auto"/>
                <w:w w:val="97"/>
              </w:rPr>
              <w:t>Michigan</w:t>
            </w:r>
          </w:p>
        </w:tc>
      </w:tr>
      <w:tr>
        <w:trPr>
          <w:trHeight w:val="405"/>
        </w:trPr>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MFS Title of Texas, LP (5%)</w:t>
            </w:r>
          </w:p>
        </w:tc>
        <w:tc>
          <w:tcPr>
            <w:tcW w:w="2320" w:type="dxa"/>
            <w:vAlign w:val="bottom"/>
          </w:tcPr>
          <w:p>
            <w:pPr>
              <w:jc w:val="center"/>
              <w:ind w:left="952"/>
              <w:spacing w:after="0"/>
              <w:rPr>
                <w:sz w:val="20"/>
                <w:szCs w:val="20"/>
                <w:color w:val="auto"/>
              </w:rPr>
            </w:pPr>
            <w:r>
              <w:rPr>
                <w:rFonts w:ascii="Courier New" w:cs="Courier New" w:eastAsia="Courier New" w:hAnsi="Courier New"/>
                <w:sz w:val="18"/>
                <w:szCs w:val="18"/>
                <w:color w:val="auto"/>
                <w:w w:val="96"/>
              </w:rPr>
              <w:t>Texas</w:t>
            </w:r>
          </w:p>
        </w:tc>
      </w:tr>
      <w:tr>
        <w:trPr>
          <w:trHeight w:val="405"/>
        </w:trPr>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MGEN Services Corp.</w:t>
            </w:r>
          </w:p>
        </w:tc>
        <w:tc>
          <w:tcPr>
            <w:tcW w:w="2320" w:type="dxa"/>
            <w:vAlign w:val="bottom"/>
          </w:tcPr>
          <w:p>
            <w:pPr>
              <w:jc w:val="center"/>
              <w:ind w:left="95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Micro General, LLC</w:t>
            </w:r>
          </w:p>
        </w:tc>
        <w:tc>
          <w:tcPr>
            <w:tcW w:w="2320" w:type="dxa"/>
            <w:vAlign w:val="bottom"/>
          </w:tcPr>
          <w:p>
            <w:pPr>
              <w:jc w:val="center"/>
              <w:ind w:left="95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Midwest Title Company</w:t>
            </w:r>
          </w:p>
        </w:tc>
        <w:tc>
          <w:tcPr>
            <w:tcW w:w="2320" w:type="dxa"/>
            <w:vAlign w:val="bottom"/>
          </w:tcPr>
          <w:p>
            <w:pPr>
              <w:jc w:val="center"/>
              <w:ind w:left="95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National Link, L.L.C. (49.8%)</w:t>
            </w:r>
          </w:p>
        </w:tc>
        <w:tc>
          <w:tcPr>
            <w:tcW w:w="2320" w:type="dxa"/>
            <w:vAlign w:val="bottom"/>
          </w:tcPr>
          <w:p>
            <w:pPr>
              <w:jc w:val="center"/>
              <w:ind w:left="972"/>
              <w:spacing w:after="0"/>
              <w:rPr>
                <w:sz w:val="20"/>
                <w:szCs w:val="20"/>
                <w:color w:val="auto"/>
              </w:rPr>
            </w:pPr>
            <w:r>
              <w:rPr>
                <w:rFonts w:ascii="Courier New" w:cs="Courier New" w:eastAsia="Courier New" w:hAnsi="Courier New"/>
                <w:sz w:val="18"/>
                <w:szCs w:val="18"/>
                <w:color w:val="auto"/>
                <w:w w:val="97"/>
              </w:rPr>
              <w:t>Pennsylvania</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National Link, L.P. (49.5%)</w:t>
            </w:r>
          </w:p>
        </w:tc>
        <w:tc>
          <w:tcPr>
            <w:tcW w:w="2320" w:type="dxa"/>
            <w:vAlign w:val="bottom"/>
          </w:tcPr>
          <w:p>
            <w:pPr>
              <w:jc w:val="center"/>
              <w:ind w:left="972"/>
              <w:spacing w:after="0"/>
              <w:rPr>
                <w:sz w:val="20"/>
                <w:szCs w:val="20"/>
                <w:color w:val="auto"/>
              </w:rPr>
            </w:pPr>
            <w:r>
              <w:rPr>
                <w:rFonts w:ascii="Courier New" w:cs="Courier New" w:eastAsia="Courier New" w:hAnsi="Courier New"/>
                <w:sz w:val="18"/>
                <w:szCs w:val="18"/>
                <w:color w:val="auto"/>
                <w:w w:val="97"/>
              </w:rPr>
              <w:t>Pennsylvania</w:t>
            </w:r>
          </w:p>
        </w:tc>
      </w:tr>
      <w:tr>
        <w:trPr>
          <w:trHeight w:val="405"/>
        </w:trPr>
        <w:tc>
          <w:tcPr>
            <w:tcW w:w="5800" w:type="dxa"/>
            <w:vAlign w:val="bottom"/>
          </w:tcPr>
          <w:p>
            <w:pPr>
              <w:ind w:left="280"/>
              <w:spacing w:after="0"/>
              <w:rPr>
                <w:sz w:val="20"/>
                <w:szCs w:val="20"/>
                <w:color w:val="auto"/>
              </w:rPr>
            </w:pPr>
            <w:r>
              <w:rPr>
                <w:rFonts w:ascii="Courier New" w:cs="Courier New" w:eastAsia="Courier New" w:hAnsi="Courier New"/>
                <w:sz w:val="18"/>
                <w:szCs w:val="18"/>
                <w:color w:val="auto"/>
              </w:rPr>
              <w:t>National Link of Alabama, L.L.C.</w:t>
            </w:r>
          </w:p>
        </w:tc>
        <w:tc>
          <w:tcPr>
            <w:tcW w:w="2320" w:type="dxa"/>
            <w:vAlign w:val="bottom"/>
          </w:tcPr>
          <w:p>
            <w:pPr>
              <w:jc w:val="center"/>
              <w:ind w:left="972"/>
              <w:spacing w:after="0"/>
              <w:rPr>
                <w:sz w:val="20"/>
                <w:szCs w:val="20"/>
                <w:color w:val="auto"/>
              </w:rPr>
            </w:pPr>
            <w:r>
              <w:rPr>
                <w:rFonts w:ascii="Courier New" w:cs="Courier New" w:eastAsia="Courier New" w:hAnsi="Courier New"/>
                <w:sz w:val="18"/>
                <w:szCs w:val="18"/>
                <w:color w:val="auto"/>
                <w:w w:val="97"/>
              </w:rPr>
              <w:t>Alabama</w:t>
            </w:r>
          </w:p>
        </w:tc>
      </w:tr>
      <w:tr>
        <w:trPr>
          <w:trHeight w:val="405"/>
        </w:trPr>
        <w:tc>
          <w:tcPr>
            <w:tcW w:w="5800" w:type="dxa"/>
            <w:vAlign w:val="bottom"/>
          </w:tcPr>
          <w:p>
            <w:pPr>
              <w:ind w:left="120"/>
              <w:spacing w:after="0"/>
              <w:rPr>
                <w:sz w:val="20"/>
                <w:szCs w:val="20"/>
                <w:color w:val="auto"/>
              </w:rPr>
            </w:pPr>
            <w:r>
              <w:rPr>
                <w:rFonts w:ascii="Courier New" w:cs="Courier New" w:eastAsia="Courier New" w:hAnsi="Courier New"/>
                <w:sz w:val="18"/>
                <w:szCs w:val="18"/>
                <w:color w:val="auto"/>
              </w:rPr>
              <w:t>National Title Company of Southern California (51%)</w:t>
            </w:r>
          </w:p>
        </w:tc>
        <w:tc>
          <w:tcPr>
            <w:tcW w:w="2320" w:type="dxa"/>
            <w:vAlign w:val="bottom"/>
          </w:tcPr>
          <w:p>
            <w:pPr>
              <w:jc w:val="center"/>
              <w:ind w:left="97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5800" w:type="dxa"/>
            <w:vAlign w:val="bottom"/>
          </w:tcPr>
          <w:p>
            <w:pPr>
              <w:ind w:left="120"/>
              <w:spacing w:after="0"/>
              <w:rPr>
                <w:sz w:val="20"/>
                <w:szCs w:val="20"/>
                <w:color w:val="auto"/>
              </w:rPr>
            </w:pPr>
            <w:r>
              <w:rPr>
                <w:rFonts w:ascii="Courier New" w:cs="Courier New" w:eastAsia="Courier New" w:hAnsi="Courier New"/>
                <w:sz w:val="18"/>
                <w:szCs w:val="18"/>
                <w:color w:val="auto"/>
              </w:rPr>
              <w:t>National Title Company of Ventura County (51%)</w:t>
            </w:r>
          </w:p>
        </w:tc>
        <w:tc>
          <w:tcPr>
            <w:tcW w:w="2320" w:type="dxa"/>
            <w:vAlign w:val="bottom"/>
          </w:tcPr>
          <w:p>
            <w:pPr>
              <w:jc w:val="center"/>
              <w:ind w:left="97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Nations Title Insurance of New York Inc.</w:t>
            </w:r>
          </w:p>
        </w:tc>
        <w:tc>
          <w:tcPr>
            <w:tcW w:w="2320" w:type="dxa"/>
            <w:vAlign w:val="bottom"/>
          </w:tcPr>
          <w:p>
            <w:pPr>
              <w:jc w:val="center"/>
              <w:ind w:left="952"/>
              <w:spacing w:after="0"/>
              <w:rPr>
                <w:sz w:val="20"/>
                <w:szCs w:val="20"/>
                <w:color w:val="auto"/>
              </w:rPr>
            </w:pPr>
            <w:r>
              <w:rPr>
                <w:rFonts w:ascii="Courier New" w:cs="Courier New" w:eastAsia="Courier New" w:hAnsi="Courier New"/>
                <w:sz w:val="18"/>
                <w:szCs w:val="18"/>
                <w:color w:val="auto"/>
                <w:w w:val="97"/>
              </w:rPr>
              <w:t>New York</w:t>
            </w:r>
          </w:p>
        </w:tc>
      </w:tr>
      <w:tr>
        <w:trPr>
          <w:trHeight w:val="810"/>
        </w:trPr>
        <w:tc>
          <w:tcPr>
            <w:tcW w:w="5800" w:type="dxa"/>
            <w:vAlign w:val="bottom"/>
          </w:tcPr>
          <w:p>
            <w:pPr>
              <w:spacing w:after="0"/>
              <w:rPr>
                <w:sz w:val="24"/>
                <w:szCs w:val="24"/>
                <w:color w:val="auto"/>
              </w:rPr>
            </w:pPr>
          </w:p>
        </w:tc>
        <w:tc>
          <w:tcPr>
            <w:tcW w:w="2320" w:type="dxa"/>
            <w:vAlign w:val="bottom"/>
          </w:tcPr>
          <w:p>
            <w:pPr>
              <w:jc w:val="right"/>
              <w:ind w:right="1812"/>
              <w:spacing w:after="0"/>
              <w:rPr>
                <w:sz w:val="20"/>
                <w:szCs w:val="20"/>
                <w:color w:val="auto"/>
              </w:rPr>
            </w:pPr>
            <w:r>
              <w:rPr>
                <w:rFonts w:ascii="Courier New" w:cs="Courier New" w:eastAsia="Courier New" w:hAnsi="Courier New"/>
                <w:sz w:val="18"/>
                <w:szCs w:val="18"/>
                <w:color w:val="auto"/>
              </w:rPr>
              <w:t>7</w:t>
            </w:r>
          </w:p>
        </w:tc>
      </w:tr>
    </w:tbl>
    <w:p>
      <w:pPr>
        <w:sectPr>
          <w:pgSz w:w="11900" w:h="16838" w:orient="portrait"/>
          <w:cols w:equalWidth="0" w:num="1">
            <w:col w:w="9959"/>
          </w:cols>
          <w:pgMar w:left="500" w:top="1122" w:right="1440" w:bottom="1440" w:gutter="0" w:footer="0" w:header="0"/>
        </w:sectPr>
      </w:pPr>
    </w:p>
    <w:bookmarkStart w:id="250" w:name="page251"/>
    <w:bookmarkEnd w:id="2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80" w:type="dxa"/>
            <w:vAlign w:val="bottom"/>
          </w:tcPr>
          <w:p>
            <w:pPr>
              <w:ind w:left="100"/>
              <w:spacing w:after="0"/>
              <w:rPr>
                <w:sz w:val="20"/>
                <w:szCs w:val="20"/>
                <w:color w:val="auto"/>
              </w:rPr>
            </w:pPr>
            <w:r>
              <w:rPr>
                <w:rFonts w:ascii="Courier New" w:cs="Courier New" w:eastAsia="Courier New" w:hAnsi="Courier New"/>
                <w:sz w:val="18"/>
                <w:szCs w:val="18"/>
                <w:color w:val="auto"/>
              </w:rPr>
              <w:t>Nationwide Settlement Source, L.L.C.</w:t>
            </w:r>
          </w:p>
        </w:tc>
        <w:tc>
          <w:tcPr>
            <w:tcW w:w="2340" w:type="dxa"/>
            <w:vAlign w:val="bottom"/>
          </w:tcPr>
          <w:p>
            <w:pPr>
              <w:jc w:val="center"/>
              <w:ind w:left="792"/>
              <w:spacing w:after="0"/>
              <w:rPr>
                <w:sz w:val="20"/>
                <w:szCs w:val="20"/>
                <w:color w:val="auto"/>
              </w:rPr>
            </w:pPr>
            <w:r>
              <w:rPr>
                <w:rFonts w:ascii="Courier New" w:cs="Courier New" w:eastAsia="Courier New" w:hAnsi="Courier New"/>
                <w:sz w:val="18"/>
                <w:szCs w:val="18"/>
                <w:color w:val="auto"/>
                <w:w w:val="97"/>
              </w:rPr>
              <w:t>Pennsylvania</w:t>
            </w:r>
          </w:p>
        </w:tc>
      </w:tr>
      <w:tr>
        <w:trPr>
          <w:trHeight w:val="405"/>
        </w:trPr>
        <w:tc>
          <w:tcPr>
            <w:tcW w:w="5980" w:type="dxa"/>
            <w:vAlign w:val="bottom"/>
          </w:tcPr>
          <w:p>
            <w:pPr>
              <w:ind w:left="100"/>
              <w:spacing w:after="0"/>
              <w:rPr>
                <w:sz w:val="20"/>
                <w:szCs w:val="20"/>
                <w:color w:val="auto"/>
              </w:rPr>
            </w:pPr>
            <w:r>
              <w:rPr>
                <w:rFonts w:ascii="Courier New" w:cs="Courier New" w:eastAsia="Courier New" w:hAnsi="Courier New"/>
                <w:sz w:val="18"/>
                <w:szCs w:val="18"/>
                <w:color w:val="auto"/>
              </w:rPr>
              <w:t>Nationwide Settlement Source, L.P.</w:t>
            </w:r>
          </w:p>
        </w:tc>
        <w:tc>
          <w:tcPr>
            <w:tcW w:w="2340" w:type="dxa"/>
            <w:vAlign w:val="bottom"/>
          </w:tcPr>
          <w:p>
            <w:pPr>
              <w:jc w:val="center"/>
              <w:ind w:left="792"/>
              <w:spacing w:after="0"/>
              <w:rPr>
                <w:sz w:val="20"/>
                <w:szCs w:val="20"/>
                <w:color w:val="auto"/>
              </w:rPr>
            </w:pPr>
            <w:r>
              <w:rPr>
                <w:rFonts w:ascii="Courier New" w:cs="Courier New" w:eastAsia="Courier New" w:hAnsi="Courier New"/>
                <w:sz w:val="18"/>
                <w:szCs w:val="18"/>
                <w:color w:val="auto"/>
                <w:w w:val="97"/>
              </w:rPr>
              <w:t>Pennsylvania</w:t>
            </w:r>
          </w:p>
        </w:tc>
      </w:tr>
      <w:tr>
        <w:trPr>
          <w:trHeight w:val="405"/>
        </w:trPr>
        <w:tc>
          <w:tcPr>
            <w:tcW w:w="5980" w:type="dxa"/>
            <w:vAlign w:val="bottom"/>
          </w:tcPr>
          <w:p>
            <w:pPr>
              <w:ind w:left="380"/>
              <w:spacing w:after="0"/>
              <w:rPr>
                <w:sz w:val="20"/>
                <w:szCs w:val="20"/>
                <w:color w:val="auto"/>
              </w:rPr>
            </w:pPr>
            <w:r>
              <w:rPr>
                <w:rFonts w:ascii="Courier New" w:cs="Courier New" w:eastAsia="Courier New" w:hAnsi="Courier New"/>
                <w:sz w:val="18"/>
                <w:szCs w:val="18"/>
                <w:color w:val="auto"/>
              </w:rPr>
              <w:t>Nationwide Settlement Source of Alabama, L.L.C.</w:t>
            </w:r>
          </w:p>
        </w:tc>
        <w:tc>
          <w:tcPr>
            <w:tcW w:w="2340" w:type="dxa"/>
            <w:vAlign w:val="bottom"/>
          </w:tcPr>
          <w:p>
            <w:pPr>
              <w:jc w:val="center"/>
              <w:ind w:left="792"/>
              <w:spacing w:after="0"/>
              <w:rPr>
                <w:sz w:val="20"/>
                <w:szCs w:val="20"/>
                <w:color w:val="auto"/>
              </w:rPr>
            </w:pPr>
            <w:r>
              <w:rPr>
                <w:rFonts w:ascii="Courier New" w:cs="Courier New" w:eastAsia="Courier New" w:hAnsi="Courier New"/>
                <w:sz w:val="18"/>
                <w:szCs w:val="18"/>
                <w:color w:val="auto"/>
                <w:w w:val="97"/>
              </w:rPr>
              <w:t>Alabama</w:t>
            </w:r>
          </w:p>
        </w:tc>
      </w:tr>
      <w:tr>
        <w:trPr>
          <w:trHeight w:val="405"/>
        </w:trPr>
        <w:tc>
          <w:tcPr>
            <w:tcW w:w="5980" w:type="dxa"/>
            <w:vAlign w:val="bottom"/>
          </w:tcPr>
          <w:p>
            <w:pPr>
              <w:ind w:left="520"/>
              <w:spacing w:after="0"/>
              <w:rPr>
                <w:sz w:val="20"/>
                <w:szCs w:val="20"/>
                <w:color w:val="auto"/>
              </w:rPr>
            </w:pPr>
            <w:r>
              <w:rPr>
                <w:rFonts w:ascii="Courier New" w:cs="Courier New" w:eastAsia="Courier New" w:hAnsi="Courier New"/>
                <w:sz w:val="18"/>
                <w:szCs w:val="18"/>
                <w:color w:val="auto"/>
              </w:rPr>
              <w:t>New Market Title Agency, LLC (50.1%)</w:t>
            </w:r>
          </w:p>
        </w:tc>
        <w:tc>
          <w:tcPr>
            <w:tcW w:w="2340" w:type="dxa"/>
            <w:vAlign w:val="bottom"/>
          </w:tcPr>
          <w:p>
            <w:pPr>
              <w:jc w:val="center"/>
              <w:ind w:left="792"/>
              <w:spacing w:after="0"/>
              <w:rPr>
                <w:sz w:val="20"/>
                <w:szCs w:val="20"/>
                <w:color w:val="auto"/>
              </w:rPr>
            </w:pPr>
            <w:r>
              <w:rPr>
                <w:rFonts w:ascii="Courier New" w:cs="Courier New" w:eastAsia="Courier New" w:hAnsi="Courier New"/>
                <w:sz w:val="18"/>
                <w:szCs w:val="18"/>
                <w:color w:val="auto"/>
                <w:w w:val="97"/>
              </w:rPr>
              <w:t>Ohio</w:t>
            </w:r>
          </w:p>
        </w:tc>
      </w:tr>
      <w:tr>
        <w:trPr>
          <w:trHeight w:val="405"/>
        </w:trPr>
        <w:tc>
          <w:tcPr>
            <w:tcW w:w="5980" w:type="dxa"/>
            <w:vAlign w:val="bottom"/>
          </w:tcPr>
          <w:p>
            <w:pPr>
              <w:ind w:left="320"/>
              <w:spacing w:after="0"/>
              <w:rPr>
                <w:sz w:val="20"/>
                <w:szCs w:val="20"/>
                <w:color w:val="auto"/>
              </w:rPr>
            </w:pPr>
            <w:r>
              <w:rPr>
                <w:rFonts w:ascii="Courier New" w:cs="Courier New" w:eastAsia="Courier New" w:hAnsi="Courier New"/>
                <w:sz w:val="18"/>
                <w:szCs w:val="18"/>
                <w:color w:val="auto"/>
              </w:rPr>
              <w:t>Ottawa-Kent Title Agency, LLC (50%)</w:t>
            </w:r>
          </w:p>
        </w:tc>
        <w:tc>
          <w:tcPr>
            <w:tcW w:w="2340" w:type="dxa"/>
            <w:vAlign w:val="bottom"/>
          </w:tcPr>
          <w:p>
            <w:pPr>
              <w:jc w:val="center"/>
              <w:ind w:left="772"/>
              <w:spacing w:after="0"/>
              <w:rPr>
                <w:sz w:val="20"/>
                <w:szCs w:val="20"/>
                <w:color w:val="auto"/>
              </w:rPr>
            </w:pPr>
            <w:r>
              <w:rPr>
                <w:rFonts w:ascii="Courier New" w:cs="Courier New" w:eastAsia="Courier New" w:hAnsi="Courier New"/>
                <w:sz w:val="18"/>
                <w:szCs w:val="18"/>
                <w:color w:val="auto"/>
                <w:w w:val="97"/>
              </w:rPr>
              <w:t>Michigan</w:t>
            </w:r>
          </w:p>
        </w:tc>
      </w:tr>
      <w:tr>
        <w:trPr>
          <w:trHeight w:val="405"/>
        </w:trPr>
        <w:tc>
          <w:tcPr>
            <w:tcW w:w="5980" w:type="dxa"/>
            <w:vAlign w:val="bottom"/>
          </w:tcPr>
          <w:p>
            <w:pPr>
              <w:ind w:left="220"/>
              <w:spacing w:after="0"/>
              <w:rPr>
                <w:sz w:val="20"/>
                <w:szCs w:val="20"/>
                <w:color w:val="auto"/>
              </w:rPr>
            </w:pPr>
            <w:r>
              <w:rPr>
                <w:rFonts w:ascii="Courier New" w:cs="Courier New" w:eastAsia="Courier New" w:hAnsi="Courier New"/>
                <w:sz w:val="18"/>
                <w:szCs w:val="18"/>
                <w:color w:val="auto"/>
              </w:rPr>
              <w:t>Pacific Escrow Solutions, Inc.</w:t>
            </w:r>
          </w:p>
        </w:tc>
        <w:tc>
          <w:tcPr>
            <w:tcW w:w="2340" w:type="dxa"/>
            <w:vAlign w:val="bottom"/>
          </w:tcPr>
          <w:p>
            <w:pPr>
              <w:jc w:val="center"/>
              <w:ind w:left="79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5980" w:type="dxa"/>
            <w:vAlign w:val="bottom"/>
          </w:tcPr>
          <w:p>
            <w:pPr>
              <w:ind w:left="320"/>
              <w:spacing w:after="0"/>
              <w:rPr>
                <w:sz w:val="20"/>
                <w:szCs w:val="20"/>
                <w:color w:val="auto"/>
              </w:rPr>
            </w:pPr>
            <w:r>
              <w:rPr>
                <w:rFonts w:ascii="Courier New" w:cs="Courier New" w:eastAsia="Courier New" w:hAnsi="Courier New"/>
                <w:sz w:val="18"/>
                <w:szCs w:val="18"/>
                <w:color w:val="auto"/>
              </w:rPr>
              <w:t>Perrett Title Agency, LLC (50%)</w:t>
            </w:r>
          </w:p>
        </w:tc>
        <w:tc>
          <w:tcPr>
            <w:tcW w:w="2340" w:type="dxa"/>
            <w:vAlign w:val="bottom"/>
          </w:tcPr>
          <w:p>
            <w:pPr>
              <w:jc w:val="center"/>
              <w:ind w:left="772"/>
              <w:spacing w:after="0"/>
              <w:rPr>
                <w:sz w:val="20"/>
                <w:szCs w:val="20"/>
                <w:color w:val="auto"/>
              </w:rPr>
            </w:pPr>
            <w:r>
              <w:rPr>
                <w:rFonts w:ascii="Courier New" w:cs="Courier New" w:eastAsia="Courier New" w:hAnsi="Courier New"/>
                <w:sz w:val="18"/>
                <w:szCs w:val="18"/>
                <w:color w:val="auto"/>
                <w:w w:val="97"/>
              </w:rPr>
              <w:t>Michigan</w:t>
            </w:r>
          </w:p>
        </w:tc>
      </w:tr>
      <w:tr>
        <w:trPr>
          <w:trHeight w:val="405"/>
        </w:trPr>
        <w:tc>
          <w:tcPr>
            <w:tcW w:w="5980" w:type="dxa"/>
            <w:vAlign w:val="bottom"/>
          </w:tcPr>
          <w:p>
            <w:pPr>
              <w:ind w:left="380"/>
              <w:spacing w:after="0"/>
              <w:rPr>
                <w:sz w:val="20"/>
                <w:szCs w:val="20"/>
                <w:color w:val="auto"/>
              </w:rPr>
            </w:pPr>
            <w:r>
              <w:rPr>
                <w:rFonts w:ascii="Courier New" w:cs="Courier New" w:eastAsia="Courier New" w:hAnsi="Courier New"/>
                <w:sz w:val="18"/>
                <w:szCs w:val="18"/>
                <w:color w:val="auto"/>
              </w:rPr>
              <w:t>Pioneer National Title Company</w:t>
            </w:r>
          </w:p>
        </w:tc>
        <w:tc>
          <w:tcPr>
            <w:tcW w:w="2340" w:type="dxa"/>
            <w:vAlign w:val="bottom"/>
          </w:tcPr>
          <w:p>
            <w:pPr>
              <w:jc w:val="center"/>
              <w:ind w:left="792"/>
              <w:spacing w:after="0"/>
              <w:rPr>
                <w:sz w:val="20"/>
                <w:szCs w:val="20"/>
                <w:color w:val="auto"/>
              </w:rPr>
            </w:pPr>
            <w:r>
              <w:rPr>
                <w:rFonts w:ascii="Courier New" w:cs="Courier New" w:eastAsia="Courier New" w:hAnsi="Courier New"/>
                <w:sz w:val="18"/>
                <w:szCs w:val="18"/>
                <w:color w:val="auto"/>
                <w:w w:val="97"/>
              </w:rPr>
              <w:t>Arizona</w:t>
            </w:r>
          </w:p>
        </w:tc>
      </w:tr>
      <w:tr>
        <w:trPr>
          <w:trHeight w:val="405"/>
        </w:trPr>
        <w:tc>
          <w:tcPr>
            <w:tcW w:w="5980" w:type="dxa"/>
            <w:vAlign w:val="bottom"/>
          </w:tcPr>
          <w:p>
            <w:pPr>
              <w:ind w:left="320"/>
              <w:spacing w:after="0"/>
              <w:rPr>
                <w:sz w:val="20"/>
                <w:szCs w:val="20"/>
                <w:color w:val="auto"/>
              </w:rPr>
            </w:pPr>
            <w:r>
              <w:rPr>
                <w:rFonts w:ascii="Courier New" w:cs="Courier New" w:eastAsia="Courier New" w:hAnsi="Courier New"/>
                <w:sz w:val="18"/>
                <w:szCs w:val="18"/>
                <w:color w:val="auto"/>
              </w:rPr>
              <w:t>Preferred Title Services, LLC (50%)</w:t>
            </w:r>
          </w:p>
        </w:tc>
        <w:tc>
          <w:tcPr>
            <w:tcW w:w="2340" w:type="dxa"/>
            <w:vAlign w:val="bottom"/>
          </w:tcPr>
          <w:p>
            <w:pPr>
              <w:jc w:val="center"/>
              <w:ind w:left="772"/>
              <w:spacing w:after="0"/>
              <w:rPr>
                <w:sz w:val="20"/>
                <w:szCs w:val="20"/>
                <w:color w:val="auto"/>
              </w:rPr>
            </w:pPr>
            <w:r>
              <w:rPr>
                <w:rFonts w:ascii="Courier New" w:cs="Courier New" w:eastAsia="Courier New" w:hAnsi="Courier New"/>
                <w:sz w:val="18"/>
                <w:szCs w:val="18"/>
                <w:color w:val="auto"/>
                <w:w w:val="97"/>
              </w:rPr>
              <w:t>Michigan</w:t>
            </w:r>
          </w:p>
        </w:tc>
      </w:tr>
      <w:tr>
        <w:trPr>
          <w:trHeight w:val="405"/>
        </w:trPr>
        <w:tc>
          <w:tcPr>
            <w:tcW w:w="5980" w:type="dxa"/>
            <w:vAlign w:val="bottom"/>
          </w:tcPr>
          <w:p>
            <w:pPr>
              <w:ind w:left="220"/>
              <w:spacing w:after="0"/>
              <w:rPr>
                <w:sz w:val="20"/>
                <w:szCs w:val="20"/>
                <w:color w:val="auto"/>
              </w:rPr>
            </w:pPr>
            <w:r>
              <w:rPr>
                <w:rFonts w:ascii="Courier New" w:cs="Courier New" w:eastAsia="Courier New" w:hAnsi="Courier New"/>
                <w:sz w:val="18"/>
                <w:szCs w:val="18"/>
                <w:color w:val="auto"/>
              </w:rPr>
              <w:t>Premier National Title Company</w:t>
            </w:r>
          </w:p>
        </w:tc>
        <w:tc>
          <w:tcPr>
            <w:tcW w:w="2340" w:type="dxa"/>
            <w:vAlign w:val="bottom"/>
          </w:tcPr>
          <w:p>
            <w:pPr>
              <w:jc w:val="center"/>
              <w:ind w:left="79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5980" w:type="dxa"/>
            <w:vAlign w:val="bottom"/>
          </w:tcPr>
          <w:p>
            <w:pPr>
              <w:ind w:left="220"/>
              <w:spacing w:after="0"/>
              <w:rPr>
                <w:sz w:val="20"/>
                <w:szCs w:val="20"/>
                <w:color w:val="auto"/>
              </w:rPr>
            </w:pPr>
            <w:r>
              <w:rPr>
                <w:rFonts w:ascii="Courier New" w:cs="Courier New" w:eastAsia="Courier New" w:hAnsi="Courier New"/>
                <w:sz w:val="18"/>
                <w:szCs w:val="18"/>
                <w:color w:val="auto"/>
              </w:rPr>
              <w:t>Prospect Office Partners, LP</w:t>
            </w:r>
          </w:p>
        </w:tc>
        <w:tc>
          <w:tcPr>
            <w:tcW w:w="2340" w:type="dxa"/>
            <w:vAlign w:val="bottom"/>
          </w:tcPr>
          <w:p>
            <w:pPr>
              <w:jc w:val="center"/>
              <w:ind w:left="79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5980" w:type="dxa"/>
            <w:vAlign w:val="bottom"/>
          </w:tcPr>
          <w:p>
            <w:pPr>
              <w:ind w:left="320"/>
              <w:spacing w:after="0"/>
              <w:rPr>
                <w:sz w:val="20"/>
                <w:szCs w:val="20"/>
                <w:color w:val="auto"/>
              </w:rPr>
            </w:pPr>
            <w:r>
              <w:rPr>
                <w:rFonts w:ascii="Courier New" w:cs="Courier New" w:eastAsia="Courier New" w:hAnsi="Courier New"/>
                <w:sz w:val="18"/>
                <w:szCs w:val="18"/>
                <w:color w:val="auto"/>
              </w:rPr>
              <w:t>Real Estate Index, Inc.</w:t>
            </w:r>
          </w:p>
        </w:tc>
        <w:tc>
          <w:tcPr>
            <w:tcW w:w="2340" w:type="dxa"/>
            <w:vAlign w:val="bottom"/>
          </w:tcPr>
          <w:p>
            <w:pPr>
              <w:jc w:val="center"/>
              <w:ind w:left="772"/>
              <w:spacing w:after="0"/>
              <w:rPr>
                <w:sz w:val="20"/>
                <w:szCs w:val="20"/>
                <w:color w:val="auto"/>
              </w:rPr>
            </w:pPr>
            <w:r>
              <w:rPr>
                <w:rFonts w:ascii="Courier New" w:cs="Courier New" w:eastAsia="Courier New" w:hAnsi="Courier New"/>
                <w:sz w:val="18"/>
                <w:szCs w:val="18"/>
                <w:color w:val="auto"/>
                <w:w w:val="97"/>
              </w:rPr>
              <w:t>Illinois</w:t>
            </w:r>
          </w:p>
        </w:tc>
      </w:tr>
      <w:tr>
        <w:trPr>
          <w:trHeight w:val="405"/>
        </w:trPr>
        <w:tc>
          <w:tcPr>
            <w:tcW w:w="5980" w:type="dxa"/>
            <w:vAlign w:val="bottom"/>
          </w:tcPr>
          <w:p>
            <w:pPr>
              <w:ind w:left="100"/>
              <w:spacing w:after="0"/>
              <w:rPr>
                <w:sz w:val="20"/>
                <w:szCs w:val="20"/>
                <w:color w:val="auto"/>
              </w:rPr>
            </w:pPr>
            <w:r>
              <w:rPr>
                <w:rFonts w:ascii="Courier New" w:cs="Courier New" w:eastAsia="Courier New" w:hAnsi="Courier New"/>
                <w:sz w:val="18"/>
                <w:szCs w:val="18"/>
                <w:color w:val="auto"/>
              </w:rPr>
              <w:t>Real Estate Settlement Solutions, L.L.C.</w:t>
            </w:r>
          </w:p>
        </w:tc>
        <w:tc>
          <w:tcPr>
            <w:tcW w:w="2340" w:type="dxa"/>
            <w:vAlign w:val="bottom"/>
          </w:tcPr>
          <w:p>
            <w:pPr>
              <w:jc w:val="center"/>
              <w:ind w:left="792"/>
              <w:spacing w:after="0"/>
              <w:rPr>
                <w:sz w:val="20"/>
                <w:szCs w:val="20"/>
                <w:color w:val="auto"/>
              </w:rPr>
            </w:pPr>
            <w:r>
              <w:rPr>
                <w:rFonts w:ascii="Courier New" w:cs="Courier New" w:eastAsia="Courier New" w:hAnsi="Courier New"/>
                <w:sz w:val="18"/>
                <w:szCs w:val="18"/>
                <w:color w:val="auto"/>
                <w:w w:val="97"/>
              </w:rPr>
              <w:t>Pennsylvania</w:t>
            </w:r>
          </w:p>
        </w:tc>
      </w:tr>
      <w:tr>
        <w:trPr>
          <w:trHeight w:val="405"/>
        </w:trPr>
        <w:tc>
          <w:tcPr>
            <w:tcW w:w="5980" w:type="dxa"/>
            <w:vAlign w:val="bottom"/>
          </w:tcPr>
          <w:p>
            <w:pPr>
              <w:ind w:left="100"/>
              <w:spacing w:after="0"/>
              <w:rPr>
                <w:sz w:val="20"/>
                <w:szCs w:val="20"/>
                <w:color w:val="auto"/>
              </w:rPr>
            </w:pPr>
            <w:r>
              <w:rPr>
                <w:rFonts w:ascii="Courier New" w:cs="Courier New" w:eastAsia="Courier New" w:hAnsi="Courier New"/>
                <w:sz w:val="18"/>
                <w:szCs w:val="18"/>
                <w:color w:val="auto"/>
              </w:rPr>
              <w:t>Real Estate Settlement Solutions, L.P.</w:t>
            </w:r>
          </w:p>
        </w:tc>
        <w:tc>
          <w:tcPr>
            <w:tcW w:w="2340" w:type="dxa"/>
            <w:vAlign w:val="bottom"/>
          </w:tcPr>
          <w:p>
            <w:pPr>
              <w:jc w:val="center"/>
              <w:ind w:left="792"/>
              <w:spacing w:after="0"/>
              <w:rPr>
                <w:sz w:val="20"/>
                <w:szCs w:val="20"/>
                <w:color w:val="auto"/>
              </w:rPr>
            </w:pPr>
            <w:r>
              <w:rPr>
                <w:rFonts w:ascii="Courier New" w:cs="Courier New" w:eastAsia="Courier New" w:hAnsi="Courier New"/>
                <w:sz w:val="18"/>
                <w:szCs w:val="18"/>
                <w:color w:val="auto"/>
                <w:w w:val="97"/>
              </w:rPr>
              <w:t>Pennsylvania</w:t>
            </w:r>
          </w:p>
        </w:tc>
      </w:tr>
      <w:tr>
        <w:trPr>
          <w:trHeight w:val="405"/>
        </w:trPr>
        <w:tc>
          <w:tcPr>
            <w:tcW w:w="5980" w:type="dxa"/>
            <w:vAlign w:val="bottom"/>
          </w:tcPr>
          <w:p>
            <w:pPr>
              <w:ind w:left="380"/>
              <w:spacing w:after="0"/>
              <w:rPr>
                <w:sz w:val="20"/>
                <w:szCs w:val="20"/>
                <w:color w:val="auto"/>
              </w:rPr>
            </w:pPr>
            <w:r>
              <w:rPr>
                <w:rFonts w:ascii="Courier New" w:cs="Courier New" w:eastAsia="Courier New" w:hAnsi="Courier New"/>
                <w:sz w:val="18"/>
                <w:szCs w:val="18"/>
                <w:color w:val="auto"/>
              </w:rPr>
              <w:t>Real Estate Settlement Solutions of Alabama, L.L.C.</w:t>
            </w:r>
          </w:p>
        </w:tc>
        <w:tc>
          <w:tcPr>
            <w:tcW w:w="2340" w:type="dxa"/>
            <w:vAlign w:val="bottom"/>
          </w:tcPr>
          <w:p>
            <w:pPr>
              <w:jc w:val="center"/>
              <w:ind w:left="792"/>
              <w:spacing w:after="0"/>
              <w:rPr>
                <w:sz w:val="20"/>
                <w:szCs w:val="20"/>
                <w:color w:val="auto"/>
              </w:rPr>
            </w:pPr>
            <w:r>
              <w:rPr>
                <w:rFonts w:ascii="Courier New" w:cs="Courier New" w:eastAsia="Courier New" w:hAnsi="Courier New"/>
                <w:sz w:val="18"/>
                <w:szCs w:val="18"/>
                <w:color w:val="auto"/>
                <w:w w:val="97"/>
              </w:rPr>
              <w:t>Alabama</w:t>
            </w:r>
          </w:p>
        </w:tc>
      </w:tr>
      <w:tr>
        <w:trPr>
          <w:trHeight w:val="405"/>
        </w:trPr>
        <w:tc>
          <w:tcPr>
            <w:tcW w:w="5980" w:type="dxa"/>
            <w:vAlign w:val="bottom"/>
          </w:tcPr>
          <w:p>
            <w:pPr>
              <w:ind w:left="520"/>
              <w:spacing w:after="0"/>
              <w:rPr>
                <w:sz w:val="20"/>
                <w:szCs w:val="20"/>
                <w:color w:val="auto"/>
              </w:rPr>
            </w:pPr>
            <w:r>
              <w:rPr>
                <w:rFonts w:ascii="Courier New" w:cs="Courier New" w:eastAsia="Courier New" w:hAnsi="Courier New"/>
                <w:sz w:val="18"/>
                <w:szCs w:val="18"/>
                <w:color w:val="auto"/>
              </w:rPr>
              <w:t>Real Living Title Agency, Ltd. (45.1%)</w:t>
            </w:r>
          </w:p>
        </w:tc>
        <w:tc>
          <w:tcPr>
            <w:tcW w:w="2340" w:type="dxa"/>
            <w:vAlign w:val="bottom"/>
          </w:tcPr>
          <w:p>
            <w:pPr>
              <w:jc w:val="center"/>
              <w:ind w:left="792"/>
              <w:spacing w:after="0"/>
              <w:rPr>
                <w:sz w:val="20"/>
                <w:szCs w:val="20"/>
                <w:color w:val="auto"/>
              </w:rPr>
            </w:pPr>
            <w:r>
              <w:rPr>
                <w:rFonts w:ascii="Courier New" w:cs="Courier New" w:eastAsia="Courier New" w:hAnsi="Courier New"/>
                <w:sz w:val="18"/>
                <w:szCs w:val="18"/>
                <w:color w:val="auto"/>
                <w:w w:val="97"/>
              </w:rPr>
              <w:t>Ohio</w:t>
            </w:r>
          </w:p>
        </w:tc>
      </w:tr>
      <w:tr>
        <w:trPr>
          <w:trHeight w:val="405"/>
        </w:trPr>
        <w:tc>
          <w:tcPr>
            <w:tcW w:w="5980" w:type="dxa"/>
            <w:vAlign w:val="bottom"/>
          </w:tcPr>
          <w:p>
            <w:pPr>
              <w:ind w:left="320"/>
              <w:spacing w:after="0"/>
              <w:rPr>
                <w:sz w:val="20"/>
                <w:szCs w:val="20"/>
                <w:color w:val="auto"/>
              </w:rPr>
            </w:pPr>
            <w:r>
              <w:rPr>
                <w:rFonts w:ascii="Courier New" w:cs="Courier New" w:eastAsia="Courier New" w:hAnsi="Courier New"/>
                <w:sz w:val="18"/>
                <w:szCs w:val="18"/>
                <w:color w:val="auto"/>
              </w:rPr>
              <w:t>RealtyCheck.com, LLC</w:t>
            </w:r>
          </w:p>
        </w:tc>
        <w:tc>
          <w:tcPr>
            <w:tcW w:w="2340" w:type="dxa"/>
            <w:vAlign w:val="bottom"/>
          </w:tcPr>
          <w:p>
            <w:pPr>
              <w:jc w:val="center"/>
              <w:ind w:left="772"/>
              <w:spacing w:after="0"/>
              <w:rPr>
                <w:sz w:val="20"/>
                <w:szCs w:val="20"/>
                <w:color w:val="auto"/>
              </w:rPr>
            </w:pPr>
            <w:r>
              <w:rPr>
                <w:rFonts w:ascii="Courier New" w:cs="Courier New" w:eastAsia="Courier New" w:hAnsi="Courier New"/>
                <w:sz w:val="18"/>
                <w:szCs w:val="18"/>
                <w:color w:val="auto"/>
                <w:w w:val="97"/>
              </w:rPr>
              <w:t>Michigan</w:t>
            </w:r>
          </w:p>
        </w:tc>
      </w:tr>
      <w:tr>
        <w:trPr>
          <w:trHeight w:val="405"/>
        </w:trPr>
        <w:tc>
          <w:tcPr>
            <w:tcW w:w="5980" w:type="dxa"/>
            <w:vAlign w:val="bottom"/>
          </w:tcPr>
          <w:p>
            <w:pPr>
              <w:ind w:left="520"/>
              <w:spacing w:after="0"/>
              <w:rPr>
                <w:sz w:val="20"/>
                <w:szCs w:val="20"/>
                <w:color w:val="auto"/>
              </w:rPr>
            </w:pPr>
            <w:r>
              <w:rPr>
                <w:rFonts w:ascii="Courier New" w:cs="Courier New" w:eastAsia="Courier New" w:hAnsi="Courier New"/>
                <w:sz w:val="18"/>
                <w:szCs w:val="18"/>
                <w:color w:val="auto"/>
              </w:rPr>
              <w:t>Recodat Co. (25%)</w:t>
            </w:r>
          </w:p>
        </w:tc>
        <w:tc>
          <w:tcPr>
            <w:tcW w:w="2340" w:type="dxa"/>
            <w:vAlign w:val="bottom"/>
          </w:tcPr>
          <w:p>
            <w:pPr>
              <w:jc w:val="center"/>
              <w:ind w:left="792"/>
              <w:spacing w:after="0"/>
              <w:rPr>
                <w:sz w:val="20"/>
                <w:szCs w:val="20"/>
                <w:color w:val="auto"/>
              </w:rPr>
            </w:pPr>
            <w:r>
              <w:rPr>
                <w:rFonts w:ascii="Courier New" w:cs="Courier New" w:eastAsia="Courier New" w:hAnsi="Courier New"/>
                <w:sz w:val="18"/>
                <w:szCs w:val="18"/>
                <w:color w:val="auto"/>
                <w:w w:val="97"/>
              </w:rPr>
              <w:t>Ohio</w:t>
            </w:r>
          </w:p>
        </w:tc>
      </w:tr>
      <w:tr>
        <w:trPr>
          <w:trHeight w:val="405"/>
        </w:trPr>
        <w:tc>
          <w:tcPr>
            <w:tcW w:w="5980" w:type="dxa"/>
            <w:vAlign w:val="bottom"/>
          </w:tcPr>
          <w:p>
            <w:pPr>
              <w:spacing w:after="0"/>
              <w:rPr>
                <w:sz w:val="20"/>
                <w:szCs w:val="20"/>
                <w:color w:val="auto"/>
              </w:rPr>
            </w:pPr>
            <w:r>
              <w:rPr>
                <w:rFonts w:ascii="Courier New" w:cs="Courier New" w:eastAsia="Courier New" w:hAnsi="Courier New"/>
                <w:sz w:val="18"/>
                <w:szCs w:val="18"/>
                <w:color w:val="auto"/>
              </w:rPr>
              <w:t>Referral Connection, LLC</w:t>
            </w:r>
          </w:p>
        </w:tc>
        <w:tc>
          <w:tcPr>
            <w:tcW w:w="2340" w:type="dxa"/>
            <w:vAlign w:val="bottom"/>
          </w:tcPr>
          <w:p>
            <w:pPr>
              <w:jc w:val="center"/>
              <w:ind w:left="772"/>
              <w:spacing w:after="0"/>
              <w:rPr>
                <w:sz w:val="20"/>
                <w:szCs w:val="20"/>
                <w:color w:val="auto"/>
              </w:rPr>
            </w:pPr>
            <w:r>
              <w:rPr>
                <w:rFonts w:ascii="Courier New" w:cs="Courier New" w:eastAsia="Courier New" w:hAnsi="Courier New"/>
                <w:sz w:val="18"/>
                <w:szCs w:val="18"/>
                <w:color w:val="auto"/>
                <w:w w:val="97"/>
              </w:rPr>
              <w:t>North Carolina</w:t>
            </w:r>
          </w:p>
        </w:tc>
      </w:tr>
      <w:tr>
        <w:trPr>
          <w:trHeight w:val="405"/>
        </w:trPr>
        <w:tc>
          <w:tcPr>
            <w:tcW w:w="5980" w:type="dxa"/>
            <w:vAlign w:val="bottom"/>
          </w:tcPr>
          <w:p>
            <w:pPr>
              <w:ind w:left="380"/>
              <w:spacing w:after="0"/>
              <w:rPr>
                <w:sz w:val="20"/>
                <w:szCs w:val="20"/>
                <w:color w:val="auto"/>
              </w:rPr>
            </w:pPr>
            <w:r>
              <w:rPr>
                <w:rFonts w:ascii="Courier New" w:cs="Courier New" w:eastAsia="Courier New" w:hAnsi="Courier New"/>
                <w:sz w:val="18"/>
                <w:szCs w:val="18"/>
                <w:color w:val="auto"/>
              </w:rPr>
              <w:t>Region Title, LLC (35%)</w:t>
            </w:r>
          </w:p>
        </w:tc>
        <w:tc>
          <w:tcPr>
            <w:tcW w:w="2340" w:type="dxa"/>
            <w:vAlign w:val="bottom"/>
          </w:tcPr>
          <w:p>
            <w:pPr>
              <w:jc w:val="center"/>
              <w:ind w:left="792"/>
              <w:spacing w:after="0"/>
              <w:rPr>
                <w:sz w:val="20"/>
                <w:szCs w:val="20"/>
                <w:color w:val="auto"/>
              </w:rPr>
            </w:pPr>
            <w:r>
              <w:rPr>
                <w:rFonts w:ascii="Courier New" w:cs="Courier New" w:eastAsia="Courier New" w:hAnsi="Courier New"/>
                <w:sz w:val="18"/>
                <w:szCs w:val="18"/>
                <w:color w:val="auto"/>
                <w:w w:val="97"/>
              </w:rPr>
              <w:t>Indiana</w:t>
            </w:r>
          </w:p>
        </w:tc>
      </w:tr>
      <w:tr>
        <w:trPr>
          <w:trHeight w:val="405"/>
        </w:trPr>
        <w:tc>
          <w:tcPr>
            <w:tcW w:w="5980" w:type="dxa"/>
            <w:vAlign w:val="bottom"/>
          </w:tcPr>
          <w:p>
            <w:pPr>
              <w:ind w:left="220"/>
              <w:spacing w:after="0"/>
              <w:rPr>
                <w:sz w:val="20"/>
                <w:szCs w:val="20"/>
                <w:color w:val="auto"/>
              </w:rPr>
            </w:pPr>
            <w:r>
              <w:rPr>
                <w:rFonts w:ascii="Courier New" w:cs="Courier New" w:eastAsia="Courier New" w:hAnsi="Courier New"/>
                <w:sz w:val="18"/>
                <w:szCs w:val="18"/>
                <w:color w:val="auto"/>
              </w:rPr>
              <w:t>Rio Grande Title Company, Inc. (20%)</w:t>
            </w:r>
          </w:p>
        </w:tc>
        <w:tc>
          <w:tcPr>
            <w:tcW w:w="2340" w:type="dxa"/>
            <w:vAlign w:val="bottom"/>
          </w:tcPr>
          <w:p>
            <w:pPr>
              <w:jc w:val="center"/>
              <w:ind w:left="792"/>
              <w:spacing w:after="0"/>
              <w:rPr>
                <w:sz w:val="20"/>
                <w:szCs w:val="20"/>
                <w:color w:val="auto"/>
              </w:rPr>
            </w:pPr>
            <w:r>
              <w:rPr>
                <w:rFonts w:ascii="Courier New" w:cs="Courier New" w:eastAsia="Courier New" w:hAnsi="Courier New"/>
                <w:sz w:val="18"/>
                <w:szCs w:val="18"/>
                <w:color w:val="auto"/>
                <w:w w:val="98"/>
              </w:rPr>
              <w:t>New Mexico</w:t>
            </w:r>
          </w:p>
        </w:tc>
      </w:tr>
      <w:tr>
        <w:trPr>
          <w:trHeight w:val="405"/>
        </w:trPr>
        <w:tc>
          <w:tcPr>
            <w:tcW w:w="5980" w:type="dxa"/>
            <w:vAlign w:val="bottom"/>
          </w:tcPr>
          <w:p>
            <w:pPr>
              <w:ind w:left="260"/>
              <w:spacing w:after="0"/>
              <w:rPr>
                <w:sz w:val="20"/>
                <w:szCs w:val="20"/>
                <w:color w:val="auto"/>
              </w:rPr>
            </w:pPr>
            <w:r>
              <w:rPr>
                <w:rFonts w:ascii="Courier New" w:cs="Courier New" w:eastAsia="Courier New" w:hAnsi="Courier New"/>
                <w:sz w:val="18"/>
                <w:szCs w:val="18"/>
                <w:color w:val="auto"/>
              </w:rPr>
              <w:t>River Valley Abstract &amp; Title, Inc.</w:t>
            </w:r>
          </w:p>
        </w:tc>
        <w:tc>
          <w:tcPr>
            <w:tcW w:w="2340" w:type="dxa"/>
            <w:vAlign w:val="bottom"/>
          </w:tcPr>
          <w:p>
            <w:pPr>
              <w:jc w:val="center"/>
              <w:ind w:left="792"/>
              <w:spacing w:after="0"/>
              <w:rPr>
                <w:sz w:val="20"/>
                <w:szCs w:val="20"/>
                <w:color w:val="auto"/>
              </w:rPr>
            </w:pPr>
            <w:r>
              <w:rPr>
                <w:rFonts w:ascii="Courier New" w:cs="Courier New" w:eastAsia="Courier New" w:hAnsi="Courier New"/>
                <w:sz w:val="18"/>
                <w:szCs w:val="18"/>
                <w:color w:val="auto"/>
                <w:w w:val="96"/>
              </w:rPr>
              <w:t>Wisconsin</w:t>
            </w:r>
          </w:p>
        </w:tc>
      </w:tr>
      <w:tr>
        <w:trPr>
          <w:trHeight w:val="405"/>
        </w:trPr>
        <w:tc>
          <w:tcPr>
            <w:tcW w:w="5980" w:type="dxa"/>
            <w:vAlign w:val="bottom"/>
          </w:tcPr>
          <w:p>
            <w:pPr>
              <w:ind w:left="220"/>
              <w:spacing w:after="0"/>
              <w:rPr>
                <w:sz w:val="20"/>
                <w:szCs w:val="20"/>
                <w:color w:val="auto"/>
              </w:rPr>
            </w:pPr>
            <w:r>
              <w:rPr>
                <w:rFonts w:ascii="Courier New" w:cs="Courier New" w:eastAsia="Courier New" w:hAnsi="Courier New"/>
                <w:sz w:val="18"/>
                <w:szCs w:val="18"/>
                <w:color w:val="auto"/>
              </w:rPr>
              <w:t>Rocky Mountain Printing Services, Inc.</w:t>
            </w:r>
          </w:p>
        </w:tc>
        <w:tc>
          <w:tcPr>
            <w:tcW w:w="2340" w:type="dxa"/>
            <w:vAlign w:val="bottom"/>
          </w:tcPr>
          <w:p>
            <w:pPr>
              <w:jc w:val="center"/>
              <w:ind w:left="792"/>
              <w:spacing w:after="0"/>
              <w:rPr>
                <w:sz w:val="20"/>
                <w:szCs w:val="20"/>
                <w:color w:val="auto"/>
              </w:rPr>
            </w:pPr>
            <w:r>
              <w:rPr>
                <w:rFonts w:ascii="Courier New" w:cs="Courier New" w:eastAsia="Courier New" w:hAnsi="Courier New"/>
                <w:sz w:val="18"/>
                <w:szCs w:val="18"/>
                <w:color w:val="auto"/>
                <w:w w:val="98"/>
              </w:rPr>
              <w:t>California</w:t>
            </w:r>
          </w:p>
        </w:tc>
      </w:tr>
      <w:tr>
        <w:trPr>
          <w:trHeight w:val="810"/>
        </w:trPr>
        <w:tc>
          <w:tcPr>
            <w:tcW w:w="5980" w:type="dxa"/>
            <w:vAlign w:val="bottom"/>
          </w:tcPr>
          <w:p>
            <w:pPr>
              <w:spacing w:after="0"/>
              <w:rPr>
                <w:sz w:val="24"/>
                <w:szCs w:val="24"/>
                <w:color w:val="auto"/>
              </w:rPr>
            </w:pPr>
          </w:p>
        </w:tc>
        <w:tc>
          <w:tcPr>
            <w:tcW w:w="23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8</w:t>
            </w:r>
          </w:p>
        </w:tc>
      </w:tr>
    </w:tbl>
    <w:p>
      <w:pPr>
        <w:sectPr>
          <w:pgSz w:w="11900" w:h="16838" w:orient="portrait"/>
          <w:cols w:equalWidth="0" w:num="1">
            <w:col w:w="10059"/>
          </w:cols>
          <w:pgMar w:left="400" w:top="1122" w:right="1440" w:bottom="1440" w:gutter="0" w:footer="0" w:header="0"/>
        </w:sectPr>
      </w:pPr>
    </w:p>
    <w:bookmarkStart w:id="251" w:name="page252"/>
    <w:bookmarkEnd w:id="2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ind w:left="280"/>
              <w:spacing w:after="0"/>
              <w:rPr>
                <w:sz w:val="20"/>
                <w:szCs w:val="20"/>
                <w:color w:val="auto"/>
              </w:rPr>
            </w:pPr>
            <w:r>
              <w:rPr>
                <w:rFonts w:ascii="Courier New" w:cs="Courier New" w:eastAsia="Courier New" w:hAnsi="Courier New"/>
                <w:sz w:val="18"/>
                <w:szCs w:val="18"/>
                <w:color w:val="auto"/>
              </w:rPr>
              <w:t>Rocky Mountain Support Services, Inc.</w:t>
            </w:r>
          </w:p>
        </w:tc>
        <w:tc>
          <w:tcPr>
            <w:tcW w:w="2740" w:type="dxa"/>
            <w:vAlign w:val="bottom"/>
          </w:tcPr>
          <w:p>
            <w:pPr>
              <w:jc w:val="center"/>
              <w:ind w:left="1392"/>
              <w:spacing w:after="0"/>
              <w:rPr>
                <w:sz w:val="20"/>
                <w:szCs w:val="20"/>
                <w:color w:val="auto"/>
              </w:rPr>
            </w:pPr>
            <w:r>
              <w:rPr>
                <w:rFonts w:ascii="Courier New" w:cs="Courier New" w:eastAsia="Courier New" w:hAnsi="Courier New"/>
                <w:sz w:val="18"/>
                <w:szCs w:val="18"/>
                <w:color w:val="auto"/>
                <w:w w:val="97"/>
              </w:rPr>
              <w:t>Arizona</w:t>
            </w:r>
          </w:p>
        </w:tc>
      </w:tr>
      <w:tr>
        <w:trPr>
          <w:trHeight w:val="405"/>
        </w:trPr>
        <w:tc>
          <w:tcPr>
            <w:tcW w:w="5380" w:type="dxa"/>
            <w:vAlign w:val="bottom"/>
          </w:tcPr>
          <w:p>
            <w:pPr>
              <w:jc w:val="center"/>
              <w:ind w:right="1892"/>
              <w:spacing w:after="0"/>
              <w:rPr>
                <w:sz w:val="20"/>
                <w:szCs w:val="20"/>
                <w:color w:val="auto"/>
              </w:rPr>
            </w:pPr>
            <w:r>
              <w:rPr>
                <w:rFonts w:ascii="Courier New" w:cs="Courier New" w:eastAsia="Courier New" w:hAnsi="Courier New"/>
                <w:sz w:val="18"/>
                <w:szCs w:val="18"/>
                <w:color w:val="auto"/>
                <w:w w:val="97"/>
              </w:rPr>
              <w:t>Saddleback Title Company (51%)</w:t>
            </w:r>
          </w:p>
        </w:tc>
        <w:tc>
          <w:tcPr>
            <w:tcW w:w="2740" w:type="dxa"/>
            <w:vAlign w:val="bottom"/>
          </w:tcPr>
          <w:p>
            <w:pPr>
              <w:jc w:val="center"/>
              <w:ind w:left="139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5380" w:type="dxa"/>
            <w:vAlign w:val="bottom"/>
          </w:tcPr>
          <w:p>
            <w:pPr>
              <w:ind w:left="420"/>
              <w:spacing w:after="0"/>
              <w:rPr>
                <w:sz w:val="20"/>
                <w:szCs w:val="20"/>
                <w:color w:val="auto"/>
              </w:rPr>
            </w:pPr>
            <w:r>
              <w:rPr>
                <w:rFonts w:ascii="Courier New" w:cs="Courier New" w:eastAsia="Courier New" w:hAnsi="Courier New"/>
                <w:sz w:val="18"/>
                <w:szCs w:val="18"/>
                <w:color w:val="auto"/>
              </w:rPr>
              <w:t>S.D.C. Title Agency, LLC (50.1%)</w:t>
            </w:r>
          </w:p>
        </w:tc>
        <w:tc>
          <w:tcPr>
            <w:tcW w:w="2740" w:type="dxa"/>
            <w:vAlign w:val="bottom"/>
          </w:tcPr>
          <w:p>
            <w:pPr>
              <w:jc w:val="center"/>
              <w:ind w:left="1392"/>
              <w:spacing w:after="0"/>
              <w:rPr>
                <w:sz w:val="20"/>
                <w:szCs w:val="20"/>
                <w:color w:val="auto"/>
              </w:rPr>
            </w:pPr>
            <w:r>
              <w:rPr>
                <w:rFonts w:ascii="Courier New" w:cs="Courier New" w:eastAsia="Courier New" w:hAnsi="Courier New"/>
                <w:sz w:val="18"/>
                <w:szCs w:val="18"/>
                <w:color w:val="auto"/>
                <w:w w:val="97"/>
              </w:rPr>
              <w:t>Ohio</w:t>
            </w:r>
          </w:p>
        </w:tc>
      </w:tr>
      <w:tr>
        <w:trPr>
          <w:trHeight w:val="405"/>
        </w:trPr>
        <w:tc>
          <w:tcPr>
            <w:tcW w:w="5380" w:type="dxa"/>
            <w:vAlign w:val="bottom"/>
          </w:tcPr>
          <w:p>
            <w:pPr>
              <w:jc w:val="center"/>
              <w:ind w:right="1892"/>
              <w:spacing w:after="0"/>
              <w:rPr>
                <w:sz w:val="20"/>
                <w:szCs w:val="20"/>
                <w:color w:val="auto"/>
              </w:rPr>
            </w:pPr>
            <w:r>
              <w:rPr>
                <w:rFonts w:ascii="Courier New" w:cs="Courier New" w:eastAsia="Courier New" w:hAnsi="Courier New"/>
                <w:sz w:val="18"/>
                <w:szCs w:val="18"/>
                <w:color w:val="auto"/>
                <w:w w:val="97"/>
              </w:rPr>
              <w:t>Security Title Agency, Inc.</w:t>
            </w:r>
          </w:p>
        </w:tc>
        <w:tc>
          <w:tcPr>
            <w:tcW w:w="2740" w:type="dxa"/>
            <w:vAlign w:val="bottom"/>
          </w:tcPr>
          <w:p>
            <w:pPr>
              <w:jc w:val="center"/>
              <w:ind w:left="1392"/>
              <w:spacing w:after="0"/>
              <w:rPr>
                <w:sz w:val="20"/>
                <w:szCs w:val="20"/>
                <w:color w:val="auto"/>
              </w:rPr>
            </w:pPr>
            <w:r>
              <w:rPr>
                <w:rFonts w:ascii="Courier New" w:cs="Courier New" w:eastAsia="Courier New" w:hAnsi="Courier New"/>
                <w:sz w:val="18"/>
                <w:szCs w:val="18"/>
                <w:color w:val="auto"/>
                <w:w w:val="97"/>
              </w:rPr>
              <w:t>Arizona</w:t>
            </w:r>
          </w:p>
        </w:tc>
      </w:tr>
      <w:tr>
        <w:trPr>
          <w:trHeight w:val="405"/>
        </w:trPr>
        <w:tc>
          <w:tcPr>
            <w:tcW w:w="5380" w:type="dxa"/>
            <w:vAlign w:val="bottom"/>
          </w:tcPr>
          <w:p>
            <w:pPr>
              <w:ind w:left="160"/>
              <w:spacing w:after="0"/>
              <w:rPr>
                <w:sz w:val="20"/>
                <w:szCs w:val="20"/>
                <w:color w:val="auto"/>
              </w:rPr>
            </w:pPr>
            <w:r>
              <w:rPr>
                <w:rFonts w:ascii="Courier New" w:cs="Courier New" w:eastAsia="Courier New" w:hAnsi="Courier New"/>
                <w:sz w:val="18"/>
                <w:szCs w:val="18"/>
                <w:color w:val="auto"/>
              </w:rPr>
              <w:t>Security Title Company, LLC</w:t>
            </w:r>
          </w:p>
        </w:tc>
        <w:tc>
          <w:tcPr>
            <w:tcW w:w="2740" w:type="dxa"/>
            <w:vAlign w:val="bottom"/>
          </w:tcPr>
          <w:p>
            <w:pPr>
              <w:jc w:val="center"/>
              <w:ind w:left="1392"/>
              <w:spacing w:after="0"/>
              <w:rPr>
                <w:sz w:val="20"/>
                <w:szCs w:val="20"/>
                <w:color w:val="auto"/>
              </w:rPr>
            </w:pPr>
            <w:r>
              <w:rPr>
                <w:rFonts w:ascii="Courier New" w:cs="Courier New" w:eastAsia="Courier New" w:hAnsi="Courier New"/>
                <w:sz w:val="18"/>
                <w:szCs w:val="18"/>
                <w:color w:val="auto"/>
                <w:w w:val="96"/>
              </w:rPr>
              <w:t>Wisconsin</w:t>
            </w:r>
          </w:p>
        </w:tc>
      </w:tr>
      <w:tr>
        <w:trPr>
          <w:trHeight w:val="405"/>
        </w:trPr>
        <w:tc>
          <w:tcPr>
            <w:tcW w:w="5380" w:type="dxa"/>
            <w:vAlign w:val="bottom"/>
          </w:tcPr>
          <w:p>
            <w:pPr>
              <w:ind w:left="120"/>
              <w:spacing w:after="0"/>
              <w:rPr>
                <w:sz w:val="20"/>
                <w:szCs w:val="20"/>
                <w:color w:val="auto"/>
              </w:rPr>
            </w:pPr>
            <w:r>
              <w:rPr>
                <w:rFonts w:ascii="Courier New" w:cs="Courier New" w:eastAsia="Courier New" w:hAnsi="Courier New"/>
                <w:sz w:val="18"/>
                <w:szCs w:val="18"/>
                <w:color w:val="auto"/>
              </w:rPr>
              <w:t>Security Union Title Insurance Company</w:t>
            </w:r>
          </w:p>
        </w:tc>
        <w:tc>
          <w:tcPr>
            <w:tcW w:w="2740" w:type="dxa"/>
            <w:vAlign w:val="bottom"/>
          </w:tcPr>
          <w:p>
            <w:pPr>
              <w:jc w:val="center"/>
              <w:ind w:left="139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5380" w:type="dxa"/>
            <w:vAlign w:val="bottom"/>
          </w:tcPr>
          <w:p>
            <w:pPr>
              <w:ind w:left="280"/>
              <w:spacing w:after="0"/>
              <w:rPr>
                <w:sz w:val="20"/>
                <w:szCs w:val="20"/>
                <w:color w:val="auto"/>
              </w:rPr>
            </w:pPr>
            <w:r>
              <w:rPr>
                <w:rFonts w:ascii="Courier New" w:cs="Courier New" w:eastAsia="Courier New" w:hAnsi="Courier New"/>
                <w:sz w:val="18"/>
                <w:szCs w:val="18"/>
                <w:color w:val="auto"/>
              </w:rPr>
              <w:t>Sentry Service Systems, Inc.</w:t>
            </w:r>
          </w:p>
        </w:tc>
        <w:tc>
          <w:tcPr>
            <w:tcW w:w="2740" w:type="dxa"/>
            <w:vAlign w:val="bottom"/>
          </w:tcPr>
          <w:p>
            <w:pPr>
              <w:jc w:val="center"/>
              <w:ind w:left="1392"/>
              <w:spacing w:after="0"/>
              <w:rPr>
                <w:sz w:val="20"/>
                <w:szCs w:val="20"/>
                <w:color w:val="auto"/>
              </w:rPr>
            </w:pPr>
            <w:r>
              <w:rPr>
                <w:rFonts w:ascii="Courier New" w:cs="Courier New" w:eastAsia="Courier New" w:hAnsi="Courier New"/>
                <w:sz w:val="18"/>
                <w:szCs w:val="18"/>
                <w:color w:val="auto"/>
                <w:w w:val="97"/>
              </w:rPr>
              <w:t>Arizona</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Service Link, L.P.</w:t>
            </w:r>
          </w:p>
        </w:tc>
        <w:tc>
          <w:tcPr>
            <w:tcW w:w="2740" w:type="dxa"/>
            <w:vAlign w:val="bottom"/>
          </w:tcPr>
          <w:p>
            <w:pPr>
              <w:jc w:val="center"/>
              <w:ind w:left="1392"/>
              <w:spacing w:after="0"/>
              <w:rPr>
                <w:sz w:val="20"/>
                <w:szCs w:val="20"/>
                <w:color w:val="auto"/>
              </w:rPr>
            </w:pPr>
            <w:r>
              <w:rPr>
                <w:rFonts w:ascii="Courier New" w:cs="Courier New" w:eastAsia="Courier New" w:hAnsi="Courier New"/>
                <w:sz w:val="18"/>
                <w:szCs w:val="18"/>
                <w:color w:val="auto"/>
                <w:w w:val="97"/>
              </w:rPr>
              <w:t>Pennsylvania</w:t>
            </w:r>
          </w:p>
        </w:tc>
      </w:tr>
      <w:tr>
        <w:trPr>
          <w:trHeight w:val="405"/>
        </w:trPr>
        <w:tc>
          <w:tcPr>
            <w:tcW w:w="5380" w:type="dxa"/>
            <w:vAlign w:val="bottom"/>
          </w:tcPr>
          <w:p>
            <w:pPr>
              <w:ind w:left="280"/>
              <w:spacing w:after="0"/>
              <w:rPr>
                <w:sz w:val="20"/>
                <w:szCs w:val="20"/>
                <w:color w:val="auto"/>
              </w:rPr>
            </w:pPr>
            <w:r>
              <w:rPr>
                <w:rFonts w:ascii="Courier New" w:cs="Courier New" w:eastAsia="Courier New" w:hAnsi="Courier New"/>
                <w:sz w:val="18"/>
                <w:szCs w:val="18"/>
                <w:color w:val="auto"/>
              </w:rPr>
              <w:t>Service Link of Alabama, L.L.C.</w:t>
            </w:r>
          </w:p>
        </w:tc>
        <w:tc>
          <w:tcPr>
            <w:tcW w:w="2740" w:type="dxa"/>
            <w:vAlign w:val="bottom"/>
          </w:tcPr>
          <w:p>
            <w:pPr>
              <w:jc w:val="center"/>
              <w:ind w:left="1392"/>
              <w:spacing w:after="0"/>
              <w:rPr>
                <w:sz w:val="20"/>
                <w:szCs w:val="20"/>
                <w:color w:val="auto"/>
              </w:rPr>
            </w:pPr>
            <w:r>
              <w:rPr>
                <w:rFonts w:ascii="Courier New" w:cs="Courier New" w:eastAsia="Courier New" w:hAnsi="Courier New"/>
                <w:sz w:val="18"/>
                <w:szCs w:val="18"/>
                <w:color w:val="auto"/>
                <w:w w:val="97"/>
              </w:rPr>
              <w:t>Alabama</w:t>
            </w:r>
          </w:p>
        </w:tc>
      </w:tr>
      <w:tr>
        <w:trPr>
          <w:trHeight w:val="405"/>
        </w:trPr>
        <w:tc>
          <w:tcPr>
            <w:tcW w:w="5380" w:type="dxa"/>
            <w:vAlign w:val="bottom"/>
          </w:tcPr>
          <w:p>
            <w:pPr>
              <w:jc w:val="center"/>
              <w:ind w:right="1912"/>
              <w:spacing w:after="0"/>
              <w:rPr>
                <w:sz w:val="20"/>
                <w:szCs w:val="20"/>
                <w:color w:val="auto"/>
              </w:rPr>
            </w:pPr>
            <w:r>
              <w:rPr>
                <w:rFonts w:ascii="Courier New" w:cs="Courier New" w:eastAsia="Courier New" w:hAnsi="Courier New"/>
                <w:sz w:val="18"/>
                <w:szCs w:val="18"/>
                <w:color w:val="auto"/>
                <w:w w:val="97"/>
              </w:rPr>
              <w:t>Service Link of Nevada, LP</w:t>
            </w:r>
          </w:p>
        </w:tc>
        <w:tc>
          <w:tcPr>
            <w:tcW w:w="2740" w:type="dxa"/>
            <w:vAlign w:val="bottom"/>
          </w:tcPr>
          <w:p>
            <w:pPr>
              <w:jc w:val="center"/>
              <w:ind w:left="1392"/>
              <w:spacing w:after="0"/>
              <w:rPr>
                <w:sz w:val="20"/>
                <w:szCs w:val="20"/>
                <w:color w:val="auto"/>
              </w:rPr>
            </w:pPr>
            <w:r>
              <w:rPr>
                <w:rFonts w:ascii="Courier New" w:cs="Courier New" w:eastAsia="Courier New" w:hAnsi="Courier New"/>
                <w:sz w:val="18"/>
                <w:szCs w:val="18"/>
                <w:color w:val="auto"/>
                <w:w w:val="95"/>
              </w:rPr>
              <w:t>Nevada</w:t>
            </w:r>
          </w:p>
        </w:tc>
      </w:tr>
      <w:tr>
        <w:trPr>
          <w:trHeight w:val="405"/>
        </w:trPr>
        <w:tc>
          <w:tcPr>
            <w:tcW w:w="5380" w:type="dxa"/>
            <w:vAlign w:val="bottom"/>
          </w:tcPr>
          <w:p>
            <w:pPr>
              <w:ind w:left="380"/>
              <w:spacing w:after="0"/>
              <w:rPr>
                <w:sz w:val="20"/>
                <w:szCs w:val="20"/>
                <w:color w:val="auto"/>
              </w:rPr>
            </w:pPr>
            <w:r>
              <w:rPr>
                <w:rFonts w:ascii="Courier New" w:cs="Courier New" w:eastAsia="Courier New" w:hAnsi="Courier New"/>
                <w:sz w:val="18"/>
                <w:szCs w:val="18"/>
                <w:color w:val="auto"/>
              </w:rPr>
              <w:t>Service Link of Texas, LLC</w:t>
            </w:r>
          </w:p>
        </w:tc>
        <w:tc>
          <w:tcPr>
            <w:tcW w:w="2740" w:type="dxa"/>
            <w:vAlign w:val="bottom"/>
          </w:tcPr>
          <w:p>
            <w:pPr>
              <w:jc w:val="center"/>
              <w:ind w:left="1372"/>
              <w:spacing w:after="0"/>
              <w:rPr>
                <w:sz w:val="20"/>
                <w:szCs w:val="20"/>
                <w:color w:val="auto"/>
              </w:rPr>
            </w:pPr>
            <w:r>
              <w:rPr>
                <w:rFonts w:ascii="Courier New" w:cs="Courier New" w:eastAsia="Courier New" w:hAnsi="Courier New"/>
                <w:sz w:val="18"/>
                <w:szCs w:val="18"/>
                <w:color w:val="auto"/>
                <w:w w:val="96"/>
              </w:rPr>
              <w:t>Texas</w:t>
            </w:r>
          </w:p>
        </w:tc>
      </w:tr>
      <w:tr>
        <w:trPr>
          <w:trHeight w:val="405"/>
        </w:trPr>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S-K-L-D Title Services, Inc. (12.9%)</w:t>
            </w:r>
          </w:p>
        </w:tc>
        <w:tc>
          <w:tcPr>
            <w:tcW w:w="2740" w:type="dxa"/>
            <w:vAlign w:val="bottom"/>
          </w:tcPr>
          <w:p>
            <w:pPr>
              <w:jc w:val="center"/>
              <w:ind w:left="1372"/>
              <w:spacing w:after="0"/>
              <w:rPr>
                <w:sz w:val="20"/>
                <w:szCs w:val="20"/>
                <w:color w:val="auto"/>
              </w:rPr>
            </w:pPr>
            <w:r>
              <w:rPr>
                <w:rFonts w:ascii="Courier New" w:cs="Courier New" w:eastAsia="Courier New" w:hAnsi="Courier New"/>
                <w:sz w:val="18"/>
                <w:szCs w:val="18"/>
                <w:color w:val="auto"/>
                <w:w w:val="97"/>
              </w:rPr>
              <w:t>Colorado</w:t>
            </w:r>
          </w:p>
        </w:tc>
      </w:tr>
      <w:tr>
        <w:trPr>
          <w:trHeight w:val="405"/>
        </w:trPr>
        <w:tc>
          <w:tcPr>
            <w:tcW w:w="5380" w:type="dxa"/>
            <w:vAlign w:val="bottom"/>
          </w:tcPr>
          <w:p>
            <w:pPr>
              <w:jc w:val="center"/>
              <w:ind w:right="1892"/>
              <w:spacing w:after="0"/>
              <w:rPr>
                <w:sz w:val="20"/>
                <w:szCs w:val="20"/>
                <w:color w:val="auto"/>
              </w:rPr>
            </w:pPr>
            <w:r>
              <w:rPr>
                <w:rFonts w:ascii="Courier New" w:cs="Courier New" w:eastAsia="Courier New" w:hAnsi="Courier New"/>
                <w:sz w:val="18"/>
                <w:szCs w:val="18"/>
                <w:color w:val="auto"/>
                <w:w w:val="97"/>
              </w:rPr>
              <w:t>Southshore Title, LLC (10%)</w:t>
            </w:r>
          </w:p>
        </w:tc>
        <w:tc>
          <w:tcPr>
            <w:tcW w:w="2740" w:type="dxa"/>
            <w:vAlign w:val="bottom"/>
          </w:tcPr>
          <w:p>
            <w:pPr>
              <w:jc w:val="center"/>
              <w:ind w:left="1392"/>
              <w:spacing w:after="0"/>
              <w:rPr>
                <w:sz w:val="20"/>
                <w:szCs w:val="20"/>
                <w:color w:val="auto"/>
              </w:rPr>
            </w:pPr>
            <w:r>
              <w:rPr>
                <w:rFonts w:ascii="Courier New" w:cs="Courier New" w:eastAsia="Courier New" w:hAnsi="Courier New"/>
                <w:sz w:val="18"/>
                <w:szCs w:val="18"/>
                <w:color w:val="auto"/>
                <w:w w:val="97"/>
              </w:rPr>
              <w:t>Indiana</w:t>
            </w:r>
          </w:p>
        </w:tc>
      </w:tr>
      <w:tr>
        <w:trPr>
          <w:trHeight w:val="405"/>
        </w:trPr>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Southwest Michigan Title Agency, LLC (50%)</w:t>
            </w:r>
          </w:p>
        </w:tc>
        <w:tc>
          <w:tcPr>
            <w:tcW w:w="2740" w:type="dxa"/>
            <w:vAlign w:val="bottom"/>
          </w:tcPr>
          <w:p>
            <w:pPr>
              <w:jc w:val="center"/>
              <w:ind w:left="1372"/>
              <w:spacing w:after="0"/>
              <w:rPr>
                <w:sz w:val="20"/>
                <w:szCs w:val="20"/>
                <w:color w:val="auto"/>
              </w:rPr>
            </w:pPr>
            <w:r>
              <w:rPr>
                <w:rFonts w:ascii="Courier New" w:cs="Courier New" w:eastAsia="Courier New" w:hAnsi="Courier New"/>
                <w:sz w:val="18"/>
                <w:szCs w:val="18"/>
                <w:color w:val="auto"/>
                <w:w w:val="97"/>
              </w:rPr>
              <w:t>Michigan</w:t>
            </w:r>
          </w:p>
        </w:tc>
      </w:tr>
      <w:tr>
        <w:trPr>
          <w:trHeight w:val="405"/>
        </w:trPr>
        <w:tc>
          <w:tcPr>
            <w:tcW w:w="5380" w:type="dxa"/>
            <w:vAlign w:val="bottom"/>
          </w:tcPr>
          <w:p>
            <w:pPr>
              <w:ind w:left="120"/>
              <w:spacing w:after="0"/>
              <w:rPr>
                <w:sz w:val="20"/>
                <w:szCs w:val="20"/>
                <w:color w:val="auto"/>
              </w:rPr>
            </w:pPr>
            <w:r>
              <w:rPr>
                <w:rFonts w:ascii="Courier New" w:cs="Courier New" w:eastAsia="Courier New" w:hAnsi="Courier New"/>
                <w:sz w:val="18"/>
                <w:szCs w:val="18"/>
                <w:color w:val="auto"/>
              </w:rPr>
              <w:t>Spring Service Corporation</w:t>
            </w:r>
          </w:p>
        </w:tc>
        <w:tc>
          <w:tcPr>
            <w:tcW w:w="2740" w:type="dxa"/>
            <w:vAlign w:val="bottom"/>
          </w:tcPr>
          <w:p>
            <w:pPr>
              <w:jc w:val="center"/>
              <w:ind w:left="139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5380" w:type="dxa"/>
            <w:vAlign w:val="bottom"/>
          </w:tcPr>
          <w:p>
            <w:pPr>
              <w:ind w:left="380"/>
              <w:spacing w:after="0"/>
              <w:rPr>
                <w:sz w:val="20"/>
                <w:szCs w:val="20"/>
                <w:color w:val="auto"/>
              </w:rPr>
            </w:pPr>
            <w:r>
              <w:rPr>
                <w:rFonts w:ascii="Courier New" w:cs="Courier New" w:eastAsia="Courier New" w:hAnsi="Courier New"/>
                <w:sz w:val="18"/>
                <w:szCs w:val="18"/>
                <w:color w:val="auto"/>
              </w:rPr>
              <w:t>Spring Service Texas, Inc.</w:t>
            </w:r>
          </w:p>
        </w:tc>
        <w:tc>
          <w:tcPr>
            <w:tcW w:w="2740" w:type="dxa"/>
            <w:vAlign w:val="bottom"/>
          </w:tcPr>
          <w:p>
            <w:pPr>
              <w:jc w:val="center"/>
              <w:ind w:left="1372"/>
              <w:spacing w:after="0"/>
              <w:rPr>
                <w:sz w:val="20"/>
                <w:szCs w:val="20"/>
                <w:color w:val="auto"/>
              </w:rPr>
            </w:pPr>
            <w:r>
              <w:rPr>
                <w:rFonts w:ascii="Courier New" w:cs="Courier New" w:eastAsia="Courier New" w:hAnsi="Courier New"/>
                <w:sz w:val="18"/>
                <w:szCs w:val="18"/>
                <w:color w:val="auto"/>
                <w:w w:val="96"/>
              </w:rPr>
              <w:t>Texas</w:t>
            </w:r>
          </w:p>
        </w:tc>
      </w:tr>
      <w:tr>
        <w:trPr>
          <w:trHeight w:val="405"/>
        </w:trPr>
        <w:tc>
          <w:tcPr>
            <w:tcW w:w="5380" w:type="dxa"/>
            <w:vAlign w:val="bottom"/>
          </w:tcPr>
          <w:p>
            <w:pPr>
              <w:ind w:left="420"/>
              <w:spacing w:after="0"/>
              <w:rPr>
                <w:sz w:val="20"/>
                <w:szCs w:val="20"/>
                <w:color w:val="auto"/>
              </w:rPr>
            </w:pPr>
            <w:r>
              <w:rPr>
                <w:rFonts w:ascii="Courier New" w:cs="Courier New" w:eastAsia="Courier New" w:hAnsi="Courier New"/>
                <w:sz w:val="18"/>
                <w:szCs w:val="18"/>
                <w:color w:val="auto"/>
              </w:rPr>
              <w:t>Statewide Settlement Services, LLC (25%)</w:t>
            </w:r>
          </w:p>
        </w:tc>
        <w:tc>
          <w:tcPr>
            <w:tcW w:w="2740" w:type="dxa"/>
            <w:vAlign w:val="bottom"/>
          </w:tcPr>
          <w:p>
            <w:pPr>
              <w:jc w:val="center"/>
              <w:ind w:left="1392"/>
              <w:spacing w:after="0"/>
              <w:rPr>
                <w:sz w:val="20"/>
                <w:szCs w:val="20"/>
                <w:color w:val="auto"/>
              </w:rPr>
            </w:pPr>
            <w:r>
              <w:rPr>
                <w:rFonts w:ascii="Courier New" w:cs="Courier New" w:eastAsia="Courier New" w:hAnsi="Courier New"/>
                <w:sz w:val="18"/>
                <w:szCs w:val="18"/>
                <w:color w:val="auto"/>
                <w:w w:val="97"/>
              </w:rPr>
              <w:t>Ohio</w:t>
            </w:r>
          </w:p>
        </w:tc>
      </w:tr>
      <w:tr>
        <w:trPr>
          <w:trHeight w:val="405"/>
        </w:trPr>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Stetler Title Agency, LLC (50%)</w:t>
            </w:r>
          </w:p>
        </w:tc>
        <w:tc>
          <w:tcPr>
            <w:tcW w:w="2740" w:type="dxa"/>
            <w:vAlign w:val="bottom"/>
          </w:tcPr>
          <w:p>
            <w:pPr>
              <w:jc w:val="center"/>
              <w:ind w:left="1372"/>
              <w:spacing w:after="0"/>
              <w:rPr>
                <w:sz w:val="20"/>
                <w:szCs w:val="20"/>
                <w:color w:val="auto"/>
              </w:rPr>
            </w:pPr>
            <w:r>
              <w:rPr>
                <w:rFonts w:ascii="Courier New" w:cs="Courier New" w:eastAsia="Courier New" w:hAnsi="Courier New"/>
                <w:sz w:val="18"/>
                <w:szCs w:val="18"/>
                <w:color w:val="auto"/>
                <w:w w:val="97"/>
              </w:rPr>
              <w:t>Michigan</w:t>
            </w:r>
          </w:p>
        </w:tc>
      </w:tr>
      <w:tr>
        <w:trPr>
          <w:trHeight w:val="405"/>
        </w:trPr>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Sunrise Research Corp.</w:t>
            </w:r>
          </w:p>
        </w:tc>
        <w:tc>
          <w:tcPr>
            <w:tcW w:w="2740" w:type="dxa"/>
            <w:vAlign w:val="bottom"/>
          </w:tcPr>
          <w:p>
            <w:pPr>
              <w:jc w:val="center"/>
              <w:ind w:left="1372"/>
              <w:spacing w:after="0"/>
              <w:rPr>
                <w:sz w:val="20"/>
                <w:szCs w:val="20"/>
                <w:color w:val="auto"/>
              </w:rPr>
            </w:pPr>
            <w:r>
              <w:rPr>
                <w:rFonts w:ascii="Courier New" w:cs="Courier New" w:eastAsia="Courier New" w:hAnsi="Courier New"/>
                <w:sz w:val="18"/>
                <w:szCs w:val="18"/>
                <w:color w:val="auto"/>
                <w:w w:val="97"/>
              </w:rPr>
              <w:t>New York</w:t>
            </w:r>
          </w:p>
        </w:tc>
      </w:tr>
      <w:tr>
        <w:trPr>
          <w:trHeight w:val="405"/>
        </w:trPr>
        <w:tc>
          <w:tcPr>
            <w:tcW w:w="5380" w:type="dxa"/>
            <w:vAlign w:val="bottom"/>
          </w:tcPr>
          <w:p>
            <w:pPr>
              <w:jc w:val="center"/>
              <w:ind w:right="1912"/>
              <w:spacing w:after="0"/>
              <w:rPr>
                <w:sz w:val="20"/>
                <w:szCs w:val="20"/>
                <w:color w:val="auto"/>
              </w:rPr>
            </w:pPr>
            <w:r>
              <w:rPr>
                <w:rFonts w:ascii="Courier New" w:cs="Courier New" w:eastAsia="Courier New" w:hAnsi="Courier New"/>
                <w:sz w:val="18"/>
                <w:szCs w:val="18"/>
                <w:color w:val="auto"/>
                <w:w w:val="97"/>
              </w:rPr>
              <w:t>Superior Data Services, Inc.</w:t>
            </w:r>
          </w:p>
        </w:tc>
        <w:tc>
          <w:tcPr>
            <w:tcW w:w="2740" w:type="dxa"/>
            <w:vAlign w:val="bottom"/>
          </w:tcPr>
          <w:p>
            <w:pPr>
              <w:jc w:val="center"/>
              <w:ind w:left="1372"/>
              <w:spacing w:after="0"/>
              <w:rPr>
                <w:sz w:val="20"/>
                <w:szCs w:val="20"/>
                <w:color w:val="auto"/>
              </w:rPr>
            </w:pPr>
            <w:r>
              <w:rPr>
                <w:rFonts w:ascii="Courier New" w:cs="Courier New" w:eastAsia="Courier New" w:hAnsi="Courier New"/>
                <w:sz w:val="18"/>
                <w:szCs w:val="18"/>
                <w:color w:val="auto"/>
                <w:w w:val="97"/>
              </w:rPr>
              <w:t>New York</w:t>
            </w:r>
          </w:p>
        </w:tc>
      </w:tr>
      <w:tr>
        <w:trPr>
          <w:trHeight w:val="405"/>
        </w:trPr>
        <w:tc>
          <w:tcPr>
            <w:tcW w:w="5380" w:type="dxa"/>
            <w:vAlign w:val="bottom"/>
          </w:tcPr>
          <w:p>
            <w:pPr>
              <w:ind w:left="380"/>
              <w:spacing w:after="0"/>
              <w:rPr>
                <w:sz w:val="20"/>
                <w:szCs w:val="20"/>
                <w:color w:val="auto"/>
              </w:rPr>
            </w:pPr>
            <w:r>
              <w:rPr>
                <w:rFonts w:ascii="Courier New" w:cs="Courier New" w:eastAsia="Courier New" w:hAnsi="Courier New"/>
                <w:sz w:val="18"/>
                <w:szCs w:val="18"/>
                <w:color w:val="auto"/>
              </w:rPr>
              <w:t>SWT Holdings, LLC</w:t>
            </w:r>
          </w:p>
        </w:tc>
        <w:tc>
          <w:tcPr>
            <w:tcW w:w="2740" w:type="dxa"/>
            <w:vAlign w:val="bottom"/>
          </w:tcPr>
          <w:p>
            <w:pPr>
              <w:jc w:val="center"/>
              <w:ind w:left="1372"/>
              <w:spacing w:after="0"/>
              <w:rPr>
                <w:sz w:val="20"/>
                <w:szCs w:val="20"/>
                <w:color w:val="auto"/>
              </w:rPr>
            </w:pPr>
            <w:r>
              <w:rPr>
                <w:rFonts w:ascii="Courier New" w:cs="Courier New" w:eastAsia="Courier New" w:hAnsi="Courier New"/>
                <w:sz w:val="18"/>
                <w:szCs w:val="18"/>
                <w:color w:val="auto"/>
                <w:w w:val="96"/>
              </w:rPr>
              <w:t>Texas</w:t>
            </w:r>
          </w:p>
        </w:tc>
      </w:tr>
      <w:tr>
        <w:trPr>
          <w:trHeight w:val="405"/>
        </w:trPr>
        <w:tc>
          <w:tcPr>
            <w:tcW w:w="5380" w:type="dxa"/>
            <w:vAlign w:val="bottom"/>
          </w:tcPr>
          <w:p>
            <w:pPr>
              <w:jc w:val="center"/>
              <w:ind w:right="1912"/>
              <w:spacing w:after="0"/>
              <w:rPr>
                <w:sz w:val="20"/>
                <w:szCs w:val="20"/>
                <w:color w:val="auto"/>
              </w:rPr>
            </w:pPr>
            <w:r>
              <w:rPr>
                <w:rFonts w:ascii="Courier New" w:cs="Courier New" w:eastAsia="Courier New" w:hAnsi="Courier New"/>
                <w:sz w:val="18"/>
                <w:szCs w:val="18"/>
                <w:color w:val="auto"/>
                <w:w w:val="97"/>
              </w:rPr>
              <w:t>Tam Title &amp; Escrow, LLC (10%)</w:t>
            </w:r>
          </w:p>
        </w:tc>
        <w:tc>
          <w:tcPr>
            <w:tcW w:w="2740" w:type="dxa"/>
            <w:vAlign w:val="bottom"/>
          </w:tcPr>
          <w:p>
            <w:pPr>
              <w:jc w:val="center"/>
              <w:ind w:left="1392"/>
              <w:spacing w:after="0"/>
              <w:rPr>
                <w:sz w:val="20"/>
                <w:szCs w:val="20"/>
                <w:color w:val="auto"/>
              </w:rPr>
            </w:pPr>
            <w:r>
              <w:rPr>
                <w:rFonts w:ascii="Courier New" w:cs="Courier New" w:eastAsia="Courier New" w:hAnsi="Courier New"/>
                <w:sz w:val="18"/>
                <w:szCs w:val="18"/>
                <w:color w:val="auto"/>
                <w:w w:val="96"/>
              </w:rPr>
              <w:t>Tennessee</w:t>
            </w:r>
          </w:p>
        </w:tc>
      </w:tr>
      <w:tr>
        <w:trPr>
          <w:trHeight w:val="405"/>
        </w:trPr>
        <w:tc>
          <w:tcPr>
            <w:tcW w:w="5380" w:type="dxa"/>
            <w:vAlign w:val="bottom"/>
          </w:tcPr>
          <w:p>
            <w:pPr>
              <w:ind w:left="320"/>
              <w:spacing w:after="0"/>
              <w:rPr>
                <w:sz w:val="20"/>
                <w:szCs w:val="20"/>
                <w:color w:val="auto"/>
              </w:rPr>
            </w:pPr>
            <w:r>
              <w:rPr>
                <w:rFonts w:ascii="Courier New" w:cs="Courier New" w:eastAsia="Courier New" w:hAnsi="Courier New"/>
                <w:sz w:val="18"/>
                <w:szCs w:val="18"/>
                <w:color w:val="auto"/>
              </w:rPr>
              <w:t>Ten Thirty-One, L.L.C.</w:t>
            </w:r>
          </w:p>
        </w:tc>
        <w:tc>
          <w:tcPr>
            <w:tcW w:w="2740" w:type="dxa"/>
            <w:vAlign w:val="bottom"/>
          </w:tcPr>
          <w:p>
            <w:pPr>
              <w:jc w:val="center"/>
              <w:ind w:left="1392"/>
              <w:spacing w:after="0"/>
              <w:rPr>
                <w:sz w:val="20"/>
                <w:szCs w:val="20"/>
                <w:color w:val="auto"/>
              </w:rPr>
            </w:pPr>
            <w:r>
              <w:rPr>
                <w:rFonts w:ascii="Courier New" w:cs="Courier New" w:eastAsia="Courier New" w:hAnsi="Courier New"/>
                <w:sz w:val="18"/>
                <w:szCs w:val="18"/>
                <w:color w:val="auto"/>
                <w:w w:val="95"/>
              </w:rPr>
              <w:t>Oregon</w:t>
            </w:r>
          </w:p>
        </w:tc>
      </w:tr>
      <w:tr>
        <w:trPr>
          <w:trHeight w:val="810"/>
        </w:trPr>
        <w:tc>
          <w:tcPr>
            <w:tcW w:w="5380" w:type="dxa"/>
            <w:vAlign w:val="bottom"/>
          </w:tcPr>
          <w:p>
            <w:pPr>
              <w:spacing w:after="0"/>
              <w:rPr>
                <w:sz w:val="24"/>
                <w:szCs w:val="24"/>
                <w:color w:val="auto"/>
              </w:rPr>
            </w:pPr>
          </w:p>
        </w:tc>
        <w:tc>
          <w:tcPr>
            <w:tcW w:w="2740" w:type="dxa"/>
            <w:vAlign w:val="bottom"/>
          </w:tcPr>
          <w:p>
            <w:pPr>
              <w:jc w:val="right"/>
              <w:ind w:right="1812"/>
              <w:spacing w:after="0"/>
              <w:rPr>
                <w:sz w:val="20"/>
                <w:szCs w:val="20"/>
                <w:color w:val="auto"/>
              </w:rPr>
            </w:pPr>
            <w:r>
              <w:rPr>
                <w:rFonts w:ascii="Courier New" w:cs="Courier New" w:eastAsia="Courier New" w:hAnsi="Courier New"/>
                <w:sz w:val="18"/>
                <w:szCs w:val="18"/>
                <w:color w:val="auto"/>
              </w:rPr>
              <w:t>9</w:t>
            </w:r>
          </w:p>
        </w:tc>
      </w:tr>
    </w:tbl>
    <w:p>
      <w:pPr>
        <w:sectPr>
          <w:pgSz w:w="11900" w:h="16838" w:orient="portrait"/>
          <w:cols w:equalWidth="0" w:num="1">
            <w:col w:w="9959"/>
          </w:cols>
          <w:pgMar w:left="500" w:top="1122" w:right="1440" w:bottom="1440" w:gutter="0" w:footer="0" w:header="0"/>
        </w:sectPr>
      </w:pPr>
    </w:p>
    <w:bookmarkStart w:id="252" w:name="page253"/>
    <w:bookmarkEnd w:id="2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40" w:type="dxa"/>
            <w:vAlign w:val="bottom"/>
          </w:tcPr>
          <w:p>
            <w:pPr>
              <w:ind w:left="380"/>
              <w:spacing w:after="0"/>
              <w:rPr>
                <w:sz w:val="20"/>
                <w:szCs w:val="20"/>
                <w:color w:val="auto"/>
              </w:rPr>
            </w:pPr>
            <w:r>
              <w:rPr>
                <w:rFonts w:ascii="Courier New" w:cs="Courier New" w:eastAsia="Courier New" w:hAnsi="Courier New"/>
                <w:sz w:val="18"/>
                <w:szCs w:val="18"/>
                <w:color w:val="auto"/>
              </w:rPr>
              <w:t>The Album CD, LLC (66 2/3%)</w:t>
            </w:r>
          </w:p>
        </w:tc>
        <w:tc>
          <w:tcPr>
            <w:tcW w:w="2900" w:type="dxa"/>
            <w:vAlign w:val="bottom"/>
          </w:tcPr>
          <w:p>
            <w:pPr>
              <w:jc w:val="center"/>
              <w:ind w:left="121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5540" w:type="dxa"/>
            <w:vAlign w:val="bottom"/>
          </w:tcPr>
          <w:p>
            <w:pPr>
              <w:ind w:left="380"/>
              <w:spacing w:after="0"/>
              <w:rPr>
                <w:sz w:val="20"/>
                <w:szCs w:val="20"/>
                <w:color w:val="auto"/>
              </w:rPr>
            </w:pPr>
            <w:r>
              <w:rPr>
                <w:rFonts w:ascii="Courier New" w:cs="Courier New" w:eastAsia="Courier New" w:hAnsi="Courier New"/>
                <w:sz w:val="18"/>
                <w:szCs w:val="18"/>
                <w:color w:val="auto"/>
              </w:rPr>
              <w:t>The Maryland Title Guarantee Company</w:t>
            </w:r>
          </w:p>
        </w:tc>
        <w:tc>
          <w:tcPr>
            <w:tcW w:w="2900" w:type="dxa"/>
            <w:vAlign w:val="bottom"/>
          </w:tcPr>
          <w:p>
            <w:pPr>
              <w:jc w:val="center"/>
              <w:ind w:left="1212"/>
              <w:spacing w:after="0"/>
              <w:rPr>
                <w:sz w:val="20"/>
                <w:szCs w:val="20"/>
                <w:color w:val="auto"/>
              </w:rPr>
            </w:pPr>
            <w:r>
              <w:rPr>
                <w:rFonts w:ascii="Courier New" w:cs="Courier New" w:eastAsia="Courier New" w:hAnsi="Courier New"/>
                <w:sz w:val="18"/>
                <w:szCs w:val="18"/>
                <w:color w:val="auto"/>
                <w:w w:val="97"/>
              </w:rPr>
              <w:t>Maryland</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The Title Company of Canada, Limited</w:t>
            </w:r>
          </w:p>
        </w:tc>
        <w:tc>
          <w:tcPr>
            <w:tcW w:w="29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7"/>
              </w:rPr>
              <w:t>Ontario, Canada</w:t>
            </w:r>
          </w:p>
        </w:tc>
      </w:tr>
      <w:tr>
        <w:trPr>
          <w:trHeight w:val="405"/>
        </w:trPr>
        <w:tc>
          <w:tcPr>
            <w:tcW w:w="5540" w:type="dxa"/>
            <w:vAlign w:val="bottom"/>
          </w:tcPr>
          <w:p>
            <w:pPr>
              <w:ind w:left="380"/>
              <w:spacing w:after="0"/>
              <w:rPr>
                <w:sz w:val="20"/>
                <w:szCs w:val="20"/>
                <w:color w:val="auto"/>
              </w:rPr>
            </w:pPr>
            <w:r>
              <w:rPr>
                <w:rFonts w:ascii="Courier New" w:cs="Courier New" w:eastAsia="Courier New" w:hAnsi="Courier New"/>
                <w:sz w:val="18"/>
                <w:szCs w:val="18"/>
                <w:color w:val="auto"/>
              </w:rPr>
              <w:t>The Title Guarantee Company</w:t>
            </w:r>
          </w:p>
        </w:tc>
        <w:tc>
          <w:tcPr>
            <w:tcW w:w="2900" w:type="dxa"/>
            <w:vAlign w:val="bottom"/>
          </w:tcPr>
          <w:p>
            <w:pPr>
              <w:jc w:val="center"/>
              <w:ind w:left="1212"/>
              <w:spacing w:after="0"/>
              <w:rPr>
                <w:sz w:val="20"/>
                <w:szCs w:val="20"/>
                <w:color w:val="auto"/>
              </w:rPr>
            </w:pPr>
            <w:r>
              <w:rPr>
                <w:rFonts w:ascii="Courier New" w:cs="Courier New" w:eastAsia="Courier New" w:hAnsi="Courier New"/>
                <w:sz w:val="18"/>
                <w:szCs w:val="18"/>
                <w:color w:val="auto"/>
                <w:w w:val="97"/>
              </w:rPr>
              <w:t>Maryland</w:t>
            </w:r>
          </w:p>
        </w:tc>
      </w:tr>
      <w:tr>
        <w:trPr>
          <w:trHeight w:val="405"/>
        </w:trPr>
        <w:tc>
          <w:tcPr>
            <w:tcW w:w="5540" w:type="dxa"/>
            <w:vAlign w:val="bottom"/>
          </w:tcPr>
          <w:p>
            <w:pPr>
              <w:ind w:left="580"/>
              <w:spacing w:after="0"/>
              <w:rPr>
                <w:sz w:val="20"/>
                <w:szCs w:val="20"/>
                <w:color w:val="auto"/>
              </w:rPr>
            </w:pPr>
            <w:r>
              <w:rPr>
                <w:rFonts w:ascii="Courier New" w:cs="Courier New" w:eastAsia="Courier New" w:hAnsi="Courier New"/>
                <w:sz w:val="18"/>
                <w:szCs w:val="18"/>
                <w:color w:val="auto"/>
              </w:rPr>
              <w:t>Third Millenium Title Agency, LLC (50.1%)</w:t>
            </w:r>
          </w:p>
        </w:tc>
        <w:tc>
          <w:tcPr>
            <w:tcW w:w="29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7"/>
              </w:rPr>
              <w:t>Ohio</w:t>
            </w:r>
          </w:p>
        </w:tc>
      </w:tr>
      <w:tr>
        <w:trPr>
          <w:trHeight w:val="405"/>
        </w:trPr>
        <w:tc>
          <w:tcPr>
            <w:tcW w:w="5540" w:type="dxa"/>
            <w:vAlign w:val="bottom"/>
          </w:tcPr>
          <w:p>
            <w:pPr>
              <w:ind w:left="280"/>
              <w:spacing w:after="0"/>
              <w:rPr>
                <w:sz w:val="20"/>
                <w:szCs w:val="20"/>
                <w:color w:val="auto"/>
              </w:rPr>
            </w:pPr>
            <w:r>
              <w:rPr>
                <w:rFonts w:ascii="Courier New" w:cs="Courier New" w:eastAsia="Courier New" w:hAnsi="Courier New"/>
                <w:sz w:val="18"/>
                <w:szCs w:val="18"/>
                <w:color w:val="auto"/>
              </w:rPr>
              <w:t>Ticor Financial Company</w:t>
            </w:r>
          </w:p>
        </w:tc>
        <w:tc>
          <w:tcPr>
            <w:tcW w:w="29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5540" w:type="dxa"/>
            <w:vAlign w:val="bottom"/>
          </w:tcPr>
          <w:p>
            <w:pPr>
              <w:ind w:left="380"/>
              <w:spacing w:after="0"/>
              <w:rPr>
                <w:sz w:val="20"/>
                <w:szCs w:val="20"/>
                <w:color w:val="auto"/>
              </w:rPr>
            </w:pPr>
            <w:r>
              <w:rPr>
                <w:rFonts w:ascii="Courier New" w:cs="Courier New" w:eastAsia="Courier New" w:hAnsi="Courier New"/>
                <w:sz w:val="18"/>
                <w:szCs w:val="18"/>
                <w:color w:val="auto"/>
              </w:rPr>
              <w:t>Ticor Services, LLC</w:t>
            </w:r>
          </w:p>
        </w:tc>
        <w:tc>
          <w:tcPr>
            <w:tcW w:w="2900" w:type="dxa"/>
            <w:vAlign w:val="bottom"/>
          </w:tcPr>
          <w:p>
            <w:pPr>
              <w:jc w:val="center"/>
              <w:ind w:left="121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5540" w:type="dxa"/>
            <w:vAlign w:val="bottom"/>
          </w:tcPr>
          <w:p>
            <w:pPr>
              <w:ind w:left="380"/>
              <w:spacing w:after="0"/>
              <w:rPr>
                <w:sz w:val="20"/>
                <w:szCs w:val="20"/>
                <w:color w:val="auto"/>
              </w:rPr>
            </w:pPr>
            <w:r>
              <w:rPr>
                <w:rFonts w:ascii="Courier New" w:cs="Courier New" w:eastAsia="Courier New" w:hAnsi="Courier New"/>
                <w:sz w:val="18"/>
                <w:szCs w:val="18"/>
                <w:color w:val="auto"/>
              </w:rPr>
              <w:t>Ticor Title Abstract of New York, Inc.</w:t>
            </w:r>
          </w:p>
        </w:tc>
        <w:tc>
          <w:tcPr>
            <w:tcW w:w="2900" w:type="dxa"/>
            <w:vAlign w:val="bottom"/>
          </w:tcPr>
          <w:p>
            <w:pPr>
              <w:jc w:val="center"/>
              <w:ind w:left="1212"/>
              <w:spacing w:after="0"/>
              <w:rPr>
                <w:sz w:val="20"/>
                <w:szCs w:val="20"/>
                <w:color w:val="auto"/>
              </w:rPr>
            </w:pPr>
            <w:r>
              <w:rPr>
                <w:rFonts w:ascii="Courier New" w:cs="Courier New" w:eastAsia="Courier New" w:hAnsi="Courier New"/>
                <w:sz w:val="18"/>
                <w:szCs w:val="18"/>
                <w:color w:val="auto"/>
                <w:w w:val="97"/>
              </w:rPr>
              <w:t>New York</w:t>
            </w:r>
          </w:p>
        </w:tc>
      </w:tr>
      <w:tr>
        <w:trPr>
          <w:trHeight w:val="405"/>
        </w:trPr>
        <w:tc>
          <w:tcPr>
            <w:tcW w:w="5540" w:type="dxa"/>
            <w:vAlign w:val="bottom"/>
          </w:tcPr>
          <w:p>
            <w:pPr>
              <w:ind w:left="440"/>
              <w:spacing w:after="0"/>
              <w:rPr>
                <w:sz w:val="20"/>
                <w:szCs w:val="20"/>
                <w:color w:val="auto"/>
              </w:rPr>
            </w:pPr>
            <w:r>
              <w:rPr>
                <w:rFonts w:ascii="Courier New" w:cs="Courier New" w:eastAsia="Courier New" w:hAnsi="Courier New"/>
                <w:sz w:val="18"/>
                <w:szCs w:val="18"/>
                <w:color w:val="auto"/>
              </w:rPr>
              <w:t>Ticor Title Agency of Arizona, Inc.</w:t>
            </w:r>
          </w:p>
        </w:tc>
        <w:tc>
          <w:tcPr>
            <w:tcW w:w="29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7"/>
              </w:rPr>
              <w:t>Arizona</w:t>
            </w:r>
          </w:p>
        </w:tc>
      </w:tr>
      <w:tr>
        <w:trPr>
          <w:trHeight w:val="405"/>
        </w:trPr>
        <w:tc>
          <w:tcPr>
            <w:tcW w:w="5540" w:type="dxa"/>
            <w:vAlign w:val="bottom"/>
          </w:tcPr>
          <w:p>
            <w:pPr>
              <w:ind w:left="280"/>
              <w:spacing w:after="0"/>
              <w:rPr>
                <w:sz w:val="20"/>
                <w:szCs w:val="20"/>
                <w:color w:val="auto"/>
              </w:rPr>
            </w:pPr>
            <w:r>
              <w:rPr>
                <w:rFonts w:ascii="Courier New" w:cs="Courier New" w:eastAsia="Courier New" w:hAnsi="Courier New"/>
                <w:sz w:val="18"/>
                <w:szCs w:val="18"/>
                <w:color w:val="auto"/>
              </w:rPr>
              <w:t>Ticor Title Company</w:t>
            </w:r>
          </w:p>
        </w:tc>
        <w:tc>
          <w:tcPr>
            <w:tcW w:w="29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8"/>
              </w:rPr>
              <w:t>Washington</w:t>
            </w:r>
          </w:p>
        </w:tc>
      </w:tr>
      <w:tr>
        <w:trPr>
          <w:trHeight w:val="405"/>
        </w:trPr>
        <w:tc>
          <w:tcPr>
            <w:tcW w:w="5540" w:type="dxa"/>
            <w:vAlign w:val="bottom"/>
          </w:tcPr>
          <w:p>
            <w:pPr>
              <w:ind w:left="280"/>
              <w:spacing w:after="0"/>
              <w:rPr>
                <w:sz w:val="20"/>
                <w:szCs w:val="20"/>
                <w:color w:val="auto"/>
              </w:rPr>
            </w:pPr>
            <w:r>
              <w:rPr>
                <w:rFonts w:ascii="Courier New" w:cs="Courier New" w:eastAsia="Courier New" w:hAnsi="Courier New"/>
                <w:sz w:val="18"/>
                <w:szCs w:val="18"/>
                <w:color w:val="auto"/>
              </w:rPr>
              <w:t>Ticor Title Company of California</w:t>
            </w:r>
          </w:p>
        </w:tc>
        <w:tc>
          <w:tcPr>
            <w:tcW w:w="29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5540" w:type="dxa"/>
            <w:vAlign w:val="bottom"/>
          </w:tcPr>
          <w:p>
            <w:pPr>
              <w:ind w:left="480"/>
              <w:spacing w:after="0"/>
              <w:rPr>
                <w:sz w:val="20"/>
                <w:szCs w:val="20"/>
                <w:color w:val="auto"/>
              </w:rPr>
            </w:pPr>
            <w:r>
              <w:rPr>
                <w:rFonts w:ascii="Courier New" w:cs="Courier New" w:eastAsia="Courier New" w:hAnsi="Courier New"/>
                <w:sz w:val="18"/>
                <w:szCs w:val="18"/>
                <w:color w:val="auto"/>
              </w:rPr>
              <w:t>Ticor Title Company of Oregon</w:t>
            </w:r>
          </w:p>
        </w:tc>
        <w:tc>
          <w:tcPr>
            <w:tcW w:w="29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5"/>
              </w:rPr>
              <w:t>Oregon</w:t>
            </w:r>
          </w:p>
        </w:tc>
      </w:tr>
      <w:tr>
        <w:trPr>
          <w:trHeight w:val="405"/>
        </w:trPr>
        <w:tc>
          <w:tcPr>
            <w:tcW w:w="5540" w:type="dxa"/>
            <w:vAlign w:val="bottom"/>
          </w:tcPr>
          <w:p>
            <w:pPr>
              <w:ind w:left="480"/>
              <w:spacing w:after="0"/>
              <w:rPr>
                <w:sz w:val="20"/>
                <w:szCs w:val="20"/>
                <w:color w:val="auto"/>
              </w:rPr>
            </w:pPr>
            <w:r>
              <w:rPr>
                <w:rFonts w:ascii="Courier New" w:cs="Courier New" w:eastAsia="Courier New" w:hAnsi="Courier New"/>
                <w:sz w:val="18"/>
                <w:szCs w:val="18"/>
                <w:color w:val="auto"/>
              </w:rPr>
              <w:t>Ticor Title Consultants Ltd.</w:t>
            </w:r>
          </w:p>
        </w:tc>
        <w:tc>
          <w:tcPr>
            <w:tcW w:w="29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5"/>
              </w:rPr>
              <w:t>Canada</w:t>
            </w:r>
          </w:p>
        </w:tc>
      </w:tr>
      <w:tr>
        <w:trPr>
          <w:trHeight w:val="405"/>
        </w:trPr>
        <w:tc>
          <w:tcPr>
            <w:tcW w:w="5540" w:type="dxa"/>
            <w:vAlign w:val="bottom"/>
          </w:tcPr>
          <w:p>
            <w:pPr>
              <w:ind w:left="280"/>
              <w:spacing w:after="0"/>
              <w:rPr>
                <w:sz w:val="20"/>
                <w:szCs w:val="20"/>
                <w:color w:val="auto"/>
              </w:rPr>
            </w:pPr>
            <w:r>
              <w:rPr>
                <w:rFonts w:ascii="Courier New" w:cs="Courier New" w:eastAsia="Courier New" w:hAnsi="Courier New"/>
                <w:sz w:val="18"/>
                <w:szCs w:val="18"/>
                <w:color w:val="auto"/>
              </w:rPr>
              <w:t>Ticor Title Insurance Company</w:t>
            </w:r>
          </w:p>
        </w:tc>
        <w:tc>
          <w:tcPr>
            <w:tcW w:w="29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5540" w:type="dxa"/>
            <w:vAlign w:val="bottom"/>
          </w:tcPr>
          <w:p>
            <w:pPr>
              <w:ind w:left="440"/>
              <w:spacing w:after="0"/>
              <w:rPr>
                <w:sz w:val="20"/>
                <w:szCs w:val="20"/>
                <w:color w:val="auto"/>
              </w:rPr>
            </w:pPr>
            <w:r>
              <w:rPr>
                <w:rFonts w:ascii="Courier New" w:cs="Courier New" w:eastAsia="Courier New" w:hAnsi="Courier New"/>
                <w:sz w:val="18"/>
                <w:szCs w:val="18"/>
                <w:color w:val="auto"/>
              </w:rPr>
              <w:t>Ticor Title Insurance Company Limited</w:t>
            </w:r>
          </w:p>
        </w:tc>
        <w:tc>
          <w:tcPr>
            <w:tcW w:w="29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7"/>
              </w:rPr>
              <w:t>England</w:t>
            </w:r>
          </w:p>
        </w:tc>
      </w:tr>
      <w:tr>
        <w:trPr>
          <w:trHeight w:val="405"/>
        </w:trPr>
        <w:tc>
          <w:tcPr>
            <w:tcW w:w="5540" w:type="dxa"/>
            <w:vAlign w:val="bottom"/>
          </w:tcPr>
          <w:p>
            <w:pPr>
              <w:ind w:left="440"/>
              <w:spacing w:after="0"/>
              <w:rPr>
                <w:sz w:val="20"/>
                <w:szCs w:val="20"/>
                <w:color w:val="auto"/>
              </w:rPr>
            </w:pPr>
            <w:r>
              <w:rPr>
                <w:rFonts w:ascii="Courier New" w:cs="Courier New" w:eastAsia="Courier New" w:hAnsi="Courier New"/>
                <w:sz w:val="18"/>
                <w:szCs w:val="18"/>
                <w:color w:val="auto"/>
              </w:rPr>
              <w:t>Ticor Title Insurance Company of Florida</w:t>
            </w:r>
          </w:p>
        </w:tc>
        <w:tc>
          <w:tcPr>
            <w:tcW w:w="29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7"/>
              </w:rPr>
              <w:t>Florida</w:t>
            </w:r>
          </w:p>
        </w:tc>
      </w:tr>
      <w:tr>
        <w:trPr>
          <w:trHeight w:val="405"/>
        </w:trPr>
        <w:tc>
          <w:tcPr>
            <w:tcW w:w="5540" w:type="dxa"/>
            <w:vAlign w:val="bottom"/>
          </w:tcPr>
          <w:p>
            <w:pPr>
              <w:ind w:left="480"/>
              <w:spacing w:after="0"/>
              <w:rPr>
                <w:sz w:val="20"/>
                <w:szCs w:val="20"/>
                <w:color w:val="auto"/>
              </w:rPr>
            </w:pPr>
            <w:r>
              <w:rPr>
                <w:rFonts w:ascii="Courier New" w:cs="Courier New" w:eastAsia="Courier New" w:hAnsi="Courier New"/>
                <w:sz w:val="18"/>
                <w:szCs w:val="18"/>
                <w:color w:val="auto"/>
              </w:rPr>
              <w:t>Ticor Title of Nevada, Inc.</w:t>
            </w:r>
          </w:p>
        </w:tc>
        <w:tc>
          <w:tcPr>
            <w:tcW w:w="29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5"/>
              </w:rPr>
              <w:t>Nevada</w:t>
            </w:r>
          </w:p>
        </w:tc>
      </w:tr>
      <w:tr>
        <w:trPr>
          <w:trHeight w:val="405"/>
        </w:trPr>
        <w:tc>
          <w:tcPr>
            <w:tcW w:w="5540" w:type="dxa"/>
            <w:vAlign w:val="bottom"/>
          </w:tcPr>
          <w:p>
            <w:pPr>
              <w:ind w:left="280"/>
              <w:spacing w:after="0"/>
              <w:rPr>
                <w:sz w:val="20"/>
                <w:szCs w:val="20"/>
                <w:color w:val="auto"/>
              </w:rPr>
            </w:pPr>
            <w:r>
              <w:rPr>
                <w:rFonts w:ascii="Courier New" w:cs="Courier New" w:eastAsia="Courier New" w:hAnsi="Courier New"/>
                <w:sz w:val="18"/>
                <w:szCs w:val="18"/>
                <w:color w:val="auto"/>
              </w:rPr>
              <w:t>Ticor Title of Washington, Inc.</w:t>
            </w:r>
          </w:p>
        </w:tc>
        <w:tc>
          <w:tcPr>
            <w:tcW w:w="29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8"/>
              </w:rPr>
              <w:t>Washington</w:t>
            </w:r>
          </w:p>
        </w:tc>
      </w:tr>
      <w:tr>
        <w:trPr>
          <w:trHeight w:val="405"/>
        </w:trPr>
        <w:tc>
          <w:tcPr>
            <w:tcW w:w="5540" w:type="dxa"/>
            <w:vAlign w:val="bottom"/>
          </w:tcPr>
          <w:p>
            <w:pPr>
              <w:ind w:left="380"/>
              <w:spacing w:after="0"/>
              <w:rPr>
                <w:sz w:val="20"/>
                <w:szCs w:val="20"/>
                <w:color w:val="auto"/>
              </w:rPr>
            </w:pPr>
            <w:r>
              <w:rPr>
                <w:rFonts w:ascii="Courier New" w:cs="Courier New" w:eastAsia="Courier New" w:hAnsi="Courier New"/>
                <w:sz w:val="18"/>
                <w:szCs w:val="18"/>
                <w:color w:val="auto"/>
              </w:rPr>
              <w:t>Title Accounting Services Corporation</w:t>
            </w:r>
          </w:p>
        </w:tc>
        <w:tc>
          <w:tcPr>
            <w:tcW w:w="2900" w:type="dxa"/>
            <w:vAlign w:val="bottom"/>
          </w:tcPr>
          <w:p>
            <w:pPr>
              <w:jc w:val="center"/>
              <w:ind w:left="1212"/>
              <w:spacing w:after="0"/>
              <w:rPr>
                <w:sz w:val="20"/>
                <w:szCs w:val="20"/>
                <w:color w:val="auto"/>
              </w:rPr>
            </w:pPr>
            <w:r>
              <w:rPr>
                <w:rFonts w:ascii="Courier New" w:cs="Courier New" w:eastAsia="Courier New" w:hAnsi="Courier New"/>
                <w:sz w:val="18"/>
                <w:szCs w:val="18"/>
                <w:color w:val="auto"/>
                <w:w w:val="97"/>
              </w:rPr>
              <w:t>Illinois</w:t>
            </w:r>
          </w:p>
        </w:tc>
      </w:tr>
      <w:tr>
        <w:trPr>
          <w:trHeight w:val="405"/>
        </w:trPr>
        <w:tc>
          <w:tcPr>
            <w:tcW w:w="5540" w:type="dxa"/>
            <w:vAlign w:val="bottom"/>
          </w:tcPr>
          <w:p>
            <w:pPr>
              <w:ind w:left="580"/>
              <w:spacing w:after="0"/>
              <w:rPr>
                <w:sz w:val="20"/>
                <w:szCs w:val="20"/>
                <w:color w:val="auto"/>
              </w:rPr>
            </w:pPr>
            <w:r>
              <w:rPr>
                <w:rFonts w:ascii="Courier New" w:cs="Courier New" w:eastAsia="Courier New" w:hAnsi="Courier New"/>
                <w:sz w:val="18"/>
                <w:szCs w:val="18"/>
                <w:color w:val="auto"/>
              </w:rPr>
              <w:t>Title America, LLC (50.1%)</w:t>
            </w:r>
          </w:p>
        </w:tc>
        <w:tc>
          <w:tcPr>
            <w:tcW w:w="29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7"/>
              </w:rPr>
              <w:t>Ohio</w:t>
            </w:r>
          </w:p>
        </w:tc>
      </w:tr>
      <w:tr>
        <w:trPr>
          <w:trHeight w:val="405"/>
        </w:trPr>
        <w:tc>
          <w:tcPr>
            <w:tcW w:w="5540" w:type="dxa"/>
            <w:vAlign w:val="bottom"/>
          </w:tcPr>
          <w:p>
            <w:pPr>
              <w:ind w:left="540"/>
              <w:spacing w:after="0"/>
              <w:rPr>
                <w:sz w:val="20"/>
                <w:szCs w:val="20"/>
                <w:color w:val="auto"/>
              </w:rPr>
            </w:pPr>
            <w:r>
              <w:rPr>
                <w:rFonts w:ascii="Courier New" w:cs="Courier New" w:eastAsia="Courier New" w:hAnsi="Courier New"/>
                <w:sz w:val="18"/>
                <w:szCs w:val="18"/>
                <w:color w:val="auto"/>
              </w:rPr>
              <w:t>Title and Trust Company</w:t>
            </w:r>
          </w:p>
        </w:tc>
        <w:tc>
          <w:tcPr>
            <w:tcW w:w="2900" w:type="dxa"/>
            <w:vAlign w:val="bottom"/>
          </w:tcPr>
          <w:p>
            <w:pPr>
              <w:jc w:val="center"/>
              <w:ind w:left="1212"/>
              <w:spacing w:after="0"/>
              <w:rPr>
                <w:sz w:val="20"/>
                <w:szCs w:val="20"/>
                <w:color w:val="auto"/>
              </w:rPr>
            </w:pPr>
            <w:r>
              <w:rPr>
                <w:rFonts w:ascii="Courier New" w:cs="Courier New" w:eastAsia="Courier New" w:hAnsi="Courier New"/>
                <w:sz w:val="18"/>
                <w:szCs w:val="18"/>
                <w:color w:val="auto"/>
                <w:w w:val="96"/>
              </w:rPr>
              <w:t>Idaho</w:t>
            </w:r>
          </w:p>
        </w:tc>
      </w:tr>
      <w:tr>
        <w:trPr>
          <w:trHeight w:val="405"/>
        </w:trPr>
        <w:tc>
          <w:tcPr>
            <w:tcW w:w="5540" w:type="dxa"/>
            <w:vAlign w:val="bottom"/>
          </w:tcPr>
          <w:p>
            <w:pPr>
              <w:ind w:left="280"/>
              <w:spacing w:after="0"/>
              <w:rPr>
                <w:sz w:val="20"/>
                <w:szCs w:val="20"/>
                <w:color w:val="auto"/>
              </w:rPr>
            </w:pPr>
            <w:r>
              <w:rPr>
                <w:rFonts w:ascii="Courier New" w:cs="Courier New" w:eastAsia="Courier New" w:hAnsi="Courier New"/>
                <w:sz w:val="18"/>
                <w:szCs w:val="18"/>
                <w:color w:val="auto"/>
              </w:rPr>
              <w:t>Title Closing Services, LLC (17.5%)</w:t>
            </w:r>
          </w:p>
        </w:tc>
        <w:tc>
          <w:tcPr>
            <w:tcW w:w="29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8"/>
              </w:rPr>
              <w:t>New Jersey</w:t>
            </w:r>
          </w:p>
        </w:tc>
      </w:tr>
      <w:tr>
        <w:trPr>
          <w:trHeight w:val="405"/>
        </w:trPr>
        <w:tc>
          <w:tcPr>
            <w:tcW w:w="5540" w:type="dxa"/>
            <w:vAlign w:val="bottom"/>
          </w:tcPr>
          <w:p>
            <w:pPr>
              <w:ind w:left="540"/>
              <w:spacing w:after="0"/>
              <w:rPr>
                <w:sz w:val="20"/>
                <w:szCs w:val="20"/>
                <w:color w:val="auto"/>
              </w:rPr>
            </w:pPr>
            <w:r>
              <w:rPr>
                <w:rFonts w:ascii="Courier New" w:cs="Courier New" w:eastAsia="Courier New" w:hAnsi="Courier New"/>
                <w:sz w:val="18"/>
                <w:szCs w:val="18"/>
                <w:color w:val="auto"/>
              </w:rPr>
              <w:t>Title Data, Inc. (22.2%)</w:t>
            </w:r>
          </w:p>
        </w:tc>
        <w:tc>
          <w:tcPr>
            <w:tcW w:w="2900" w:type="dxa"/>
            <w:vAlign w:val="bottom"/>
          </w:tcPr>
          <w:p>
            <w:pPr>
              <w:jc w:val="center"/>
              <w:ind w:left="1212"/>
              <w:spacing w:after="0"/>
              <w:rPr>
                <w:sz w:val="20"/>
                <w:szCs w:val="20"/>
                <w:color w:val="auto"/>
              </w:rPr>
            </w:pPr>
            <w:r>
              <w:rPr>
                <w:rFonts w:ascii="Courier New" w:cs="Courier New" w:eastAsia="Courier New" w:hAnsi="Courier New"/>
                <w:sz w:val="18"/>
                <w:szCs w:val="18"/>
                <w:color w:val="auto"/>
                <w:w w:val="96"/>
              </w:rPr>
              <w:t>Texas</w:t>
            </w:r>
          </w:p>
        </w:tc>
      </w:tr>
      <w:tr>
        <w:trPr>
          <w:trHeight w:val="810"/>
        </w:trPr>
        <w:tc>
          <w:tcPr>
            <w:tcW w:w="5540" w:type="dxa"/>
            <w:vAlign w:val="bottom"/>
          </w:tcPr>
          <w:p>
            <w:pPr>
              <w:spacing w:after="0"/>
              <w:rPr>
                <w:sz w:val="24"/>
                <w:szCs w:val="24"/>
                <w:color w:val="auto"/>
              </w:rPr>
            </w:pPr>
          </w:p>
        </w:tc>
        <w:tc>
          <w:tcPr>
            <w:tcW w:w="2900" w:type="dxa"/>
            <w:vAlign w:val="bottom"/>
          </w:tcPr>
          <w:p>
            <w:pPr>
              <w:jc w:val="right"/>
              <w:ind w:right="1972"/>
              <w:spacing w:after="0"/>
              <w:rPr>
                <w:sz w:val="20"/>
                <w:szCs w:val="20"/>
                <w:color w:val="auto"/>
              </w:rPr>
            </w:pPr>
            <w:r>
              <w:rPr>
                <w:rFonts w:ascii="Courier New" w:cs="Courier New" w:eastAsia="Courier New" w:hAnsi="Courier New"/>
                <w:sz w:val="18"/>
                <w:szCs w:val="18"/>
                <w:color w:val="auto"/>
              </w:rPr>
              <w:t>10</w:t>
            </w:r>
          </w:p>
        </w:tc>
      </w:tr>
    </w:tbl>
    <w:p>
      <w:pPr>
        <w:sectPr>
          <w:pgSz w:w="11900" w:h="16838" w:orient="portrait"/>
          <w:cols w:equalWidth="0" w:num="1">
            <w:col w:w="10119"/>
          </w:cols>
          <w:pgMar w:left="340" w:top="1122" w:right="1440" w:bottom="1440" w:gutter="0" w:footer="0" w:header="0"/>
        </w:sectPr>
      </w:pPr>
    </w:p>
    <w:bookmarkStart w:id="253" w:name="page254"/>
    <w:bookmarkEnd w:id="2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00" w:type="dxa"/>
            <w:vAlign w:val="bottom"/>
          </w:tcPr>
          <w:p>
            <w:pPr>
              <w:ind w:left="40"/>
              <w:spacing w:after="0"/>
              <w:rPr>
                <w:sz w:val="20"/>
                <w:szCs w:val="20"/>
                <w:color w:val="auto"/>
              </w:rPr>
            </w:pPr>
            <w:r>
              <w:rPr>
                <w:rFonts w:ascii="Courier New" w:cs="Courier New" w:eastAsia="Courier New" w:hAnsi="Courier New"/>
                <w:sz w:val="18"/>
                <w:szCs w:val="18"/>
                <w:color w:val="auto"/>
              </w:rPr>
              <w:t>Title Info Now, LLC (14.29%)</w:t>
            </w:r>
          </w:p>
        </w:tc>
        <w:tc>
          <w:tcPr>
            <w:tcW w:w="240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6"/>
              </w:rPr>
              <w:t>Minnesota</w:t>
            </w:r>
          </w:p>
        </w:tc>
      </w:tr>
      <w:tr>
        <w:trPr>
          <w:trHeight w:val="405"/>
        </w:trPr>
        <w:tc>
          <w:tcPr>
            <w:tcW w:w="5500" w:type="dxa"/>
            <w:vAlign w:val="bottom"/>
          </w:tcPr>
          <w:p>
            <w:pPr>
              <w:ind w:left="160"/>
              <w:spacing w:after="0"/>
              <w:rPr>
                <w:sz w:val="20"/>
                <w:szCs w:val="20"/>
                <w:color w:val="auto"/>
              </w:rPr>
            </w:pPr>
            <w:r>
              <w:rPr>
                <w:rFonts w:ascii="Courier New" w:cs="Courier New" w:eastAsia="Courier New" w:hAnsi="Courier New"/>
                <w:sz w:val="18"/>
                <w:szCs w:val="18"/>
                <w:color w:val="auto"/>
              </w:rPr>
              <w:t>Title Offices, LLC (30%)</w:t>
            </w:r>
          </w:p>
        </w:tc>
        <w:tc>
          <w:tcPr>
            <w:tcW w:w="240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7"/>
              </w:rPr>
              <w:t>Florida</w:t>
            </w:r>
          </w:p>
        </w:tc>
      </w:tr>
      <w:tr>
        <w:trPr>
          <w:trHeight w:val="405"/>
        </w:trPr>
        <w:tc>
          <w:tcPr>
            <w:tcW w:w="5500" w:type="dxa"/>
            <w:vAlign w:val="bottom"/>
          </w:tcPr>
          <w:p>
            <w:pPr>
              <w:ind w:left="160"/>
              <w:spacing w:after="0"/>
              <w:rPr>
                <w:sz w:val="20"/>
                <w:szCs w:val="20"/>
                <w:color w:val="auto"/>
              </w:rPr>
            </w:pPr>
            <w:r>
              <w:rPr>
                <w:rFonts w:ascii="Courier New" w:cs="Courier New" w:eastAsia="Courier New" w:hAnsi="Courier New"/>
                <w:sz w:val="18"/>
                <w:szCs w:val="18"/>
                <w:color w:val="auto"/>
              </w:rPr>
              <w:t>Title Reinsurance Company (36.18%)</w:t>
            </w:r>
          </w:p>
        </w:tc>
        <w:tc>
          <w:tcPr>
            <w:tcW w:w="240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7"/>
              </w:rPr>
              <w:t>Vermont</w:t>
            </w:r>
          </w:p>
        </w:tc>
      </w:tr>
      <w:tr>
        <w:trPr>
          <w:trHeight w:val="405"/>
        </w:trPr>
        <w:tc>
          <w:tcPr>
            <w:tcW w:w="5500" w:type="dxa"/>
            <w:vAlign w:val="bottom"/>
          </w:tcPr>
          <w:p>
            <w:pPr>
              <w:ind w:left="40"/>
              <w:spacing w:after="0"/>
              <w:rPr>
                <w:sz w:val="20"/>
                <w:szCs w:val="20"/>
                <w:color w:val="auto"/>
              </w:rPr>
            </w:pPr>
            <w:r>
              <w:rPr>
                <w:rFonts w:ascii="Courier New" w:cs="Courier New" w:eastAsia="Courier New" w:hAnsi="Courier New"/>
                <w:sz w:val="18"/>
                <w:szCs w:val="18"/>
                <w:color w:val="auto"/>
              </w:rPr>
              <w:t>Title Services, Inc.</w:t>
            </w:r>
          </w:p>
        </w:tc>
        <w:tc>
          <w:tcPr>
            <w:tcW w:w="240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6"/>
              </w:rPr>
              <w:t>Tennessee</w:t>
            </w:r>
          </w:p>
        </w:tc>
      </w:tr>
      <w:tr>
        <w:trPr>
          <w:trHeight w:val="405"/>
        </w:trPr>
        <w:tc>
          <w:tcPr>
            <w:tcW w:w="5500" w:type="dxa"/>
            <w:vAlign w:val="bottom"/>
          </w:tcPr>
          <w:p>
            <w:pPr>
              <w:ind w:left="100"/>
              <w:spacing w:after="0"/>
              <w:rPr>
                <w:sz w:val="20"/>
                <w:szCs w:val="20"/>
                <w:color w:val="auto"/>
              </w:rPr>
            </w:pPr>
            <w:r>
              <w:rPr>
                <w:rFonts w:ascii="Courier New" w:cs="Courier New" w:eastAsia="Courier New" w:hAnsi="Courier New"/>
                <w:sz w:val="18"/>
                <w:szCs w:val="18"/>
                <w:color w:val="auto"/>
              </w:rPr>
              <w:t>TPO, Inc.</w:t>
            </w:r>
          </w:p>
        </w:tc>
        <w:tc>
          <w:tcPr>
            <w:tcW w:w="24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7"/>
              </w:rPr>
              <w:t>Oklahoma</w:t>
            </w:r>
          </w:p>
        </w:tc>
      </w:tr>
      <w:tr>
        <w:trPr>
          <w:trHeight w:val="405"/>
        </w:trPr>
        <w:tc>
          <w:tcPr>
            <w:tcW w:w="5500" w:type="dxa"/>
            <w:vAlign w:val="bottom"/>
          </w:tcPr>
          <w:p>
            <w:pPr>
              <w:ind w:left="200"/>
              <w:spacing w:after="0"/>
              <w:rPr>
                <w:sz w:val="20"/>
                <w:szCs w:val="20"/>
                <w:color w:val="auto"/>
              </w:rPr>
            </w:pPr>
            <w:r>
              <w:rPr>
                <w:rFonts w:ascii="Courier New" w:cs="Courier New" w:eastAsia="Courier New" w:hAnsi="Courier New"/>
                <w:sz w:val="18"/>
                <w:szCs w:val="18"/>
                <w:color w:val="auto"/>
              </w:rPr>
              <w:t>Tri County Title Plant Association (37.5%)</w:t>
            </w:r>
          </w:p>
        </w:tc>
        <w:tc>
          <w:tcPr>
            <w:tcW w:w="240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5"/>
              </w:rPr>
              <w:t>Oregon</w:t>
            </w:r>
          </w:p>
        </w:tc>
      </w:tr>
      <w:tr>
        <w:trPr>
          <w:trHeight w:val="405"/>
        </w:trPr>
        <w:tc>
          <w:tcPr>
            <w:tcW w:w="5500" w:type="dxa"/>
            <w:vAlign w:val="bottom"/>
          </w:tcPr>
          <w:p>
            <w:pPr>
              <w:ind w:left="100"/>
              <w:spacing w:after="0"/>
              <w:rPr>
                <w:sz w:val="20"/>
                <w:szCs w:val="20"/>
                <w:color w:val="auto"/>
              </w:rPr>
            </w:pPr>
            <w:r>
              <w:rPr>
                <w:rFonts w:ascii="Courier New" w:cs="Courier New" w:eastAsia="Courier New" w:hAnsi="Courier New"/>
                <w:sz w:val="18"/>
                <w:szCs w:val="18"/>
                <w:color w:val="auto"/>
              </w:rPr>
              <w:t>TSNY Agency of New York City, Inc.</w:t>
            </w:r>
          </w:p>
        </w:tc>
        <w:tc>
          <w:tcPr>
            <w:tcW w:w="24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7"/>
              </w:rPr>
              <w:t>New York</w:t>
            </w:r>
          </w:p>
        </w:tc>
      </w:tr>
      <w:tr>
        <w:trPr>
          <w:trHeight w:val="203"/>
        </w:trPr>
        <w:tc>
          <w:tcPr>
            <w:tcW w:w="5500" w:type="dxa"/>
            <w:vAlign w:val="bottom"/>
          </w:tcPr>
          <w:p>
            <w:pPr>
              <w:ind w:left="2780"/>
              <w:spacing w:after="0" w:line="203" w:lineRule="exact"/>
              <w:rPr>
                <w:sz w:val="20"/>
                <w:szCs w:val="20"/>
                <w:color w:val="auto"/>
              </w:rPr>
            </w:pPr>
            <w:r>
              <w:rPr>
                <w:rFonts w:ascii="Courier New" w:cs="Courier New" w:eastAsia="Courier New" w:hAnsi="Courier New"/>
                <w:sz w:val="18"/>
                <w:szCs w:val="18"/>
                <w:color w:val="auto"/>
              </w:rPr>
              <w:t>(d/b/a Title Services)</w:t>
            </w:r>
          </w:p>
        </w:tc>
        <w:tc>
          <w:tcPr>
            <w:tcW w:w="2400" w:type="dxa"/>
            <w:vAlign w:val="bottom"/>
          </w:tcPr>
          <w:p>
            <w:pPr>
              <w:spacing w:after="0"/>
              <w:rPr>
                <w:sz w:val="17"/>
                <w:szCs w:val="17"/>
                <w:color w:val="auto"/>
              </w:rPr>
            </w:pPr>
          </w:p>
        </w:tc>
      </w:tr>
      <w:tr>
        <w:trPr>
          <w:trHeight w:val="405"/>
        </w:trPr>
        <w:tc>
          <w:tcPr>
            <w:tcW w:w="5500" w:type="dxa"/>
            <w:vAlign w:val="bottom"/>
          </w:tcPr>
          <w:p>
            <w:pPr>
              <w:ind w:left="260"/>
              <w:spacing w:after="0"/>
              <w:rPr>
                <w:sz w:val="20"/>
                <w:szCs w:val="20"/>
                <w:color w:val="auto"/>
              </w:rPr>
            </w:pPr>
            <w:r>
              <w:rPr>
                <w:rFonts w:ascii="Courier New" w:cs="Courier New" w:eastAsia="Courier New" w:hAnsi="Courier New"/>
                <w:sz w:val="18"/>
                <w:szCs w:val="18"/>
                <w:color w:val="auto"/>
              </w:rPr>
              <w:t>TT Acquisition Corp.</w:t>
            </w:r>
          </w:p>
        </w:tc>
        <w:tc>
          <w:tcPr>
            <w:tcW w:w="24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6"/>
              </w:rPr>
              <w:t>Texas</w:t>
            </w:r>
          </w:p>
        </w:tc>
      </w:tr>
      <w:tr>
        <w:trPr>
          <w:trHeight w:val="203"/>
        </w:trPr>
        <w:tc>
          <w:tcPr>
            <w:tcW w:w="5500" w:type="dxa"/>
            <w:vAlign w:val="bottom"/>
          </w:tcPr>
          <w:p>
            <w:pPr>
              <w:ind w:left="2940"/>
              <w:spacing w:after="0" w:line="203" w:lineRule="exact"/>
              <w:rPr>
                <w:sz w:val="20"/>
                <w:szCs w:val="20"/>
                <w:color w:val="auto"/>
              </w:rPr>
            </w:pPr>
            <w:r>
              <w:rPr>
                <w:rFonts w:ascii="Courier New" w:cs="Courier New" w:eastAsia="Courier New" w:hAnsi="Courier New"/>
                <w:sz w:val="18"/>
                <w:szCs w:val="18"/>
                <w:color w:val="auto"/>
              </w:rPr>
              <w:t>(d/b/a Texas Taxes)</w:t>
            </w:r>
          </w:p>
        </w:tc>
        <w:tc>
          <w:tcPr>
            <w:tcW w:w="2400" w:type="dxa"/>
            <w:vAlign w:val="bottom"/>
          </w:tcPr>
          <w:p>
            <w:pPr>
              <w:spacing w:after="0"/>
              <w:rPr>
                <w:sz w:val="17"/>
                <w:szCs w:val="17"/>
                <w:color w:val="auto"/>
              </w:rPr>
            </w:pPr>
          </w:p>
        </w:tc>
      </w:tr>
      <w:tr>
        <w:trPr>
          <w:trHeight w:val="405"/>
        </w:trPr>
        <w:tc>
          <w:tcPr>
            <w:tcW w:w="5500" w:type="dxa"/>
            <w:vAlign w:val="bottom"/>
          </w:tcPr>
          <w:p>
            <w:pPr>
              <w:ind w:left="200"/>
              <w:spacing w:after="0"/>
              <w:rPr>
                <w:sz w:val="20"/>
                <w:szCs w:val="20"/>
                <w:color w:val="auto"/>
              </w:rPr>
            </w:pPr>
            <w:r>
              <w:rPr>
                <w:rFonts w:ascii="Courier New" w:cs="Courier New" w:eastAsia="Courier New" w:hAnsi="Courier New"/>
                <w:sz w:val="18"/>
                <w:szCs w:val="18"/>
                <w:color w:val="auto"/>
              </w:rPr>
              <w:t>United Financial Management Company</w:t>
            </w:r>
          </w:p>
        </w:tc>
        <w:tc>
          <w:tcPr>
            <w:tcW w:w="240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5"/>
              </w:rPr>
              <w:t>Nevada</w:t>
            </w:r>
          </w:p>
        </w:tc>
      </w:tr>
      <w:tr>
        <w:trPr>
          <w:trHeight w:val="405"/>
        </w:trPr>
        <w:tc>
          <w:tcPr>
            <w:tcW w:w="5500" w:type="dxa"/>
            <w:vAlign w:val="bottom"/>
          </w:tcPr>
          <w:p>
            <w:pPr>
              <w:ind w:left="300"/>
              <w:spacing w:after="0"/>
              <w:rPr>
                <w:sz w:val="20"/>
                <w:szCs w:val="20"/>
                <w:color w:val="auto"/>
              </w:rPr>
            </w:pPr>
            <w:r>
              <w:rPr>
                <w:rFonts w:ascii="Courier New" w:cs="Courier New" w:eastAsia="Courier New" w:hAnsi="Courier New"/>
                <w:sz w:val="18"/>
                <w:szCs w:val="18"/>
                <w:color w:val="auto"/>
              </w:rPr>
              <w:t>United Land Title Agency, LLC (50.1%)</w:t>
            </w:r>
          </w:p>
        </w:tc>
        <w:tc>
          <w:tcPr>
            <w:tcW w:w="240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7"/>
              </w:rPr>
              <w:t>Ohio</w:t>
            </w:r>
          </w:p>
        </w:tc>
      </w:tr>
      <w:tr>
        <w:trPr>
          <w:trHeight w:val="405"/>
        </w:trPr>
        <w:tc>
          <w:tcPr>
            <w:tcW w:w="5500" w:type="dxa"/>
            <w:vAlign w:val="bottom"/>
          </w:tcPr>
          <w:p>
            <w:pPr>
              <w:ind w:left="200"/>
              <w:spacing w:after="0"/>
              <w:rPr>
                <w:sz w:val="20"/>
                <w:szCs w:val="20"/>
                <w:color w:val="auto"/>
              </w:rPr>
            </w:pPr>
            <w:r>
              <w:rPr>
                <w:rFonts w:ascii="Courier New" w:cs="Courier New" w:eastAsia="Courier New" w:hAnsi="Courier New"/>
                <w:sz w:val="18"/>
                <w:szCs w:val="18"/>
                <w:color w:val="auto"/>
              </w:rPr>
              <w:t>United Title of Nevada, Inc.</w:t>
            </w:r>
          </w:p>
        </w:tc>
        <w:tc>
          <w:tcPr>
            <w:tcW w:w="240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5"/>
              </w:rPr>
              <w:t>Nevada</w:t>
            </w:r>
          </w:p>
        </w:tc>
      </w:tr>
      <w:tr>
        <w:trPr>
          <w:trHeight w:val="405"/>
        </w:trPr>
        <w:tc>
          <w:tcPr>
            <w:tcW w:w="5500" w:type="dxa"/>
            <w:vAlign w:val="bottom"/>
          </w:tcPr>
          <w:p>
            <w:pPr>
              <w:ind w:left="260"/>
              <w:spacing w:after="0"/>
              <w:rPr>
                <w:sz w:val="20"/>
                <w:szCs w:val="20"/>
                <w:color w:val="auto"/>
              </w:rPr>
            </w:pPr>
            <w:r>
              <w:rPr>
                <w:rFonts w:ascii="Courier New" w:cs="Courier New" w:eastAsia="Courier New" w:hAnsi="Courier New"/>
                <w:sz w:val="18"/>
                <w:szCs w:val="18"/>
                <w:color w:val="auto"/>
              </w:rPr>
              <w:t>UTC Capital Group, Inc.</w:t>
            </w:r>
          </w:p>
        </w:tc>
        <w:tc>
          <w:tcPr>
            <w:tcW w:w="24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6"/>
              </w:rPr>
              <w:t>Texas</w:t>
            </w:r>
          </w:p>
        </w:tc>
      </w:tr>
      <w:tr>
        <w:trPr>
          <w:trHeight w:val="405"/>
        </w:trPr>
        <w:tc>
          <w:tcPr>
            <w:tcW w:w="5500" w:type="dxa"/>
            <w:vAlign w:val="bottom"/>
          </w:tcPr>
          <w:p>
            <w:pPr>
              <w:spacing w:after="0"/>
              <w:rPr>
                <w:sz w:val="20"/>
                <w:szCs w:val="20"/>
                <w:color w:val="auto"/>
              </w:rPr>
            </w:pPr>
            <w:r>
              <w:rPr>
                <w:rFonts w:ascii="Courier New" w:cs="Courier New" w:eastAsia="Courier New" w:hAnsi="Courier New"/>
                <w:sz w:val="18"/>
                <w:szCs w:val="18"/>
                <w:color w:val="auto"/>
              </w:rPr>
              <w:t>Washington Title Company</w:t>
            </w:r>
          </w:p>
        </w:tc>
        <w:tc>
          <w:tcPr>
            <w:tcW w:w="240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8"/>
              </w:rPr>
              <w:t>Washington</w:t>
            </w:r>
          </w:p>
        </w:tc>
      </w:tr>
      <w:tr>
        <w:trPr>
          <w:trHeight w:val="405"/>
        </w:trPr>
        <w:tc>
          <w:tcPr>
            <w:tcW w:w="5500" w:type="dxa"/>
            <w:vAlign w:val="bottom"/>
          </w:tcPr>
          <w:p>
            <w:pPr>
              <w:spacing w:after="0"/>
              <w:rPr>
                <w:sz w:val="20"/>
                <w:szCs w:val="20"/>
                <w:color w:val="auto"/>
              </w:rPr>
            </w:pPr>
            <w:r>
              <w:rPr>
                <w:rFonts w:ascii="Courier New" w:cs="Courier New" w:eastAsia="Courier New" w:hAnsi="Courier New"/>
                <w:sz w:val="18"/>
                <w:szCs w:val="18"/>
                <w:color w:val="auto"/>
              </w:rPr>
              <w:t>Washington Title Insurance Company</w:t>
            </w:r>
          </w:p>
        </w:tc>
        <w:tc>
          <w:tcPr>
            <w:tcW w:w="240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8"/>
              </w:rPr>
              <w:t>Washington</w:t>
            </w:r>
          </w:p>
        </w:tc>
      </w:tr>
      <w:tr>
        <w:trPr>
          <w:trHeight w:val="405"/>
        </w:trPr>
        <w:tc>
          <w:tcPr>
            <w:tcW w:w="5500" w:type="dxa"/>
            <w:vAlign w:val="bottom"/>
          </w:tcPr>
          <w:p>
            <w:pPr>
              <w:ind w:left="300"/>
              <w:spacing w:after="0"/>
              <w:rPr>
                <w:sz w:val="20"/>
                <w:szCs w:val="20"/>
                <w:color w:val="auto"/>
              </w:rPr>
            </w:pPr>
            <w:r>
              <w:rPr>
                <w:rFonts w:ascii="Courier New" w:cs="Courier New" w:eastAsia="Courier New" w:hAnsi="Courier New"/>
                <w:sz w:val="18"/>
                <w:szCs w:val="18"/>
                <w:color w:val="auto"/>
              </w:rPr>
              <w:t>Welles Bowen Title Agency, LLC (50.1%)</w:t>
            </w:r>
          </w:p>
        </w:tc>
        <w:tc>
          <w:tcPr>
            <w:tcW w:w="240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7"/>
              </w:rPr>
              <w:t>Ohio</w:t>
            </w:r>
          </w:p>
        </w:tc>
      </w:tr>
      <w:tr>
        <w:trPr>
          <w:trHeight w:val="405"/>
        </w:trPr>
        <w:tc>
          <w:tcPr>
            <w:tcW w:w="5500" w:type="dxa"/>
            <w:vAlign w:val="bottom"/>
          </w:tcPr>
          <w:p>
            <w:pPr>
              <w:spacing w:after="0"/>
              <w:rPr>
                <w:sz w:val="20"/>
                <w:szCs w:val="20"/>
                <w:color w:val="auto"/>
              </w:rPr>
            </w:pPr>
            <w:r>
              <w:rPr>
                <w:rFonts w:ascii="Courier New" w:cs="Courier New" w:eastAsia="Courier New" w:hAnsi="Courier New"/>
                <w:sz w:val="18"/>
                <w:szCs w:val="18"/>
                <w:color w:val="auto"/>
              </w:rPr>
              <w:t>West Point Appraisal Services, Inc.</w:t>
            </w:r>
          </w:p>
        </w:tc>
        <w:tc>
          <w:tcPr>
            <w:tcW w:w="240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5500" w:type="dxa"/>
            <w:vAlign w:val="bottom"/>
          </w:tcPr>
          <w:p>
            <w:pPr>
              <w:spacing w:after="0"/>
              <w:rPr>
                <w:sz w:val="20"/>
                <w:szCs w:val="20"/>
                <w:color w:val="auto"/>
              </w:rPr>
            </w:pPr>
            <w:r>
              <w:rPr>
                <w:rFonts w:ascii="Courier New" w:cs="Courier New" w:eastAsia="Courier New" w:hAnsi="Courier New"/>
                <w:sz w:val="18"/>
                <w:szCs w:val="18"/>
                <w:color w:val="auto"/>
              </w:rPr>
              <w:t>Western Financial Trust Company</w:t>
            </w:r>
          </w:p>
        </w:tc>
        <w:tc>
          <w:tcPr>
            <w:tcW w:w="240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5500" w:type="dxa"/>
            <w:vAlign w:val="bottom"/>
          </w:tcPr>
          <w:p>
            <w:pPr>
              <w:ind w:left="100"/>
              <w:spacing w:after="0"/>
              <w:rPr>
                <w:sz w:val="20"/>
                <w:szCs w:val="20"/>
                <w:color w:val="auto"/>
              </w:rPr>
            </w:pPr>
            <w:r>
              <w:rPr>
                <w:rFonts w:ascii="Courier New" w:cs="Courier New" w:eastAsia="Courier New" w:hAnsi="Courier New"/>
                <w:sz w:val="18"/>
                <w:szCs w:val="18"/>
                <w:color w:val="auto"/>
              </w:rPr>
              <w:t>Woodland Title Agency, LLC (50%)</w:t>
            </w:r>
          </w:p>
        </w:tc>
        <w:tc>
          <w:tcPr>
            <w:tcW w:w="24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7"/>
              </w:rPr>
              <w:t>Michigan</w:t>
            </w:r>
          </w:p>
        </w:tc>
      </w:tr>
      <w:tr>
        <w:trPr>
          <w:trHeight w:val="405"/>
        </w:trPr>
        <w:tc>
          <w:tcPr>
            <w:tcW w:w="5500" w:type="dxa"/>
            <w:vAlign w:val="bottom"/>
          </w:tcPr>
          <w:p>
            <w:pPr>
              <w:ind w:left="160"/>
              <w:spacing w:after="0"/>
              <w:rPr>
                <w:sz w:val="20"/>
                <w:szCs w:val="20"/>
                <w:color w:val="auto"/>
              </w:rPr>
            </w:pPr>
            <w:r>
              <w:rPr>
                <w:rFonts w:ascii="Courier New" w:cs="Courier New" w:eastAsia="Courier New" w:hAnsi="Courier New"/>
                <w:sz w:val="18"/>
                <w:szCs w:val="18"/>
                <w:color w:val="auto"/>
              </w:rPr>
              <w:t>Yuma Title &amp; Trust Company</w:t>
            </w:r>
          </w:p>
        </w:tc>
        <w:tc>
          <w:tcPr>
            <w:tcW w:w="240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7"/>
              </w:rPr>
              <w:t>Arizona</w:t>
            </w:r>
          </w:p>
        </w:tc>
      </w:tr>
      <w:tr>
        <w:trPr>
          <w:trHeight w:val="810"/>
        </w:trPr>
        <w:tc>
          <w:tcPr>
            <w:tcW w:w="5500" w:type="dxa"/>
            <w:vAlign w:val="bottom"/>
          </w:tcPr>
          <w:p>
            <w:pPr>
              <w:spacing w:after="0"/>
              <w:rPr>
                <w:sz w:val="24"/>
                <w:szCs w:val="24"/>
                <w:color w:val="auto"/>
              </w:rPr>
            </w:pPr>
          </w:p>
        </w:tc>
        <w:tc>
          <w:tcPr>
            <w:tcW w:w="240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11</w:t>
            </w:r>
          </w:p>
        </w:tc>
      </w:tr>
    </w:tbl>
    <w:p>
      <w:pPr>
        <w:sectPr>
          <w:pgSz w:w="11900" w:h="16838" w:orient="portrait"/>
          <w:cols w:equalWidth="0" w:num="1">
            <w:col w:w="9839"/>
          </w:cols>
          <w:pgMar w:left="620" w:top="1122" w:right="1440" w:bottom="1440" w:gutter="0" w:footer="0" w:header="0"/>
        </w:sectPr>
      </w:pPr>
    </w:p>
    <w:bookmarkStart w:id="254" w:name="page255"/>
    <w:bookmarkEnd w:id="254"/>
    <w:p>
      <w:pPr>
        <w:jc w:val="right"/>
        <w:ind w:right="2479"/>
        <w:spacing w:after="0"/>
        <w:rPr>
          <w:sz w:val="20"/>
          <w:szCs w:val="20"/>
          <w:color w:val="auto"/>
        </w:rPr>
      </w:pPr>
      <w:r>
        <w:rPr>
          <w:rFonts w:ascii="Arial" w:cs="Arial" w:eastAsia="Arial" w:hAnsi="Arial"/>
          <w:sz w:val="18"/>
          <w:szCs w:val="18"/>
          <w:color w:val="auto"/>
        </w:rPr>
        <w:t>Exhibit 23.1</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Title Group, Inc.</w:t>
      </w:r>
    </w:p>
    <w:p>
      <w:pPr>
        <w:spacing w:after="0" w:line="103" w:lineRule="exact"/>
        <w:rPr>
          <w:sz w:val="20"/>
          <w:szCs w:val="20"/>
          <w:color w:val="auto"/>
        </w:rPr>
      </w:pPr>
    </w:p>
    <w:p>
      <w:pPr>
        <w:ind w:right="2539"/>
        <w:spacing w:after="0" w:line="291" w:lineRule="auto"/>
        <w:rPr>
          <w:sz w:val="20"/>
          <w:szCs w:val="20"/>
          <w:color w:val="auto"/>
        </w:rPr>
      </w:pPr>
      <w:r>
        <w:rPr>
          <w:rFonts w:ascii="Arial" w:cs="Arial" w:eastAsia="Arial" w:hAnsi="Arial"/>
          <w:sz w:val="16"/>
          <w:szCs w:val="16"/>
          <w:color w:val="auto"/>
        </w:rPr>
        <w:t>We consent to the incorporation by reference in the Registration Statements (No. 333-129016, 333-129886, 333-129310) of Fidelity National Title Group, Inc. of our reports dated</w:t>
      </w:r>
    </w:p>
    <w:p>
      <w:pPr>
        <w:ind w:right="2539"/>
        <w:spacing w:after="0" w:line="290" w:lineRule="auto"/>
        <w:rPr>
          <w:sz w:val="20"/>
          <w:szCs w:val="20"/>
          <w:color w:val="auto"/>
        </w:rPr>
      </w:pPr>
      <w:r>
        <w:rPr>
          <w:rFonts w:ascii="Arial" w:cs="Arial" w:eastAsia="Arial" w:hAnsi="Arial"/>
          <w:sz w:val="16"/>
          <w:szCs w:val="16"/>
          <w:color w:val="auto"/>
        </w:rPr>
        <w:t>March 13, 2006, with respect to the Consolidated and Combined Balance Sheets of Fidelity National Title Group, Inc. and subsidiaries as of December 31, 2005 and 2004, and the related Consolidated and Combined Statements of Earnings, Comprehensive Earnings, Stockholders’ Equity and Cash Flows for each of the years in the three-year period ended December 31, 2005, and the related financial statement schedules, which reports appear in the December 31, 2005 annual report on Form 10-K of Fidelity National Title Group, Inc.</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13, 2006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ectPr>
          <w:pgSz w:w="11900" w:h="16838" w:orient="portrait"/>
          <w:cols w:equalWidth="0" w:num="1">
            <w:col w:w="9319"/>
          </w:cols>
          <w:pgMar w:left="1140" w:top="774" w:right="1440" w:bottom="1440" w:gutter="0" w:footer="0" w:header="0"/>
        </w:sectPr>
      </w:pPr>
    </w:p>
    <w:bookmarkStart w:id="255" w:name="page256"/>
    <w:bookmarkEnd w:id="255"/>
    <w:p>
      <w:pPr>
        <w:jc w:val="right"/>
        <w:ind w:right="1579"/>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117" w:lineRule="exact"/>
        <w:rPr>
          <w:sz w:val="20"/>
          <w:szCs w:val="20"/>
          <w:color w:val="auto"/>
        </w:rPr>
      </w:pPr>
    </w:p>
    <w:p>
      <w:pPr>
        <w:ind w:left="180" w:hanging="172"/>
        <w:spacing w:after="0"/>
        <w:tabs>
          <w:tab w:leader="none" w:pos="1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Fidelity National Title Group, Inc.;</w:t>
      </w:r>
    </w:p>
    <w:p>
      <w:pPr>
        <w:spacing w:after="0" w:line="117" w:lineRule="exact"/>
        <w:rPr>
          <w:rFonts w:ascii="Arial" w:cs="Arial" w:eastAsia="Arial" w:hAnsi="Arial"/>
          <w:sz w:val="18"/>
          <w:szCs w:val="18"/>
          <w:color w:val="auto"/>
        </w:rPr>
      </w:pPr>
    </w:p>
    <w:p>
      <w:pPr>
        <w:ind w:right="1799" w:firstLine="8"/>
        <w:spacing w:after="0" w:line="264" w:lineRule="auto"/>
        <w:tabs>
          <w:tab w:leader="none" w:pos="1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right="1759" w:firstLine="8"/>
        <w:spacing w:after="0" w:line="264" w:lineRule="auto"/>
        <w:tabs>
          <w:tab w:leader="none" w:pos="1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right="1619" w:firstLine="8"/>
        <w:spacing w:after="0" w:line="308" w:lineRule="auto"/>
        <w:tabs>
          <w:tab w:leader="none" w:pos="18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38" w:lineRule="exact"/>
        <w:rPr>
          <w:rFonts w:ascii="Arial" w:cs="Arial" w:eastAsia="Arial" w:hAnsi="Arial"/>
          <w:sz w:val="17"/>
          <w:szCs w:val="17"/>
          <w:color w:val="auto"/>
        </w:rPr>
      </w:pPr>
    </w:p>
    <w:p>
      <w:pPr>
        <w:ind w:left="500" w:right="1739" w:hanging="330"/>
        <w:spacing w:after="0" w:line="259" w:lineRule="auto"/>
        <w:tabs>
          <w:tab w:leader="none" w:pos="50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2" w:lineRule="exact"/>
        <w:rPr>
          <w:rFonts w:ascii="Arial" w:cs="Arial" w:eastAsia="Arial" w:hAnsi="Arial"/>
          <w:sz w:val="18"/>
          <w:szCs w:val="18"/>
          <w:color w:val="auto"/>
        </w:rPr>
      </w:pPr>
    </w:p>
    <w:p>
      <w:pPr>
        <w:jc w:val="both"/>
        <w:ind w:left="500" w:right="1579" w:hanging="330"/>
        <w:spacing w:after="0" w:line="264" w:lineRule="auto"/>
        <w:tabs>
          <w:tab w:leader="none" w:pos="50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500" w:right="1819" w:hanging="330"/>
        <w:spacing w:after="0" w:line="259" w:lineRule="auto"/>
        <w:tabs>
          <w:tab w:leader="none" w:pos="50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right="1679" w:firstLine="8"/>
        <w:spacing w:after="0" w:line="264" w:lineRule="auto"/>
        <w:tabs>
          <w:tab w:leader="none" w:pos="1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3" w:lineRule="exact"/>
        <w:rPr>
          <w:rFonts w:ascii="Arial" w:cs="Arial" w:eastAsia="Arial" w:hAnsi="Arial"/>
          <w:sz w:val="18"/>
          <w:szCs w:val="18"/>
          <w:color w:val="auto"/>
        </w:rPr>
      </w:pPr>
    </w:p>
    <w:p>
      <w:pPr>
        <w:ind w:left="500" w:right="1739" w:hanging="330"/>
        <w:spacing w:after="0" w:line="264" w:lineRule="auto"/>
        <w:tabs>
          <w:tab w:leader="none" w:pos="50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500" w:right="1659" w:hanging="330"/>
        <w:spacing w:after="0" w:line="277" w:lineRule="auto"/>
        <w:tabs>
          <w:tab w:leader="none" w:pos="50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2006</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161226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Raymond R. Quirk</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219"/>
          </w:cols>
          <w:pgMar w:left="240" w:top="769" w:right="1440" w:bottom="1440" w:gutter="0" w:footer="0" w:header="0"/>
        </w:sectPr>
      </w:pPr>
    </w:p>
    <w:bookmarkStart w:id="256" w:name="page257"/>
    <w:bookmarkEnd w:id="256"/>
    <w:p>
      <w:pPr>
        <w:jc w:val="right"/>
        <w:ind w:right="1579"/>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17" w:lineRule="exact"/>
        <w:rPr>
          <w:sz w:val="20"/>
          <w:szCs w:val="20"/>
          <w:color w:val="auto"/>
        </w:rPr>
      </w:pPr>
    </w:p>
    <w:p>
      <w:pPr>
        <w:ind w:left="180" w:hanging="172"/>
        <w:spacing w:after="0"/>
        <w:tabs>
          <w:tab w:leader="none" w:pos="1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Fidelity National Title Group, Inc.;</w:t>
      </w:r>
    </w:p>
    <w:p>
      <w:pPr>
        <w:spacing w:after="0" w:line="117" w:lineRule="exact"/>
        <w:rPr>
          <w:rFonts w:ascii="Arial" w:cs="Arial" w:eastAsia="Arial" w:hAnsi="Arial"/>
          <w:sz w:val="18"/>
          <w:szCs w:val="18"/>
          <w:color w:val="auto"/>
        </w:rPr>
      </w:pPr>
    </w:p>
    <w:p>
      <w:pPr>
        <w:ind w:right="1799" w:firstLine="8"/>
        <w:spacing w:after="0" w:line="264" w:lineRule="auto"/>
        <w:tabs>
          <w:tab w:leader="none" w:pos="1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right="1759" w:firstLine="8"/>
        <w:spacing w:after="0" w:line="264" w:lineRule="auto"/>
        <w:tabs>
          <w:tab w:leader="none" w:pos="1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right="1619" w:firstLine="8"/>
        <w:spacing w:after="0" w:line="308" w:lineRule="auto"/>
        <w:tabs>
          <w:tab w:leader="none" w:pos="18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38" w:lineRule="exact"/>
        <w:rPr>
          <w:rFonts w:ascii="Arial" w:cs="Arial" w:eastAsia="Arial" w:hAnsi="Arial"/>
          <w:sz w:val="17"/>
          <w:szCs w:val="17"/>
          <w:color w:val="auto"/>
        </w:rPr>
      </w:pPr>
    </w:p>
    <w:p>
      <w:pPr>
        <w:ind w:left="500" w:right="1739" w:hanging="330"/>
        <w:spacing w:after="0" w:line="259" w:lineRule="auto"/>
        <w:tabs>
          <w:tab w:leader="none" w:pos="5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2" w:lineRule="exact"/>
        <w:rPr>
          <w:rFonts w:ascii="Arial" w:cs="Arial" w:eastAsia="Arial" w:hAnsi="Arial"/>
          <w:sz w:val="18"/>
          <w:szCs w:val="18"/>
          <w:color w:val="auto"/>
        </w:rPr>
      </w:pPr>
    </w:p>
    <w:p>
      <w:pPr>
        <w:jc w:val="both"/>
        <w:ind w:left="500" w:right="1579" w:hanging="330"/>
        <w:spacing w:after="0" w:line="264" w:lineRule="auto"/>
        <w:tabs>
          <w:tab w:leader="none" w:pos="5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500" w:right="1819" w:hanging="330"/>
        <w:spacing w:after="0" w:line="259" w:lineRule="auto"/>
        <w:tabs>
          <w:tab w:leader="none" w:pos="5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right="1679" w:firstLine="8"/>
        <w:spacing w:after="0" w:line="264" w:lineRule="auto"/>
        <w:tabs>
          <w:tab w:leader="none" w:pos="1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3" w:lineRule="exact"/>
        <w:rPr>
          <w:rFonts w:ascii="Arial" w:cs="Arial" w:eastAsia="Arial" w:hAnsi="Arial"/>
          <w:sz w:val="18"/>
          <w:szCs w:val="18"/>
          <w:color w:val="auto"/>
        </w:rPr>
      </w:pPr>
    </w:p>
    <w:p>
      <w:pPr>
        <w:ind w:left="500" w:right="1739" w:hanging="330"/>
        <w:spacing w:after="0" w:line="264" w:lineRule="auto"/>
        <w:tabs>
          <w:tab w:leader="none" w:pos="5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500" w:right="1659" w:hanging="330"/>
        <w:spacing w:after="0" w:line="277" w:lineRule="auto"/>
        <w:tabs>
          <w:tab w:leader="none" w:pos="5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2006</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16122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Anthony J. Park</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19"/>
          </w:cols>
          <w:pgMar w:left="240" w:top="770" w:right="1440" w:bottom="1440" w:gutter="0" w:footer="0" w:header="0"/>
        </w:sectPr>
      </w:pPr>
    </w:p>
    <w:bookmarkStart w:id="257" w:name="page258"/>
    <w:bookmarkEnd w:id="257"/>
    <w:p>
      <w:pPr>
        <w:jc w:val="right"/>
        <w:ind w:right="1579"/>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CERTIFICATION OF PERIODIC FINANCIAL REPORTS PURSUANT TO 18 U.S.C. §1350</w:t>
      </w:r>
    </w:p>
    <w:p>
      <w:pPr>
        <w:spacing w:after="0" w:line="117" w:lineRule="exact"/>
        <w:rPr>
          <w:sz w:val="20"/>
          <w:szCs w:val="20"/>
          <w:color w:val="auto"/>
        </w:rPr>
      </w:pPr>
    </w:p>
    <w:p>
      <w:pPr>
        <w:ind w:right="2179" w:firstLine="222"/>
        <w:spacing w:after="0" w:line="342" w:lineRule="auto"/>
        <w:rPr>
          <w:sz w:val="20"/>
          <w:szCs w:val="20"/>
          <w:color w:val="auto"/>
        </w:rPr>
      </w:pPr>
      <w:r>
        <w:rPr>
          <w:rFonts w:ascii="Arial" w:cs="Arial" w:eastAsia="Arial" w:hAnsi="Arial"/>
          <w:sz w:val="16"/>
          <w:szCs w:val="16"/>
          <w:color w:val="auto"/>
        </w:rPr>
        <w:t>The undersigned hereby certifies that he is the duly appointed and acting Chief Executive Officer of Fidelity National Title Group, Inc., a Delaware corporation (the “Company”), and hereby further certifies as follows.</w:t>
      </w:r>
    </w:p>
    <w:p>
      <w:pPr>
        <w:spacing w:after="0" w:line="16" w:lineRule="exact"/>
        <w:rPr>
          <w:sz w:val="20"/>
          <w:szCs w:val="20"/>
          <w:color w:val="auto"/>
        </w:rPr>
      </w:pPr>
    </w:p>
    <w:p>
      <w:pPr>
        <w:ind w:left="220" w:right="1979" w:hanging="212"/>
        <w:spacing w:after="0" w:line="277" w:lineRule="auto"/>
        <w:tabs>
          <w:tab w:leader="none" w:pos="19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62" w:lineRule="exact"/>
        <w:rPr>
          <w:rFonts w:ascii="Arial" w:cs="Arial" w:eastAsia="Arial" w:hAnsi="Arial"/>
          <w:sz w:val="18"/>
          <w:szCs w:val="18"/>
          <w:color w:val="auto"/>
        </w:rPr>
      </w:pPr>
    </w:p>
    <w:p>
      <w:pPr>
        <w:ind w:left="220" w:right="1719" w:hanging="212"/>
        <w:spacing w:after="0" w:line="277" w:lineRule="auto"/>
        <w:tabs>
          <w:tab w:leader="none" w:pos="19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62" w:lineRule="exact"/>
        <w:rPr>
          <w:sz w:val="20"/>
          <w:szCs w:val="20"/>
          <w:color w:val="auto"/>
        </w:rPr>
      </w:pPr>
    </w:p>
    <w:p>
      <w:pPr>
        <w:ind w:right="1779" w:firstLine="225"/>
        <w:spacing w:after="0" w:line="277"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170"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3/15/06</w:t>
      </w:r>
      <w:r>
        <w:rPr>
          <w:sz w:val="20"/>
          <w:szCs w:val="20"/>
          <w:color w:val="auto"/>
        </w:rPr>
        <w:tab/>
      </w:r>
      <w:r>
        <w:rPr>
          <w:rFonts w:ascii="Arial" w:cs="Arial" w:eastAsia="Arial" w:hAnsi="Arial"/>
          <w:sz w:val="16"/>
          <w:szCs w:val="16"/>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14605</wp:posOffset>
            </wp:positionV>
            <wp:extent cx="260731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Raymond R. Quirk</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219"/>
          </w:cols>
          <w:pgMar w:left="240" w:top="770" w:right="1440" w:bottom="1440" w:gutter="0" w:footer="0" w:header="0"/>
        </w:sectPr>
      </w:pPr>
    </w:p>
    <w:bookmarkStart w:id="258" w:name="page259"/>
    <w:bookmarkEnd w:id="258"/>
    <w:p>
      <w:pPr>
        <w:jc w:val="right"/>
        <w:ind w:right="1579"/>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CERTIFICATION OF PERIODIC FINANCIAL REPORTS PURSUANT TO 18 U.S.C. §1350</w:t>
      </w:r>
    </w:p>
    <w:p>
      <w:pPr>
        <w:spacing w:after="0" w:line="117" w:lineRule="exact"/>
        <w:rPr>
          <w:sz w:val="20"/>
          <w:szCs w:val="20"/>
          <w:color w:val="auto"/>
        </w:rPr>
      </w:pPr>
    </w:p>
    <w:p>
      <w:pPr>
        <w:ind w:right="2239" w:firstLine="222"/>
        <w:spacing w:after="0" w:line="342" w:lineRule="auto"/>
        <w:rPr>
          <w:sz w:val="20"/>
          <w:szCs w:val="20"/>
          <w:color w:val="auto"/>
        </w:rPr>
      </w:pPr>
      <w:r>
        <w:rPr>
          <w:rFonts w:ascii="Arial" w:cs="Arial" w:eastAsia="Arial" w:hAnsi="Arial"/>
          <w:sz w:val="16"/>
          <w:szCs w:val="16"/>
          <w:color w:val="auto"/>
        </w:rPr>
        <w:t>The undersigned hereby certifies that he is the duly appointed and acting Chief Financial Officer of Fidelity National Title Group, Inc., a Delaware corporation (the “Company”), and hereby further certifies as follows.</w:t>
      </w:r>
    </w:p>
    <w:p>
      <w:pPr>
        <w:spacing w:after="0" w:line="16" w:lineRule="exact"/>
        <w:rPr>
          <w:sz w:val="20"/>
          <w:szCs w:val="20"/>
          <w:color w:val="auto"/>
        </w:rPr>
      </w:pPr>
    </w:p>
    <w:p>
      <w:pPr>
        <w:ind w:left="220" w:right="1979" w:hanging="212"/>
        <w:spacing w:after="0" w:line="277" w:lineRule="auto"/>
        <w:tabs>
          <w:tab w:leader="none" w:pos="19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62" w:lineRule="exact"/>
        <w:rPr>
          <w:rFonts w:ascii="Arial" w:cs="Arial" w:eastAsia="Arial" w:hAnsi="Arial"/>
          <w:sz w:val="18"/>
          <w:szCs w:val="18"/>
          <w:color w:val="auto"/>
        </w:rPr>
      </w:pPr>
    </w:p>
    <w:p>
      <w:pPr>
        <w:ind w:left="220" w:right="1719" w:hanging="212"/>
        <w:spacing w:after="0" w:line="277" w:lineRule="auto"/>
        <w:tabs>
          <w:tab w:leader="none" w:pos="19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62" w:lineRule="exact"/>
        <w:rPr>
          <w:sz w:val="20"/>
          <w:szCs w:val="20"/>
          <w:color w:val="auto"/>
        </w:rPr>
      </w:pPr>
    </w:p>
    <w:p>
      <w:pPr>
        <w:ind w:right="1779" w:firstLine="225"/>
        <w:spacing w:after="0" w:line="277"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170"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color w:val="auto"/>
        </w:rPr>
        <w:t>Date: 3/15/06</w:t>
      </w:r>
      <w:r>
        <w:rPr>
          <w:sz w:val="20"/>
          <w:szCs w:val="20"/>
          <w:color w:val="auto"/>
        </w:rPr>
        <w:tab/>
      </w:r>
      <w:r>
        <w:rPr>
          <w:rFonts w:ascii="Arial" w:cs="Arial" w:eastAsia="Arial" w:hAnsi="Arial"/>
          <w:sz w:val="16"/>
          <w:szCs w:val="16"/>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14605</wp:posOffset>
            </wp:positionV>
            <wp:extent cx="268414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Anthony J. Park</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219"/>
      </w:cols>
      <w:pgMar w:left="240" w:top="7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F18422"/>
    <w:multiLevelType w:val="hybridMultilevel"/>
    <w:lvl w:ilvl="0">
      <w:lvlJc w:val="left"/>
      <w:lvlText w:val="☑"/>
      <w:numFmt w:val="bullet"/>
      <w:start w:val="1"/>
    </w:lvl>
  </w:abstractNum>
  <w:abstractNum w:abstractNumId="1">
    <w:nsid w:val="60EF0119"/>
    <w:multiLevelType w:val="hybridMultilevel"/>
    <w:lvl w:ilvl="0">
      <w:lvlJc w:val="left"/>
      <w:lvlText w:val="o"/>
      <w:numFmt w:val="bullet"/>
      <w:start w:val="1"/>
    </w:lvl>
  </w:abstractNum>
  <w:abstractNum w:abstractNumId="2">
    <w:nsid w:val="26F324BA"/>
    <w:multiLevelType w:val="hybridMultilevel"/>
    <w:lvl w:ilvl="0">
      <w:lvlJc w:val="left"/>
      <w:lvlText w:val="•"/>
      <w:numFmt w:val="bullet"/>
      <w:start w:val="1"/>
    </w:lvl>
  </w:abstractNum>
  <w:abstractNum w:abstractNumId="3">
    <w:nsid w:val="7F01579B"/>
    <w:multiLevelType w:val="hybridMultilevel"/>
    <w:lvl w:ilvl="0">
      <w:lvlJc w:val="left"/>
      <w:lvlText w:val="•"/>
      <w:numFmt w:val="bullet"/>
      <w:start w:val="1"/>
    </w:lvl>
  </w:abstractNum>
  <w:abstractNum w:abstractNumId="4">
    <w:nsid w:val="49DA307D"/>
    <w:multiLevelType w:val="hybridMultilevel"/>
    <w:lvl w:ilvl="0">
      <w:lvlJc w:val="left"/>
      <w:lvlText w:val="•"/>
      <w:numFmt w:val="bullet"/>
      <w:start w:val="1"/>
    </w:lvl>
  </w:abstractNum>
  <w:abstractNum w:abstractNumId="5">
    <w:nsid w:val="7055A5F5"/>
    <w:multiLevelType w:val="hybridMultilevel"/>
    <w:lvl w:ilvl="0">
      <w:lvlJc w:val="left"/>
      <w:lvlText w:val="(%1)"/>
      <w:numFmt w:val="decimal"/>
      <w:start w:val="1"/>
    </w:lvl>
  </w:abstractNum>
  <w:abstractNum w:abstractNumId="6">
    <w:nsid w:val="5FB8370B"/>
    <w:multiLevelType w:val="hybridMultilevel"/>
    <w:lvl w:ilvl="0">
      <w:lvlJc w:val="left"/>
      <w:lvlText w:val="(%1)"/>
      <w:numFmt w:val="decimal"/>
      <w:start w:val="1"/>
    </w:lvl>
  </w:abstractNum>
  <w:abstractNum w:abstractNumId="7">
    <w:nsid w:val="50801EE1"/>
    <w:multiLevelType w:val="hybridMultilevel"/>
    <w:lvl w:ilvl="0">
      <w:lvlJc w:val="left"/>
      <w:lvlText w:val="•"/>
      <w:numFmt w:val="bullet"/>
      <w:start w:val="1"/>
    </w:lvl>
  </w:abstractNum>
  <w:abstractNum w:abstractNumId="8">
    <w:nsid w:val="488AC1A"/>
    <w:multiLevelType w:val="hybridMultilevel"/>
    <w:lvl w:ilvl="0">
      <w:lvlJc w:val="left"/>
      <w:lvlText w:val="•"/>
      <w:numFmt w:val="bullet"/>
      <w:start w:val="1"/>
    </w:lvl>
  </w:abstractNum>
  <w:abstractNum w:abstractNumId="9">
    <w:nsid w:val="5FB8011C"/>
    <w:multiLevelType w:val="hybridMultilevel"/>
    <w:lvl w:ilvl="0">
      <w:lvlJc w:val="left"/>
      <w:lvlText w:val="•"/>
      <w:numFmt w:val="bullet"/>
      <w:start w:val="1"/>
    </w:lvl>
  </w:abstractNum>
  <w:abstractNum w:abstractNumId="10">
    <w:nsid w:val="6AA78F7F"/>
    <w:multiLevelType w:val="hybridMultilevel"/>
    <w:lvl w:ilvl="0">
      <w:lvlJc w:val="left"/>
      <w:lvlText w:val="•"/>
      <w:numFmt w:val="bullet"/>
      <w:start w:val="1"/>
    </w:lvl>
  </w:abstractNum>
  <w:abstractNum w:abstractNumId="11">
    <w:nsid w:val="7672BD23"/>
    <w:multiLevelType w:val="hybridMultilevel"/>
    <w:lvl w:ilvl="0">
      <w:lvlJc w:val="left"/>
      <w:lvlText w:val="•"/>
      <w:numFmt w:val="bullet"/>
      <w:start w:val="1"/>
    </w:lvl>
  </w:abstractNum>
  <w:abstractNum w:abstractNumId="12">
    <w:nsid w:val="6FC75AF8"/>
    <w:multiLevelType w:val="hybridMultilevel"/>
    <w:lvl w:ilvl="0">
      <w:lvlJc w:val="left"/>
      <w:lvlText w:val="•"/>
      <w:numFmt w:val="bullet"/>
      <w:start w:val="1"/>
    </w:lvl>
  </w:abstractNum>
  <w:abstractNum w:abstractNumId="13">
    <w:nsid w:val="6A5F7029"/>
    <w:multiLevelType w:val="hybridMultilevel"/>
    <w:lvl w:ilvl="0">
      <w:lvlJc w:val="left"/>
      <w:lvlText w:val="•"/>
      <w:numFmt w:val="bullet"/>
      <w:start w:val="1"/>
    </w:lvl>
  </w:abstractNum>
  <w:abstractNum w:abstractNumId="14">
    <w:nsid w:val="7D5E18F8"/>
    <w:multiLevelType w:val="hybridMultilevel"/>
    <w:lvl w:ilvl="0">
      <w:lvlJc w:val="left"/>
      <w:lvlText w:val="•"/>
      <w:numFmt w:val="bullet"/>
      <w:start w:val="1"/>
    </w:lvl>
  </w:abstractNum>
  <w:abstractNum w:abstractNumId="15">
    <w:nsid w:val="5F3534A4"/>
    <w:multiLevelType w:val="hybridMultilevel"/>
    <w:lvl w:ilvl="0">
      <w:lvlJc w:val="left"/>
      <w:lvlText w:val="(%1)"/>
      <w:numFmt w:val="decimal"/>
      <w:start w:val="1"/>
    </w:lvl>
  </w:abstractNum>
  <w:abstractNum w:abstractNumId="16">
    <w:nsid w:val="73A1821B"/>
    <w:multiLevelType w:val="hybridMultilevel"/>
    <w:lvl w:ilvl="0">
      <w:lvlJc w:val="left"/>
      <w:lvlText w:val="(%1)"/>
      <w:numFmt w:val="decimal"/>
      <w:start w:val="1"/>
    </w:lvl>
  </w:abstractNum>
  <w:abstractNum w:abstractNumId="17">
    <w:nsid w:val="7DE67713"/>
    <w:multiLevelType w:val="hybridMultilevel"/>
    <w:lvl w:ilvl="0">
      <w:lvlJc w:val="left"/>
      <w:lvlText w:val="•"/>
      <w:numFmt w:val="bullet"/>
      <w:start w:val="1"/>
    </w:lvl>
  </w:abstractNum>
  <w:abstractNum w:abstractNumId="18">
    <w:nsid w:val="555C55B5"/>
    <w:multiLevelType w:val="hybridMultilevel"/>
    <w:lvl w:ilvl="0">
      <w:lvlJc w:val="left"/>
      <w:lvlText w:val="(%1)"/>
      <w:numFmt w:val="decimal"/>
      <w:start w:val="1"/>
    </w:lvl>
  </w:abstractNum>
  <w:abstractNum w:abstractNumId="19">
    <w:nsid w:val="3FA62ACA"/>
    <w:multiLevelType w:val="hybridMultilevel"/>
    <w:lvl w:ilvl="0">
      <w:lvlJc w:val="left"/>
      <w:lvlText w:val="(%1)"/>
      <w:numFmt w:val="lowerRoman"/>
      <w:start w:val="3"/>
    </w:lvl>
  </w:abstractNum>
  <w:abstractNum w:abstractNumId="20">
    <w:nsid w:val="14FCE74E"/>
    <w:multiLevelType w:val="hybridMultilevel"/>
    <w:lvl w:ilvl="0">
      <w:lvlJc w:val="left"/>
      <w:lvlText w:val="(%1)"/>
      <w:numFmt w:val="decimal"/>
      <w:start w:val="1"/>
    </w:lvl>
  </w:abstractNum>
  <w:abstractNum w:abstractNumId="21">
    <w:nsid w:val="6A3DD3E8"/>
    <w:multiLevelType w:val="hybridMultilevel"/>
    <w:lvl w:ilvl="0">
      <w:lvlJc w:val="left"/>
      <w:lvlText w:val="•"/>
      <w:numFmt w:val="bullet"/>
      <w:start w:val="1"/>
    </w:lvl>
  </w:abstractNum>
  <w:abstractNum w:abstractNumId="22">
    <w:nsid w:val="71C91298"/>
    <w:multiLevelType w:val="hybridMultilevel"/>
    <w:lvl w:ilvl="0">
      <w:lvlJc w:val="left"/>
      <w:lvlText w:val="•"/>
      <w:numFmt w:val="bullet"/>
      <w:start w:val="1"/>
    </w:lvl>
  </w:abstractNum>
  <w:abstractNum w:abstractNumId="23">
    <w:nsid w:val="9DAF632"/>
    <w:multiLevelType w:val="hybridMultilevel"/>
    <w:lvl w:ilvl="0">
      <w:lvlJc w:val="left"/>
      <w:lvlText w:val="•"/>
      <w:numFmt w:val="bullet"/>
      <w:start w:val="1"/>
    </w:lvl>
  </w:abstractNum>
  <w:abstractNum w:abstractNumId="24">
    <w:nsid w:val="53299938"/>
    <w:multiLevelType w:val="hybridMultilevel"/>
    <w:lvl w:ilvl="0">
      <w:lvlJc w:val="left"/>
      <w:lvlText w:val="(%1)"/>
      <w:numFmt w:val="decimal"/>
      <w:start w:val="1"/>
    </w:lvl>
  </w:abstractNum>
  <w:abstractNum w:abstractNumId="25">
    <w:nsid w:val="1FBFE8E0"/>
    <w:multiLevelType w:val="hybridMultilevel"/>
    <w:lvl w:ilvl="0">
      <w:lvlJc w:val="left"/>
      <w:lvlText w:val="%1."/>
      <w:numFmt w:val="upperLetter"/>
      <w:start w:val="1"/>
    </w:lvl>
  </w:abstractNum>
  <w:abstractNum w:abstractNumId="26">
    <w:nsid w:val="5092CA79"/>
    <w:multiLevelType w:val="hybridMultilevel"/>
    <w:lvl w:ilvl="0">
      <w:lvlJc w:val="left"/>
      <w:lvlText w:val="%1."/>
      <w:numFmt w:val="upperLetter"/>
      <w:start w:val="2"/>
    </w:lvl>
  </w:abstractNum>
  <w:abstractNum w:abstractNumId="27">
    <w:nsid w:val="1D545C4D"/>
    <w:multiLevelType w:val="hybridMultilevel"/>
    <w:lvl w:ilvl="0">
      <w:lvlJc w:val="left"/>
      <w:lvlText w:val="%1."/>
      <w:numFmt w:val="upperLetter"/>
      <w:start w:val="3"/>
    </w:lvl>
  </w:abstractNum>
  <w:abstractNum w:abstractNumId="28">
    <w:nsid w:val="59ADEA3D"/>
    <w:multiLevelType w:val="hybridMultilevel"/>
    <w:lvl w:ilvl="0">
      <w:lvlJc w:val="left"/>
      <w:lvlText w:val="%1."/>
      <w:numFmt w:val="upperLetter"/>
      <w:start w:val="4"/>
    </w:lvl>
  </w:abstractNum>
  <w:abstractNum w:abstractNumId="29">
    <w:nsid w:val="288F1A34"/>
    <w:multiLevelType w:val="hybridMultilevel"/>
    <w:lvl w:ilvl="0">
      <w:lvlJc w:val="left"/>
      <w:lvlText w:val="%1."/>
      <w:numFmt w:val="upperLetter"/>
      <w:start w:val="6"/>
    </w:lvl>
  </w:abstractNum>
  <w:abstractNum w:abstractNumId="30">
    <w:nsid w:val="2A155DBC"/>
    <w:multiLevelType w:val="hybridMultilevel"/>
    <w:lvl w:ilvl="0">
      <w:lvlJc w:val="left"/>
      <w:lvlText w:val="(%1)"/>
      <w:numFmt w:val="decimal"/>
      <w:start w:val="1"/>
    </w:lvl>
  </w:abstractNum>
  <w:abstractNum w:abstractNumId="31">
    <w:nsid w:val="1D9F6E5F"/>
    <w:multiLevelType w:val="hybridMultilevel"/>
    <w:lvl w:ilvl="0">
      <w:lvlJc w:val="left"/>
      <w:lvlText w:val="%1."/>
      <w:numFmt w:val="upperLetter"/>
      <w:start w:val="10"/>
    </w:lvl>
  </w:abstractNum>
  <w:abstractNum w:abstractNumId="32">
    <w:nsid w:val="97E1B4E"/>
    <w:multiLevelType w:val="hybridMultilevel"/>
    <w:lvl w:ilvl="0">
      <w:lvlJc w:val="left"/>
      <w:lvlText w:val="•"/>
      <w:numFmt w:val="bullet"/>
      <w:start w:val="1"/>
    </w:lvl>
  </w:abstractNum>
  <w:abstractNum w:abstractNumId="33">
    <w:nsid w:val="51088277"/>
    <w:multiLevelType w:val="hybridMultilevel"/>
    <w:lvl w:ilvl="0">
      <w:lvlJc w:val="left"/>
      <w:lvlText w:val="%1."/>
      <w:numFmt w:val="upperLetter"/>
      <w:start w:val="11"/>
    </w:lvl>
  </w:abstractNum>
  <w:abstractNum w:abstractNumId="34">
    <w:nsid w:val="1CA0C5FA"/>
    <w:multiLevelType w:val="hybridMultilevel"/>
    <w:lvl w:ilvl="0">
      <w:lvlJc w:val="left"/>
      <w:lvlText w:val="%1."/>
      <w:numFmt w:val="upperLetter"/>
      <w:start w:val="12"/>
    </w:lvl>
  </w:abstractNum>
  <w:abstractNum w:abstractNumId="35">
    <w:nsid w:val="53584BCB"/>
    <w:multiLevelType w:val="hybridMultilevel"/>
    <w:lvl w:ilvl="0">
      <w:lvlJc w:val="left"/>
      <w:lvlText w:val="(%1)"/>
      <w:numFmt w:val="lowerLetter"/>
      <w:start w:val="1"/>
    </w:lvl>
  </w:abstractNum>
  <w:abstractNum w:abstractNumId="36">
    <w:nsid w:val="415E286C"/>
    <w:multiLevelType w:val="hybridMultilevel"/>
    <w:lvl w:ilvl="0">
      <w:lvlJc w:val="left"/>
      <w:lvlText w:val="(%1)"/>
      <w:numFmt w:val="lowerLetter"/>
      <w:start w:val="1"/>
    </w:lvl>
  </w:abstractNum>
  <w:abstractNum w:abstractNumId="37">
    <w:nsid w:val="7C58FD05"/>
    <w:multiLevelType w:val="hybridMultilevel"/>
    <w:lvl w:ilvl="0">
      <w:lvlJc w:val="left"/>
      <w:lvlText w:val="%1."/>
      <w:numFmt w:val="upperLetter"/>
      <w:start w:val="13"/>
    </w:lvl>
  </w:abstractNum>
  <w:abstractNum w:abstractNumId="38">
    <w:nsid w:val="23D86AAC"/>
    <w:multiLevelType w:val="hybridMultilevel"/>
    <w:lvl w:ilvl="0">
      <w:lvlJc w:val="left"/>
      <w:lvlText w:val="%1."/>
      <w:numFmt w:val="upperLetter"/>
      <w:start w:val="14"/>
    </w:lvl>
  </w:abstractNum>
  <w:abstractNum w:abstractNumId="39">
    <w:nsid w:val="45E6D486"/>
    <w:multiLevelType w:val="hybridMultilevel"/>
    <w:lvl w:ilvl="0">
      <w:lvlJc w:val="left"/>
      <w:lvlText w:val="%1."/>
      <w:numFmt w:val="upperLetter"/>
      <w:start w:val="15"/>
    </w:lvl>
  </w:abstractNum>
  <w:abstractNum w:abstractNumId="40">
    <w:nsid w:val="5C10FE21"/>
    <w:multiLevelType w:val="hybridMultilevel"/>
    <w:lvl w:ilvl="0">
      <w:lvlJc w:val="left"/>
      <w:lvlText w:val="(%1)"/>
      <w:numFmt w:val="decimal"/>
      <w:start w:val="1"/>
    </w:lvl>
  </w:abstractNum>
  <w:abstractNum w:abstractNumId="41">
    <w:nsid w:val="E7FFA2B"/>
    <w:multiLevelType w:val="hybridMultilevel"/>
    <w:lvl w:ilvl="0">
      <w:lvlJc w:val="left"/>
      <w:lvlText w:val="•"/>
      <w:numFmt w:val="bullet"/>
      <w:start w:val="1"/>
    </w:lvl>
  </w:abstractNum>
  <w:abstractNum w:abstractNumId="42">
    <w:nsid w:val="3C5991AA"/>
    <w:multiLevelType w:val="hybridMultilevel"/>
    <w:lvl w:ilvl="0">
      <w:lvlJc w:val="left"/>
      <w:lvlText w:val="•"/>
      <w:numFmt w:val="bullet"/>
      <w:start w:val="1"/>
    </w:lvl>
  </w:abstractNum>
  <w:abstractNum w:abstractNumId="43">
    <w:nsid w:val="4BD8591A"/>
    <w:multiLevelType w:val="hybridMultilevel"/>
    <w:lvl w:ilvl="0">
      <w:lvlJc w:val="left"/>
      <w:lvlText w:val="•"/>
      <w:numFmt w:val="bullet"/>
      <w:start w:val="1"/>
    </w:lvl>
  </w:abstractNum>
  <w:abstractNum w:abstractNumId="44">
    <w:nsid w:val="78DF6A55"/>
    <w:multiLevelType w:val="hybridMultilevel"/>
    <w:lvl w:ilvl="0">
      <w:lvlJc w:val="left"/>
      <w:lvlText w:val="•"/>
      <w:numFmt w:val="bullet"/>
      <w:start w:val="1"/>
    </w:lvl>
  </w:abstractNum>
  <w:abstractNum w:abstractNumId="45">
    <w:nsid w:val="39B7AAA2"/>
    <w:multiLevelType w:val="hybridMultilevel"/>
    <w:lvl w:ilvl="0">
      <w:lvlJc w:val="left"/>
      <w:lvlText w:val="•"/>
      <w:numFmt w:val="bullet"/>
      <w:start w:val="1"/>
    </w:lvl>
  </w:abstractNum>
  <w:abstractNum w:abstractNumId="46">
    <w:nsid w:val="2B0D8DBE"/>
    <w:multiLevelType w:val="hybridMultilevel"/>
    <w:lvl w:ilvl="0">
      <w:lvlJc w:val="left"/>
      <w:lvlText w:val="•"/>
      <w:numFmt w:val="bullet"/>
      <w:start w:val="1"/>
    </w:lvl>
  </w:abstractNum>
  <w:abstractNum w:abstractNumId="47">
    <w:nsid w:val="6C80EC70"/>
    <w:multiLevelType w:val="hybridMultilevel"/>
    <w:lvl w:ilvl="0">
      <w:lvlJc w:val="left"/>
      <w:lvlText w:val="•"/>
      <w:numFmt w:val="bullet"/>
      <w:start w:val="1"/>
    </w:lvl>
  </w:abstractNum>
  <w:abstractNum w:abstractNumId="48">
    <w:nsid w:val="379E21B5"/>
    <w:multiLevelType w:val="hybridMultilevel"/>
    <w:lvl w:ilvl="0">
      <w:lvlJc w:val="left"/>
      <w:lvlText w:val="•"/>
      <w:numFmt w:val="bullet"/>
      <w:start w:val="1"/>
    </w:lvl>
  </w:abstractNum>
  <w:abstractNum w:abstractNumId="49">
    <w:nsid w:val="69E373"/>
    <w:multiLevelType w:val="hybridMultilevel"/>
    <w:lvl w:ilvl="0">
      <w:lvlJc w:val="left"/>
      <w:lvlText w:val="•"/>
      <w:numFmt w:val="bullet"/>
      <w:start w:val="1"/>
    </w:lvl>
  </w:abstractNum>
  <w:abstractNum w:abstractNumId="50">
    <w:nsid w:val="2C27173B"/>
    <w:multiLevelType w:val="hybridMultilevel"/>
    <w:lvl w:ilvl="0">
      <w:lvlJc w:val="left"/>
      <w:lvlText w:val="***"/>
      <w:numFmt w:val="bullet"/>
      <w:start w:val="1"/>
    </w:lvl>
    <w:lvl w:ilvl="1">
      <w:lvlJc w:val="left"/>
      <w:lvlText w:val="**"/>
      <w:numFmt w:val="bullet"/>
      <w:start w:val="1"/>
    </w:lvl>
  </w:abstractNum>
  <w:abstractNum w:abstractNumId="51">
    <w:nsid w:val="4C9B0904"/>
    <w:multiLevelType w:val="hybridMultilevel"/>
    <w:lvl w:ilvl="0">
      <w:lvlJc w:val="left"/>
      <w:lvlText w:val="%1."/>
      <w:numFmt w:val="upperLetter"/>
      <w:start w:val="1"/>
    </w:lvl>
  </w:abstractNum>
  <w:abstractNum w:abstractNumId="52">
    <w:nsid w:val="6AA7B75C"/>
    <w:multiLevelType w:val="hybridMultilevel"/>
    <w:lvl w:ilvl="0">
      <w:lvlJc w:val="left"/>
      <w:lvlText w:val="%1."/>
      <w:numFmt w:val="upperLetter"/>
      <w:start w:val="2"/>
    </w:lvl>
  </w:abstractNum>
  <w:abstractNum w:abstractNumId="53">
    <w:nsid w:val="1DF029D3"/>
    <w:multiLevelType w:val="hybridMultilevel"/>
    <w:lvl w:ilvl="0">
      <w:lvlJc w:val="left"/>
      <w:lvlText w:val="%1."/>
      <w:numFmt w:val="upperLetter"/>
      <w:start w:val="4"/>
    </w:lvl>
  </w:abstractNum>
  <w:abstractNum w:abstractNumId="54">
    <w:nsid w:val="5675FF36"/>
    <w:multiLevelType w:val="hybridMultilevel"/>
    <w:lvl w:ilvl="0">
      <w:lvlJc w:val="left"/>
      <w:lvlText w:val="(%1)"/>
      <w:numFmt w:val="decimal"/>
      <w:start w:val="1"/>
    </w:lvl>
  </w:abstractNum>
  <w:abstractNum w:abstractNumId="55">
    <w:nsid w:val="3DD15094"/>
    <w:multiLevelType w:val="hybridMultilevel"/>
    <w:lvl w:ilvl="0">
      <w:lvlJc w:val="left"/>
      <w:lvlText w:val="***"/>
      <w:numFmt w:val="bullet"/>
      <w:start w:val="1"/>
    </w:lvl>
    <w:lvl w:ilvl="1">
      <w:lvlJc w:val="left"/>
      <w:lvlText w:val="**"/>
      <w:numFmt w:val="bullet"/>
      <w:start w:val="1"/>
    </w:lvl>
  </w:abstractNum>
  <w:abstractNum w:abstractNumId="56">
    <w:nsid w:val="3DB012B3"/>
    <w:multiLevelType w:val="hybridMultilevel"/>
    <w:lvl w:ilvl="0">
      <w:lvlJc w:val="left"/>
      <w:lvlText w:val="(%1)"/>
      <w:numFmt w:val="lowerRoman"/>
      <w:start w:val="2"/>
    </w:lvl>
  </w:abstractNum>
  <w:abstractNum w:abstractNumId="57">
    <w:nsid w:val="2708C9AF"/>
    <w:multiLevelType w:val="hybridMultilevel"/>
    <w:lvl w:ilvl="0">
      <w:lvlJc w:val="left"/>
      <w:lvlText w:val="(%1)"/>
      <w:numFmt w:val="lowerRoman"/>
      <w:start w:val="3"/>
    </w:lvl>
  </w:abstractNum>
  <w:abstractNum w:abstractNumId="58">
    <w:nsid w:val="5B25ACE2"/>
    <w:multiLevelType w:val="hybridMultilevel"/>
    <w:lvl w:ilvl="0">
      <w:lvlJc w:val="left"/>
      <w:lvlText w:val="(%1)"/>
      <w:numFmt w:val="lowerLetter"/>
      <w:start w:val="6"/>
    </w:lvl>
  </w:abstractNum>
  <w:abstractNum w:abstractNumId="59">
    <w:nsid w:val="175DFCF0"/>
    <w:multiLevelType w:val="hybridMultilevel"/>
    <w:lvl w:ilvl="0">
      <w:lvlJc w:val="left"/>
      <w:lvlText w:val="(%1)"/>
      <w:numFmt w:val="decimal"/>
      <w:start w:val="6"/>
    </w:lvl>
  </w:abstractNum>
  <w:abstractNum w:abstractNumId="60">
    <w:nsid w:val="4F97E3E4"/>
    <w:multiLevelType w:val="hybridMultilevel"/>
    <w:lvl w:ilvl="0">
      <w:lvlJc w:val="left"/>
      <w:lvlText w:val="(%1)"/>
      <w:numFmt w:val="decimal"/>
      <w:start w:val="12"/>
    </w:lvl>
  </w:abstractNum>
  <w:abstractNum w:abstractNumId="61">
    <w:nsid w:val="53B0A9E"/>
    <w:multiLevelType w:val="hybridMultilevel"/>
    <w:lvl w:ilvl="0">
      <w:lvlJc w:val="left"/>
      <w:lvlText w:val="(%1)"/>
      <w:numFmt w:val="decimal"/>
      <w:start w:val="15"/>
    </w:lvl>
    <w:lvl w:ilvl="1">
      <w:lvlJc w:val="left"/>
      <w:lvlText w:val="(%2)"/>
      <w:numFmt w:val="decimal"/>
      <w:start w:val="17"/>
    </w:lvl>
  </w:abstractNum>
  <w:abstractNum w:abstractNumId="62">
    <w:nsid w:val="34FD6B4F"/>
    <w:multiLevelType w:val="hybridMultilevel"/>
    <w:lvl w:ilvl="0">
      <w:lvlJc w:val="left"/>
      <w:lvlText w:val="(%1)"/>
      <w:numFmt w:val="decimal"/>
      <w:start w:val="25"/>
    </w:lvl>
  </w:abstractNum>
  <w:abstractNum w:abstractNumId="63">
    <w:nsid w:val="5915FF32"/>
    <w:multiLevelType w:val="hybridMultilevel"/>
    <w:lvl w:ilvl="0">
      <w:lvlJc w:val="left"/>
      <w:lvlText w:val="(%1)"/>
      <w:numFmt w:val="lowerRoman"/>
      <w:start w:val="1"/>
    </w:lvl>
  </w:abstractNum>
  <w:abstractNum w:abstractNumId="64">
    <w:nsid w:val="56438D15"/>
    <w:multiLevelType w:val="hybridMultilevel"/>
    <w:lvl w:ilvl="0">
      <w:lvlJc w:val="left"/>
      <w:lvlText w:val="(%1)"/>
      <w:numFmt w:val="lowerRoman"/>
      <w:start w:val="3"/>
    </w:lvl>
  </w:abstractNum>
  <w:abstractNum w:abstractNumId="65">
    <w:nsid w:val="519E3149"/>
    <w:multiLevelType w:val="hybridMultilevel"/>
    <w:lvl w:ilvl="0">
      <w:lvlJc w:val="left"/>
      <w:lvlText w:val="(%1)"/>
      <w:numFmt w:val="lowerRoman"/>
      <w:start w:val="2"/>
    </w:lvl>
  </w:abstractNum>
  <w:abstractNum w:abstractNumId="66">
    <w:nsid w:val="2C6E4AFD"/>
    <w:multiLevelType w:val="hybridMultilevel"/>
    <w:lvl w:ilvl="0">
      <w:lvlJc w:val="left"/>
      <w:lvlText w:val="(%1)"/>
      <w:numFmt w:val="lowerLetter"/>
      <w:start w:val="3"/>
    </w:lvl>
  </w:abstractNum>
  <w:abstractNum w:abstractNumId="67">
    <w:nsid w:val="17A1B582"/>
    <w:multiLevelType w:val="hybridMultilevel"/>
    <w:lvl w:ilvl="0">
      <w:lvlJc w:val="left"/>
      <w:lvlText w:val="(%1)"/>
      <w:numFmt w:val="lowerRoman"/>
      <w:start w:val="2"/>
    </w:lvl>
  </w:abstractNum>
  <w:abstractNum w:abstractNumId="68">
    <w:nsid w:val="4DF72E4E"/>
    <w:multiLevelType w:val="hybridMultilevel"/>
    <w:lvl w:ilvl="0">
      <w:lvlJc w:val="left"/>
      <w:lvlText w:val="(%1)"/>
      <w:numFmt w:val="lowerLetter"/>
      <w:start w:val="5"/>
    </w:lvl>
  </w:abstractNum>
  <w:abstractNum w:abstractNumId="69">
    <w:nsid w:val="5046B5A9"/>
    <w:multiLevelType w:val="hybridMultilevel"/>
    <w:lvl w:ilvl="0">
      <w:lvlJc w:val="left"/>
      <w:lvlText w:val="(%1)"/>
      <w:numFmt w:val="upperLetter"/>
      <w:start w:val="2"/>
    </w:lvl>
  </w:abstractNum>
  <w:abstractNum w:abstractNumId="70">
    <w:nsid w:val="5D888A08"/>
    <w:multiLevelType w:val="hybridMultilevel"/>
    <w:lvl w:ilvl="0">
      <w:lvlJc w:val="left"/>
      <w:lvlText w:val="(%1)"/>
      <w:numFmt w:val="decimal"/>
      <w:start w:val="1"/>
    </w:lvl>
  </w:abstractNum>
  <w:abstractNum w:abstractNumId="71">
    <w:nsid w:val="2A082C70"/>
    <w:multiLevelType w:val="hybridMultilevel"/>
    <w:lvl w:ilvl="0">
      <w:lvlJc w:val="left"/>
      <w:lvlText w:val="(%1)"/>
      <w:numFmt w:val="lowerLetter"/>
      <w:start w:val="11"/>
    </w:lvl>
  </w:abstractNum>
  <w:abstractNum w:abstractNumId="72">
    <w:nsid w:val="5EC6AFD4"/>
    <w:multiLevelType w:val="hybridMultilevel"/>
    <w:lvl w:ilvl="0">
      <w:lvlJc w:val="left"/>
      <w:lvlText w:val="(%1)"/>
      <w:numFmt w:val="lowerLetter"/>
      <w:start w:val="3"/>
    </w:lvl>
    <w:lvl w:ilvl="1">
      <w:lvlJc w:val="left"/>
      <w:lvlText w:val="(%2)"/>
      <w:numFmt w:val="lowerLetter"/>
      <w:start w:val="3"/>
    </w:lvl>
  </w:abstractNum>
  <w:abstractNum w:abstractNumId="73">
    <w:nsid w:val="19E21BB2"/>
    <w:multiLevelType w:val="hybridMultilevel"/>
    <w:lvl w:ilvl="0">
      <w:lvlJc w:val="left"/>
      <w:lvlText w:val="(%1)"/>
      <w:numFmt w:val="lowerLetter"/>
      <w:start w:val="4"/>
    </w:lvl>
  </w:abstractNum>
  <w:abstractNum w:abstractNumId="74">
    <w:nsid w:val="75E0858A"/>
    <w:multiLevelType w:val="hybridMultilevel"/>
    <w:lvl w:ilvl="0">
      <w:lvlJc w:val="left"/>
      <w:lvlText w:val="(%1)"/>
      <w:numFmt w:val="decimal"/>
      <w:start w:val="1"/>
    </w:lvl>
  </w:abstractNum>
  <w:abstractNum w:abstractNumId="75">
    <w:nsid w:val="57A61A29"/>
    <w:multiLevelType w:val="hybridMultilevel"/>
    <w:lvl w:ilvl="0">
      <w:lvlJc w:val="left"/>
      <w:lvlText w:val="(%1)"/>
      <w:numFmt w:val="decimal"/>
      <w:start w:val="3"/>
    </w:lvl>
  </w:abstractNum>
  <w:abstractNum w:abstractNumId="76">
    <w:nsid w:val="5399C654"/>
    <w:multiLevelType w:val="hybridMultilevel"/>
    <w:lvl w:ilvl="0">
      <w:lvlJc w:val="left"/>
      <w:lvlText w:val="(%1)"/>
      <w:numFmt w:val="decimal"/>
      <w:start w:val="11"/>
    </w:lvl>
  </w:abstractNum>
  <w:abstractNum w:abstractNumId="77">
    <w:nsid w:val="20EE1348"/>
    <w:multiLevelType w:val="hybridMultilevel"/>
    <w:lvl w:ilvl="0">
      <w:lvlJc w:val="left"/>
      <w:lvlText w:val="(%1)"/>
      <w:numFmt w:val="lowerLetter"/>
      <w:start w:val="3"/>
    </w:lvl>
  </w:abstractNum>
  <w:abstractNum w:abstractNumId="78">
    <w:nsid w:val="4427069A"/>
    <w:multiLevelType w:val="hybridMultilevel"/>
    <w:lvl w:ilvl="0">
      <w:lvlJc w:val="left"/>
      <w:lvlText w:val="(%1)"/>
      <w:numFmt w:val="lowerLetter"/>
      <w:start w:val="2"/>
    </w:lvl>
  </w:abstractNum>
  <w:abstractNum w:abstractNumId="79">
    <w:nsid w:val="B37E80A"/>
    <w:multiLevelType w:val="hybridMultilevel"/>
    <w:lvl w:ilvl="0">
      <w:lvlJc w:val="left"/>
      <w:lvlText w:val="(%1)"/>
      <w:numFmt w:val="lowerLetter"/>
      <w:start w:val="1"/>
    </w:lvl>
  </w:abstractNum>
  <w:abstractNum w:abstractNumId="80">
    <w:nsid w:val="2157F6BC"/>
    <w:multiLevelType w:val="hybridMultilevel"/>
    <w:lvl w:ilvl="0">
      <w:lvlJc w:val="left"/>
      <w:lvlText w:val="(%1)"/>
      <w:numFmt w:val="lowerLetter"/>
      <w:start w:val="2"/>
    </w:lvl>
  </w:abstractNum>
  <w:abstractNum w:abstractNumId="81">
    <w:nsid w:val="704E1DD5"/>
    <w:multiLevelType w:val="hybridMultilevel"/>
    <w:lvl w:ilvl="0">
      <w:lvlJc w:val="left"/>
      <w:lvlText w:val="(%1)"/>
      <w:numFmt w:val="lowerLetter"/>
      <w:start w:val="3"/>
    </w:lvl>
  </w:abstractNum>
  <w:abstractNum w:abstractNumId="82">
    <w:nsid w:val="57D2F10E"/>
    <w:multiLevelType w:val="hybridMultilevel"/>
    <w:lvl w:ilvl="0">
      <w:lvlJc w:val="left"/>
      <w:lvlText w:val="%1"/>
      <w:numFmt w:val="lowerLetter"/>
      <w:start w:val="1"/>
    </w:lvl>
    <w:lvl w:ilvl="1">
      <w:lvlJc w:val="left"/>
      <w:lvlText w:val="(%2)"/>
      <w:numFmt w:val="lowerLetter"/>
      <w:start w:val="4"/>
    </w:lvl>
  </w:abstractNum>
  <w:abstractNum w:abstractNumId="83">
    <w:nsid w:val="BFFAE18"/>
    <w:multiLevelType w:val="hybridMultilevel"/>
    <w:lvl w:ilvl="0">
      <w:lvlJc w:val="left"/>
      <w:lvlText w:val="(%1)"/>
      <w:numFmt w:val="lowerLetter"/>
      <w:start w:val="35"/>
    </w:lvl>
    <w:lvl w:ilvl="1">
      <w:lvlJc w:val="left"/>
      <w:lvlText w:val="%2"/>
      <w:numFmt w:val="lowerLetter"/>
      <w:start w:val="1"/>
    </w:lvl>
  </w:abstractNum>
  <w:abstractNum w:abstractNumId="84">
    <w:nsid w:val="E3E47A8"/>
    <w:multiLevelType w:val="hybridMultilevel"/>
    <w:lvl w:ilvl="0">
      <w:lvlJc w:val="left"/>
      <w:lvlText w:val="(%1)"/>
      <w:numFmt w:val="lowerLetter"/>
      <w:start w:val="1"/>
    </w:lvl>
  </w:abstractNum>
  <w:abstractNum w:abstractNumId="85">
    <w:nsid w:val="2E48F044"/>
    <w:multiLevelType w:val="hybridMultilevel"/>
    <w:lvl w:ilvl="0">
      <w:lvlJc w:val="left"/>
      <w:lvlText w:val="(%1)"/>
      <w:numFmt w:val="lowerLetter"/>
      <w:start w:val="61"/>
    </w:lvl>
    <w:lvl w:ilvl="1">
      <w:lvlJc w:val="left"/>
      <w:lvlText w:val="(%2)"/>
      <w:numFmt w:val="lowerLetter"/>
      <w:start w:val="2"/>
    </w:lvl>
  </w:abstractNum>
  <w:abstractNum w:abstractNumId="86">
    <w:nsid w:val="49D0FEAC"/>
    <w:multiLevelType w:val="hybridMultilevel"/>
    <w:lvl w:ilvl="0">
      <w:lvlJc w:val="left"/>
      <w:lvlText w:val="(%1)"/>
      <w:numFmt w:val="lowerLetter"/>
      <w:start w:val="1"/>
    </w:lvl>
  </w:abstractNum>
  <w:abstractNum w:abstractNumId="87">
    <w:nsid w:val="4BEE5A5B"/>
    <w:multiLevelType w:val="hybridMultilevel"/>
    <w:lvl w:ilvl="0">
      <w:lvlJc w:val="left"/>
      <w:lvlText w:val="(%1)"/>
      <w:numFmt w:val="lowerLetter"/>
      <w:start w:val="2"/>
    </w:lvl>
  </w:abstractNum>
  <w:abstractNum w:abstractNumId="88">
    <w:nsid w:val="5551B9F3"/>
    <w:multiLevelType w:val="hybridMultilevel"/>
    <w:lvl w:ilvl="0">
      <w:lvlJc w:val="left"/>
      <w:lvlText w:val="(%1)"/>
      <w:numFmt w:val="lowerLetter"/>
      <w:start w:val="3"/>
    </w:lvl>
  </w:abstractNum>
  <w:abstractNum w:abstractNumId="89">
    <w:nsid w:val="24F6AB8E"/>
    <w:multiLevelType w:val="hybridMultilevel"/>
    <w:lvl w:ilvl="0">
      <w:lvlJc w:val="left"/>
      <w:lvlText w:val="%1"/>
      <w:numFmt w:val="lowerLetter"/>
      <w:start w:val="1"/>
    </w:lvl>
    <w:lvl w:ilvl="1">
      <w:lvlJc w:val="left"/>
      <w:lvlText w:val="(%2)"/>
      <w:numFmt w:val="lowerLetter"/>
      <w:start w:val="4"/>
    </w:lvl>
  </w:abstractNum>
  <w:abstractNum w:abstractNumId="90">
    <w:nsid w:val="634C574C"/>
    <w:multiLevelType w:val="hybridMultilevel"/>
    <w:lvl w:ilvl="0">
      <w:lvlJc w:val="left"/>
      <w:lvlText w:val="(%1)"/>
      <w:numFmt w:val="lowerLetter"/>
      <w:start w:val="5"/>
    </w:lvl>
    <w:lvl w:ilvl="1">
      <w:lvlJc w:val="left"/>
      <w:lvlText w:val="%2"/>
      <w:numFmt w:val="lowerLetter"/>
      <w:start w:val="1"/>
    </w:lvl>
  </w:abstractNum>
  <w:abstractNum w:abstractNumId="91">
    <w:nsid w:val="24E99DD7"/>
    <w:multiLevelType w:val="hybridMultilevel"/>
    <w:lvl w:ilvl="0">
      <w:lvlJc w:val="left"/>
      <w:lvlText w:val="%1"/>
      <w:numFmt w:val="lowerLetter"/>
      <w:start w:val="1"/>
    </w:lvl>
    <w:lvl w:ilvl="1">
      <w:lvlJc w:val="left"/>
      <w:lvlText w:val="(%2)"/>
      <w:numFmt w:val="lowerLetter"/>
      <w:start w:val="1"/>
    </w:lvl>
  </w:abstractNum>
  <w:abstractNum w:abstractNumId="92">
    <w:nsid w:val="2A31B62D"/>
    <w:multiLevelType w:val="hybridMultilevel"/>
    <w:lvl w:ilvl="0">
      <w:lvlJc w:val="left"/>
      <w:lvlText w:val="(%1)"/>
      <w:numFmt w:val="lowerLetter"/>
      <w:start w:val="2"/>
    </w:lvl>
    <w:lvl w:ilvl="1">
      <w:lvlJc w:val="left"/>
      <w:lvlText w:val="%2"/>
      <w:numFmt w:val="lowerLetter"/>
      <w:start w:val="1"/>
    </w:lvl>
  </w:abstractNum>
  <w:abstractNum w:abstractNumId="93">
    <w:nsid w:val="1849C29B"/>
    <w:multiLevelType w:val="hybridMultilevel"/>
    <w:lvl w:ilvl="0">
      <w:lvlJc w:val="left"/>
      <w:lvlText w:val="(%1)"/>
      <w:numFmt w:val="lowerLetter"/>
      <w:start w:val="3"/>
    </w:lvl>
  </w:abstractNum>
  <w:abstractNum w:abstractNumId="94">
    <w:nsid w:val="7DFF9D09"/>
    <w:multiLevelType w:val="hybridMultilevel"/>
    <w:lvl w:ilvl="0">
      <w:lvlJc w:val="left"/>
      <w:lvlText w:val="(%1)"/>
      <w:numFmt w:val="lowerLetter"/>
      <w:start w:val="1"/>
    </w:lvl>
  </w:abstractNum>
  <w:abstractNum w:abstractNumId="95">
    <w:nsid w:val="754342"/>
    <w:multiLevelType w:val="hybridMultilevel"/>
    <w:lvl w:ilvl="0">
      <w:lvlJc w:val="left"/>
      <w:lvlText w:val="(%1)"/>
      <w:numFmt w:val="lowerLetter"/>
      <w:start w:val="2"/>
    </w:lvl>
  </w:abstractNum>
  <w:abstractNum w:abstractNumId="96">
    <w:nsid w:val="69E7F3E5"/>
    <w:multiLevelType w:val="hybridMultilevel"/>
    <w:lvl w:ilvl="0">
      <w:lvlJc w:val="left"/>
      <w:lvlText w:val="(%1)"/>
      <w:numFmt w:val="lowerLetter"/>
      <w:start w:val="1"/>
    </w:lvl>
  </w:abstractNum>
  <w:abstractNum w:abstractNumId="97">
    <w:nsid w:val="2A6DE806"/>
    <w:multiLevelType w:val="hybridMultilevel"/>
    <w:lvl w:ilvl="0">
      <w:lvlJc w:val="left"/>
      <w:lvlText w:val="(%1)"/>
      <w:numFmt w:val="lowerLetter"/>
      <w:start w:val="2"/>
    </w:lvl>
  </w:abstractNum>
  <w:abstractNum w:abstractNumId="98">
    <w:nsid w:val="1816F8C4"/>
    <w:multiLevelType w:val="hybridMultilevel"/>
    <w:lvl w:ilvl="0">
      <w:lvlJc w:val="left"/>
      <w:lvlText w:val="(%1)"/>
      <w:numFmt w:val="lowerLetter"/>
      <w:start w:val="3"/>
    </w:lvl>
  </w:abstractNum>
  <w:abstractNum w:abstractNumId="99">
    <w:nsid w:val="37DF2233"/>
    <w:multiLevelType w:val="hybridMultilevel"/>
    <w:lvl w:ilvl="0">
      <w:lvlJc w:val="left"/>
      <w:lvlText w:val="(%1)"/>
      <w:numFmt w:val="lowerLetter"/>
      <w:start w:val="1"/>
    </w:lvl>
  </w:abstractNum>
  <w:abstractNum w:abstractNumId="100">
    <w:nsid w:val="7AB49DAF"/>
    <w:multiLevelType w:val="hybridMultilevel"/>
    <w:lvl w:ilvl="0">
      <w:lvlJc w:val="left"/>
      <w:lvlText w:val="(%1)"/>
      <w:numFmt w:val="lowerLetter"/>
      <w:start w:val="2"/>
    </w:lvl>
  </w:abstractNum>
  <w:abstractNum w:abstractNumId="101">
    <w:nsid w:val="759F82CD"/>
    <w:multiLevelType w:val="hybridMultilevel"/>
    <w:lvl w:ilvl="0">
      <w:lvlJc w:val="left"/>
      <w:lvlText w:val="(%1)"/>
      <w:numFmt w:val="lowerLetter"/>
      <w:start w:val="1"/>
    </w:lvl>
  </w:abstractNum>
  <w:abstractNum w:abstractNumId="102">
    <w:nsid w:val="61E74EA3"/>
    <w:multiLevelType w:val="hybridMultilevel"/>
    <w:lvl w:ilvl="0">
      <w:lvlJc w:val="left"/>
      <w:lvlText w:val="(%1)"/>
      <w:numFmt w:val="lowerLetter"/>
      <w:start w:val="2"/>
    </w:lvl>
  </w:abstractNum>
  <w:abstractNum w:abstractNumId="103">
    <w:nsid w:val="597B4D84"/>
    <w:multiLevelType w:val="hybridMultilevel"/>
    <w:lvl w:ilvl="0">
      <w:lvlJc w:val="left"/>
      <w:lvlText w:val="(%1)"/>
      <w:numFmt w:val="upperLetter"/>
      <w:start w:val="3"/>
    </w:lvl>
  </w:abstractNum>
  <w:abstractNum w:abstractNumId="104">
    <w:nsid w:val="F819E7F"/>
    <w:multiLevelType w:val="hybridMultilevel"/>
    <w:lvl w:ilvl="0">
      <w:lvlJc w:val="left"/>
      <w:lvlText w:val="(%1)"/>
      <w:numFmt w:val="lowerLetter"/>
      <w:start w:val="2"/>
    </w:lvl>
  </w:abstractNum>
  <w:abstractNum w:abstractNumId="105">
    <w:nsid w:val="57C7D42D"/>
    <w:multiLevelType w:val="hybridMultilevel"/>
    <w:lvl w:ilvl="0">
      <w:lvlJc w:val="left"/>
      <w:lvlText w:val="(%1)"/>
      <w:numFmt w:val="upperLetter"/>
      <w:start w:val="2"/>
    </w:lvl>
    <w:lvl w:ilvl="1">
      <w:lvlJc w:val="left"/>
      <w:lvlText w:val="(%2)"/>
      <w:numFmt w:val="upperLetter"/>
      <w:start w:val="3"/>
    </w:lvl>
  </w:abstractNum>
  <w:abstractNum w:abstractNumId="106">
    <w:nsid w:val="312167AD"/>
    <w:multiLevelType w:val="hybridMultilevel"/>
    <w:lvl w:ilvl="0">
      <w:lvlJc w:val="left"/>
      <w:lvlText w:val="(%1)"/>
      <w:numFmt w:val="lowerLetter"/>
      <w:start w:val="2"/>
    </w:lvl>
  </w:abstractNum>
  <w:abstractNum w:abstractNumId="107">
    <w:nsid w:val="631B64D4"/>
    <w:multiLevelType w:val="hybridMultilevel"/>
    <w:lvl w:ilvl="0">
      <w:lvlJc w:val="left"/>
      <w:lvlText w:val="(%1)"/>
      <w:numFmt w:val="lowerLetter"/>
      <w:start w:val="2"/>
    </w:lvl>
  </w:abstractNum>
  <w:abstractNum w:abstractNumId="108">
    <w:nsid w:val="78B5E776"/>
    <w:multiLevelType w:val="hybridMultilevel"/>
    <w:lvl w:ilvl="0">
      <w:lvlJc w:val="left"/>
      <w:lvlText w:val="(%1)"/>
      <w:numFmt w:val="lowerLetter"/>
      <w:start w:val="3"/>
    </w:lvl>
  </w:abstractNum>
  <w:abstractNum w:abstractNumId="109">
    <w:nsid w:val="75486E47"/>
    <w:multiLevelType w:val="hybridMultilevel"/>
    <w:lvl w:ilvl="0">
      <w:lvlJc w:val="left"/>
      <w:lvlText w:val="(%1)"/>
      <w:numFmt w:val="lowerLetter"/>
      <w:start w:val="1"/>
    </w:lvl>
  </w:abstractNum>
  <w:abstractNum w:abstractNumId="110">
    <w:nsid w:val="6E534CDE"/>
    <w:multiLevelType w:val="hybridMultilevel"/>
    <w:lvl w:ilvl="0">
      <w:lvlJc w:val="left"/>
      <w:lvlText w:val="%1"/>
      <w:numFmt w:val="lowerRoman"/>
      <w:start w:val="1"/>
    </w:lvl>
    <w:lvl w:ilvl="1">
      <w:lvlJc w:val="left"/>
      <w:lvlText w:val="(%2)"/>
      <w:numFmt w:val="lowerRoman"/>
      <w:start w:val="1"/>
    </w:lvl>
  </w:abstractNum>
  <w:abstractNum w:abstractNumId="111">
    <w:nsid w:val="1A0DDE32"/>
    <w:multiLevelType w:val="hybridMultilevel"/>
    <w:lvl w:ilvl="0">
      <w:lvlJc w:val="left"/>
      <w:lvlText w:val="(%1)"/>
      <w:numFmt w:val="lowerRoman"/>
      <w:start w:val="2"/>
    </w:lvl>
    <w:lvl w:ilvl="1">
      <w:lvlJc w:val="left"/>
      <w:lvlText w:val="%2"/>
      <w:numFmt w:val="lowerRoman"/>
      <w:start w:val="1"/>
    </w:lvl>
  </w:abstractNum>
  <w:abstractNum w:abstractNumId="112">
    <w:nsid w:val="65968C1C"/>
    <w:multiLevelType w:val="hybridMultilevel"/>
    <w:lvl w:ilvl="0">
      <w:lvlJc w:val="left"/>
      <w:lvlText w:val="(%1)"/>
      <w:numFmt w:val="lowerLetter"/>
      <w:start w:val="2"/>
    </w:lvl>
  </w:abstractNum>
  <w:abstractNum w:abstractNumId="113">
    <w:nsid w:val="46263DEC"/>
    <w:multiLevelType w:val="hybridMultilevel"/>
    <w:lvl w:ilvl="0">
      <w:lvlJc w:val="left"/>
      <w:lvlText w:val="(%1)"/>
      <w:numFmt w:val="lowerRoman"/>
      <w:start w:val="1"/>
    </w:lvl>
  </w:abstractNum>
  <w:abstractNum w:abstractNumId="114">
    <w:nsid w:val="260D8C4A"/>
    <w:multiLevelType w:val="hybridMultilevel"/>
    <w:lvl w:ilvl="0">
      <w:lvlJc w:val="left"/>
      <w:lvlText w:val="(%1)"/>
      <w:numFmt w:val="lowerRoman"/>
      <w:start w:val="2"/>
    </w:lvl>
  </w:abstractNum>
  <w:abstractNum w:abstractNumId="115">
    <w:nsid w:val="73D4D3C4"/>
    <w:multiLevelType w:val="hybridMultilevel"/>
    <w:lvl w:ilvl="0">
      <w:lvlJc w:val="left"/>
      <w:lvlText w:val="(%1)"/>
      <w:numFmt w:val="lowerLetter"/>
      <w:start w:val="1"/>
    </w:lvl>
  </w:abstractNum>
  <w:abstractNum w:abstractNumId="116">
    <w:nsid w:val="746F2E30"/>
    <w:multiLevelType w:val="hybridMultilevel"/>
    <w:lvl w:ilvl="0">
      <w:lvlJc w:val="left"/>
      <w:lvlText w:val="(%1)"/>
      <w:numFmt w:val="lowerLetter"/>
      <w:start w:val="2"/>
    </w:lvl>
  </w:abstractNum>
  <w:abstractNum w:abstractNumId="117">
    <w:nsid w:val="6FDE8AF6"/>
    <w:multiLevelType w:val="hybridMultilevel"/>
    <w:lvl w:ilvl="0">
      <w:lvlJc w:val="left"/>
      <w:lvlText w:val="(%1)"/>
      <w:numFmt w:val="lowerLetter"/>
      <w:start w:val="3"/>
    </w:lvl>
  </w:abstractNum>
  <w:abstractNum w:abstractNumId="118">
    <w:nsid w:val="3FC32E20"/>
    <w:multiLevelType w:val="hybridMultilevel"/>
    <w:lvl w:ilvl="0">
      <w:lvlJc w:val="left"/>
      <w:lvlText w:val="%1"/>
      <w:numFmt w:val="lowerLetter"/>
      <w:start w:val="1"/>
    </w:lvl>
    <w:lvl w:ilvl="1">
      <w:lvlJc w:val="left"/>
      <w:lvlText w:val="(%2)"/>
      <w:numFmt w:val="lowerLetter"/>
      <w:start w:val="4"/>
    </w:lvl>
  </w:abstractNum>
  <w:abstractNum w:abstractNumId="119">
    <w:nsid w:val="49C0E823"/>
    <w:multiLevelType w:val="hybridMultilevel"/>
    <w:lvl w:ilvl="0">
      <w:lvlJc w:val="left"/>
      <w:lvlText w:val="(%1)"/>
      <w:numFmt w:val="lowerLetter"/>
      <w:start w:val="9"/>
    </w:lvl>
    <w:lvl w:ilvl="1">
      <w:lvlJc w:val="left"/>
      <w:lvlText w:val="%2"/>
      <w:numFmt w:val="lowerLetter"/>
      <w:start w:val="1"/>
    </w:lvl>
  </w:abstractNum>
  <w:abstractNum w:abstractNumId="120">
    <w:nsid w:val="14D53685"/>
    <w:multiLevelType w:val="hybridMultilevel"/>
    <w:lvl w:ilvl="0">
      <w:lvlJc w:val="left"/>
      <w:lvlText w:val="(%1)"/>
      <w:numFmt w:val="lowerRoman"/>
      <w:start w:val="2"/>
    </w:lvl>
  </w:abstractNum>
  <w:abstractNum w:abstractNumId="121">
    <w:nsid w:val="230F856C"/>
    <w:multiLevelType w:val="hybridMultilevel"/>
    <w:lvl w:ilvl="0">
      <w:lvlJc w:val="left"/>
      <w:lvlText w:val="(%1)"/>
      <w:numFmt w:val="lowerRoman"/>
      <w:start w:val="3"/>
    </w:lvl>
  </w:abstractNum>
  <w:abstractNum w:abstractNumId="122">
    <w:nsid w:val="6EAA85FB"/>
    <w:multiLevelType w:val="hybridMultilevel"/>
    <w:lvl w:ilvl="0">
      <w:lvlJc w:val="left"/>
      <w:lvlText w:val="(%1)"/>
      <w:numFmt w:val="lowerRoman"/>
      <w:start w:val="4"/>
    </w:lvl>
  </w:abstractNum>
  <w:abstractNum w:abstractNumId="123">
    <w:nsid w:val="3F06ECB2"/>
    <w:multiLevelType w:val="hybridMultilevel"/>
    <w:lvl w:ilvl="0">
      <w:lvlJc w:val="left"/>
      <w:lvlText w:val="(%1)"/>
      <w:numFmt w:val="lowerLetter"/>
      <w:start w:val="2"/>
    </w:lvl>
  </w:abstractNum>
  <w:abstractNum w:abstractNumId="124">
    <w:nsid w:val="3B594807"/>
    <w:multiLevelType w:val="hybridMultilevel"/>
    <w:lvl w:ilvl="0">
      <w:lvlJc w:val="left"/>
      <w:lvlText w:val="%1."/>
      <w:numFmt w:val="decimal"/>
      <w:start w:val="1"/>
    </w:lvl>
  </w:abstractNum>
  <w:abstractNum w:abstractNumId="125">
    <w:nsid w:val="6CAA2304"/>
    <w:multiLevelType w:val="hybridMultilevel"/>
    <w:lvl w:ilvl="0">
      <w:lvlJc w:val="left"/>
      <w:lvlText w:val="%1."/>
      <w:numFmt w:val="decimal"/>
      <w:start w:val="2"/>
    </w:lvl>
  </w:abstractNum>
  <w:abstractNum w:abstractNumId="126">
    <w:nsid w:val="3F7C2FF4"/>
    <w:multiLevelType w:val="hybridMultilevel"/>
    <w:lvl w:ilvl="0">
      <w:lvlJc w:val="left"/>
      <w:lvlText w:val="%1."/>
      <w:numFmt w:val="decimal"/>
      <w:start w:val="3"/>
    </w:lvl>
  </w:abstractNum>
  <w:abstractNum w:abstractNumId="127">
    <w:nsid w:val="25413BEC"/>
    <w:multiLevelType w:val="hybridMultilevel"/>
    <w:lvl w:ilvl="0">
      <w:lvlJc w:val="left"/>
      <w:lvlText w:val="%1."/>
      <w:numFmt w:val="decimal"/>
      <w:start w:val="4"/>
    </w:lvl>
  </w:abstractNum>
  <w:abstractNum w:abstractNumId="128">
    <w:nsid w:val="17180B0B"/>
    <w:multiLevelType w:val="hybridMultilevel"/>
    <w:lvl w:ilvl="0">
      <w:lvlJc w:val="left"/>
      <w:lvlText w:val="%1."/>
      <w:numFmt w:val="decimal"/>
      <w:start w:val="5"/>
    </w:lvl>
  </w:abstractNum>
  <w:abstractNum w:abstractNumId="129">
    <w:nsid w:val="579328B9"/>
    <w:multiLevelType w:val="hybridMultilevel"/>
    <w:lvl w:ilvl="0">
      <w:lvlJc w:val="left"/>
      <w:lvlText w:val="%1."/>
      <w:numFmt w:val="decimal"/>
      <w:start w:val="6"/>
    </w:lvl>
  </w:abstractNum>
  <w:abstractNum w:abstractNumId="130">
    <w:nsid w:val="5D205E20"/>
    <w:multiLevelType w:val="hybridMultilevel"/>
    <w:lvl w:ilvl="0">
      <w:lvlJc w:val="left"/>
      <w:lvlText w:val="(%1)"/>
      <w:numFmt w:val="lowerLetter"/>
      <w:start w:val="1"/>
    </w:lvl>
  </w:abstractNum>
  <w:abstractNum w:abstractNumId="131">
    <w:nsid w:val="11CCA8BA"/>
    <w:multiLevelType w:val="hybridMultilevel"/>
    <w:lvl w:ilvl="0">
      <w:lvlJc w:val="left"/>
      <w:lvlText w:val="(%1)"/>
      <w:numFmt w:val="lowerRoman"/>
      <w:start w:val="2"/>
    </w:lvl>
  </w:abstractNum>
  <w:abstractNum w:abstractNumId="132">
    <w:nsid w:val="4D32AB86"/>
    <w:multiLevelType w:val="hybridMultilevel"/>
    <w:lvl w:ilvl="0">
      <w:lvlJc w:val="left"/>
      <w:lvlText w:val="(%1)"/>
      <w:numFmt w:val="lowerLetter"/>
      <w:start w:val="2"/>
    </w:lvl>
  </w:abstractNum>
  <w:abstractNum w:abstractNumId="133">
    <w:nsid w:val="3F07ACC3"/>
    <w:multiLevelType w:val="hybridMultilevel"/>
    <w:lvl w:ilvl="0">
      <w:lvlJc w:val="left"/>
      <w:lvlText w:val="(%1)"/>
      <w:numFmt w:val="lowerLetter"/>
      <w:start w:val="3"/>
    </w:lvl>
  </w:abstractNum>
  <w:abstractNum w:abstractNumId="134">
    <w:nsid w:val="6B47F63E"/>
    <w:multiLevelType w:val="hybridMultilevel"/>
    <w:lvl w:ilvl="0">
      <w:lvlJc w:val="left"/>
      <w:lvlText w:val="%1"/>
      <w:numFmt w:val="lowerLetter"/>
      <w:start w:val="1"/>
    </w:lvl>
    <w:lvl w:ilvl="1">
      <w:lvlJc w:val="left"/>
      <w:lvlText w:val="(%2)"/>
      <w:numFmt w:val="lowerLetter"/>
      <w:start w:val="4"/>
    </w:lvl>
  </w:abstractNum>
  <w:abstractNum w:abstractNumId="135">
    <w:nsid w:val="5CB44A05"/>
    <w:multiLevelType w:val="hybridMultilevel"/>
    <w:lvl w:ilvl="0">
      <w:lvlJc w:val="left"/>
      <w:lvlText w:val="(%1)"/>
      <w:numFmt w:val="lowerLetter"/>
      <w:start w:val="35"/>
    </w:lvl>
    <w:lvl w:ilvl="1">
      <w:lvlJc w:val="left"/>
      <w:lvlText w:val="%2"/>
      <w:numFmt w:val="lowerLetter"/>
      <w:start w:val="1"/>
    </w:lvl>
  </w:abstractNum>
  <w:abstractNum w:abstractNumId="136">
    <w:nsid w:val="16CF80F1"/>
    <w:multiLevelType w:val="hybridMultilevel"/>
    <w:lvl w:ilvl="0">
      <w:lvlJc w:val="left"/>
      <w:lvlText w:val="(%1)"/>
      <w:numFmt w:val="lowerLetter"/>
      <w:start w:val="1"/>
    </w:lvl>
  </w:abstractNum>
  <w:abstractNum w:abstractNumId="137">
    <w:nsid w:val="1C695DEC"/>
    <w:multiLevelType w:val="hybridMultilevel"/>
    <w:lvl w:ilvl="0">
      <w:lvlJc w:val="left"/>
      <w:lvlText w:val="(%1)"/>
      <w:numFmt w:val="lowerLetter"/>
      <w:start w:val="2"/>
    </w:lvl>
  </w:abstractNum>
  <w:abstractNum w:abstractNumId="138">
    <w:nsid w:val="3FCFAED9"/>
    <w:multiLevelType w:val="hybridMultilevel"/>
    <w:lvl w:ilvl="0">
      <w:lvlJc w:val="left"/>
      <w:lvlText w:val="(%1)"/>
      <w:numFmt w:val="lowerLetter"/>
      <w:start w:val="1"/>
    </w:lvl>
  </w:abstractNum>
  <w:abstractNum w:abstractNumId="139">
    <w:nsid w:val="F856867"/>
    <w:multiLevelType w:val="hybridMultilevel"/>
    <w:lvl w:ilvl="0">
      <w:lvlJc w:val="left"/>
      <w:lvlText w:val="(%1)"/>
      <w:numFmt w:val="lowerLetter"/>
      <w:start w:val="2"/>
    </w:lvl>
  </w:abstractNum>
  <w:abstractNum w:abstractNumId="140">
    <w:nsid w:val="11B1CC33"/>
    <w:multiLevelType w:val="hybridMultilevel"/>
    <w:lvl w:ilvl="0">
      <w:lvlJc w:val="left"/>
      <w:lvlText w:val="(%1)"/>
      <w:numFmt w:val="lowerLetter"/>
      <w:start w:val="3"/>
    </w:lvl>
  </w:abstractNum>
  <w:abstractNum w:abstractNumId="141">
    <w:nsid w:val="2E22FBB7"/>
    <w:multiLevelType w:val="hybridMultilevel"/>
    <w:lvl w:ilvl="0">
      <w:lvlJc w:val="left"/>
      <w:lvlText w:val="%1"/>
      <w:numFmt w:val="lowerLetter"/>
      <w:start w:val="1"/>
    </w:lvl>
    <w:lvl w:ilvl="1">
      <w:lvlJc w:val="left"/>
      <w:lvlText w:val="(%2)"/>
      <w:numFmt w:val="lowerLetter"/>
      <w:start w:val="4"/>
    </w:lvl>
  </w:abstractNum>
  <w:abstractNum w:abstractNumId="142">
    <w:nsid w:val="29934699"/>
    <w:multiLevelType w:val="hybridMultilevel"/>
    <w:lvl w:ilvl="0">
      <w:lvlJc w:val="left"/>
      <w:lvlText w:val="(%1)"/>
      <w:numFmt w:val="lowerLetter"/>
      <w:start w:val="5"/>
    </w:lvl>
    <w:lvl w:ilvl="1">
      <w:lvlJc w:val="left"/>
      <w:lvlText w:val="%2"/>
      <w:numFmt w:val="lowerLetter"/>
      <w:start w:val="1"/>
    </w:lvl>
  </w:abstractNum>
  <w:abstractNum w:abstractNumId="143">
    <w:nsid w:val="77485850"/>
    <w:multiLevelType w:val="hybridMultilevel"/>
    <w:lvl w:ilvl="0">
      <w:lvlJc w:val="left"/>
      <w:lvlText w:val="%1"/>
      <w:numFmt w:val="lowerLetter"/>
      <w:start w:val="1"/>
    </w:lvl>
    <w:lvl w:ilvl="1">
      <w:lvlJc w:val="left"/>
      <w:lvlText w:val="(%2)"/>
      <w:numFmt w:val="lowerLetter"/>
      <w:start w:val="1"/>
    </w:lvl>
  </w:abstractNum>
  <w:abstractNum w:abstractNumId="144">
    <w:nsid w:val="744939A3"/>
    <w:multiLevelType w:val="hybridMultilevel"/>
    <w:lvl w:ilvl="0">
      <w:lvlJc w:val="left"/>
      <w:lvlText w:val="(%1)"/>
      <w:numFmt w:val="lowerLetter"/>
      <w:start w:val="2"/>
    </w:lvl>
    <w:lvl w:ilvl="1">
      <w:lvlJc w:val="left"/>
      <w:lvlText w:val="%2"/>
      <w:numFmt w:val="lowerLetter"/>
      <w:start w:val="1"/>
    </w:lvl>
  </w:abstractNum>
  <w:abstractNum w:abstractNumId="145">
    <w:nsid w:val="4FA0D2E3"/>
    <w:multiLevelType w:val="hybridMultilevel"/>
    <w:lvl w:ilvl="0">
      <w:lvlJc w:val="left"/>
      <w:lvlText w:val="(%1)"/>
      <w:numFmt w:val="lowerLetter"/>
      <w:start w:val="3"/>
    </w:lvl>
  </w:abstractNum>
  <w:abstractNum w:abstractNumId="146">
    <w:nsid w:val="6B1D2C14"/>
    <w:multiLevelType w:val="hybridMultilevel"/>
    <w:lvl w:ilvl="0">
      <w:lvlJc w:val="left"/>
      <w:lvlText w:val="(%1)"/>
      <w:numFmt w:val="lowerLetter"/>
      <w:start w:val="1"/>
    </w:lvl>
  </w:abstractNum>
  <w:abstractNum w:abstractNumId="147">
    <w:nsid w:val="68B867D3"/>
    <w:multiLevelType w:val="hybridMultilevel"/>
    <w:lvl w:ilvl="0">
      <w:lvlJc w:val="left"/>
      <w:lvlText w:val="(%1)"/>
      <w:numFmt w:val="lowerLetter"/>
      <w:start w:val="2"/>
    </w:lvl>
  </w:abstractNum>
  <w:abstractNum w:abstractNumId="148">
    <w:nsid w:val="3F7F5DD9"/>
    <w:multiLevelType w:val="hybridMultilevel"/>
    <w:lvl w:ilvl="0">
      <w:lvlJc w:val="left"/>
      <w:lvlText w:val="(%1)"/>
      <w:numFmt w:val="lowerLetter"/>
      <w:start w:val="1"/>
    </w:lvl>
  </w:abstractNum>
  <w:abstractNum w:abstractNumId="149">
    <w:nsid w:val="2AE05A34"/>
    <w:multiLevelType w:val="hybridMultilevel"/>
    <w:lvl w:ilvl="0">
      <w:lvlJc w:val="left"/>
      <w:lvlText w:val="(%1)"/>
      <w:numFmt w:val="lowerLetter"/>
      <w:start w:val="2"/>
    </w:lvl>
  </w:abstractNum>
  <w:abstractNum w:abstractNumId="150">
    <w:nsid w:val="32794FF7"/>
    <w:multiLevelType w:val="hybridMultilevel"/>
    <w:lvl w:ilvl="0">
      <w:lvlJc w:val="left"/>
      <w:lvlText w:val="(%1)"/>
      <w:numFmt w:val="lowerLetter"/>
      <w:start w:val="3"/>
    </w:lvl>
  </w:abstractNum>
  <w:abstractNum w:abstractNumId="151">
    <w:nsid w:val="5454945E"/>
    <w:multiLevelType w:val="hybridMultilevel"/>
    <w:lvl w:ilvl="0">
      <w:lvlJc w:val="left"/>
      <w:lvlText w:val="(%1)"/>
      <w:numFmt w:val="lowerLetter"/>
      <w:start w:val="1"/>
    </w:lvl>
  </w:abstractNum>
  <w:abstractNum w:abstractNumId="152">
    <w:nsid w:val="4DEFDFA0"/>
    <w:multiLevelType w:val="hybridMultilevel"/>
    <w:lvl w:ilvl="0">
      <w:lvlJc w:val="left"/>
      <w:lvlText w:val="(%1)"/>
      <w:numFmt w:val="lowerLetter"/>
      <w:start w:val="2"/>
    </w:lvl>
  </w:abstractNum>
  <w:abstractNum w:abstractNumId="153">
    <w:nsid w:val="2123D5F2"/>
    <w:multiLevelType w:val="hybridMultilevel"/>
    <w:lvl w:ilvl="0">
      <w:lvlJc w:val="left"/>
      <w:lvlText w:val="(%1)"/>
      <w:numFmt w:val="decimal"/>
      <w:start w:val="30"/>
    </w:lvl>
  </w:abstractNum>
  <w:abstractNum w:abstractNumId="154">
    <w:nsid w:val="135B8110"/>
    <w:multiLevelType w:val="hybridMultilevel"/>
    <w:lvl w:ilvl="0">
      <w:lvlJc w:val="left"/>
      <w:lvlText w:val="(%1)"/>
      <w:numFmt w:val="lowerLetter"/>
      <w:start w:val="1"/>
    </w:lvl>
  </w:abstractNum>
  <w:abstractNum w:abstractNumId="155">
    <w:nsid w:val="94927A8"/>
    <w:multiLevelType w:val="hybridMultilevel"/>
    <w:lvl w:ilvl="0">
      <w:lvlJc w:val="left"/>
      <w:lvlText w:val="(%1)"/>
      <w:numFmt w:val="lowerLetter"/>
      <w:start w:val="2"/>
    </w:lvl>
  </w:abstractNum>
  <w:abstractNum w:abstractNumId="156">
    <w:nsid w:val="DCDF8F6"/>
    <w:multiLevelType w:val="hybridMultilevel"/>
    <w:lvl w:ilvl="0">
      <w:lvlJc w:val="left"/>
      <w:lvlText w:val="(%1)"/>
      <w:numFmt w:val="lowerLetter"/>
      <w:start w:val="2"/>
    </w:lvl>
  </w:abstractNum>
  <w:abstractNum w:abstractNumId="157">
    <w:nsid w:val="52D7B105"/>
    <w:multiLevelType w:val="hybridMultilevel"/>
    <w:lvl w:ilvl="0">
      <w:lvlJc w:val="left"/>
      <w:lvlText w:val="(%1)"/>
      <w:numFmt w:val="upperLetter"/>
      <w:start w:val="2"/>
    </w:lvl>
    <w:lvl w:ilvl="1">
      <w:lvlJc w:val="left"/>
      <w:lvlText w:val="(%2)"/>
      <w:numFmt w:val="upperLetter"/>
      <w:start w:val="3"/>
    </w:lvl>
  </w:abstractNum>
  <w:abstractNum w:abstractNumId="158">
    <w:nsid w:val="2E8A6394"/>
    <w:multiLevelType w:val="hybridMultilevel"/>
    <w:lvl w:ilvl="0">
      <w:lvlJc w:val="left"/>
      <w:lvlText w:val="(%1)"/>
      <w:numFmt w:val="lowerLetter"/>
      <w:start w:val="2"/>
    </w:lvl>
  </w:abstractNum>
  <w:abstractNum w:abstractNumId="159">
    <w:nsid w:val="24E60401"/>
    <w:multiLevelType w:val="hybridMultilevel"/>
    <w:lvl w:ilvl="0">
      <w:lvlJc w:val="left"/>
      <w:lvlText w:val="(%1)"/>
      <w:numFmt w:val="lowerLetter"/>
      <w:start w:val="2"/>
    </w:lvl>
  </w:abstractNum>
  <w:abstractNum w:abstractNumId="160">
    <w:nsid w:val="2A6AD9BE"/>
    <w:multiLevelType w:val="hybridMultilevel"/>
    <w:lvl w:ilvl="0">
      <w:lvlJc w:val="left"/>
      <w:lvlText w:val="(%1)"/>
      <w:numFmt w:val="lowerLetter"/>
      <w:start w:val="3"/>
    </w:lvl>
  </w:abstractNum>
  <w:abstractNum w:abstractNumId="161">
    <w:nsid w:val="BAAC1B4"/>
    <w:multiLevelType w:val="hybridMultilevel"/>
    <w:lvl w:ilvl="0">
      <w:lvlJc w:val="left"/>
      <w:lvlText w:val="(%1)"/>
      <w:numFmt w:val="lowerLetter"/>
      <w:start w:val="1"/>
    </w:lvl>
  </w:abstractNum>
  <w:abstractNum w:abstractNumId="162">
    <w:nsid w:val="36B2ACBC"/>
    <w:multiLevelType w:val="hybridMultilevel"/>
    <w:lvl w:ilvl="0">
      <w:lvlJc w:val="left"/>
      <w:lvlText w:val="%1"/>
      <w:numFmt w:val="lowerRoman"/>
      <w:start w:val="1"/>
    </w:lvl>
    <w:lvl w:ilvl="1">
      <w:lvlJc w:val="left"/>
      <w:lvlText w:val="(%2)"/>
      <w:numFmt w:val="lowerRoman"/>
      <w:start w:val="1"/>
    </w:lvl>
  </w:abstractNum>
  <w:abstractNum w:abstractNumId="163">
    <w:nsid w:val="779D8544"/>
    <w:multiLevelType w:val="hybridMultilevel"/>
    <w:lvl w:ilvl="0">
      <w:lvlJc w:val="left"/>
      <w:lvlText w:val="(%1)"/>
      <w:numFmt w:val="lowerRoman"/>
      <w:start w:val="2"/>
    </w:lvl>
    <w:lvl w:ilvl="1">
      <w:lvlJc w:val="left"/>
      <w:lvlText w:val="%2"/>
      <w:numFmt w:val="lowerRoman"/>
      <w:start w:val="1"/>
    </w:lvl>
  </w:abstractNum>
  <w:abstractNum w:abstractNumId="164">
    <w:nsid w:val="4AB26E78"/>
    <w:multiLevelType w:val="hybridMultilevel"/>
    <w:lvl w:ilvl="0">
      <w:lvlJc w:val="left"/>
      <w:lvlText w:val="(%1)"/>
      <w:numFmt w:val="lowerLetter"/>
      <w:start w:val="2"/>
    </w:lvl>
  </w:abstractNum>
  <w:abstractNum w:abstractNumId="165">
    <w:nsid w:val="21FAA2FA"/>
    <w:multiLevelType w:val="hybridMultilevel"/>
    <w:lvl w:ilvl="0">
      <w:lvlJc w:val="left"/>
      <w:lvlText w:val="(%1)"/>
      <w:numFmt w:val="lowerRoman"/>
      <w:start w:val="1"/>
    </w:lvl>
  </w:abstractNum>
  <w:abstractNum w:abstractNumId="166">
    <w:nsid w:val="5451CF49"/>
    <w:multiLevelType w:val="hybridMultilevel"/>
    <w:lvl w:ilvl="0">
      <w:lvlJc w:val="left"/>
      <w:lvlText w:val="(%1)"/>
      <w:numFmt w:val="lowerRoman"/>
      <w:start w:val="2"/>
    </w:lvl>
  </w:abstractNum>
  <w:abstractNum w:abstractNumId="167">
    <w:nsid w:val="6181EF69"/>
    <w:multiLevelType w:val="hybridMultilevel"/>
    <w:lvl w:ilvl="0">
      <w:lvlJc w:val="left"/>
      <w:lvlText w:val="(%1)"/>
      <w:numFmt w:val="lowerLetter"/>
      <w:start w:val="1"/>
    </w:lvl>
  </w:abstractNum>
  <w:abstractNum w:abstractNumId="168">
    <w:nsid w:val="3E6400E6"/>
    <w:multiLevelType w:val="hybridMultilevel"/>
    <w:lvl w:ilvl="0">
      <w:lvlJc w:val="left"/>
      <w:lvlText w:val="(%1)"/>
      <w:numFmt w:val="lowerLetter"/>
      <w:start w:val="2"/>
    </w:lvl>
  </w:abstractNum>
  <w:abstractNum w:abstractNumId="169">
    <w:nsid w:val="14217E23"/>
    <w:multiLevelType w:val="hybridMultilevel"/>
    <w:lvl w:ilvl="0">
      <w:lvlJc w:val="left"/>
      <w:lvlText w:val="(%1)"/>
      <w:numFmt w:val="lowerLetter"/>
      <w:start w:val="3"/>
    </w:lvl>
  </w:abstractNum>
  <w:abstractNum w:abstractNumId="170">
    <w:nsid w:val="710757D0"/>
    <w:multiLevelType w:val="hybridMultilevel"/>
    <w:lvl w:ilvl="0">
      <w:lvlJc w:val="left"/>
      <w:lvlText w:val="%1"/>
      <w:numFmt w:val="lowerLetter"/>
      <w:start w:val="1"/>
    </w:lvl>
    <w:lvl w:ilvl="1">
      <w:lvlJc w:val="left"/>
      <w:lvlText w:val="(%2)"/>
      <w:numFmt w:val="lowerLetter"/>
      <w:start w:val="4"/>
    </w:lvl>
  </w:abstractNum>
  <w:abstractNum w:abstractNumId="171">
    <w:nsid w:val="5015CD1A"/>
    <w:multiLevelType w:val="hybridMultilevel"/>
    <w:lvl w:ilvl="0">
      <w:lvlJc w:val="left"/>
      <w:lvlText w:val="(%1)"/>
      <w:numFmt w:val="lowerLetter"/>
      <w:start w:val="9"/>
    </w:lvl>
    <w:lvl w:ilvl="1">
      <w:lvlJc w:val="left"/>
      <w:lvlText w:val="%2"/>
      <w:numFmt w:val="lowerLetter"/>
      <w:start w:val="1"/>
    </w:lvl>
  </w:abstractNum>
  <w:abstractNum w:abstractNumId="172">
    <w:nsid w:val="424479DA"/>
    <w:multiLevelType w:val="hybridMultilevel"/>
    <w:lvl w:ilvl="0">
      <w:lvlJc w:val="left"/>
      <w:lvlText w:val="(%1)"/>
      <w:numFmt w:val="lowerRoman"/>
      <w:start w:val="2"/>
    </w:lvl>
  </w:abstractNum>
  <w:abstractNum w:abstractNumId="173">
    <w:nsid w:val="1A9A9E69"/>
    <w:multiLevelType w:val="hybridMultilevel"/>
    <w:lvl w:ilvl="0">
      <w:lvlJc w:val="left"/>
      <w:lvlText w:val="(%1)"/>
      <w:numFmt w:val="lowerRoman"/>
      <w:start w:val="3"/>
    </w:lvl>
  </w:abstractNum>
  <w:abstractNum w:abstractNumId="174">
    <w:nsid w:val="475E256A"/>
    <w:multiLevelType w:val="hybridMultilevel"/>
    <w:lvl w:ilvl="0">
      <w:lvlJc w:val="left"/>
      <w:lvlText w:val="(%1)"/>
      <w:numFmt w:val="lowerRoman"/>
      <w:start w:val="4"/>
    </w:lvl>
  </w:abstractNum>
  <w:abstractNum w:abstractNumId="175">
    <w:nsid w:val="368DB37E"/>
    <w:multiLevelType w:val="hybridMultilevel"/>
    <w:lvl w:ilvl="0">
      <w:lvlJc w:val="left"/>
      <w:lvlText w:val="(%1)"/>
      <w:numFmt w:val="lowerLetter"/>
      <w:start w:val="2"/>
    </w:lvl>
  </w:abstractNum>
  <w:abstractNum w:abstractNumId="176">
    <w:nsid w:val="6A3B714C"/>
    <w:multiLevelType w:val="hybridMultilevel"/>
    <w:lvl w:ilvl="0">
      <w:lvlJc w:val="left"/>
      <w:lvlText w:val="%1."/>
      <w:numFmt w:val="decimal"/>
      <w:start w:val="1"/>
    </w:lvl>
  </w:abstractNum>
  <w:abstractNum w:abstractNumId="177">
    <w:nsid w:val="327B517E"/>
    <w:multiLevelType w:val="hybridMultilevel"/>
    <w:lvl w:ilvl="0">
      <w:lvlJc w:val="left"/>
      <w:lvlText w:val="%1."/>
      <w:numFmt w:val="decimal"/>
      <w:start w:val="2"/>
    </w:lvl>
  </w:abstractNum>
  <w:abstractNum w:abstractNumId="178">
    <w:nsid w:val="1F461B51"/>
    <w:multiLevelType w:val="hybridMultilevel"/>
    <w:lvl w:ilvl="0">
      <w:lvlJc w:val="left"/>
      <w:lvlText w:val="%1."/>
      <w:numFmt w:val="decimal"/>
      <w:start w:val="3"/>
    </w:lvl>
  </w:abstractNum>
  <w:abstractNum w:abstractNumId="179">
    <w:nsid w:val="29BACF25"/>
    <w:multiLevelType w:val="hybridMultilevel"/>
    <w:lvl w:ilvl="0">
      <w:lvlJc w:val="left"/>
      <w:lvlText w:val="%1."/>
      <w:numFmt w:val="decimal"/>
      <w:start w:val="4"/>
    </w:lvl>
  </w:abstractNum>
  <w:abstractNum w:abstractNumId="180">
    <w:nsid w:val="5D5BABB3"/>
    <w:multiLevelType w:val="hybridMultilevel"/>
    <w:lvl w:ilvl="0">
      <w:lvlJc w:val="left"/>
      <w:lvlText w:val="%1."/>
      <w:numFmt w:val="decimal"/>
      <w:start w:val="5"/>
    </w:lvl>
  </w:abstractNum>
  <w:abstractNum w:abstractNumId="181">
    <w:nsid w:val="51BF6B48"/>
    <w:multiLevelType w:val="hybridMultilevel"/>
    <w:lvl w:ilvl="0">
      <w:lvlJc w:val="left"/>
      <w:lvlText w:val="%1."/>
      <w:numFmt w:val="decimal"/>
      <w:start w:val="6"/>
    </w:lvl>
  </w:abstractNum>
  <w:abstractNum w:abstractNumId="182">
    <w:nsid w:val="7E0F6384"/>
    <w:multiLevelType w:val="hybridMultilevel"/>
    <w:lvl w:ilvl="0">
      <w:lvlJc w:val="left"/>
      <w:lvlText w:val="%1."/>
      <w:numFmt w:val="decimal"/>
      <w:start w:val="1"/>
    </w:lvl>
    <w:lvl w:ilvl="1">
      <w:lvlJc w:val="left"/>
      <w:lvlText w:val="%2)"/>
      <w:numFmt w:val="lowerLetter"/>
      <w:start w:val="1"/>
    </w:lvl>
  </w:abstractNum>
  <w:abstractNum w:abstractNumId="183">
    <w:nsid w:val="2B4B8B53"/>
    <w:multiLevelType w:val="hybridMultilevel"/>
    <w:lvl w:ilvl="0">
      <w:lvlJc w:val="left"/>
      <w:lvlText w:val="%1."/>
      <w:numFmt w:val="decimal"/>
      <w:start w:val="1"/>
    </w:lvl>
    <w:lvl w:ilvl="1">
      <w:lvlJc w:val="left"/>
      <w:lvlText w:val="%2)"/>
      <w:numFmt w:val="lowerLetter"/>
      <w:start w:val="1"/>
    </w:lvl>
  </w:abstractNum>
  <w:abstractNum w:abstractNumId="184">
    <w:nsid w:val="72E3413A"/>
    <w:multiLevelType w:val="hybridMultilevel"/>
    <w:lvl w:ilvl="0">
      <w:lvlJc w:val="left"/>
      <w:lvlText w:val="%1."/>
      <w:numFmt w:val="decimal"/>
      <w:start w:val="1"/>
    </w:lvl>
  </w:abstractNum>
  <w:abstractNum w:abstractNumId="185">
    <w:nsid w:val="116AE4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2019-12-15T12:54:18Z</dcterms:created>
  <dcterms:modified xsi:type="dcterms:W3CDTF">2019-12-15T12:54:18Z</dcterms:modified>
</cp:coreProperties>
</file>