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300" w:right="60" w:hanging="724"/>
        <w:spacing w:after="0" w:line="25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300" w:right="480" w:hanging="709"/>
        <w:spacing w:after="0" w:line="25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6380" w:type="dxa"/>
            <w:vAlign w:val="bottom"/>
          </w:tcPr>
          <w:p>
            <w:pPr>
              <w:ind w:left="3600"/>
              <w:spacing w:after="0"/>
              <w:rPr>
                <w:sz w:val="20"/>
                <w:szCs w:val="20"/>
                <w:color w:val="auto"/>
              </w:rPr>
            </w:pPr>
            <w:r>
              <w:rPr>
                <w:rFonts w:ascii="Arial" w:cs="Arial" w:eastAsia="Arial" w:hAnsi="Arial"/>
                <w:sz w:val="18"/>
                <w:szCs w:val="18"/>
                <w:b w:val="1"/>
                <w:bCs w:val="1"/>
                <w:color w:val="auto"/>
              </w:rPr>
              <w:t>Commission File No. 1-32630</w:t>
            </w:r>
          </w:p>
        </w:tc>
        <w:tc>
          <w:tcPr>
            <w:tcW w:w="2240" w:type="dxa"/>
            <w:vAlign w:val="bottom"/>
          </w:tcPr>
          <w:p>
            <w:pPr>
              <w:spacing w:after="0"/>
              <w:rPr>
                <w:sz w:val="20"/>
                <w:szCs w:val="20"/>
                <w:color w:val="auto"/>
              </w:rPr>
            </w:pPr>
          </w:p>
        </w:tc>
      </w:tr>
      <w:tr>
        <w:trPr>
          <w:trHeight w:val="231"/>
        </w:trPr>
        <w:tc>
          <w:tcPr>
            <w:tcW w:w="6380" w:type="dxa"/>
            <w:vAlign w:val="bottom"/>
          </w:tcPr>
          <w:p>
            <w:pPr>
              <w:jc w:val="center"/>
              <w:ind w:left="2904"/>
              <w:spacing w:after="0"/>
              <w:rPr>
                <w:sz w:val="20"/>
                <w:szCs w:val="20"/>
                <w:color w:val="auto"/>
              </w:rPr>
            </w:pPr>
            <w:r>
              <w:rPr>
                <w:rFonts w:ascii="Arial" w:cs="Arial" w:eastAsia="Arial" w:hAnsi="Arial"/>
                <w:sz w:val="14"/>
                <w:szCs w:val="14"/>
                <w:color w:val="auto"/>
                <w:w w:val="92"/>
              </w:rPr>
              <w:t>_________________________________</w:t>
            </w:r>
          </w:p>
        </w:tc>
        <w:tc>
          <w:tcPr>
            <w:tcW w:w="2240" w:type="dxa"/>
            <w:vAlign w:val="bottom"/>
          </w:tcPr>
          <w:p>
            <w:pPr>
              <w:spacing w:after="0"/>
              <w:rPr>
                <w:sz w:val="20"/>
                <w:szCs w:val="20"/>
                <w:color w:val="auto"/>
              </w:rPr>
            </w:pPr>
          </w:p>
        </w:tc>
      </w:tr>
      <w:tr>
        <w:trPr>
          <w:trHeight w:val="588"/>
        </w:trPr>
        <w:tc>
          <w:tcPr>
            <w:tcW w:w="8620" w:type="dxa"/>
            <w:vAlign w:val="bottom"/>
            <w:gridSpan w:val="2"/>
          </w:tcPr>
          <w:p>
            <w:pPr>
              <w:jc w:val="center"/>
              <w:ind w:left="664"/>
              <w:spacing w:after="0"/>
              <w:rPr>
                <w:sz w:val="20"/>
                <w:szCs w:val="20"/>
                <w:color w:val="auto"/>
              </w:rPr>
            </w:pPr>
            <w:r>
              <w:rPr>
                <w:rFonts w:ascii="Arial" w:cs="Arial" w:eastAsia="Arial" w:hAnsi="Arial"/>
                <w:sz w:val="43"/>
                <w:szCs w:val="43"/>
                <w:b w:val="1"/>
                <w:bCs w:val="1"/>
                <w:color w:val="auto"/>
                <w:w w:val="93"/>
              </w:rPr>
              <w:t>Fidelity National Financial, Inc.</w:t>
            </w:r>
          </w:p>
        </w:tc>
      </w:tr>
      <w:tr>
        <w:trPr>
          <w:trHeight w:val="250"/>
        </w:trPr>
        <w:tc>
          <w:tcPr>
            <w:tcW w:w="6380" w:type="dxa"/>
            <w:vAlign w:val="bottom"/>
          </w:tcPr>
          <w:p>
            <w:pPr>
              <w:jc w:val="center"/>
              <w:ind w:left="2864"/>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2240" w:type="dxa"/>
            <w:vAlign w:val="bottom"/>
          </w:tcPr>
          <w:p>
            <w:pPr>
              <w:spacing w:after="0"/>
              <w:rPr>
                <w:sz w:val="21"/>
                <w:szCs w:val="21"/>
                <w:color w:val="auto"/>
              </w:rPr>
            </w:pPr>
          </w:p>
        </w:tc>
      </w:tr>
      <w:tr>
        <w:trPr>
          <w:trHeight w:val="485"/>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3"/>
              </w:rPr>
              <w:t>Delaware</w:t>
            </w:r>
          </w:p>
        </w:tc>
        <w:tc>
          <w:tcPr>
            <w:tcW w:w="2240" w:type="dxa"/>
            <w:vAlign w:val="bottom"/>
          </w:tcPr>
          <w:p>
            <w:pPr>
              <w:jc w:val="right"/>
              <w:ind w:right="521"/>
              <w:spacing w:after="0"/>
              <w:rPr>
                <w:sz w:val="20"/>
                <w:szCs w:val="20"/>
                <w:color w:val="auto"/>
              </w:rPr>
            </w:pPr>
            <w:r>
              <w:rPr>
                <w:rFonts w:ascii="Arial" w:cs="Arial" w:eastAsia="Arial" w:hAnsi="Arial"/>
                <w:sz w:val="18"/>
                <w:szCs w:val="18"/>
                <w:b w:val="1"/>
                <w:bCs w:val="1"/>
                <w:color w:val="auto"/>
              </w:rPr>
              <w:t>16-1725106</w:t>
            </w:r>
          </w:p>
        </w:tc>
      </w:tr>
      <w:tr>
        <w:trPr>
          <w:trHeight w:val="218"/>
        </w:trPr>
        <w:tc>
          <w:tcPr>
            <w:tcW w:w="6380" w:type="dxa"/>
            <w:vAlign w:val="bottom"/>
          </w:tcPr>
          <w:p>
            <w:pPr>
              <w:jc w:val="center"/>
              <w:ind w:right="2784"/>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240" w:type="dxa"/>
            <w:vAlign w:val="bottom"/>
          </w:tcPr>
          <w:p>
            <w:pPr>
              <w:jc w:val="center"/>
              <w:ind w:left="1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7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89"/>
              </w:rPr>
              <w:t>601 Riverside Avenue</w:t>
            </w:r>
          </w:p>
        </w:tc>
        <w:tc>
          <w:tcPr>
            <w:tcW w:w="2240" w:type="dxa"/>
            <w:vAlign w:val="bottom"/>
          </w:tcPr>
          <w:p>
            <w:pPr>
              <w:jc w:val="right"/>
              <w:ind w:right="381"/>
              <w:spacing w:after="0"/>
              <w:rPr>
                <w:sz w:val="20"/>
                <w:szCs w:val="20"/>
                <w:color w:val="auto"/>
              </w:rPr>
            </w:pPr>
            <w:r>
              <w:rPr>
                <w:rFonts w:ascii="Arial" w:cs="Arial" w:eastAsia="Arial" w:hAnsi="Arial"/>
                <w:sz w:val="18"/>
                <w:szCs w:val="18"/>
                <w:b w:val="1"/>
                <w:bCs w:val="1"/>
                <w:color w:val="auto"/>
              </w:rPr>
              <w:t>(904) 854-8100</w:t>
            </w:r>
          </w:p>
        </w:tc>
      </w:tr>
      <w:tr>
        <w:trPr>
          <w:trHeight w:val="23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0"/>
              </w:rPr>
              <w:t>Jacksonville, Florida 32204</w:t>
            </w:r>
          </w:p>
        </w:tc>
        <w:tc>
          <w:tcPr>
            <w:tcW w:w="2240" w:type="dxa"/>
            <w:vAlign w:val="bottom"/>
          </w:tcPr>
          <w:p>
            <w:pPr>
              <w:jc w:val="center"/>
              <w:ind w:left="141"/>
              <w:spacing w:after="0"/>
              <w:rPr>
                <w:sz w:val="20"/>
                <w:szCs w:val="20"/>
                <w:color w:val="auto"/>
              </w:rPr>
            </w:pPr>
            <w:r>
              <w:rPr>
                <w:rFonts w:ascii="Arial" w:cs="Arial" w:eastAsia="Arial" w:hAnsi="Arial"/>
                <w:sz w:val="14"/>
                <w:szCs w:val="14"/>
                <w:i w:val="1"/>
                <w:iCs w:val="1"/>
                <w:color w:val="auto"/>
                <w:w w:val="91"/>
              </w:rPr>
              <w:t>(Registrant’s telephone number,</w:t>
            </w:r>
          </w:p>
        </w:tc>
      </w:tr>
      <w:tr>
        <w:trPr>
          <w:trHeight w:val="204"/>
        </w:trPr>
        <w:tc>
          <w:tcPr>
            <w:tcW w:w="6380" w:type="dxa"/>
            <w:vAlign w:val="bottom"/>
          </w:tcPr>
          <w:p>
            <w:pPr>
              <w:jc w:val="center"/>
              <w:ind w:right="2744"/>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2240" w:type="dxa"/>
            <w:vAlign w:val="bottom"/>
          </w:tcPr>
          <w:p>
            <w:pPr>
              <w:jc w:val="center"/>
              <w:ind w:left="61"/>
              <w:spacing w:after="0"/>
              <w:rPr>
                <w:sz w:val="20"/>
                <w:szCs w:val="20"/>
                <w:color w:val="auto"/>
              </w:rPr>
            </w:pPr>
            <w:r>
              <w:rPr>
                <w:rFonts w:ascii="Arial" w:cs="Arial" w:eastAsia="Arial" w:hAnsi="Arial"/>
                <w:sz w:val="14"/>
                <w:szCs w:val="14"/>
                <w:i w:val="1"/>
                <w:iCs w:val="1"/>
                <w:color w:val="auto"/>
                <w:w w:val="93"/>
              </w:rPr>
              <w:t>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620" w:type="dxa"/>
            <w:vAlign w:val="bottom"/>
          </w:tcPr>
          <w:p>
            <w:pPr>
              <w:spacing w:after="0"/>
              <w:rPr>
                <w:sz w:val="16"/>
                <w:szCs w:val="16"/>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91"/>
        </w:trPr>
        <w:tc>
          <w:tcPr>
            <w:tcW w:w="6860" w:type="dxa"/>
            <w:vAlign w:val="bottom"/>
            <w:gridSpan w:val="3"/>
          </w:tcPr>
          <w:p>
            <w:pPr>
              <w:jc w:val="center"/>
              <w:ind w:right="1700"/>
              <w:spacing w:after="0"/>
              <w:rPr>
                <w:sz w:val="20"/>
                <w:szCs w:val="20"/>
                <w:color w:val="auto"/>
              </w:rPr>
            </w:pPr>
            <w:r>
              <w:rPr>
                <w:rFonts w:ascii="Arial" w:cs="Arial" w:eastAsia="Arial" w:hAnsi="Arial"/>
                <w:sz w:val="18"/>
                <w:szCs w:val="18"/>
                <w:color w:val="auto"/>
                <w:w w:val="90"/>
              </w:rPr>
              <w:t>Common Stock, $0.0001 par value</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1940" w:type="dxa"/>
            <w:vAlign w:val="bottom"/>
          </w:tcPr>
          <w:p>
            <w:pPr>
              <w:spacing w:after="0"/>
              <w:rPr>
                <w:sz w:val="21"/>
                <w:szCs w:val="21"/>
                <w:color w:val="auto"/>
              </w:rPr>
            </w:pPr>
          </w:p>
        </w:tc>
        <w:tc>
          <w:tcPr>
            <w:tcW w:w="7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900" w:type="dxa"/>
            <w:vAlign w:val="bottom"/>
          </w:tcPr>
          <w:p>
            <w:pPr>
              <w:spacing w:after="0"/>
              <w:rPr>
                <w:sz w:val="21"/>
                <w:szCs w:val="21"/>
                <w:color w:val="auto"/>
              </w:rPr>
            </w:pPr>
          </w:p>
        </w:tc>
      </w:tr>
      <w:tr>
        <w:trPr>
          <w:trHeight w:val="358"/>
        </w:trPr>
        <w:tc>
          <w:tcPr>
            <w:tcW w:w="914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90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338"/>
        </w:trPr>
        <w:tc>
          <w:tcPr>
            <w:tcW w:w="914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9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87"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firstLine="21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4"/>
          <w:szCs w:val="24"/>
          <w:color w:val="auto"/>
        </w:rPr>
      </w:pPr>
    </w:p>
    <w:p>
      <w:pPr>
        <w:ind w:left="300"/>
        <w:spacing w:after="0" w:line="207" w:lineRule="exact"/>
        <w:tabs>
          <w:tab w:leader="none" w:pos="3040" w:val="left"/>
          <w:tab w:leader="none" w:pos="5720" w:val="left"/>
          <w:tab w:leader="none" w:pos="88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49" w:lineRule="exact"/>
        <w:rPr>
          <w:sz w:val="24"/>
          <w:szCs w:val="24"/>
          <w:color w:val="auto"/>
        </w:rPr>
      </w:pPr>
    </w:p>
    <w:p>
      <w:pPr>
        <w:ind w:left="5200"/>
        <w:spacing w:after="0"/>
        <w:rPr>
          <w:sz w:val="20"/>
          <w:szCs w:val="20"/>
          <w:color w:val="auto"/>
        </w:rPr>
      </w:pPr>
      <w:r>
        <w:rPr>
          <w:rFonts w:ascii="Arial" w:cs="Arial" w:eastAsia="Arial" w:hAnsi="Arial"/>
          <w:sz w:val="14"/>
          <w:szCs w:val="14"/>
          <w:color w:val="auto"/>
        </w:rPr>
        <w:t>(Do not check if a smaller reporting company)</w:t>
      </w:r>
    </w:p>
    <w:p>
      <w:pPr>
        <w:spacing w:after="0" w:line="9" w:lineRule="exact"/>
        <w:rPr>
          <w:sz w:val="24"/>
          <w:szCs w:val="24"/>
          <w:color w:val="auto"/>
        </w:rPr>
      </w:pPr>
    </w:p>
    <w:p>
      <w:pPr>
        <w:ind w:left="220"/>
        <w:spacing w:after="0" w:line="196" w:lineRule="exact"/>
        <w:tabs>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 xml:space="preserve">No </w:t>
      </w:r>
      <w:r>
        <w:rPr>
          <w:rFonts w:ascii="MS PGothic" w:cs="MS PGothic" w:eastAsia="MS PGothic" w:hAnsi="MS PGothic"/>
          <w:sz w:val="17"/>
          <w:szCs w:val="17"/>
          <w:color w:val="auto"/>
        </w:rPr>
        <w:t>☑</w:t>
      </w:r>
    </w:p>
    <w:p>
      <w:pPr>
        <w:spacing w:after="0" w:line="140"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The aggregate market value of the shares of the FNF Group and FNFV Group common stock held by non-affiliates of the registrant as of June 30, 2015 was $9,851,084,436 and $1,109,029,038, respectively, based on the closing price of $36.99 and $15.38, respectively, as reported by The New York Stock Exchange.</w:t>
      </w:r>
    </w:p>
    <w:p>
      <w:pPr>
        <w:spacing w:after="0" w:line="181"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As of January 31, 2016 there were 275,555,941 shares of FNF Group common stock outstanding and 71,842,882 shares of FNFV Group common stock outstanding.</w:t>
      </w:r>
    </w:p>
    <w:p>
      <w:pPr>
        <w:spacing w:after="0" w:line="76"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2015,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440" w:type="dxa"/>
            <w:vAlign w:val="bottom"/>
            <w:gridSpan w:val="16"/>
          </w:tcPr>
          <w:p>
            <w:pPr>
              <w:ind w:left="3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60" w:type="dxa"/>
            <w:vAlign w:val="bottom"/>
            <w:gridSpan w:val="3"/>
          </w:tcPr>
          <w:p>
            <w:pPr>
              <w:jc w:val="center"/>
              <w:ind w:left="39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7">
              <w:r>
                <w:rPr>
                  <w:rFonts w:ascii="Arial" w:cs="Arial" w:eastAsia="Arial" w:hAnsi="Arial"/>
                  <w:sz w:val="18"/>
                  <w:szCs w:val="18"/>
                  <w:color w:val="0000EE"/>
                  <w:w w:val="80"/>
                </w:rPr>
                <w:t>Item 1A.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8">
              <w:r>
                <w:rPr>
                  <w:rFonts w:ascii="Arial" w:cs="Arial" w:eastAsia="Arial" w:hAnsi="Arial"/>
                  <w:sz w:val="18"/>
                  <w:szCs w:val="18"/>
                  <w:color w:val="0000EE"/>
                  <w:w w:val="80"/>
                </w:rPr>
                <w:t>Item 1B.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9300" w:type="dxa"/>
            <w:vAlign w:val="bottom"/>
            <w:gridSpan w:val="27"/>
          </w:tcPr>
          <w:p>
            <w:pPr>
              <w:ind w:left="320"/>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w:t>
              </w:r>
            </w:hyperlink>
          </w:p>
        </w:tc>
        <w:tc>
          <w:tcPr>
            <w:tcW w:w="9300" w:type="dxa"/>
            <w:vAlign w:val="bottom"/>
            <w:gridSpan w:val="27"/>
          </w:tcPr>
          <w:p>
            <w:pPr>
              <w:ind w:left="320"/>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9300" w:type="dxa"/>
            <w:vAlign w:val="bottom"/>
            <w:gridSpan w:val="27"/>
          </w:tcPr>
          <w:p>
            <w:pPr>
              <w:ind w:left="320"/>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60">
              <w:r>
                <w:rPr>
                  <w:rFonts w:ascii="Arial" w:cs="Arial" w:eastAsia="Arial" w:hAnsi="Arial"/>
                  <w:sz w:val="18"/>
                  <w:szCs w:val="18"/>
                  <w:color w:val="0000EE"/>
                  <w:w w:val="80"/>
                </w:rPr>
                <w:t>Item 7A.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 About Market Risk</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Item 8.</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Item 9.</w:t>
              </w:r>
            </w:hyperlink>
          </w:p>
        </w:tc>
        <w:tc>
          <w:tcPr>
            <w:tcW w:w="9300" w:type="dxa"/>
            <w:vAlign w:val="bottom"/>
            <w:gridSpan w:val="27"/>
          </w:tcPr>
          <w:p>
            <w:pPr>
              <w:ind w:left="320"/>
              <w:spacing w:after="0"/>
              <w:rPr>
                <w:rFonts w:ascii="Arial" w:cs="Arial" w:eastAsia="Arial" w:hAnsi="Arial"/>
                <w:sz w:val="18"/>
                <w:szCs w:val="18"/>
                <w:color w:val="0000EE"/>
              </w:rPr>
            </w:pPr>
            <w:hyperlink w:anchor="page119">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19">
              <w:r>
                <w:rPr>
                  <w:rFonts w:ascii="Arial" w:cs="Arial" w:eastAsia="Arial" w:hAnsi="Arial"/>
                  <w:sz w:val="18"/>
                  <w:szCs w:val="18"/>
                  <w:color w:val="0000EE"/>
                  <w:w w:val="80"/>
                </w:rPr>
                <w:t>Item 9A.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9">
              <w:r>
                <w:rPr>
                  <w:rFonts w:ascii="Arial" w:cs="Arial" w:eastAsia="Arial" w:hAnsi="Arial"/>
                  <w:sz w:val="18"/>
                  <w:szCs w:val="18"/>
                  <w:color w:val="0000EE"/>
                </w:rPr>
                <w:t>Controls and Procedures</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20">
              <w:r>
                <w:rPr>
                  <w:rFonts w:ascii="Arial" w:cs="Arial" w:eastAsia="Arial" w:hAnsi="Arial"/>
                  <w:sz w:val="18"/>
                  <w:szCs w:val="18"/>
                  <w:color w:val="0000EE"/>
                  <w:w w:val="80"/>
                </w:rPr>
                <w:t>Item 9B.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20">
              <w:r>
                <w:rPr>
                  <w:rFonts w:ascii="Arial" w:cs="Arial" w:eastAsia="Arial" w:hAnsi="Arial"/>
                  <w:sz w:val="18"/>
                  <w:szCs w:val="18"/>
                  <w:color w:val="0000EE"/>
                </w:rPr>
                <w:t>Other Information</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20">
              <w:r>
                <w:rPr>
                  <w:rFonts w:ascii="Arial" w:cs="Arial" w:eastAsia="Arial" w:hAnsi="Arial"/>
                  <w:sz w:val="18"/>
                  <w:szCs w:val="18"/>
                  <w:color w:val="0000EE"/>
                  <w:w w:val="82"/>
                </w:rPr>
                <w:t>Item 10.</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20">
              <w:r>
                <w:rPr>
                  <w:rFonts w:ascii="Arial" w:cs="Arial" w:eastAsia="Arial" w:hAnsi="Arial"/>
                  <w:sz w:val="18"/>
                  <w:szCs w:val="18"/>
                  <w:color w:val="0000EE"/>
                </w:rPr>
                <w:t>Directors and Executive Officers of the Registrant</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11.</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Executive Compensation</w:t>
            </w:r>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12.</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13.</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14.</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Principal Accounting Fees and Services</w:t>
            </w:r>
          </w:p>
        </w:tc>
        <w:tc>
          <w:tcPr>
            <w:tcW w:w="1140" w:type="dxa"/>
            <w:vAlign w:val="bottom"/>
            <w:gridSpan w:val="4"/>
          </w:tcPr>
          <w:p>
            <w:pPr>
              <w:jc w:val="center"/>
              <w:spacing w:after="0"/>
              <w:rPr>
                <w:rFonts w:ascii="Arial" w:cs="Arial" w:eastAsia="Arial" w:hAnsi="Arial"/>
                <w:sz w:val="18"/>
                <w:szCs w:val="18"/>
                <w:color w:val="0000EE"/>
                <w:w w:val="86"/>
              </w:rPr>
            </w:pPr>
            <w:hyperlink w:anchor="page120">
              <w:r>
                <w:rPr>
                  <w:rFonts w:ascii="Arial" w:cs="Arial" w:eastAsia="Arial" w:hAnsi="Arial"/>
                  <w:sz w:val="18"/>
                  <w:szCs w:val="18"/>
                  <w:color w:val="0000EE"/>
                  <w:w w:val="86"/>
                </w:rPr>
                <w:t>115</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21">
              <w:r>
                <w:rPr>
                  <w:rFonts w:ascii="Arial" w:cs="Arial" w:eastAsia="Arial" w:hAnsi="Arial"/>
                  <w:sz w:val="18"/>
                  <w:szCs w:val="18"/>
                  <w:color w:val="0000EE"/>
                  <w:w w:val="82"/>
                </w:rPr>
                <w:t>Item 15.</w:t>
              </w:r>
            </w:hyperlink>
          </w:p>
        </w:tc>
        <w:tc>
          <w:tcPr>
            <w:tcW w:w="360" w:type="dxa"/>
            <w:vAlign w:val="bottom"/>
          </w:tcPr>
          <w:p>
            <w:pPr>
              <w:spacing w:after="0"/>
              <w:rPr>
                <w:sz w:val="21"/>
                <w:szCs w:val="21"/>
                <w:color w:val="auto"/>
              </w:rPr>
            </w:pPr>
          </w:p>
        </w:tc>
        <w:tc>
          <w:tcPr>
            <w:tcW w:w="4400" w:type="dxa"/>
            <w:vAlign w:val="bottom"/>
            <w:gridSpan w:val="15"/>
          </w:tcPr>
          <w:p>
            <w:pPr>
              <w:ind w:left="320"/>
              <w:spacing w:after="0"/>
              <w:rPr>
                <w:rFonts w:ascii="Arial" w:cs="Arial" w:eastAsia="Arial" w:hAnsi="Arial"/>
                <w:sz w:val="18"/>
                <w:szCs w:val="18"/>
                <w:color w:val="0000EE"/>
              </w:rPr>
            </w:pPr>
            <w:hyperlink w:anchor="page121">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1140" w:type="dxa"/>
            <w:vAlign w:val="bottom"/>
            <w:gridSpan w:val="4"/>
          </w:tcPr>
          <w:p>
            <w:pPr>
              <w:jc w:val="center"/>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title-related services used in the production and management of mortgage loans, including mortgage loans that experience default.</w:t>
      </w:r>
    </w:p>
    <w:p>
      <w:pPr>
        <w:spacing w:after="0" w:line="134"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97"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Restaurant Group. </w:t>
      </w:r>
      <w:r>
        <w:rPr>
          <w:rFonts w:ascii="Arial" w:cs="Arial" w:eastAsia="Arial" w:hAnsi="Arial"/>
          <w:sz w:val="16"/>
          <w:szCs w:val="16"/>
          <w:color w:val="auto"/>
        </w:rPr>
        <w:t>This segment consists of the operations of ABRH, in which we have a 55% ownership interest. ABRH and its affiliates are the</w:t>
      </w:r>
      <w:r>
        <w:rPr>
          <w:rFonts w:ascii="Arial" w:cs="Arial" w:eastAsia="Arial" w:hAnsi="Arial"/>
          <w:sz w:val="16"/>
          <w:szCs w:val="16"/>
          <w:i w:val="1"/>
          <w:iCs w:val="1"/>
          <w:color w:val="auto"/>
        </w:rPr>
        <w:t xml:space="preserve"> </w:t>
      </w:r>
      <w:r>
        <w:rPr>
          <w:rFonts w:ascii="Arial" w:cs="Arial" w:eastAsia="Arial" w:hAnsi="Arial"/>
          <w:sz w:val="16"/>
          <w:szCs w:val="16"/>
          <w:color w:val="auto"/>
        </w:rPr>
        <w:t>owners and operators of the O'Charley's, Ninety Nine Restaurants, Max &amp; Erma's, Village Inn, Bakers Square, and Legendary Baking concepts. This segment also includes the results of J. Alexander's, Inc. ("J. Alexander's") through September 28, 2015, the date it was distributed to FNFV shareholders. See the Recent Developments section in Item 7 for further discussion of the distribution of J. Alexander's. On January 25, 2016, substantially all of the assets of the Max &amp; Erma's restaurant concept were sold pursuant to an Asset Purchase Agreement.</w:t>
      </w:r>
    </w:p>
    <w:p>
      <w:pPr>
        <w:spacing w:after="0" w:line="104" w:lineRule="exact"/>
        <w:rPr>
          <w:rFonts w:ascii="Arial" w:cs="Arial" w:eastAsia="Arial" w:hAnsi="Arial"/>
          <w:sz w:val="16"/>
          <w:szCs w:val="16"/>
          <w:i w:val="1"/>
          <w:iCs w:val="1"/>
          <w:color w:val="auto"/>
        </w:rPr>
      </w:pPr>
    </w:p>
    <w:p>
      <w:pPr>
        <w:ind w:left="660" w:right="20" w:hanging="409"/>
        <w:spacing w:after="0" w:line="308"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ompetitive Strengths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future changes to the real estate market.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Title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the largest title insurance company in the United States and a leading provider of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for real estate transactions. Through the third quarter of 2015, our insurance companies had a 32.9% share of the U.S. title insurance market, according to the American Land Title Association ("ALTA").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approximately 1,200 direct residential title offices and approximately 5,000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Black Knight</w:t>
      </w:r>
    </w:p>
    <w:p>
      <w:pPr>
        <w:spacing w:after="0" w:line="104"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6"/>
          <w:szCs w:val="16"/>
          <w:i w:val="1"/>
          <w:iCs w:val="1"/>
          <w:color w:val="auto"/>
        </w:rPr>
        <w:t>Market leadership with comprehensive and integrated solutions</w:t>
      </w:r>
      <w:r>
        <w:rPr>
          <w:rFonts w:ascii="Arial" w:cs="Arial" w:eastAsia="Arial" w:hAnsi="Arial"/>
          <w:sz w:val="16"/>
          <w:szCs w:val="16"/>
          <w:color w:val="auto"/>
        </w:rPr>
        <w:t>. We are a leading provider of comprehensive and integrated solutions to the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Our solutions are utilized to service approximately 59% of all U.S. first lien mortgages as of December 31, 2015 according to the Black Knight Mortgage Monitor Report and operate one of the industry’s largest exchanges connecting originators, agents, settlement services providers and investors. We believe our leadership position is, in part, the result of our unique expertise and insight developed from over 50 years serving the needs of customers in the mortgage industry. We have used this insight to develop an integrated and comprehensive suite of proprietary technology, data, and analytics solutions to automate many of the mission-critical business processes across the entire mortgage loan life cycle. These integrated solutions are designed to reduce manual processes, assist in improving organizational compliance and mitigating risk, and ultimately deliver significant cost savings to our clients.</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Broad and deep client relationships with significant recurring revenue</w:t>
      </w:r>
      <w:r>
        <w:rPr>
          <w:rFonts w:ascii="Arial" w:cs="Arial" w:eastAsia="Arial" w:hAnsi="Arial"/>
          <w:sz w:val="18"/>
          <w:szCs w:val="18"/>
          <w:color w:val="auto"/>
        </w:rPr>
        <w:t>. We have deep and long-standing relationships with our largest clients. We</w:t>
      </w:r>
      <w:r>
        <w:rPr>
          <w:rFonts w:ascii="Arial" w:cs="Arial" w:eastAsia="Arial" w:hAnsi="Arial"/>
          <w:sz w:val="18"/>
          <w:szCs w:val="18"/>
          <w:i w:val="1"/>
          <w:iCs w:val="1"/>
          <w:color w:val="auto"/>
        </w:rPr>
        <w:t xml:space="preserve"> </w:t>
      </w:r>
      <w:r>
        <w:rPr>
          <w:rFonts w:ascii="Arial" w:cs="Arial" w:eastAsia="Arial" w:hAnsi="Arial"/>
          <w:sz w:val="18"/>
          <w:szCs w:val="18"/>
          <w:color w:val="auto"/>
        </w:rPr>
        <w:t>frequently enter into long-term contracts with our mortgage servicing and loan origination clients that contain volume minimums and provide for annual increases. Our products are typically embedded within our clients’ mission-critical workflow and decision processes across various parts of their organizations.</w:t>
      </w:r>
    </w:p>
    <w:p>
      <w:pPr>
        <w:spacing w:after="0" w:line="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Extensive data assets and analytics capabilities</w:t>
      </w:r>
      <w:r>
        <w:rPr>
          <w:rFonts w:ascii="Arial" w:cs="Arial" w:eastAsia="Arial" w:hAnsi="Arial"/>
          <w:sz w:val="16"/>
          <w:szCs w:val="16"/>
          <w:color w:val="auto"/>
        </w:rPr>
        <w:t>. We develop and maintain large, accurate and comprehensive data sets on the mortgage and housing</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that we believe are competitively differentiated. Our data sets represent metropolitan statistical areas that cover 99.99% of the U.S. population and 96% of all mortgage transactions according to 2012 U.S. census data. Our unique data sets provide a combination of public and proprietary data in real-time and each of our data records feature a large number of attributes. Our data scientists utilize our data sets, subject to any applicable use restrictions, and comprehensive analytical capabilities to create highly customized reports, including models of customer behavior for originators and servicers, portfolio analytics for capital markets and government agencies and proprietary market insights for real estate agencies. Our data and analytics capabilities are also embedded into our technology platform and workflow products, providing our clients with integrated and comprehensive solutions.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Scalable and cost effective operating model</w:t>
      </w:r>
      <w:r>
        <w:rPr>
          <w:rFonts w:ascii="Arial" w:cs="Arial" w:eastAsia="Arial" w:hAnsi="Arial"/>
          <w:sz w:val="18"/>
          <w:szCs w:val="18"/>
          <w:color w:val="auto"/>
        </w:rPr>
        <w:t>. We believe we have a highly attractive and scalable operating model derived from our market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hosted technology platforms and the large number of clients we serve across the mortgage industry. Our scalable operating model provides us with significant benefits. Our scale and operating leverage allows us to add incremental clients to our existing platforms with limited incremental cost. As a result, our operating model drives attractive margins and generates significant cash flow. Also, by leveraging our scale and leading market position, we are able to make cost effective investments in our technology platform to meet evolving regulatory and compliance requirements, further increasing our value proposition to clients.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World class management team with depth of experience and track record of success</w:t>
      </w:r>
      <w:r>
        <w:rPr>
          <w:rFonts w:ascii="Arial" w:cs="Arial" w:eastAsia="Arial" w:hAnsi="Arial"/>
          <w:sz w:val="18"/>
          <w:szCs w:val="18"/>
          <w:color w:val="auto"/>
        </w:rPr>
        <w:t>. Our management team has an average of over 20 years of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banking technology and mortgage processing industries and a proven track record of strong execution capabilities. Over the past two years we have significantly improved our operations and enhanced our go-to-market strategy, further integrated our technology platforms, expanded our data and analytics capabilities and introduced several new innovative products. We executed all of these projects while delivering attractive revenue growth and strong profitability.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Title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strategy in the title business is to maximize operating profits by increasing our market share and managing operating expenses throughout the real estate business cycle. To accomplish our goals, we intend to do the following:</w:t>
      </w:r>
    </w:p>
    <w:p>
      <w:pPr>
        <w:spacing w:after="0" w:line="35" w:lineRule="exact"/>
        <w:rPr>
          <w:sz w:val="20"/>
          <w:szCs w:val="20"/>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Continue to operate multiple title brands independently</w:t>
      </w:r>
      <w:r>
        <w:rPr>
          <w:rFonts w:ascii="Arial" w:cs="Arial" w:eastAsia="Arial" w:hAnsi="Arial"/>
          <w:sz w:val="17"/>
          <w:szCs w:val="17"/>
          <w:color w:val="auto"/>
        </w:rPr>
        <w:t>. We believe that in order to maintain and strengthen our title insurance customer base, we</w:t>
      </w:r>
      <w:r>
        <w:rPr>
          <w:rFonts w:ascii="Arial" w:cs="Arial" w:eastAsia="Arial" w:hAnsi="Arial"/>
          <w:sz w:val="17"/>
          <w:szCs w:val="17"/>
          <w:i w:val="1"/>
          <w:iCs w:val="1"/>
          <w:color w:val="auto"/>
        </w:rPr>
        <w:t xml:space="preserve"> </w:t>
      </w:r>
      <w:r>
        <w:rPr>
          <w:rFonts w:ascii="Arial" w:cs="Arial" w:eastAsia="Arial" w:hAnsi="Arial"/>
          <w:sz w:val="17"/>
          <w:szCs w:val="17"/>
          <w:color w:val="auto"/>
        </w:rPr>
        <w:t>must operate our strongest brands in a given marketplace independently of each other. Our national and regional brands include Fidelity National Title,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3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5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industry and our ability to diversify our revenue base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54"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7"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1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5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Black Knight's comprehensive and integrated technology platforms, robust data and analytic capabilities, differentiated business model, broad and deep client relationships and other competitive strengths enable it to pursue multiple growth opportunities. Black Knight intends to continue to expand its business and grow through the following key strategies: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Further penetration of our solutions with existing clients</w:t>
      </w:r>
      <w:r>
        <w:rPr>
          <w:rFonts w:ascii="Arial" w:cs="Arial" w:eastAsia="Arial" w:hAnsi="Arial"/>
          <w:sz w:val="18"/>
          <w:szCs w:val="18"/>
          <w:color w:val="auto"/>
        </w:rPr>
        <w:t>. We believe our established client base presents a substantial opportunity for growth.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capitalize on the trend of standardization and increased adoption of leading third-party solutions and increase the number of solutions provided to our existing client base. We intend to broaden and deepen our client relationships by cross-selling our suite of end-to-end technology solutions, as well as our robust data and analytics. We have established incentives within our sales force, as well as a core team of account managers, to encourage cross-selling of our full range of solutions to our existing clients. By helping our clients understand the full extent of our comprehensive solutions and the value of leveraging the multiple solutions that we offer, we believe we can expand our existing relationships by freeing our clients to focus on their core businesses and their customers.</w:t>
      </w:r>
    </w:p>
    <w:p>
      <w:pPr>
        <w:spacing w:after="0" w:line="54" w:lineRule="exact"/>
        <w:rPr>
          <w:rFonts w:ascii="Arial" w:cs="Arial" w:eastAsia="Arial" w:hAnsi="Arial"/>
          <w:sz w:val="18"/>
          <w:szCs w:val="18"/>
          <w:i w:val="1"/>
          <w:iCs w:val="1"/>
          <w:color w:val="auto"/>
        </w:rPr>
      </w:pPr>
    </w:p>
    <w:p>
      <w:pPr>
        <w:jc w:val="both"/>
        <w:ind w:left="660" w:hanging="328"/>
        <w:spacing w:after="0" w:line="276"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Win new clients in existing markets</w:t>
      </w:r>
      <w:r>
        <w:rPr>
          <w:rFonts w:ascii="Arial" w:cs="Arial" w:eastAsia="Arial" w:hAnsi="Arial"/>
          <w:sz w:val="17"/>
          <w:szCs w:val="17"/>
          <w:color w:val="auto"/>
        </w:rPr>
        <w:t>. We intend to attract new clients in the mortgage industry by leveraging the value proposition provided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platform and comprehensive solutions offering. In particular, we believe there is a significant opportunity to penetrate the underserved mid-tier mortgage originators and servicers market. We believe that these institutions can benefit from our proven solutions suite in order to address increasingly complex regulatory requirements and compete more effectively in the evolving mortgage market. We intend to continue to pursue this channel and benefit from the low incremental cost of adding new customers to our scaled technology infrastructure.</w:t>
      </w:r>
    </w:p>
    <w:p>
      <w:pPr>
        <w:spacing w:after="0" w:line="37" w:lineRule="exact"/>
        <w:rPr>
          <w:rFonts w:ascii="Arial" w:cs="Arial" w:eastAsia="Arial" w:hAnsi="Arial"/>
          <w:sz w:val="17"/>
          <w:szCs w:val="17"/>
          <w:i w:val="1"/>
          <w:iCs w:val="1"/>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Continue to innovate and introduce new solutions</w:t>
      </w:r>
      <w:r>
        <w:rPr>
          <w:rFonts w:ascii="Arial" w:cs="Arial" w:eastAsia="Arial" w:hAnsi="Arial"/>
          <w:sz w:val="18"/>
          <w:szCs w:val="18"/>
          <w:color w:val="auto"/>
        </w:rPr>
        <w:t>. Our long-term vision is to be the industry-leading provider for participants of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for their platform, data, and analytic needs. We intend to enhance what we believe is a leadership position in the industry by continuing to innovate our solutions and refine the insight we provide to our clients. We have a strong track record of introducing and developing new solutions that span the mortgage loan life cycle, are tailored to specific industry trends and that enhance our clients’ core operating functions. By working in partnership with key clients, we have been able to develop and market new and advanced solutions to our client base that meet the evolving demands of the mortgage industry. In addition, we will continue to develop and leverage insights from our large public and proprietary data assets to further improve our customer value proposition.</w:t>
      </w:r>
    </w:p>
    <w:p>
      <w:pPr>
        <w:spacing w:after="0" w:line="54"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Powerful focus and dedication to staying up-to-date with regulatory requirements</w:t>
      </w:r>
      <w:r>
        <w:rPr>
          <w:rFonts w:ascii="Arial" w:cs="Arial" w:eastAsia="Arial" w:hAnsi="Arial"/>
          <w:sz w:val="16"/>
          <w:szCs w:val="16"/>
          <w:color w:val="auto"/>
        </w:rPr>
        <w:t>. We have dedicated significant technological and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to build and maintain a regulatory infrastructure and human capital base to assist our clients with increased regulatory oversight and requirements. We are able to leverage our consistent investment in this area through our SaaS technology solutions and our market-leading scale. We intend to continue our strategy of building and investing in solutions that help our clients with the regulatory environment.</w:t>
      </w:r>
    </w:p>
    <w:p>
      <w:pPr>
        <w:spacing w:after="0" w:line="19"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Selectively pursue strategic acquisitions</w:t>
      </w:r>
      <w:r>
        <w:rPr>
          <w:rFonts w:ascii="Arial" w:cs="Arial" w:eastAsia="Arial" w:hAnsi="Arial"/>
          <w:sz w:val="18"/>
          <w:szCs w:val="18"/>
          <w:color w:val="auto"/>
        </w:rPr>
        <w:t>. The core focus of our strategy is to grow organically. However, we may selectively evaluate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opportunities that may allow us to expand our footprint, broaden our client base and deepen our product and service offerings. We believe that there are meaningful synergies that result from acquiring small companies that provide best-of-breed single point solutions. The potential revenue synergies would result from integrating and cross-selling these point solutions into our broader client base and cost synergies would result from integrating acquisitions into our efficient operating environment.</w:t>
      </w:r>
    </w:p>
    <w:p>
      <w:pPr>
        <w:spacing w:after="0" w:line="5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FNFV</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FNFV we actively manage a group of companies and investments with a net asset value of approximately $969 million as of December 31, 2015. The businesses within FNFV primarily consist of our majority ownership positions in ABRH and Digital Insurance and our 32% minority investment in Ceridian. Our strategy for the Group is to continue our activities with respect to such business investments to achieve superior financial performance, maximize and ultimately monetize the value of those assets and to continue to pursue similar investments in businesses and to grow and achieve superior financial performance with respect to such newly acquired businesses.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restaurant operations are focused in the family dining and casual dining segments. The Restaurant Group's strategy is to 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synergies of our operating companies to provide purchasing power and other shared service functions. We expect to continue to maintain a strong balance sheet for our Restaurant Group to support future acquisitions and to provide stability in all operating environments.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 Dispositions, Minority Owned Operating Subsidiaries and Financings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Acquisitions have been an important part of our growth strategy.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future, we may seek to sell certain investments or other assets to increase our liquidity. Further, our management has stated that we may make acquisitions in lines of business that are not directly tied to, or synergistic with, our core operating segments. In the past we have obtained majority and minority investments in entities and securities where we see the potential to achieve above market returns. Fundamentally our goal is to acquire quality companies that are well-positioned in their respective industries, run by best in class management teams in industries that have attractive organic and acquired growth opportunities. We leverage our operational expertise and track record of growing industry leading companies and also our active interaction with the acquired company's management directly or through our board of directors, to ultimately provide value for our shareholders.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According to Demotech Performance of Title Insurance Companies 2015 Edition, an annual compilation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from the title insurance industry that is published by Demotech Inc., an independent firm ("Demotech"), total operating income for the entire U.S. title insurance industry has increased over the last 5 years from approximately $10.3 billion in 2010 to $12.2 billion in 2014, which is a $1.2 billion decrease from 2013.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 Both the volume and the average price of residential real estate transactions declined from 2007-2011. Beginning in 2008 and continuing through 2011, the mortgage delinquency and default rates caused negative operating results at a number of banks and financial institutions. Multiple banks failed during this time, reducing the capacity of the mortgage industry to make loans. Since this time, lenders have tightened their underwriting standards which has made it more difficult for buyers to qualify for new loans. However, during this same period, interest rates declined to historically low levels, which spurred higher refinance activity in the period 2009 through 2012. During 2013 and continuing through 2015, refinance activity declined due to rising interest rates which followed a period of historically low interest rates experienced from 2008 through 2012. However, over the same period from 2013 through 2015, we experienced an increase in the purchase volume and average price of residential real estate. Overall, our title premiums increased in 2015 compared to 2014. Our revenues in future periods will continue to be subject to these and other factors which are beyond our control and, as a result, are likely to fluctuate.</w:t>
      </w:r>
    </w:p>
    <w:p>
      <w:pPr>
        <w:spacing w:after="0" w:line="52" w:lineRule="exact"/>
        <w:rPr>
          <w:sz w:val="20"/>
          <w:szCs w:val="20"/>
          <w:color w:val="auto"/>
        </w:rPr>
      </w:pPr>
    </w:p>
    <w:p>
      <w:pPr>
        <w:jc w:val="both"/>
        <w:ind w:firstLine="356"/>
        <w:spacing w:after="0" w:line="264"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87% of net premiums written in 2014. Approximately 32 independent title insurance companies accounted for the remaining 13% of net premiums written in 2014. Consolidation has created opportunities for increased financial and operating efficiencies for the industry’s largest participants and should continue to drive profitability and market share in the industry.</w:t>
      </w:r>
    </w:p>
    <w:p>
      <w:pPr>
        <w:spacing w:after="0" w:line="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A lender’s policy generally terminates upon the refinancing or resale of the property.</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7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approximately 1,200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and examination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2015, we transact business with approximately 5,000 agents.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2,352</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56.6</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collection and trust activities, trustee sales guarantees, recordings and reconveyances, and home warranty services. The escrow and other services provided by us include all of those typically required in connection with residential and commercial real estate purchases and refinance activities. Escrow, title-related and other fees included in our Title segment represented approximately 31.2%, 32.8%, and 27.1% of our revenues in 2015, 2014, and 2013, respectively.</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market and distribute our title and escrow products and services to customers in the residential and commercial market sectors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i w:val="1"/>
          <w:iCs w:val="1"/>
          <w:color w:val="auto"/>
        </w:rPr>
        <w:t xml:space="preserve">Claims. </w:t>
      </w:r>
      <w:r>
        <w:rPr>
          <w:rFonts w:ascii="Arial" w:cs="Arial" w:eastAsia="Arial" w:hAnsi="Arial"/>
          <w:sz w:val="16"/>
          <w:szCs w:val="16"/>
          <w:color w:val="auto"/>
        </w:rPr>
        <w:t>An important part of our operations is the handling of title and escrow claims. We employ a large staff of attorneys in our claims department.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processing centers are located in Omaha, Nebraska and Jacksonville, Florida. In-house claims counsel are also located in other parts of the country.</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Reinsurance and Coinsurance. </w:t>
      </w:r>
      <w:r>
        <w:rPr>
          <w:rFonts w:ascii="Arial" w:cs="Arial" w:eastAsia="Arial" w:hAnsi="Arial"/>
          <w:sz w:val="17"/>
          <w:szCs w:val="17"/>
          <w:color w:val="auto"/>
        </w:rPr>
        <w:t>We limit our maximum loss exposure by reinsuring risks with other insurers under excess of loss and case-by-case</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Through February 23, 2016, our excess of loss reinsurance coverage is split into two tiers. The first tier provides coverage for residential and commercial transactions up to $100 million per loss occurrence, subject to a $20 million retention per loss occurrence. The second tier provides additional coverage for commercial transactions in excess of $100 million of loss per occurrence up to $400 million per loss occurrence, with the Company participating at approximately 10%. We have not yet finalized the terms and conditions of our 2016 - 2017 coverages, but do not expect there to be substantial changes in the terms and conditions.</w:t>
      </w:r>
    </w:p>
    <w:p>
      <w:pPr>
        <w:spacing w:after="0" w:line="62" w:lineRule="exact"/>
        <w:rPr>
          <w:sz w:val="20"/>
          <w:szCs w:val="20"/>
          <w:color w:val="auto"/>
        </w:rPr>
      </w:pPr>
    </w:p>
    <w:p>
      <w:pPr>
        <w:jc w:val="both"/>
        <w:ind w:right="20" w:firstLine="329"/>
        <w:spacing w:after="0" w:line="328"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periodically review the financial condition of our reinsurers.</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Competition in the title insurance industry is based primarily on expertise, service and price. In addition, the financial strength of the insurer</w:t>
      </w:r>
    </w:p>
    <w:p>
      <w:pPr>
        <w:spacing w:after="0" w:line="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As a result of the significant decrease in the real estate market from 2008 through 2012, several of our smaller competitors closed their operations.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Our insurance subsidiaries, including title insurers, underwritten title companies and insurance agencies, are subject to extensive regulation</w:t>
      </w:r>
    </w:p>
    <w:p>
      <w:pPr>
        <w:spacing w:after="0" w:line="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2015, the combined statutory unearned premium reserve required and reported for our title insurers was $1,728 million. In addition to statutory unearned premium reserves and reserves for known claims, each of our insurers maintains surplus funds for policyholder protection and business operations.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November 20, 2013, the CFPB issued additional rules regarding mortgage forms and other mortgage related disclosures with the intent to provide "easier-to-use" mortgage disclosure forms for the consumer. The additional disclosure requirements require participants in the mortgage market, including us, to make significant changes to the manner in which they create, process, and deliver certain disclosures to consumers in connection with mortgage loan applications. The additional disclosures are effective for mortgage loan applications made on or after October 3, 2015. The main provisions of the additional disclosures include amending Regulation Z (the Truth in Lending Act) and Regulation X (Real Estate Settlement Procedures Act) (collectively, the “TILA-RESPA Integrated Disclosure" or "TRID”) to consolidate existing loan disclosures under TILA and RESPA for closed-end credit transactions secured by real property. TRID will require (i) timely delivery of a loan estimate upon receipt a consumer’s application and (ii) timely delivery of a closing disclosure prior to consummation. TRID will also impose certain restrictions, including the prohibition of imposing fees prior to provision of an estimate and the prohibition of providing estimates prior to a consumer’s submission of verifying documents. These changes could lead to lower mortgage volumes and/or delays in mortgage processing, particularly in the early stages of implementation. We do not believe the changes will have a significant effect on long term mortgage volumes, but could have the effect of delaying mortgage closings to 2016 that absent the rule may have closed in 2015. We do not anticipate this having a material impact on our current year results from operations.</w:t>
      </w:r>
    </w:p>
    <w:p>
      <w:pPr>
        <w:spacing w:after="0" w:line="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Readiness for and compliance with TRID required extensive planning; changes to systems, forms and processes; as well as heightened coordination among market participants. Although there can be no assurance that FNF, its agents or other market participants will be successful in their implementation efforts, we have reviewed the new requirements, and reviewed and updated our policies, procedures and technology resources as appropriate. It is our experience that mortgage lenders have become more focused on the risk of non-compliance with these evolving regulations and are focused on technologies and solutions that help them to comply with the increased regulatory oversight and burdens. Black Knight has developed solutions that target this need, which has resulted in additional revenue at Black Knight.</w:t>
      </w:r>
    </w:p>
    <w:p>
      <w:pPr>
        <w:spacing w:after="0" w:line="58" w:lineRule="exact"/>
        <w:rPr>
          <w:sz w:val="20"/>
          <w:szCs w:val="20"/>
          <w:color w:val="auto"/>
        </w:rPr>
      </w:pPr>
    </w:p>
    <w:p>
      <w:pPr>
        <w:jc w:val="both"/>
        <w:ind w:firstLine="342"/>
        <w:spacing w:after="0" w:line="340" w:lineRule="auto"/>
        <w:rPr>
          <w:sz w:val="20"/>
          <w:szCs w:val="20"/>
          <w:color w:val="auto"/>
        </w:rPr>
      </w:pPr>
      <w:r>
        <w:rPr>
          <w:rFonts w:ascii="Arial" w:cs="Arial" w:eastAsia="Arial" w:hAnsi="Arial"/>
          <w:sz w:val="18"/>
          <w:szCs w:val="18"/>
          <w:color w:val="auto"/>
        </w:rPr>
        <w:t>As a holding company with no significant business operations of our own, we depend on dividends or other distributions from our subsidiaries as the principal source of cash to meet our obligations, including the payment of interest on and repayment 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7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laws and regulations of some jurisdictions also prohibit an insurer from declaring or paying a dividend except out of its earned surplus or require the insurer to obtain prior regulatory approval. During 2016, our directly owned title insurers can pay dividends or make distributions to us of approximately $334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$1,412 million and $1,472 million as of December 31, 2015 and 2014, respectively. The combined statutory earnings of our title insurers were $381 million, $276 million, and $352 million for the years ended December 31, 2015, 2014, and 2013,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2015.</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2015.</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4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Title Insurance Ratings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Fidelity National Title and National Title of New York. Standard &amp; Poor’s Ratings Group (“S&amp;P”), Moody’s Investors Service (“Moody’s”), and A. M. Best Company ("A.M. Best") provide ratings for the entire FNF family of companies as a whole as follows: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Moody’s</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FNF family of companies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A3</w:t>
            </w:r>
          </w:p>
        </w:tc>
        <w:tc>
          <w:tcPr>
            <w:tcW w:w="1020" w:type="dxa"/>
            <w:vAlign w:val="bottom"/>
          </w:tcPr>
          <w:p>
            <w:pPr>
              <w:jc w:val="center"/>
              <w:spacing w:after="0"/>
              <w:rPr>
                <w:sz w:val="20"/>
                <w:szCs w:val="20"/>
                <w:color w:val="auto"/>
              </w:rPr>
            </w:pPr>
            <w:r>
              <w:rPr>
                <w:rFonts w:ascii="Arial" w:cs="Arial" w:eastAsia="Arial" w:hAnsi="Arial"/>
                <w:sz w:val="18"/>
                <w:szCs w:val="18"/>
                <w:color w:val="auto"/>
              </w:rPr>
              <w:t>A</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S&amp;P "A" rating is the third highest rating of 11 ratings for S&amp;P. S&amp;P states that an “A” rating means that, in its opinion, the insurer has strong financial security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Moody's "A3" rating is the third highest rating of 9 ratings for Moody's. Moody's states that insurance companies rated “A3” offer good financial security.</w:t>
      </w:r>
    </w:p>
    <w:p>
      <w:pPr>
        <w:ind w:left="660" w:right="2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 Best "A" rating is the third highest rating of 18 ratings for A.M. Best. A.M. Best states that its “A (Excellent)” rating is assigned to those companies that have, in its opinion, an excellent ability to meet their ongoing obligations to policyholders.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Title Insurance of New York</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Demotech states that its ratings of "A"(A double prime)" and "A' (A prime)" reflect its opinion that, regardless of the severity of a general economic</w:t>
      </w:r>
    </w:p>
    <w:p>
      <w:pPr>
        <w:spacing w:after="0" w:line="75"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downturn or deterioration in the insurance cycle, the insurers assigned either of those ratings possess "Unsurpassed" financial stability related to maintaining positive surplus as regards policyholders. The "A'' (A double prime)" and "A' (A prime)" ratings are the two highest ratings of Demotech's five ratings.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 If the rating agencies downgrade our Company, our results of operations and competitive position in the title insurance industry may suffer”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 Knight</w:t>
      </w:r>
    </w:p>
    <w:p>
      <w:pPr>
        <w:spacing w:after="0" w:line="1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Black Knight segment offers technology and data and analytics services through leading software systems and information solutions that facilitate and automate many of the business processes across the life cycle of a mortgage. Our customers use our technology and services to reduce their operating costs, improve their customer service and enhance the quality and consistency of various aspects of their mortgage servicing. We continually work with our customers to customize and integrate our software and services in order to assist them in achieving the value proposition that we offer to them.</w:t>
      </w:r>
    </w:p>
    <w:p>
      <w:pPr>
        <w:spacing w:after="0" w:line="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principal technology solutions are software applications provided to mortgage lenders and other lending institutions, together with related support and services. Our technology solutions primarily consist of mortgage processing and workflow management software applications. The long term nature of most of our contracts in this business provides us with substantial recurring revenues. Our revenues from servicing technology are generally based on the number of active mortgages on our mortgage servicing platform in a given period. Our other technology solutions include our origination and default technology, from which we generally earn revenues on a per transaction basis. Our data and analytics offerings primarily consist of our alternative valuation services, real estate and mortgage data, modeling and forecasting and analytical tools.</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U.S. mortgage market has seen significant change over the past few years and is expected to continue to evolve going forward. Increased origination volatility and key regulatory actions arising from the recent financial crisis, such as the Dodd-Frank Act and the establishment of the Consumer Financial Protection Bureau (the "CFPB"), impose new and evolving standards for market participants. These regulatory changes have spurred lenders and servicers to seek technology solutions that facilitate compliance obligations in the face of a changing regulatory environment while remaining efficient and profitable.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market conditions for Black Knight's services include the following:</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Increased regulation</w:t>
      </w:r>
      <w:r>
        <w:rPr>
          <w:rFonts w:ascii="Arial" w:cs="Arial" w:eastAsia="Arial" w:hAnsi="Arial"/>
          <w:sz w:val="18"/>
          <w:szCs w:val="18"/>
          <w:color w:val="auto"/>
        </w:rPr>
        <w:t>. Most U.S. mortgage market participants have become subject to increasing regulatory oversight and regulatory requirements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and state governments have enacted various new laws, rules and regulations. One example of such legislation is the Dodd-Frank Act, which contains broad changes for many sectors of the financial services and lending industries and established the CFPB, a new federal regulatory agency responsible for regulating consumer financial protection within the United States. It is our experience that mortgage lenders have become more focused on minimizing the risk of non-compliance with these evolving regulations and are looking towards technologies and solutions that help them to comply with the increased regulatory oversight and burdens.</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Lenders increasingly focused on core operations</w:t>
      </w:r>
      <w:r>
        <w:rPr>
          <w:rFonts w:ascii="Arial" w:cs="Arial" w:eastAsia="Arial" w:hAnsi="Arial"/>
          <w:sz w:val="18"/>
          <w:szCs w:val="18"/>
          <w:color w:val="auto"/>
        </w:rPr>
        <w:t>. As a result of greater regulatory scrutiny and the higher cost of doing business, we believe lenders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become more focused on their core operations and customers. We believe lenders are increasingly shifting from in-house technologies to solutions with third-party providers who can provide better technology and services more efficiently. Lenders require these vendors to provide best-in-class technology and deep domain expertise and to assist them in maintaining regulatory compliance.</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Growing role of technology in the U.S. mortgage industry</w:t>
      </w:r>
      <w:r>
        <w:rPr>
          <w:rFonts w:ascii="Arial" w:cs="Arial" w:eastAsia="Arial" w:hAnsi="Arial"/>
          <w:sz w:val="18"/>
          <w:szCs w:val="18"/>
          <w:color w:val="auto"/>
        </w:rPr>
        <w:t>. Banks and other lenders and servicers have become increasingly focused 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and workflow management to operate more efficiently and meet their regulatory guidelines. We believe that vendors must be able to support the complexity in the market, display extensive industry knowledge and possess the financial resources to make the necessary investments in technology to support lenders.</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Increased demand for enhanced transparency and analytic insight</w:t>
      </w:r>
      <w:r>
        <w:rPr>
          <w:rFonts w:ascii="Arial" w:cs="Arial" w:eastAsia="Arial" w:hAnsi="Arial"/>
          <w:sz w:val="17"/>
          <w:szCs w:val="17"/>
          <w:color w:val="auto"/>
        </w:rPr>
        <w:t>. As U.S. mortgage market participants work to minimize the risk in lending,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and capital markets, they increasingly rely on data and analytics to integrate with technologies that enhance the decision making process. These industry participants rely on large comprehensive third party databases coupled with enhanced analytics to achieve these goals.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 Business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national provider of real estate transaction products and services, we participate in an industry that is subject to significant regulatory requirements,</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 We have made enhancements to certain of our systems to comply with the CFPB’s Integrated Mortgage Disclosure rules that went into effect on October 3, 2015. See further discussion of the new rules in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 Business Trends and Conditions.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Black Knight's technology and research and development activities relate primarily to the design, development and enhancement of our processing systems and related software applications. We expect to continue our practice of investing an appropriate level of resources to maintain, enhance and extend the functionality of our proprietary systems and existing software applications, to develop new and innovative software applications and systems in response to the needs of our clients, and to enhance the capabilities surrounding our infrastructure. We work with our clients to determine the appropriate timing and approach to introducing technology or infrastructure changes to our applications and services. We have made enhancements to certain of our systems to comply with the CFPB's Integrated Mortgage Disclosure rules that went into effect on October 3, 2015. See further discussion of the new rules in Item 7.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 Business Trends and Conditions.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94" w:lineRule="exact"/>
        <w:rPr>
          <w:sz w:val="20"/>
          <w:szCs w:val="20"/>
          <w:color w:val="auto"/>
        </w:rPr>
      </w:pPr>
    </w:p>
    <w:p>
      <w:pPr>
        <w:jc w:val="both"/>
        <w:ind w:firstLine="356"/>
        <w:spacing w:after="0" w:line="340" w:lineRule="auto"/>
        <w:rPr>
          <w:sz w:val="20"/>
          <w:szCs w:val="20"/>
          <w:color w:val="auto"/>
        </w:rPr>
      </w:pPr>
      <w:r>
        <w:rPr>
          <w:rFonts w:ascii="Arial" w:cs="Arial" w:eastAsia="Arial" w:hAnsi="Arial"/>
          <w:sz w:val="18"/>
          <w:szCs w:val="18"/>
          <w:color w:val="auto"/>
        </w:rPr>
        <w:t>Our investment policy is designed to maximize total return through investment income and capital appreciation consistent with moderate risk of principal, while providing adequate liquidity. Our insurance subsidiaries, including title insurers, underwritten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core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2015 and 2014, the carrying amount of total investments, which approximates the fair value, excluding investments in unconsolidated affiliates, was $4.3 billion and $3.9 billion, respectively.</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22.2</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33.4</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24.0</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Ba/BB/B</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Lower</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1.8</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w:t>
            </w:r>
          </w:p>
        </w:tc>
      </w:tr>
      <w:tr>
        <w:trPr>
          <w:trHeight w:val="237"/>
        </w:trPr>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3,186</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71.5</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1.0</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2015, all of our mortgage-backed and asset-backed securities are rated AAA by Moody's. The mortgage-backed and asset-backed securities are made up of $49 million of agency-backed mortgage-backed securities, $8 million of agency-backed collateralized mortgage obligations, and $14 million in asset-backed securities.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equity securities at December 31, 2015 and 2014 consisted of investments with a cost basis of $276 million and $72 million, respectively, and fair value of $345 million and $145 million, respectively.</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December 31, 2015 and 2014, we also held $521 million and $770 million, respectively, in investments that are accounted for using the equity method of accounting, principally our ownership interests in Ceridian.</w:t>
      </w:r>
    </w:p>
    <w:p>
      <w:pPr>
        <w:spacing w:after="0" w:line="35" w:lineRule="exact"/>
        <w:rPr>
          <w:sz w:val="20"/>
          <w:szCs w:val="20"/>
          <w:color w:val="auto"/>
        </w:rPr>
      </w:pPr>
    </w:p>
    <w:p>
      <w:pPr>
        <w:ind w:firstLine="329"/>
        <w:spacing w:after="0" w:line="328" w:lineRule="auto"/>
        <w:rPr>
          <w:sz w:val="20"/>
          <w:szCs w:val="20"/>
          <w:color w:val="auto"/>
        </w:rPr>
      </w:pPr>
      <w:r>
        <w:rPr>
          <w:rFonts w:ascii="Arial" w:cs="Arial" w:eastAsia="Arial" w:hAnsi="Arial"/>
          <w:sz w:val="18"/>
          <w:szCs w:val="18"/>
          <w:color w:val="auto"/>
        </w:rPr>
        <w:t>As of December 31, 2015 and 2014, other long-term investments included investments accounted for using the cost method of accounting of $74 million and $144 million, as of December 31, 2015 and 2014, respectively.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investments, which consist primarily of commercial paper and money market instruments which have an original maturity of one year or less,</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are carried at amortized cost, which approximates fair value. As of December 31, 2015 and 2014, short-term investments amounted to $1,034 million and $334 million,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2015, 2014 and 2013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139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147</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4,020</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3,819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3,627</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Reserves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direct title operations are divided into approximately 150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5,000 agents, primarily in those areas in which agents are the more prevalent title insurance provider. Substantially all of our revenues are generated in the United States.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Florida</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50.1</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Our Restaurant Group operates and franchises restaurants in 42 states throughout the United States. All of our Restaurant Group's revenues are generated in those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January 22, 2016, we had 54,091 full-time equivalent employees, which includes 20,681 in our Title segment, 28,414 in our Restaurant Group segment, 4,099 in the Black Knight segment and 897 in our remaining businesses. We monitor our staffing levels based on current economic activity. None of our employees are subject to collective bargaining agreements. We believe that our relations with employees are generally good.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Operating Segment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information by operating segment, see Note R of the Notes to Consolidated Financial Statements.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statements contained in this Form 10-K or in our other documents or in oral presentations or other statements made by our management that are not</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concentration in the States of California and Texas are the source of approximately 15.1% and14.4%, respectively, of our title insurance premiums;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Goodwill aggregated approximately $4,760 million, or 34.2% of our total assets, as of December 31, 2015.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2015.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4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risks, such as the diversion of management’s attention and lack of experience in operating such businesses, and may affect our credit and ability to repay our debt.</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has stated that we may make acquisitions in lines of business that are not directly tied to or synergistic with our core operations. Accordingly, we have in the past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2016, our title insurers may pay dividends or make distributions to us of approximately $334 million, however, insurance regulators have the authority to prohibit the payment of ordinary dividends or other payments by our title insurers to us if they determine that such payment could be adverse to our policyholders.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core operations are highly dependent upon the effective operation of our computer systems. As part of our core operations, we electronically receive, process, store and transmit sensitive personal consumer data (such as names and addresses, social security numbers, driver's license numbers, credit card and bank account information) and important business information of our customers. We also electronically manage substantial cash, investment asset and escrow account balances on behalf of ourselves and our customers, as well as financial information about our businesses generally. The integrity of our information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IT services) maintain a reasonable, industry standard information security infrastructure, it is possible that unauthorized persons still could obtain access to information or assets we hold. These risks are increased when we transmit information over the internet and due to increasing security risks posed by organized crime. While, to date, we believe that we have not experienced a material breach of our information security systems, the existence or scope of such events is not always apparent. If additional information regarding an incident previously considered immaterial is discovered, or a new event were to occur, it could potentially have a material adverse effect on us. In addition, some laws and certain of our contracts require notification of various parties, including consumers or customers, in the event that confidential or personal information has or may have been taken or accessed by unauthorized third parties. Such notifications can result, among other things, in adverse publicity, distraction of management's time and energy, the attention of regulatory authorities, and fines and disruptions in sales, the effects of which may be material.</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our financial institution customers have obligations to safeguard their information technology systems and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if more restrictive privacy laws, rules or industry security requirements are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adopted in the future on the federal or state level or by a specific industry in which we do business, that could have an adverse impact on us through increased costs or restrictions on business processes. Any inability to prevent security or privacy breaches, or the perception that such breaches may occur, could inhibit our ability to retain existing customers or attract new customers and/or result in financial losses, litigation, increased costs or other adverse consequences to our business.</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own a minority interest in Ceridian, a leading provider of global human capital management and payment solutions. If the fair value of this company were to decline below book value, we would be required to write down the value of our investment, which could have a material negative impact on our results of operations and financial condition. If this company were to experience significant negative volatility in its results of operations it would have a material adverse effect on our own results of operations due to our inclusion of our portion of its earnings in our results of operations.</w:t>
      </w:r>
    </w:p>
    <w:p>
      <w:pPr>
        <w:spacing w:after="0" w:line="36"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indebtedness.</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2015, our outstanding debt was $2,793 million, including $1,403 million in variable rate debt.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 (ii) our ability to obtain additional financing for working capital, capital expenditures, debt service requirements, acquisitions and general corporate purposes in the future may be limited; (iii) certain of the borrowings are at variable rates of interest, which will increase our vulnerability to increases in interest rates; (iv) we may be unable to adjust rapidly to changing market conditions; (v) the debt service requirements of our other indebtedness could make it more difficult for us to satisfy our financial obligations; and (vi) we may be vulnerable in a downturn in general economic conditions or in our business and we may be unable to carry out activities that are important to our growth.</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Title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Declines in the level of real estate activity or the average price of real estate sales are likely to adversely affect our title insurance revenues. The Mortgage Bankers Association's ("MBA") Mortgage Finance Forecast as of February 18, 2016 estimates an approximately $1.5 trillion mortgage origination market for 2016, which would be a decrease of 6.3% from 2015. The MBA forecasts that the 6.3% decrease will result from a decrease in refinance activity, offset by a slight increase in forecast purchase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transactions. Our revenues in future periods will continue to be subject to these and other factors which are beyond our control and, as a result, are likely to fluctuate.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$14.3 billion at December 31, 2015.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5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average provision for claim losses was 5.7% of title premiums in 2015. We will reassess the provision to be recorded in future periods consistent with this methodology and can make no assurance that we will not need to record additional charges in the future to increase reserves in respect of prior periods.</w:t>
      </w:r>
    </w:p>
    <w:p>
      <w:pPr>
        <w:spacing w:after="0" w:line="4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3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disclosure requirements on key terms of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Regulation.”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and Texas for approximately 15.1% and 14.4% and of our title insurance premiums, respectively, our business may be adversely affected by regulatory conditions in Texas and/or California.</w:t>
      </w:r>
    </w:p>
    <w:p>
      <w:pPr>
        <w:spacing w:after="0" w:line="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California and Texas are the two largest sources of revenue for our title segment and, in 2015, California-based premiums accounted for 29.0% of premiums earned by our direct operations and 1.1% of our agency premium revenues. Texas-based premiums accounted for 17.7% of premiums earned by our direct operations and 11.0% of our agency premium revenues. In the aggregate, California and Texas accounted for approximately 15.1% and 14.4%, respectively, of our total title insurance premiums for 2015. A significant part of our revenues and profitability are therefore subject to our operations in California and Texas and to the prevailing regulatory conditions in California and Texas. Adverse regulatory developments in Texas and California, which could include reductions in the maximum rates permitted to be charged, inadequate rate increases or more fundamental changes in the design or implementation of the Texas and California title insurance regulatory framework, could have a material adverse effect on our results of operations and financial condition.</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Black Knight</w:t>
      </w:r>
    </w:p>
    <w:p>
      <w:pPr>
        <w:spacing w:after="0" w:line="94" w:lineRule="exact"/>
        <w:rPr>
          <w:sz w:val="20"/>
          <w:szCs w:val="20"/>
          <w:color w:val="auto"/>
        </w:rPr>
      </w:pPr>
    </w:p>
    <w:p>
      <w:pPr>
        <w:jc w:val="both"/>
        <w:ind w:left="180"/>
        <w:spacing w:after="0" w:line="312" w:lineRule="auto"/>
        <w:rPr>
          <w:sz w:val="20"/>
          <w:szCs w:val="20"/>
          <w:color w:val="auto"/>
        </w:rPr>
      </w:pPr>
      <w:r>
        <w:rPr>
          <w:rFonts w:ascii="Arial" w:cs="Arial" w:eastAsia="Arial" w:hAnsi="Arial"/>
          <w:sz w:val="16"/>
          <w:szCs w:val="16"/>
          <w:b w:val="1"/>
          <w:bCs w:val="1"/>
          <w:i w:val="1"/>
          <w:iCs w:val="1"/>
          <w:color w:val="auto"/>
        </w:rPr>
        <w:t>Black Knight's clients and Black Knight are subject to various governmental regulations, and a failure to comply with government regulations or changes in these regulations could result in penalties, restrict or limit it or its clients’ operations or make it more burdensome to conduct such operations, any of which could have a material adverse effect on its business, financial condition and results of operations.</w:t>
      </w:r>
    </w:p>
    <w:p>
      <w:pPr>
        <w:spacing w:after="0" w:line="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Black Knight's clients and its businesses are subject to various federal, state, local and foreign laws and regulations. Black Knight's failure to comply with applicable laws and regulations could restrict its ability to provide certain services or result in imposition of civil fines and criminal penalties, substantial regulatory and compliance costs, litigation expense, adverse publicity and loss of revenue.</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a provider of electronic data processing to financial institutions, such as banks and credit unions, Black Knight is subject to regulatory oversight and examination by the Federal Financial Institutions Examination Council, an interagency body of the Federal Reserve Board, the Office of the Comptroller of the Currency, or the OCC, the Federal Deposit Insurance Corporation, or the FDIC, and various other federal and state regulatory authorities. In addition, independent auditors annually review several of the Black Knight operations to provide reports on internal controls for its clients’ auditors and regulators. Black Knight may be subject to review by state agencies that regulate banks in each state in which it conducts its electronic processing activities.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Black Knight is subject to an increasing degree of compliance oversight by regulators and by its clients. Specifically, the CFPB has authority to write rules affecting the business of, supervise, conduct examinations of, and enforce compliance as to federal consumer financial protection laws and regulations with respect to certain “non-depository covered persons” determined by the CFPB to be “larger participants” that offer consumer financial products and services. The CFPB and other financial institution regulators such as the OCC also have the authority to examine Black Knight in its role as a service provider to large financial institutions, although it is yet unclear how broadly they will apply this authority going forward. In addition, some of Black Knight's largest bank clients are subject to consent orders with the OCC and/or are parties to the National Mortgage Settlement, both of which require them to exercise greater oversight and perform more rigorous audits of their key vendors such as Black Knight.</w:t>
      </w:r>
    </w:p>
    <w:p>
      <w:pPr>
        <w:spacing w:after="0" w:line="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Real Estate Settlement Procedures Act, or RESPA, and related regulations generally prohibit the payment or receipt of fees or any other item of value for the referral of real estate-related settlement services. RESPA also prohibits fee shares or splits or unearned fees in connection with the provision of residential real estate settlement services, such as mortgage brokerage and real estate brokerage. Notwithstanding these prohibitions, RESPA permits payments for goods furnished or for services actually performed, so long as those payments bear a reasonable relationship to the market value of the goods or services provided. RESPA and related regulations may to some extent restrict our real estate-related businesses from entering into certain preferred alliance arrangements. The CFPB is responsible for enforcing RESPA.</w:t>
      </w:r>
    </w:p>
    <w:p>
      <w:pPr>
        <w:spacing w:after="0" w:line="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Changes to laws and regulations and enhanced regulatory oversight of our clients and us may compel us to increase our prices in certain situations or decrease our prices in other situations, may restrict our ability to implement price increases, or otherwise limit the manner in which Black Knight conducts its business. In addition, in response to increased regulatory oversight, participants in the mortgage lending industry may develop policies pursuant to which they limit the extent to which they can rely on any one vendor or service provider. If we are unable to adapt our products and services to conform to the new laws and regulations, or if these laws and regulations have a negative impact on our clients, we may experience client losses or increased operating costs, which could have a material adverse effect on our business, financial condition and results of operations.</w:t>
      </w:r>
    </w:p>
    <w:p>
      <w:pPr>
        <w:spacing w:after="0" w:line="4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Black Knight relies on its top clients for a significant portion of its revenue and profit, which makes it susceptible to the same macro-economic and regulatory factors that impact its clients. If these clients are negatively impacted by current economic or regulatory conditions or otherwise experience financial hardship or stress, or if the terms of its relationships with these clients change, it could have a material adverse effect on its business, financial condition and results of operations.</w:t>
      </w:r>
    </w:p>
    <w:p>
      <w:pPr>
        <w:spacing w:after="0" w:line="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Black Knight operates in a consolidated industry and as a result, a small number of its clients have accounted for a significant portion of its revenues. We expect that a limited number of Black Knight's clients will continue to represent a significant portion of its revenues for the foreseeable future. During the year ended December 31, 2015, Black Knight's largest client, Wells Fargo, N.A., or Wells Fargo, accounted for approximately 12% of its consolidated revenues. During the year ended December 31, 2015, Black Knight's five largest clients accounted for approximately 37% of its consolidated revenues.</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Black Knight's clients face continued pressure in the current economic and regulatory climate. Many of Black Knight's relationships with these clients are long-standing and are important to its business and results of operations, but there is no guarantee that Black Knight will be able to retain or renew existing agreements or maintain its relationships on acceptable terms or at all. Additionally, Black Knight relies on cross-selling its products and services to its existing clients as a source of growth. The deterioration in or termination of any of these relationships could significantly reduce its revenue and could have a material adverse effect on its business, financial condition and results of operations. As a result, Black Knight may be disproportionately affected by declining revenue from, or loss of, a significant Black Knight client. In addition, by virtue of their significant relationships with us, these clients may be able to exert pressure on Black Knight with respect to the pricing of their services.</w:t>
      </w:r>
    </w:p>
    <w:p>
      <w:pPr>
        <w:spacing w:after="0" w:line="4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There may be consolidation in Black Knight's end client market, which would reduce the use of its services by its clients and could have a material adverse effect on its business, financial condition and results of operations.</w:t>
      </w:r>
    </w:p>
    <w:p>
      <w:pPr>
        <w:spacing w:after="0" w:line="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Mergers or consolidations among existing or potential clients could reduce the number of Black Knight's clients and potential clients. If Black Knight's clients merge with or are acquired by other entities that are not Black Knight's clients, or that use fewer of Black Knight's services, they may discontinue or reduce their use of Black Knight's services. In addition, if potential clients merge, Black Knight's ability to increase its client base may be adversely affected and the ability of Black Knight's customers to exert pressure on Black Knight's pricing may increase. Any of these developments could have a material adverse effect on Black Knight's business, financial condition and results of operations.</w:t>
      </w:r>
    </w:p>
    <w:p>
      <w:pPr>
        <w:spacing w:after="0" w:line="3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Black Knight fails to adapt its solutions to technological changes or evolving industry standards, or if Black Knight's ongoing efforts to upgrade its technology are not successful, Black Knight could lose clients and have difficulty attracting new clients for its solutions, which could have a material adverse effect on its business, financial condition and results of operations.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markets for Black Knight's solutions are characterized by constant technological changes, frequent introductions of new products and services and evolving industry standards. Black Knight's future success will be significantly affected by Black Knight's ability to successfully enhance Black Knight's current solutions, and develop and introduce new solutions and services that address the increasingly sophisticated needs of Black Knight's clients and their customers. These initiatives carry the risks associated with</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any new product or service development effort, including cost overruns, delays in delivery and performance issues. There can be no assurance that Black Knight will be successful in developing, marketing and selling new solutions and services that meet these changing demands, that Black Knight will not experience difficulties that could delay or prevent the successful development, introduction, and marketing of these solutions and services, or that Black Knight's new solutions and services and their enhancements will adequately meet the demands of the marketplace and achieve market acceptance. If Black Knight's efforts are unsuccessful, it could have a material adverse effect on Black Knight's business, financial condition and results of operations.</w:t>
      </w:r>
    </w:p>
    <w:p>
      <w:pPr>
        <w:spacing w:after="0" w:line="2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Black Knight operates in a competitive business environment and, if Black Knight is unable to compete effectively, it could have a material adverse effect on its business, financial condition and results of operations.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markets for Black Knight's solutions are intensely competitive. Black Knight's competitors vary in size and in the scope and breadth of the services they offer. Some of Black Knight's competitors have substantial resources. In addition, Black Knight expects that the markets in which Black Knight competes will continue to attract new competitors and new technologies. There can be no assurance that Black Knight will be able to compete successfully against current or future competitors or that competitive pressures Black Knight faces in the markets in which Black Knight operates will not have a material adverse effect on its business, financial condition and results of operations.</w:t>
      </w:r>
    </w:p>
    <w:p>
      <w:pPr>
        <w:spacing w:after="0" w:line="5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 because many of Black Knight's larger potential clients have historically developed their key processing applications in-house and therefore view their system requirements from a make-versus-buy perspective, Black Knight often competes against Black Knight's potential clients’ in-house capacities. There can be no assurance that Black Knight's strategies for overcoming potential clients’ reluctance to change will be successful, and if Black Knight is unsuccessful, it could have a material adverse effect on Black Knight's business, financial condition and results of operations.</w:t>
      </w:r>
    </w:p>
    <w:p>
      <w:pPr>
        <w:spacing w:after="0" w:line="36"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Black Knight relies on proprietary technology and information rights, and if Black Knight is unable to protect its rights, it could have a material adverse effect on Black Knight's business, financial condition and results of operations.</w:t>
      </w:r>
    </w:p>
    <w:p>
      <w:pPr>
        <w:spacing w:after="0" w:line="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Black Knight's success depends, in part, upon its intellectual property rights. Black Knight relies primarily on a combination of patents, copyrights, trade secrets, and trademark laws and nondisclosure and other contractual restrictions on copying, distribution and creation of derivative products to protect Black Knight's proprietary technology and information. This protection is limited, and Black Knight's intellectual property could be used by others without their consent. In addition, patents may not be issued with respect to Black Knight's pending or future patent applications, and Black Knight's patents may not be upheld as valid or may not prevent the development of competitive products. Any infringement, disclosure, loss, invalidity of, or failure to protect Black Knight's intellectual property could have a material adverse effect on its business, financial condition and results of operations. Moreover, litigation may be necessary to enforce or protect its intellectual property rights, to protect its trade secrets, or to determine the validity and scope of the proprietary rights of others. Such litigation could be time-consuming, result in substantial costs and diversion of resources and could have a material adverse effect on its business, financial condition and results of operations.</w:t>
      </w:r>
    </w:p>
    <w:p>
      <w:pPr>
        <w:spacing w:after="0" w:line="4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Because Black Knight's revenue from clients in the mortgage lending industry is affected by the strength of the economy and the housing market generally, including the volume of real estate transactions, a change in any of these conditions could have a material adverse effect on its business, financial condition and results of operations.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Black Knight's revenue is primarily generated from technology, data and analytics Black Knight provides to the mortgage lending industry and, as a result, a weak economy or housing market may have a material adverse effect on Black Knight's business, financial condition and results of operations. The volume of mortgage origination and residential real estate transactions is highly variable and reductions in these transaction volumes could have a direct impact on the revenues Black Knight generates.</w:t>
      </w:r>
    </w:p>
    <w:p>
      <w:pPr>
        <w:spacing w:after="0" w:line="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revenues Black Knight generates from its servicing technology depend upon the total number of mortgage loans processed on its MSP platform, which tends to be comparatively consistent regardless of economic conditions. However, in the event that a difficult economy or other factors lead to a decline in levels of home ownership and a reduction in the number of mortgage loans outstanding and Black Knight is not able to counter the impact of those events with increased market share or higher fees, Black Knight's mortgage processing revenues could be adversely affected. Moreover, negative economic conditions, including increased unemployment or interest rates or a downturn in other general economic factors, among other things, could adversely affect the performance and financial condition of some of Black Knight's clients in many of its businesses, which may have a material adverse effect on its business, financial condition and results of operations if these clients exit certain businesses.</w:t>
      </w:r>
    </w:p>
    <w:p>
      <w:pPr>
        <w:spacing w:after="0" w:line="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weaker economy and housing market tend to increase the volume of consumer mortgage defaults, which can increase revenues from Black Knight's applications focused on supporting default management functions. However, government regulation of the mortgage industry in general, and the default and foreclosure process in particular, has greatly slowed the processing of defaulted mortgages in recent years and has changed the way many of its clients address mortgage loans in default. A downturn in the origination market and a concurrent slowdown or change in the way mortgage loans in default are addressed could have a material adverse effect on its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operations could be adversely affected by the results of our acquired restaurant companies due to the risks inherent in that segment.</w:t>
      </w:r>
    </w:p>
    <w:p>
      <w:pPr>
        <w:spacing w:after="0" w:line="1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acquired restaurant companies face certain risks that could negatively impact their results of operations. These risks include such things as the risks of unfavorable economic conditions, changing consumer preferences, unfavorable publicity, increasing food and labor costs, effectiveness of marketing campaigns, and the ability to compete successfully with other restaurants. In addition, risks related to supply chain, food quality, and protecting guests' personal information are inherent to the restaurant business. These companies are also subject to compliance with extensive government laws and regulations related to employment practices and policies and the manufacture, preparation, and sale of food and alcohol. If our restaurant companies are not able to respond effectively to one or more of these risks, it could have a material adverse impact on the results of operations of those businesses.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FNFV Group Common Stock due to our Tracking Stock Capitalization</w:t>
      </w:r>
    </w:p>
    <w:p>
      <w:pPr>
        <w:spacing w:after="0" w:line="121"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Holders of FNF Group common stock and FNFV Group common stock are common shareholders of FNF and are, therefore, subject to risks associated with an investment in FNF as a whole, even if a holder does not own shares of common stock of both of our groups.</w:t>
      </w:r>
    </w:p>
    <w:p>
      <w:pPr>
        <w:spacing w:after="0" w:line="1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Even though we have attributed, for financial reporting purposes, all of our consolidated assets, liabilities, revenue, expenses to either the FNF Group or the FNFV Group in order to prepare separate financial results for each of these groups included herein, we retain legal title to all of our assets and our capitalization does not limit our legal responsibility, or that of our subsidiaries, for the liabilities included in any disclosed financial results. Holders of FNF Group common stock and FNFV Group common stock do not have any legal rights related to specific assets attributed to the FNF Group or the FNFV Group and, in any liquidation, holders of FNF Group common stock and holders of FNFV Group common stock will be entitled to receive a pro rata share of our available net assets based on their respective numbers of liquidation units as specified in our certificate of incorporation (our "Corporate Charter").</w:t>
      </w:r>
    </w:p>
    <w:p>
      <w:pPr>
        <w:spacing w:after="0" w:line="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reattribute businesses, assets and expenses between tracking stock groups may make it difficult to assess the future prospects of either tracking stock group based on its past performance.</w:t>
      </w:r>
    </w:p>
    <w:p>
      <w:pPr>
        <w:spacing w:after="0" w:line="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Board of Directors is vested with discretion to reattribute businesses, assets and liabilities that are attributed to one tracking stock group to the other tracking stock group, without the approval of any of our shareholders, in accordance with our management and allocation policies and our Corporate Charter. Any such reattribution made by our Board of Directors, as well as the existence of the right in and of itself to effect a reattribution, may impact the ability of investors to assess the future prospects of either tracking stock group, including its liquidity and capital resource needs, based on its past performance. Shareholders may also have difficulty evaluating the liquidity and capital resources of each group based on past performance, as our Board of Directors may use one group’s liquidity to fund the other group’s liquidity and capital expenditure requirements through the use of inter-group loans and inter-group interests.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be required to use assets attributed to one group to pay liabilities attributed to the other group.</w:t>
      </w:r>
    </w:p>
    <w:p>
      <w:pPr>
        <w:spacing w:after="0" w:line="9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assets attributed to one group are potentially subject to the liabilities attributed to the other group, even if those liabilities arise from lawsuits, contracts or indebtedness that are attributed to such other group. While our current management and allocation policies provide that reattributions of assets between groups will result in the creation of an inter-group loan or an inter-group interest or an offsetting reattribution of cash or other assets, no provision of our Corporate Charter prevents us from satisfying liabilities of one group with assets of the other group, and our creditors will not in any way be limited by our tracking stock capitalization from proceeding against any assets they could have proceeded against if we did not have a tracking stock capitalization.</w:t>
      </w:r>
    </w:p>
    <w:p>
      <w:pPr>
        <w:spacing w:after="0" w:line="5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not reflect the performance of the FNF Group and the FNFV Group, respectively, as we intend.</w:t>
      </w:r>
    </w:p>
    <w:p>
      <w:pPr>
        <w:spacing w:after="0" w:line="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cannot assure you that the market price of the common stock of a group will, in fact, reflect the performance of the group of businesses, assets and liabilities attributed to that group. Holders of FNF Group common stock and FNFV Group common stock are common shareholders of FNF as a whole and, as such, will be subject to all risks associated with an investment in FNF and all of our businesses, assets and liabilities. As a result, the market price of each class of stock of a group may simply reflect the performance of FNF as a whole or may more independently reflect the performance of some or all of the group of assets attributed to such group. In addition, investors may discount the value of the stock of a group because it is part of a common enterprise rather than a stand-alone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be volatile, could fluctuate substantially and could be affected by factors that do not affect traditional common stock.</w:t>
      </w:r>
    </w:p>
    <w:p>
      <w:pPr>
        <w:spacing w:after="0" w:line="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the extent the market prices of FNF Group common stock and FNFV Group common stock track the performance of more focused groups of businesses, assets and liabilities than the historic FNF Class A common stock did, the market prices of these new tracking stocks may be more volatile than the market price of FNF Class A common stock was historically. The market prices of FNF Group common stock and FNFV Group common stock may be materially affected by, among other things:</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fluctuations in a group’s operating results or in the operating results of particular companies attributable to such group;</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acquisition activity by FNF or the companies in which we invest;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issuances of debt or equity securities to raise capital by FNF or the companies in which we invest and the manner in which that debt or the proceeds of an equity issuance are attributed to each of the groups;</w:t>
      </w: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FNF Group common stock or FNFV Group common stock or the companies attributable to either of our tracking stock groups;</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complex nature and the potential difficulties investors may have in understanding the terms of both of our tracking stocks, as well as concerns regarding the possible effect of certain of those terms on an investment in our stock;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0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market value of FNF Group common stock and FNFV Group common stock could be adversely affected by events involving the assets and businesses attributed to either of the groups.</w:t>
      </w:r>
    </w:p>
    <w:p>
      <w:pPr>
        <w:spacing w:after="0" w:line="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Because we are the issuer of FNF Group common stock and FNFV Group common stock, an adverse market reaction to events relating to the assets and businesses attributed to either of our groups, such as earnings announcements or announcements of new products or services, acquisitions or dispositions that the market does not view favorably, may cause an adverse reaction to the common stock of the other group. This could occur even if the triggering event is not material to us as a whole. A certain triggering event may also have a greater impact on one group than the same triggering event would have on the other group due to the asset composition of the affected group. In addition, the incurrence of significant indebtedness by us or any of our subsidiaries on behalf of one group, including indebtedness incurred or assumed in connection with acquisitions of or investments in businesses, could affect our credit rating and that of our subsidiaries and, therefore, could increase the borrowing costs of businesses attributable to our other group or the borrowing costs of FNF as a whole.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pay dividends equally or at all on FNF Group common stock or FNFV Group common stock.</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FNF has historically paid quarterly dividends to its shareholders. We have the right to pay dividends on the shares of common stock of each group in equal or unequal amounts, and we may pay dividends on the shares of common stock of one group and not pay dividends on shares of common stock of the other group. In addition, any dividends or distributions on, or repurchases of, shares relating to either group will reduce our assets legally available to be paid as dividends on the shares relating to the other group.</w:t>
      </w:r>
    </w:p>
    <w:p>
      <w:pPr>
        <w:spacing w:after="0" w:line="7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tracking stock capital structure could create conflicts of interest, and our Board of Directors may make decisions that could adversely affect only some holders of our common stock.</w:t>
      </w:r>
    </w:p>
    <w:p>
      <w:pPr>
        <w:spacing w:after="0" w:line="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tracking stock capital structure could give rise to occasions when the interests of holders of stock of one group might diverge or appear to diverge from the interests of holders of stock of the other group. In addition, given the nature of their businesses, there may be inherent conflicts of interests between the FNF Group and the FNFV Group. Our tracking stock groups are not separate entities and thus holders of FNF Group common stock and FNFV Group common stock do not have the right to elect separate Boards of Directors. As a result, our FNF’s officers and directors owe fiduciary duties to FNF as a whole and all of our shareholders as opposed to only holders of a particular group. Decisions deemed to be in the best interest of our Company and all of our shareholders may not be in the best interest of a particular group when considered independently. Examples include:</w:t>
      </w:r>
    </w:p>
    <w:p>
      <w:pPr>
        <w:spacing w:after="0" w:line="57"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FNF Group and the FNFV Group or the terms of any reattributions of assets between the groups;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allocation of consideration among the holders of FNF Group common stock and FNFV Group common stock to be received in connection with a merger involving FNF;</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9"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decisions as to the conversion of shares of common stock of one group into shares of common stock of the other, which the Board of Directors may make in its sole discretion, so long as the shares are converted (other than in connection with the disposition of all or substantially all of a group’s assets) at a ratio that provides the shareholders of the converted stock with a premium based on the following requirements: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premium to such stock’s market price for the first year following the recapitalization,</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8% premium to such stock’s market price for the second year following the recapitalization,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6% premium to such stock’s market price for the third year following the recapitalization,</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 premium to such stock’s market price for fourth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 premium to such stock’s market price for the fifth year following the recapitalization, and</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premium to such stock’s market price thereafter, with such premium to be based on, in each case, the market price of such stock over the 10</w:t>
      </w:r>
    </w:p>
    <w:p>
      <w:pPr>
        <w:spacing w:after="0" w:line="3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day trading period preceding the date on the which the Board of Directors determines to effect any such conversion; no conversion premium is available for a conversion in connection with the disposition of all or substantially all of the assets of either group;</w:t>
      </w:r>
    </w:p>
    <w:p>
      <w:pPr>
        <w:spacing w:after="0" w:line="1" w:lineRule="exact"/>
        <w:rPr>
          <w:sz w:val="20"/>
          <w:szCs w:val="20"/>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decisions regarding the creation of, and, if created, the subsequent increase or decrease of any intergroup interest that one group may own in the other group;</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our groups;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our groups.</w:t>
      </w:r>
    </w:p>
    <w:p>
      <w:pPr>
        <w:spacing w:after="0" w:line="10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directors’ or officers’ ownership of FNF Group common stock and FNFV Group common stock may create or appear to create conflicts of interest.</w:t>
      </w:r>
    </w:p>
    <w:p>
      <w:pPr>
        <w:spacing w:after="0" w:line="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directors or officers own disproportionate interests (in percentage or value terms) in FNF Group common stock or FNFV Group common stock, that disparity could create or appear to create conflicts of interest when they are faced with decisions that could have different implications for the holders of FNF Group common stock or FNFV Group common stock.</w:t>
      </w:r>
    </w:p>
    <w:p>
      <w:pPr>
        <w:spacing w:after="0" w:line="7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not adopted any specific procedures for consideration of matters involving a divergence of interests among holders of shares of stock relating to our two groups.</w:t>
      </w:r>
    </w:p>
    <w:p>
      <w:pPr>
        <w:spacing w:after="0" w:line="3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Rather than develop additional specific procedures in advance, our Board of Directors intends to exercise its judgment from time to time, depending on the circumstances, as to how best to:</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information regarding the divergence (or potential divergence) of interests;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under what circumstances to seek the assistance of outside advisers;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whether a committee of our Board of Directors should be appointed to address a specific matter and the appropriate members of that committee;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assess what is in our best interest and the best interest of all of our shareholders.</w:t>
      </w:r>
    </w:p>
    <w:p>
      <w:pPr>
        <w:spacing w:after="0" w:line="1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Board of Directors believes the advantage of retaining flexibility in determining how to fulfill its responsibilities in any such circumstances as they may arise outweighs any perceived advantages of adopting additional specific procedures in advance.</w:t>
      </w:r>
    </w:p>
    <w:p>
      <w:pPr>
        <w:spacing w:after="0" w:line="6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the management and allocation policies following their implementation to the detriment of either group without shareholder approval.</w:t>
      </w:r>
    </w:p>
    <w:p>
      <w:pPr>
        <w:spacing w:after="0" w:line="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Board of Directors intends to adopt certain management and allocation policies as guidelines in making decisions regarding the relationships between the FNF Group and the FNFV Group with respect to matters such as tax liabilities and benefits, inter-group loans, inter-group interests, attribution of assets, financing alternatives, corporate opportunities and similar items. These policies also set forth the initial focuses and strategies of these groups and the initial attribution of our businesses, assets and liabilities between them. Our Board of Directors may at any time change or make exceptions to these policies. Because these policies relate to matters concerning the day-to-day management of FNF as opposed to significant corporate actions, such as a merger involving FNF or a sale of substantially all of our assets, no shareholder approval is required with respect to policy adoption or amendment. A decision to change, or make exceptions to, these policies or adopt additional policies could disadvantage one group while advantaging the other.</w:t>
      </w:r>
    </w:p>
    <w:p>
      <w:pPr>
        <w:spacing w:after="0" w:line="5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Holders of shares of stock relating to a particular group may not have any remedies if any action by our Directors or Officers has an adverse effect on only that stock.</w:t>
      </w:r>
    </w:p>
    <w:p>
      <w:pPr>
        <w:spacing w:after="0" w:line="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Principles of Delaware law and the provisions of our Corporate Charter may protect decisions of our Board of Directors that have a disparate impact upon holders of shares of stock relating to a particular group. Under Delaware law, the Board of Directors has a duty to act with due care and in the best interests of all shareholders, regardless of the stock held. Principles of Delaware law established in cases involving differing treatment of multiple classes or series of stock provide that a Board of Directors owes an equal duty to all shareholders and does not have separate or additional duties to any subset of shareholders. Judicial opinions in Delaware involving tracking stocks have established that decisions by directors or officers involving differing treatment of holders of tracking stocks may be judged under the business judgment rule. In some circumstances, our directors or officers may be required to make a decision that is viewed as adverse to the holders of shares relating to a particular group. Under the principles of Delaware law and the business judgment rule referred to above, you may not be able to successfully challenge decisions that you believe have a disparate impact upon the shareholders of one of our groups if a majority of our Board of Directors is disinterested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independent with respect to the action taken, is adequately informed with respect to the action taken and acts in good faith and in the honest belief that the Board of Directors is acting in the best interest of FNF and our shareholders as a whole.</w:t>
      </w:r>
    </w:p>
    <w:p>
      <w:pPr>
        <w:spacing w:after="0" w:line="6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Shareholders will not vote on how to attribute consideration received in connection with a merger involving FNF among holders of FNF Group common stock and FNFV Group common stock.</w:t>
      </w:r>
    </w:p>
    <w:p>
      <w:pPr>
        <w:spacing w:after="0" w:line="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Corporate Charter does not contain any provisions governing how consideration received in connection with a merger or consolidation involving FNF is to be attributed to the holders of FNF Group common stock and holders of FNFV Group common stock, and none of the holders of FNF Group common stock or FNFV Group common stock will have a separate class vote in the event of such a merger or consolidation. Consistent with applicable principles of Delaware law, our Board of Directors will seek to divide the type and amount of consideration received in a merger or consolidation involving FNF among holders of FNF Group common stock and FNFV Group common stock in a fair manner. As the different ways our Board of Directors may divide the consideration between holders of stock relating to the different groups might have materially different results, the consideration to be received by holders of FNF Group common stock and FNFV Group common stock in any such merger or consolidation may be materially less valuable than the consideration they would have received if they had a separate class vote on such merger or consolidation.</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dispose of assets of the FNF Group or the FNFV Group without your approval.</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Delaware law requires shareholder approval only for a sale or other disposition of all or substantially all of the assets of FNF taken as a whole, and our Corporate Charter does not require a separate class vote in the case of a sale of a significant amount of assets of any of our groups. As long as the assets attributed to the FNF Group or the FNFV Group proposed to be disposed of represent less than substantially all of our assets, we may approve sales and other dispositions of any amount of the assets of such group without any shareholder approval. If we dispose of all or substantially all of the assets attributed to any group (which means, for this purpose, assets representing 80% of the fair market value of the total assets of the disposing group, as determined by our Board of Directors), we would be required, if the disposition is not an exempt disposition under the terms of our Corporate Charter, to choose one or more of the following three alternatives:</w:t>
      </w:r>
    </w:p>
    <w:p>
      <w:pPr>
        <w:spacing w:after="0" w:line="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declare and pay a dividend on the disposing group’s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shares of the disposing group’s common stock in exchange for cash, securities or other property;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convert all or a portion of the disposing group’s outstanding common stock into common stock of the other group.</w:t>
      </w:r>
    </w:p>
    <w:p>
      <w:pPr>
        <w:spacing w:after="0" w:line="1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this type of a transaction, holders of the disposing group’s common stock may receive less value than the value that a third-party buyer might pay for all or substantially all of the assets of the disposing group. Our Board of Directors will decide, in its sole discretion, how to proceed and is not required to select the option that would result in the highest value to holders of any group of our common stock.</w:t>
      </w:r>
    </w:p>
    <w:p>
      <w:pPr>
        <w:spacing w:after="0" w:line="7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Holders of FNF Group common stock or FNFV Group common stock may receive less consideration upon a sale of the assets attributed to that group than if that group were a separate company.</w:t>
      </w:r>
    </w:p>
    <w:p>
      <w:pPr>
        <w:spacing w:after="0" w:line="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If the FNF Group or the FNFV Group were a separate, independent company and its shares were acquired by another person, certain costs of that sale, including corporate level taxes, might not be payable in connection with that acquisition. As a result, shareholders of a separate, independent company with the same assets might receive a greater amount of proceeds than the holders of FNF Group common stock or FNFV Group common stock would receive upon a sale of all or substantially all of the assets of the group to which their shares relate. In addition, we cannot assure you that in the event of such a sale the per share consideration to be paid to holders of FNF Group common stock or FNFV Group common stock, as the case may be, will be equal to or more than the per share value of that share of stock prior to or after the announcement of a sale of all or substantially all of the assets of the applicable group. Further, there is no requirement that the consideration paid be tax-free to the holders of the shares of common stock of that group. Accordingly, if we sell all or substantially all of the assets attributed to the FNF Group or the FNFV Group, our shareholders could suffer a loss in the value of their investment in FNF.</w:t>
      </w:r>
    </w:p>
    <w:p>
      <w:pPr>
        <w:spacing w:after="0" w:line="5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In the event of a liquidation of FNF, holders of FNF Group common stock and FNFV Group common stock will not have a priority with respect to the assets attributed to the related tracking stock group remaining for distribution to shareholders.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Corporate Charter, upon FNF’s liquidation, dissolution or winding up, holders of the FNF Group common stock and the FNFV Group common stock will be entitled to receive, in respect of their shares of such stock, their proportionate interest in all of FNF’s assets, if any, remaining for distribution to holders of common stock in proportion to their respective number of “liquidation units” per share. Relative liquidation units will be based on the volume weighted average prices of the FNF Group common stock and the FNFV Group common stock over the 10 trading day period commencing shortly after the initial filing of the Corporate Charter. Hence, the assets to be distributed to a holder of either tracking stock upon a liquidation, dissolution or winding up of FNF will have nothing to do with the value of the assets attributed to the related tracking stock group or to changes in the relative value of the FNF Group common stock and the FNFV Group common stock over time.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Board of Directors may in its sole discretion elect to convert the common stock relating to one group into common stock relating to the other group, thereby changing the nature of your investment and possibly diluting your economic interest in FNF, which could result in a loss in value to you.</w:t>
      </w:r>
    </w:p>
    <w:p>
      <w:pPr>
        <w:spacing w:after="0" w:line="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Corporate Charter permits our Board of Directors, in its sole discretion, to convert all of the outstanding shares of common stock relating to either of our groups into shares of common stock of the other group so long as the shares are converted at a ratio that provides the shareholders of the converted stock with the applicable Conversion Premium (if any) to which they are entitled. A conversion would preclude the holders of stock in each group involved in such conversion from retaining their investment in a security that is intended to reflect separately the performance of the relevant group. We cannot predict the impact on the market value of our stock of (1) our Board of Directors’ ability to effect any such conversion or (2) the exercise of this conversion right by FNF. In addition, our Board of Directors may effect such a conversion at a time when the market value of our stock could cause the shareholders of one group to be disadvantaged.</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Holders of FNF Group common stock and FNFV Group common stock vote together and have limited separate voting rights.</w:t>
      </w:r>
    </w:p>
    <w:p>
      <w:pPr>
        <w:spacing w:after="0" w:line="9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Holders of FNF Group common stock and FNFV Group common stock vote together as a single class, except in certain limited circumstances prescribed by our Corporate Charter and under Delaware law. Each share of common stock of each group has one vote per share. When holders of FNF Group common stock and FNFV Group common stock vote together as a single class, holders having a majority of the votes are in a position to control the outcome of the vote even if the matter involves a conflict of interest among our shareholders or has a greater impact on one group than the other.</w:t>
      </w:r>
    </w:p>
    <w:p>
      <w:pPr>
        <w:spacing w:after="0" w:line="46"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capital structure, as well as the fact that the FNF Group and the FNFV Group are not independent companies may inhibit or prevent acquisition bids for the FNF Group or the FNFV Group and may make it difficult for a third party to acquire us, even if doing so may be beneficial to our shareholders.</w:t>
      </w:r>
    </w:p>
    <w:p>
      <w:pPr>
        <w:spacing w:after="0" w:line="4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If the FNF Group and the FNFV Group were separate independent companies, any person interested in acquiring the FNF Group or the FNFV Group without negotiating with management could seek control of that group by obtaining control of its outstanding voting stock, by means of a tender offer, or by means of a proxy contest. Although we intend FNF Group common stock and FNFV Group common stock to reflect the separate economic performance of the FNF Group and the FNFV Group, respectively, those groups are not separate entities and a person interested in acquiring only one group without negotiation with our management could obtain control of that group only by obtaining control of a majority in voting power of all of the outstanding shares of common stock of FNF. The existence of shares of common stock relating to different groups could present complexities and in certain circumstances pose obstacles, financial and otherwise, to an acquiring person that are not present in companies that do not have capital structures similar to ours. Certain provisions of our Corporate Charter and bylaws may discourage, delay or prevent a change in control of FNF that a shareholder may consider favorable. These provisions include:</w:t>
      </w:r>
    </w:p>
    <w:p>
      <w:pPr>
        <w:spacing w:after="0" w:line="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classifying our Board of Directors with staggered three-year terms, which may lengthen the time required to gain control of our Board of Directors;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who may call special meetings of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our Board of Directors to persons friendly to our then current management, thereby protecting the continuity of our management, or which could be used to dilute the stock ownership of persons seeking to obtain control of FNF.</w:t>
      </w:r>
    </w:p>
    <w:p>
      <w:pPr>
        <w:spacing w:after="0" w:line="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are on our campus in Jacksonville, Florida in owned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majority of our branch offices are leased from third parties. See Note M to the Notes to Consolidated Financial Statements included in Item 8 of Part</w:t>
      </w:r>
    </w:p>
    <w:p>
      <w:pPr>
        <w:spacing w:after="0" w:line="46" w:lineRule="exact"/>
        <w:rPr>
          <w:sz w:val="20"/>
          <w:szCs w:val="20"/>
          <w:color w:val="auto"/>
        </w:rPr>
      </w:pPr>
    </w:p>
    <w:p>
      <w:pPr>
        <w:ind w:right="20" w:firstLine="8"/>
        <w:spacing w:after="0" w:line="261"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this report for further information on our outstanding leases. Our subsidiaries conduct their business operations primarily in leased office space in 44 states, Washington, DC, Puerto Rico, Canada and India.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Black Knight is headquartered in Jacksonville, Florida in an owned facility. It also owns one facility in Sharon, Pennsylvania, and leases office space in 13 states and India.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Restaurant Group's headquarters are located in Nashville, Tennessee with other office locations in Woburn, Massachusetts and Denver, Colorado.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restaurants are leased from third parties, and are located in 42 states.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discussion of </w:t>
      </w:r>
      <w:r>
        <w:rPr>
          <w:rFonts w:ascii="Arial" w:cs="Arial" w:eastAsia="Arial" w:hAnsi="Arial"/>
          <w:sz w:val="18"/>
          <w:szCs w:val="18"/>
          <w:i w:val="1"/>
          <w:iCs w:val="1"/>
          <w:color w:val="auto"/>
        </w:rPr>
        <w:t>Legal and Regulatory Contingencies</w:t>
      </w:r>
      <w:r>
        <w:rPr>
          <w:rFonts w:ascii="Arial" w:cs="Arial" w:eastAsia="Arial" w:hAnsi="Arial"/>
          <w:sz w:val="18"/>
          <w:szCs w:val="18"/>
          <w:color w:val="auto"/>
        </w:rPr>
        <w:t xml:space="preserve"> in Note M to the Consolidated Financial Statements included in Item 8 of Part II of this Report, which is incorporated by reference into this Part I, Item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approved recapitalization of FNF common stock into two tracking stocks, FNF Group common stock and FNFV Group common stock. Each share of the previously outstanding FNF Class A common stock ("Old FNF common stock") was converted into one share of FNF Group common stock, which continues to trade under the trading symbol "FNF," and 0.3333 of a share of FNFV Group common stock, which trades under the trading symbol "FNFV." Both FNF and FNFV began regular trading on July 1, 2014. Both classes of our common stock trade on the New York Stock Exchange.</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provide the high and low closing sales prices of each class of our common stock and cash dividends declared per share of common stock for each quarter during 2015 and 2014.</w:t>
      </w:r>
    </w:p>
    <w:p>
      <w:pPr>
        <w:sectPr>
          <w:pgSz w:w="11900" w:h="16838" w:orient="portrait"/>
          <w:cols w:equalWidth="0" w:num="1">
            <w:col w:w="11420"/>
          </w:cols>
          <w:pgMar w:left="240" w:top="125" w:right="239" w:bottom="1440" w:gutter="0" w:footer="0" w:header="0"/>
        </w:sectPr>
      </w:pPr>
    </w:p>
    <w:p>
      <w:pPr>
        <w:spacing w:after="0" w:line="265" w:lineRule="exact"/>
        <w:rPr>
          <w:sz w:val="20"/>
          <w:szCs w:val="20"/>
          <w:color w:val="auto"/>
        </w:rPr>
      </w:pPr>
    </w:p>
    <w:p>
      <w:pPr>
        <w:jc w:val="center"/>
        <w:ind w:left="720"/>
        <w:spacing w:after="0"/>
        <w:rPr>
          <w:sz w:val="20"/>
          <w:szCs w:val="20"/>
          <w:color w:val="auto"/>
        </w:rPr>
      </w:pPr>
      <w:r>
        <w:rPr>
          <w:rFonts w:ascii="Arial" w:cs="Arial" w:eastAsia="Arial" w:hAnsi="Arial"/>
          <w:sz w:val="19"/>
          <w:szCs w:val="19"/>
          <w:b w:val="1"/>
          <w:bCs w:val="1"/>
          <w:color w:val="auto"/>
        </w:rPr>
        <w:t>FNF Group</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Stock Price High   Stock Price Low</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86"/>
        </w:trPr>
        <w:tc>
          <w:tcPr>
            <w:tcW w:w="2400" w:type="dxa"/>
            <w:vAlign w:val="bottom"/>
            <w:vMerge w:val="continue"/>
          </w:tcPr>
          <w:p>
            <w:pPr>
              <w:spacing w:after="0"/>
              <w:rPr>
                <w:sz w:val="16"/>
                <w:szCs w:val="16"/>
                <w:color w:val="auto"/>
              </w:rPr>
            </w:pPr>
          </w:p>
        </w:tc>
        <w:tc>
          <w:tcPr>
            <w:tcW w:w="11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20" w:space="720"/>
            <w:col w:w="3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310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97"/>
        </w:trPr>
        <w:tc>
          <w:tcPr>
            <w:tcW w:w="5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50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97" w:lineRule="exact"/>
        <w:rPr>
          <w:sz w:val="20"/>
          <w:szCs w:val="20"/>
          <w:color w:val="auto"/>
        </w:rPr>
      </w:pPr>
    </w:p>
    <w:p>
      <w:pPr>
        <w:jc w:val="center"/>
        <w:ind w:left="680"/>
        <w:spacing w:after="0"/>
        <w:rPr>
          <w:sz w:val="20"/>
          <w:szCs w:val="20"/>
          <w:color w:val="auto"/>
        </w:rPr>
      </w:pPr>
      <w:r>
        <w:rPr>
          <w:rFonts w:ascii="Arial" w:cs="Arial" w:eastAsia="Arial" w:hAnsi="Arial"/>
          <w:sz w:val="21"/>
          <w:szCs w:val="21"/>
          <w:b w:val="1"/>
          <w:bCs w:val="1"/>
          <w:color w:val="auto"/>
        </w:rPr>
        <w:t>FNFV Group</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Stock Price High   Stock Price Low</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86"/>
        </w:trPr>
        <w:tc>
          <w:tcPr>
            <w:tcW w:w="2400" w:type="dxa"/>
            <w:vAlign w:val="bottom"/>
            <w:vMerge w:val="continue"/>
          </w:tcPr>
          <w:p>
            <w:pPr>
              <w:spacing w:after="0"/>
              <w:rPr>
                <w:sz w:val="16"/>
                <w:szCs w:val="16"/>
                <w:color w:val="auto"/>
              </w:rPr>
            </w:pPr>
          </w:p>
        </w:tc>
        <w:tc>
          <w:tcPr>
            <w:tcW w:w="11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20" w:space="720"/>
            <w:col w:w="3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310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97"/>
        </w:trPr>
        <w:tc>
          <w:tcPr>
            <w:tcW w:w="5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1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97" w:lineRule="exact"/>
        <w:rPr>
          <w:sz w:val="20"/>
          <w:szCs w:val="20"/>
          <w:color w:val="auto"/>
        </w:rPr>
      </w:pPr>
    </w:p>
    <w:p>
      <w:pPr>
        <w:jc w:val="center"/>
        <w:ind w:left="660"/>
        <w:spacing w:after="0"/>
        <w:rPr>
          <w:sz w:val="20"/>
          <w:szCs w:val="20"/>
          <w:color w:val="auto"/>
        </w:rPr>
      </w:pPr>
      <w:r>
        <w:rPr>
          <w:rFonts w:ascii="Arial" w:cs="Arial" w:eastAsia="Arial" w:hAnsi="Arial"/>
          <w:sz w:val="21"/>
          <w:szCs w:val="21"/>
          <w:b w:val="1"/>
          <w:bCs w:val="1"/>
          <w:color w:val="auto"/>
        </w:rPr>
        <w:t>Old FNF</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Stock Price High   Stock Price Low</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86"/>
        </w:trPr>
        <w:tc>
          <w:tcPr>
            <w:tcW w:w="2400" w:type="dxa"/>
            <w:vAlign w:val="bottom"/>
            <w:vMerge w:val="continue"/>
          </w:tcPr>
          <w:p>
            <w:pPr>
              <w:spacing w:after="0"/>
              <w:rPr>
                <w:sz w:val="16"/>
                <w:szCs w:val="16"/>
                <w:color w:val="auto"/>
              </w:rPr>
            </w:pPr>
          </w:p>
        </w:tc>
        <w:tc>
          <w:tcPr>
            <w:tcW w:w="11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20" w:space="720"/>
            <w:col w:w="35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 (1)</w:t>
            </w:r>
          </w:p>
        </w:tc>
        <w:tc>
          <w:tcPr>
            <w:tcW w:w="298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5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r>
        <w:trPr>
          <w:trHeight w:val="27"/>
        </w:trPr>
        <w:tc>
          <w:tcPr>
            <w:tcW w:w="51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Prices listed for Old FNF are unadjusted prices which do not give effect to the recapitalization and tracking stock formation on June 30, 2014.</w:t>
      </w:r>
    </w:p>
    <w:p>
      <w:pPr>
        <w:spacing w:after="0" w:line="371"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concerning securities authorized for issuance under our equity compensation plans will be included in Item 12 of Part III of this report.</w:t>
      </w:r>
    </w:p>
    <w:p>
      <w:pPr>
        <w:spacing w:after="0" w:line="38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125" w:right="7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shareholder return on our FNF Group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2015.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2010,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487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12/31/2010</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12/31/2011</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12/31/2012</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12/31/2013</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12/31/2014</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12/31/2015</w:t>
            </w:r>
          </w:p>
        </w:tc>
      </w:tr>
      <w:tr>
        <w:trPr>
          <w:trHeight w:val="393"/>
        </w:trPr>
        <w:tc>
          <w:tcPr>
            <w:tcW w:w="304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120.19</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182.94</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258.66</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342.03</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352.02</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S&amp;P 500</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102.11</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118.45</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156.82</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178.29</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180.75</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87.88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174.24</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209.57</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255.78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275.46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graph comparing cumulative total shareholder return on our FNFV Group common stock against the cumulative total return on the S &amp; P 500 Index and against the cumulative total return of a peer group index consisting of certain companies against which we compete for the period ending December 31, 2015. The peer group comparison has been weighted based on their stock market capitalization. The graph assumes an initial investment of $100.00 on July 1, 2014,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4879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7/1/2014</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12/31/2014</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12/31/2015</w:t>
            </w:r>
          </w:p>
        </w:tc>
      </w:tr>
      <w:tr>
        <w:trPr>
          <w:trHeight w:val="39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Fidelity National Financial Ventures</w:t>
            </w:r>
          </w:p>
        </w:tc>
        <w:tc>
          <w:tcPr>
            <w:tcW w:w="38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81.60</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89.06</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S&amp;P 500</w:t>
            </w:r>
          </w:p>
        </w:tc>
        <w:tc>
          <w:tcPr>
            <w:tcW w:w="38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106.12</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107.58</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Peer Group (1)</w:t>
            </w:r>
          </w:p>
        </w:tc>
        <w:tc>
          <w:tcPr>
            <w:tcW w:w="3860" w:type="dxa"/>
            <w:vAlign w:val="bottom"/>
          </w:tcPr>
          <w:p>
            <w:pPr>
              <w:jc w:val="right"/>
              <w:ind w:right="128"/>
              <w:spacing w:after="0"/>
              <w:rPr>
                <w:sz w:val="20"/>
                <w:szCs w:val="20"/>
                <w:color w:val="auto"/>
              </w:rPr>
            </w:pPr>
            <w:r>
              <w:rPr>
                <w:rFonts w:ascii="Arial" w:cs="Arial" w:eastAsia="Arial" w:hAnsi="Arial"/>
                <w:sz w:val="14"/>
                <w:szCs w:val="14"/>
                <w:b w:val="1"/>
                <w:bCs w:val="1"/>
                <w:color w:val="auto"/>
              </w:rPr>
              <w:t>100.00</w:t>
            </w:r>
          </w:p>
        </w:tc>
        <w:tc>
          <w:tcPr>
            <w:tcW w:w="1260" w:type="dxa"/>
            <w:vAlign w:val="bottom"/>
          </w:tcPr>
          <w:p>
            <w:pPr>
              <w:jc w:val="right"/>
              <w:ind w:right="148"/>
              <w:spacing w:after="0"/>
              <w:rPr>
                <w:sz w:val="20"/>
                <w:szCs w:val="20"/>
                <w:color w:val="auto"/>
              </w:rPr>
            </w:pPr>
            <w:r>
              <w:rPr>
                <w:rFonts w:ascii="Arial" w:cs="Arial" w:eastAsia="Arial" w:hAnsi="Arial"/>
                <w:sz w:val="14"/>
                <w:szCs w:val="14"/>
                <w:b w:val="1"/>
                <w:bCs w:val="1"/>
                <w:color w:val="auto"/>
              </w:rPr>
              <w:t>109.66</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104.83</w:t>
            </w:r>
          </w:p>
        </w:tc>
      </w:tr>
    </w:tbl>
    <w:p>
      <w:pPr>
        <w:spacing w:after="0" w:line="74" w:lineRule="exact"/>
        <w:rPr>
          <w:sz w:val="20"/>
          <w:szCs w:val="20"/>
          <w:color w:val="auto"/>
        </w:rPr>
      </w:pPr>
    </w:p>
    <w:p>
      <w:pPr>
        <w:ind w:firstLine="332"/>
        <w:spacing w:after="0" w:line="273" w:lineRule="auto"/>
        <w:tabs>
          <w:tab w:leader="none" w:pos="529"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peer group consists of the following companies: American Capital, Ltd., Apollo Global Management, LLC, BlackRock, Inc., The Blackstone Group L.P., The Carlyle Group, Compass Diversified Holdings, Fortress Investment Group, LLC, KKR &amp; Co. L.P., Leucadia National Corporation, Liberty Interactive Corporation, and Liberty Media Corporation.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31, 2016, the last reported sale price of our FNF Group common stock and FNFV Group common stock on the New York Stock Exchange was $32.38 and $9.38 per share, respectively. We had approximately 7,200 shareholders of record of FNF Group common stock and 5,500 shareholders of record of FNFV Group common stock.</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3, 2016, our Board of Directors formally declared a $0.21 per FNF Group share cash dividend that is payable on March 31, 2016 to FNF Group shareholders of record as of March 17,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dividends were declared on our FNFV Group common stock.</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current FNF Group dividend policy anticipates the payment of quarterly dividends in the future. The declaration and payment of dividends will be at the discretion of our Board of Directors and will be dependent upon our future earnings, financial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2015, $2,049 million of our net assets are restricted from dividend payments without prior approval from the Departments of Insurance in the states where our title insurance subsidiaries are domiciled. During 2016, our directly owned title insurance subsidiaries can pay dividends or make distributions to us of approximately $334 million without prior approval. The limits placed on such subsidiaries’ abilities to pay dividends affect our ability to pay dividends.</w:t>
      </w:r>
    </w:p>
    <w:p>
      <w:pPr>
        <w:spacing w:after="0" w:line="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paid any dividends on our FNFV Group common stock, and our current FNFV Group dividend policy does not presently anticipate the payment of dividends. Payment of dividends, if any, in the future will be determined by our Board of Directors in light of our earnings, financial condition and other relevant considerations.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In the year ended December 31, 2015, we repurchased a total of 8,187,382 shares for $106 million, or an average of $12.95 per share under this program. Subsequent to year-end we repurchased a total of 1,143,900 shares for $11 million, or an average of $9.71 per share under this program through market close on February 19, 2016. Since the original commencement of the plan adopted November 6, 2014, we have repurchased a total of 9,447,382 shares for $119 million, or an average of $12.57 per share, and there are 552,618 shares available to be repurchased under this program. 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 For more information, see “Liquidity and Capital Resources” in Item 7 of this Form 10-K.</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 2014 as part of the LPS Acquisition, we issued $839 million or 25,920,078 shares of Old FNF common stock as consideration for the LPS Acquisition to the former shareholders of LPS.</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July 21, 2012, our Board of Directors approved a three-year stock repurchase program, effective August 1, 2012, under which we can repurchase up to 15 million shares of FNF Group common stock through July 31, 2015. On July 20, 2015, our Board of Directors approved a new three-year stock repurchase program under which we can purchase up to 25 million shares through July 30, 2018. We may make repurchases from time to time in the open market, in block purchases or in privately negotiated transactions, depending on market conditions and other factors. In the year ended December 31, 2015, we repurchased a total 5,875,000 FNF Group shares under these programs for $214 million, or an average price of $36.41 per share. Subsequent to year-end we repurchased a total of 500,000 shares for $17 million, or an average of $33.19 per share under this program through market close on February 19, 2016. Since the original commencement of the plan adopted July 21, 2012, we have repurchased a total of 3,380,000 FNF common shares for $98 million, or an average of $28.97 per share, and there are no shares available to be repurchased under this program. Since the original commencement of the plan adopted July 20, 2015, we have repurchased a total of 5,075,000 FNF common shares for $182 million, or an average of $35.92 per share, and there are 19,925,000 shares available to be repurchased under this program. For more information, see “Liquidity and Capital Resources” in Item 7 of this Form 10-K.</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year ending December 31, 2015:</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Number of Shares</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3760" w:type="dxa"/>
            <w:vAlign w:val="bottom"/>
            <w:vMerge w:val="restart"/>
          </w:tcPr>
          <w:p>
            <w:pPr>
              <w:jc w:val="center"/>
              <w:ind w:left="194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Average Price Paid per</w:t>
            </w: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76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3760" w:type="dxa"/>
            <w:vAlign w:val="bottom"/>
          </w:tcPr>
          <w:p>
            <w:pPr>
              <w:jc w:val="center"/>
              <w:ind w:left="1948"/>
              <w:spacing w:after="0"/>
              <w:rPr>
                <w:sz w:val="20"/>
                <w:szCs w:val="20"/>
                <w:color w:val="auto"/>
              </w:rPr>
            </w:pPr>
            <w:r>
              <w:rPr>
                <w:rFonts w:ascii="Arial" w:cs="Arial" w:eastAsia="Arial" w:hAnsi="Arial"/>
                <w:sz w:val="14"/>
                <w:szCs w:val="14"/>
                <w:b w:val="1"/>
                <w:bCs w:val="1"/>
                <w:color w:val="auto"/>
                <w:w w:val="92"/>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680" w:space="220"/>
            <w:col w:w="15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45"/>
        </w:trPr>
        <w:tc>
          <w:tcPr>
            <w:tcW w:w="4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6/1/2015 - 6/30/2015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11,820,000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7/1/2015 - 7/31/2015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24,950,000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8/1/2015 - 8/31/2015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23,900,000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9/1/2015 - 9/30/2015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1,050,000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1,050,000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22,850,000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10/1/2015 - 10/31/2015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22,500,000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11/1/2015 - 11/30/2015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35.30</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21,500,000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12/1/2015 - 12/31/2015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1,075,000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1,075,000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20,425,000</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5,875,000</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5,875,000</w:t>
            </w: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ind w:left="980" w:hanging="648"/>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July 21, 2012, our Board of Directors approved a three-year stock purchase program, effective August 1, 2012, under which we can repurchase up to 15 million shares of our FNF Group common stock through July 31, 2015. On July 20, 2015, our Board of Directors approved a new three-year stock repurchase program. Under the new stock repurchase program, we can repurchase up to 25 million shares of our common stock through July 30, 2018.</w:t>
      </w:r>
    </w:p>
    <w:p>
      <w:pPr>
        <w:spacing w:after="0" w:line="51"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ectPr>
          <w:pgSz w:w="11900" w:h="16838" w:orient="portrait"/>
          <w:cols w:equalWidth="0" w:num="1">
            <w:col w:w="11420"/>
          </w:cols>
          <w:pgMar w:left="240" w:top="125" w:right="239" w:bottom="1440" w:gutter="0" w:footer="0" w:header="0"/>
          <w:type w:val="continuous"/>
        </w:sectPr>
      </w:pPr>
    </w:p>
    <w:p>
      <w:pPr>
        <w:spacing w:after="0" w:line="3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repurchases of equity securities by FNFV during the year ending December 31, 2015:</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Number of Shares</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3760" w:type="dxa"/>
            <w:vAlign w:val="bottom"/>
            <w:vMerge w:val="restart"/>
          </w:tcPr>
          <w:p>
            <w:pPr>
              <w:jc w:val="center"/>
              <w:ind w:left="194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Average Price Paid per</w:t>
            </w: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0" w:type="dxa"/>
            <w:vAlign w:val="bottom"/>
          </w:tcPr>
          <w:p>
            <w:pPr>
              <w:spacing w:after="0"/>
              <w:rPr>
                <w:sz w:val="1"/>
                <w:szCs w:val="1"/>
                <w:color w:val="auto"/>
              </w:rPr>
            </w:pPr>
          </w:p>
        </w:tc>
      </w:tr>
      <w:tr>
        <w:trPr>
          <w:trHeight w:val="149"/>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76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60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6"/>
        </w:trPr>
        <w:tc>
          <w:tcPr>
            <w:tcW w:w="2580" w:type="dxa"/>
            <w:vAlign w:val="bottom"/>
            <w:vMerge w:val="continue"/>
          </w:tcPr>
          <w:p>
            <w:pPr>
              <w:spacing w:after="0"/>
              <w:rPr>
                <w:sz w:val="16"/>
                <w:szCs w:val="16"/>
                <w:color w:val="auto"/>
              </w:rPr>
            </w:pPr>
          </w:p>
        </w:tc>
        <w:tc>
          <w:tcPr>
            <w:tcW w:w="3760" w:type="dxa"/>
            <w:vAlign w:val="bottom"/>
          </w:tcPr>
          <w:p>
            <w:pPr>
              <w:jc w:val="center"/>
              <w:ind w:left="1948"/>
              <w:spacing w:after="0"/>
              <w:rPr>
                <w:sz w:val="20"/>
                <w:szCs w:val="20"/>
                <w:color w:val="auto"/>
              </w:rPr>
            </w:pPr>
            <w:r>
              <w:rPr>
                <w:rFonts w:ascii="Arial" w:cs="Arial" w:eastAsia="Arial" w:hAnsi="Arial"/>
                <w:sz w:val="14"/>
                <w:szCs w:val="14"/>
                <w:b w:val="1"/>
                <w:bCs w:val="1"/>
                <w:color w:val="auto"/>
                <w:w w:val="92"/>
              </w:rPr>
              <w:t>Purchased (3)</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680" w:space="220"/>
            <w:col w:w="15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45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1/1/2015 - 1/31/2015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9,460,550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3/1/2015 - 3/31/2015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12,333,333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9,460,550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4/1/2015 - 4/30/2015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9,410,550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5/1/2015 - 5/31/2015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8,560,550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6/1/2015 - 6/30/2015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7,560,550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7/1/2015 - 7/31/2015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204,000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204,000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7,356,550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8/1/2015 - 8/31/2015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1,393,000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5,963,550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9/1/2015 - 9/30/2015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679,532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679,532</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5,284,018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10/1/2015 - 10/31/2015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4,754,018</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11/1/2015 - 11/30/2015</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1,462,500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1,462,500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3,291,518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12/1/2015 - 12/31/2015</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1,595,000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1,595,000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1,696,518</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20,520,715</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8,187,382</w:t>
            </w: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ind w:left="980" w:hanging="648"/>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March 20, 2015 we completed our tender offer to purchase 12,333,333 shares of FNFV stock at a price of $15.00 per share.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2015 presentation.</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28, 2015, we completed the distribution of J. Alexander's to FNFV shareholders. The results of J. Alexander's operations are included through the distribution date.</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2014, we completed the distribution of Remy International, Inc. to our FNFV shareholders. The operations of Remy are included in discontinued operations for the years ended December 31, 2014, 2013, and 2012.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 2014, we completed the purchase of LPS and consolidated the operations of LPS beginning on January 3, 2014.</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We have consolidated the results of O'Charley's as of April 9, 2012. On May 11, 2012, we merged O'Charley's with our investment in ABRH in exchange for an increase in our ownership position in ABRH from 45% to 55%. We have consolidated the operations of ABRH with the O'Charley's group of companies, beginning on May 11, 2012.</w:t>
      </w:r>
    </w:p>
    <w:p>
      <w:pPr>
        <w:spacing w:after="0" w:line="327"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ind w:left="220"/>
              <w:spacing w:after="0"/>
              <w:rPr>
                <w:sz w:val="20"/>
                <w:szCs w:val="20"/>
                <w:color w:val="auto"/>
              </w:rPr>
            </w:pPr>
            <w:r>
              <w:rPr>
                <w:rFonts w:ascii="Arial" w:cs="Arial" w:eastAsia="Arial" w:hAnsi="Arial"/>
                <w:sz w:val="14"/>
                <w:szCs w:val="14"/>
                <w:b w:val="1"/>
                <w:bCs w:val="1"/>
                <w:color w:val="auto"/>
              </w:rPr>
              <w:t>(Dollars in millions, except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09"/>
        </w:trPr>
        <w:tc>
          <w:tcPr>
            <w:tcW w:w="5480" w:type="dxa"/>
            <w:vAlign w:val="bottom"/>
          </w:tcPr>
          <w:p>
            <w:pPr>
              <w:ind w:left="40"/>
              <w:spacing w:after="0"/>
              <w:rPr>
                <w:sz w:val="20"/>
                <w:szCs w:val="20"/>
                <w:color w:val="auto"/>
              </w:rPr>
            </w:pPr>
            <w:r>
              <w:rPr>
                <w:rFonts w:ascii="Arial" w:cs="Arial" w:eastAsia="Arial" w:hAnsi="Arial"/>
                <w:sz w:val="18"/>
                <w:szCs w:val="18"/>
                <w:color w:val="auto"/>
                <w:w w:val="92"/>
              </w:rPr>
              <w:t>Earnings before income taxes, equity in (loss) earnings of unconsolidated</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affiliates, and noncontrolling interest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Earnings before equity in (loss) earnings of unconsolidated affiliates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earnings of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Earnings from continuing operations, net of tax</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2011</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1"/>
              </w:rPr>
              <w:t>Basic net earnings per share attributable to Old FNF common shareholders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0.33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1.71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1.68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0.77</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5"/>
              </w:rPr>
              <w:t>Basic net (loss) earnings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basic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Diluted net earnings per share attributable to Old FNF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1.68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2.69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1.65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0.75</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3"/>
              </w:rPr>
              <w:t>Diluted net (loss) earnings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diluted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FNFV Group,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Dividends declared per share of Old FNF common stock</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0.66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0.58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0.48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share of FNF Group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0.37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4,669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3,791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4,052</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Cash and cash equivalents (3)</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1,969</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1,132</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665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13,931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13,845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10,508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9,886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7,850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2,793</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2,803</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1,327</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904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title claim losses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1,583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1,621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1,636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1,748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1,913</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Redeemable NCI</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715</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6,588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6,073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5,535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4,749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3,655</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Old FNF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22.14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20.78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16.57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share FNF Group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21.21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18.87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FNFV Group (4)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15.05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16.31</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2,092</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1,914</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2,181</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2,702</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2,140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1,472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1,319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1,708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1,867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w:t>
            </w: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7"/>
              </w:rPr>
              <w:t>Provision for title insurance claim losses as a percent of title insurance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premiums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related revenue (5):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jc w:val="both"/>
        <w:ind w:left="660" w:hanging="328"/>
        <w:spacing w:after="0" w:line="30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Weighted average shares outstanding as of December 31, 2014 includes 25,920,078 FNF shares that were issued as part of the acquisition of LPS on January 2, 2014 and 91,711,237 FNFV shares that were issued as part of the recapitalization completed on June 30, 2014. Weighted average shares outstanding as of December 31, 2013 includes 19,837,500 shares that were issued as part of an equity offering by FNF on October 31,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as of December 31, 2015, 2014, 2013, 2012, and 2011, include securities pledged to secured trust deposits of $608 million, $499 million, $261 million, $278 million, and $280 million, respectively.</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and cash equivalents as of December 31, 2015, 2014, 2013, 2012, and 2011 include cash pledged to secured trust deposits of $108 million, $136 million, $339 million, $266 million, and $162 million, respectively.</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Selected Quarterly Financial Data (Unaudited)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640" w:type="dxa"/>
            <w:vAlign w:val="bottom"/>
          </w:tcPr>
          <w:p>
            <w:pPr>
              <w:ind w:left="280"/>
              <w:spacing w:after="0"/>
              <w:rPr>
                <w:sz w:val="20"/>
                <w:szCs w:val="20"/>
                <w:color w:val="auto"/>
              </w:rPr>
            </w:pPr>
            <w:r>
              <w:rPr>
                <w:rFonts w:ascii="Arial" w:cs="Arial" w:eastAsia="Arial" w:hAnsi="Arial"/>
                <w:sz w:val="18"/>
                <w:szCs w:val="18"/>
                <w:color w:val="auto"/>
              </w:rPr>
              <w:t>Selected quarterly financial data is as follows: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0"/>
        </w:trPr>
        <w:tc>
          <w:tcPr>
            <w:tcW w:w="6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6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(Dollars in millions, except per share data)</w:t>
            </w:r>
          </w:p>
        </w:tc>
        <w:tc>
          <w:tcPr>
            <w:tcW w:w="100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2,392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2,284</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Earnings from continuing operations before income taxes, equity in (loss) earnings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0.57</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0.52</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Group common shareholders</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0.30</w:t>
            </w: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0.51</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1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2,093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2,086</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(Loss) earnings from continuing operations before income taxes, equity in earnings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(loss) earnings attributable to Old FNF common shareholders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(loss) earnings attributable to FNFV Group common shareholders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Old FNF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Old FNF common shareholders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FNF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w w:val="99"/>
              </w:rPr>
              <w:t>Diluted (loss) earnings per share attributable to FNFV Group common shareholders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per share of Old FNF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810"/>
        </w:trPr>
        <w:tc>
          <w:tcPr>
            <w:tcW w:w="6640" w:type="dxa"/>
            <w:vAlign w:val="bottom"/>
          </w:tcPr>
          <w:p>
            <w:pPr>
              <w:ind w:left="56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 related services used in the production and management of mortgage loans, including mortgage loans that experience default.</w:t>
      </w:r>
    </w:p>
    <w:p>
      <w:pPr>
        <w:spacing w:after="0" w:line="134"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76" w:lineRule="auto"/>
        <w:tabs>
          <w:tab w:leader="none" w:pos="66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ABRH, in which we have a 55% ownership interest. ABRH and its affiliates are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owners and operators of the O'Charley's, Ninety Nine Restaurants, Max &amp; Erma's, Village Inn, Bakers Square, and Legendary Baking concepts. This segment also includes the results of J. Alexander's, Inc. ("J. Alexander's") through September 28, 2015, the date it was distributed to FNFV shareholders. See the Recent Developments section below for further discussion of the distribution of J. Alexander's. On January 25, 2016, substantially all of the assets of the Max &amp; Erma's restaurant concept were sold pursuant to an Asset Purchase Agreement.</w:t>
      </w:r>
    </w:p>
    <w:p>
      <w:pPr>
        <w:spacing w:after="0" w:line="118" w:lineRule="exact"/>
        <w:rPr>
          <w:rFonts w:ascii="Arial" w:cs="Arial" w:eastAsia="Arial" w:hAnsi="Arial"/>
          <w:sz w:val="17"/>
          <w:szCs w:val="17"/>
          <w:i w:val="1"/>
          <w:iCs w:val="1"/>
          <w:color w:val="auto"/>
        </w:rPr>
      </w:pPr>
    </w:p>
    <w:p>
      <w:pPr>
        <w:ind w:left="660" w:right="20" w:hanging="409"/>
        <w:spacing w:after="0" w:line="308" w:lineRule="auto"/>
        <w:tabs>
          <w:tab w:leader="none" w:pos="66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11, 2016, we announced that we are considering alternatives to the spin-off of ABRH to FNFV shareholders previously announced on July 30, 2015.</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20, 2016, we entered into two interest rate swap agreements to hedge forecasted monthly interest rate payments on $400.0 million of our floating rate debt ($200.0 million notional value each) (the “Swap Agreements”). The Swap Agreements have been designated as cash flow hedging instruments. Under the terms of the Swap Agreements, we receive payments based on the 1-month LIBOR rate and pay a weighted average fixed rate of 1.01%. The effective term for the Swap Agreements is February 1, 2016 through January 31, 2019.</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Beginning in October 2015 through December 31, 2015, we purchased approximately 2.2 million shares of Del Frisco Restaurant Group ("Del Frisco's", NASDAQ: DFRG) common stock for a total investment of $32 million. Subsequent to year-end through February 19, 2016, we purchased approximately 0.8 million shares of Del Frisco's common stock for $12 million. We currently own approximately 13% of the outstanding common stock of Del Frisco's.</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 LLC. Following the IPO, we owned 55% of the outstanding shares of Black Knight in the form of Class B common stock, with a corresponding ownership interest in BKFS, LLC.</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18,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Consolidated Statement of Operations in the twelve months ended December 31, 2015. The effect of the sale on FNFV's net earnings was income of approximately $12 million. There was no effect on net earnings attributable to FNFV Group common shareholders due to offsetting amounts attributable to noncontrolling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Consolidated Financial Statements from and after the date of acquisition.</w:t>
      </w:r>
    </w:p>
    <w:p>
      <w:pPr>
        <w:spacing w:after="0" w:line="6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February 12, 2015, we closed the purchase of Buyers Protection Group Holdings, LLC ("BPG"), pursuant to a certain Membership Interest Purchase Agreement, for $46 million. We first consolidated the results of BPG as of March 31, 2015. BPG is a recognized leader in home warranty, home inspection services and commercial inspections.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31, 2014, we completed the distribution (the "Remy Spin-off") of all of the outstanding shares of common stock of our previously owned subsidiary Remy International, Inc. ("New Remy", NASDAQ: REMY), a manufacturer and distributer of auto parts, to FNFV shareholders. We have no continuing involvement in New Remy as of December 31, 2015. As a result of the Remy Spin-off, the results of New Remy are reflected in the Consolidated Statements of Earnings as discontinued operations for the the years ended December 31, 2014 and 2013. Total revenue included in discontinued operations was $1,173 million and $1,125 million for the years ended December 31, 2014, and 2013, respectively. Pre-tax earnings included in discontinued operations were $6 million and $22 million for the years ended December 31, 2014, and 2013, respectively.</w:t>
      </w:r>
    </w:p>
    <w:p>
      <w:pPr>
        <w:spacing w:after="0" w:line="15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results from a small software company, which we acquired with LPS and which was sold during the second quarter of 2014, are included in the Consolidated Statements of Earnings as discontinued operations for all periods presented. Total revenues included in discontinued operations were $2 million for the year ending December 31, 2014. Pre-tax earnings included in discontinued operations are $1 million for the year ending December 31, 2014.</w:t>
      </w:r>
    </w:p>
    <w:p>
      <w:pPr>
        <w:spacing w:after="0" w:line="1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two closed J. Alexander's locations in the second quarter of 2013 are reflected in the Consolidated Statements of Earnings as discontinued operations for all periods presented. Total net revenue included in discontinued operations was $3 million for the year ended December 31, 2013. Pre-tax loss included in discontinued operations was $3 million for the year ended December 31, 2013.</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a settlement services company closed in the second quarter of 2013 are reflected in the Consolidated Statements of Earnings as discontinued operations for all periods presented. Total revenues included in discontinued operations were $9 million for the year ended December 31, 2013. Pre-tax earnings included in discontinued operations were $2 million for the year ended December 31, 2013.</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financial statements for the year ended December 31, 2013 reflect transactions with Fidelity National Information Services ("FIS"), which was considered a related party until December 31, 2013. See Note A of the 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segment revenue is closely related to the level of real estate activity which includes sales, mortgage financing and mortgage refinancing. The levels of real estate activity are primarily affected by the average price of real estate sales, the availability of funds to finance purchases, mortgage interest rates and the strength of the United States economy, including employment levels. Declines in the level of real estate activity or the average price of real estate sales will adversely affect our title insurance revenues.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w:t>
      </w:r>
    </w:p>
    <w:p>
      <w:pPr>
        <w:spacing w:after="0" w:line="2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7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From December 2008 through December 2015, the Federal Reserve held the federal funds rate at 0.0%-0.25%. In December 2015, the Federal Reserve raised the target federal funds rate to 0.25%-0.50%. Mortgage interest rates were at historically low levels through the beginning of 2013. During the last half of 2013, however, interest rates rose to their highest level since 2011. Through 2014, mortgage interest rates declined moderately. In the fourth quarter of 2014, interest rates dropped below 4.00% and have remained between 3.50% and 4.25% through the year ended December 31, 2015.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February 18, 2016, the Mortgage Banker's Association ("MBA") estimated the size of the U.S. mortgage originations market as shown in the following table for 2014 - 2017 in its "Mortgage Finance Forecast" (in trillions):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2014 the mix of mortgage originations between purchase and refinance transactions returned closer to historical norms. Driven by the decrease in refinance activity following an extended period of low interest rates, the ratio of refinances to total originations was approximately 40%. In 2015, the ratio of refinances to total originations was closer to 50% as anticipation of increased mortgage rates resulting from projected increases in the target federal funds rate weighed on the market. The MBA predicts the ratio will return to historical norms and decrease through 2018. The MBA predicts mortgage originations in 2016 through 2018 to decrease slightly compared to the 2015 period with a slight increase in purchase transactions expected to be offset by a decrease in refinance transactions. We expect the predicted change in mix, if it materializes, to have a positive effect on our earnings because purchase transactions involve the issuance of both a lender’s policy and an owner’s policy, resulting in higher fees, whereas refinance transactions only require a lender’s policy, resulting in lower fees.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commercial real estate transactions tend to be driven more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the year ended December 31, 2015, we have experienced an increase in volume and fee per file of commercial transactions from the previous years, indicating strong commercial markets.</w:t>
      </w:r>
    </w:p>
    <w:p>
      <w:pPr>
        <w:spacing w:after="0" w:line="5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including Black Knight.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 percentage rate) at least three business days prior to the closing. These rules became effective on January 10, 2014.</w:t>
      </w:r>
    </w:p>
    <w:p>
      <w:pPr>
        <w:spacing w:after="0" w:line="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November 20, 2013, the CFPB issued additional rules regarding mortgage forms and other mortgage related disclosures with the intent to provide "easier-to-use" mortgage disclosure forms for the consumer. The additional disclosure requirements require participants in the mortgage market, including us, to make significant changes to the manner in which they create, process, and deliver certain disclosures to consumers in connection with mortgage loan applications. The additional disclosures are effective for mortgage loan applications made on or after October 3, 2015. The main provisions of the additional disclosures include amending Regulation Z (the Truth in Lending Act) and Regulation X (Real Estate Settlement Procedures Act) (collectively, the “TILA-RESPA Integrated Disclosure" or "TRID”) to consolidate existing loan disclosures under TILA and RESPA for closed-end credit transactions secured by real property. TRID requires (i) timely delivery of a loan estimate upon receipt a consumer’s application and (ii) timely delivery of a closing disclosure prior to consummation. TRID also imposes certain restrictions, including the prohibition of imposing fees prior to provision of an estimate and the prohibition of providing estimates prior to a consumer’s submission of verifying documents. These changes could lead to lower mortgage volumes and/or delays in mortgage processing, particularly in the early stages of implementation. We do not believe the changes will have a significant effect on long term mortgage volumes and do not believe this had a material impact on our current year results from operations.</w:t>
      </w:r>
    </w:p>
    <w:p>
      <w:pPr>
        <w:spacing w:after="0" w:line="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Readiness for and compliance with TRID required extensive planning; changes to systems, forms and processes; as well as heightened coordination among market participants. We believe that FNF, its agents or other market participants have generally been successful in their implementation efforts. It is our experience that mortgage lenders have become more focused on the risk of non-compliance with these evolving regulations and are focused on technologies and solutions that help them to comply with the increased regulatory oversight and burdens. Black Knight has developed solutions that target this need, which has resulted in additional revenue.</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2013, we saw seasonality trends return to historical patterns. During 2015, we experienced a moderate increase in existing home sales and we have also seen a decline in total housing inventory. However, we have experienced significant declines in refinance activity starting in the fourth quarter of 2013.</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Underlying the mortgage loan life cycle is the technology and data and analytics support behind each process, which has become increasingly critical to industry participants due to the complexity of regulatory requirements. As the industry has grown in complexity, participants have responded by outsourcing to large scale specialty providers, automating manual processes and seeking end-to-end solutions that support the processes required to manage the entire mortgage loan life cycle.</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Black Knight's various businesses are impacted differently by the level of mortgage originations, including refinancing transactions. Black Knight's mortgage servicing platform is generally less affected by varying levels of mortgage originations because it earns revenues based on the total number of mortgage loans it processes, which tend to stay more constant than the market for originations. Black Knight's origination technology and some of their data businesses are directly affected by the volume of real estate transactions and mortgage originations, but many of their client contracts for origination technology contain minimum charges.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Black Knight's various businesses are also impacted by general economic conditions. For example, in the event that a difficult economy or other factors lead to a decline in levels of home ownership and a reduction in the number of mortgage loans outstanding and Black Knight is not able to counter the impact of those events with increased market share or higher fees, it could have a material adverse effect on our mortgage processing revenues. In contrast, we believe that a weaker economy tends to increase the volume of consumer mortgage defaults, which can increase the revenues in Black Knight's specialty servicing technology business that is used to service residential mortgage loans in default. Also, interest rates tend to decline in a weaker economy driving higher than normal refinance transactions that provide potential volume increases to Black Knight's origination technology offerings, most specifically the RealEC Exchange platform.</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ind w:right="320" w:firstLine="324"/>
        <w:spacing w:after="0" w:line="454"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w:t>
      </w:r>
      <w:r>
        <w:rPr>
          <w:rFonts w:ascii="Arial" w:cs="Arial" w:eastAsia="Arial" w:hAnsi="Arial"/>
          <w:sz w:val="18"/>
          <w:szCs w:val="18"/>
          <w:b w:val="1"/>
          <w:bCs w:val="1"/>
          <w:color w:val="auto"/>
        </w:rPr>
        <w:t>Critical Accounting Estimates</w:t>
      </w:r>
    </w:p>
    <w:p>
      <w:pPr>
        <w:jc w:val="both"/>
        <w:ind w:firstLine="324"/>
        <w:spacing w:after="0" w:line="257" w:lineRule="auto"/>
        <w:rPr>
          <w:sz w:val="20"/>
          <w:szCs w:val="20"/>
          <w:color w:val="auto"/>
        </w:rPr>
      </w:pPr>
      <w:r>
        <w:rPr>
          <w:rFonts w:ascii="Arial" w:cs="Arial" w:eastAsia="Arial" w:hAnsi="Arial"/>
          <w:sz w:val="18"/>
          <w:szCs w:val="18"/>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additional description of the significant accounting policies that have been followed in preparing our Consolidated Financial Statements.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Reserve for Title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3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2015</w:t>
            </w: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4"/>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Known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 We recorded our loss provision rate at 5.5% for the last two quarters of 2015 and at 6.0% in the first two quarters of 2015 resulting in an average provision rate of 5.7% for the entire 2015 period. Our average loss provision rate was 6.2% and 7% for the years ended December 31, 2014 and 2013, respectively. Of such annual amounts, 5.2%, 5.5% and 5.3% related to losses on policies written in the current year, and the remainder relates to developments on prior year policies. The decrease in the loss provision rate during 2015 was primarily driven by positive development in the more recent policy years. In 2015, 2014, and 2013 adverse development of prior year losses of $22 million or 0.5% of 2015 premium, $26 million or 0.7% of 2014 premium and $71 million or 1.7% of 2013 premium was accounted for in the loss provision rate.</w:t>
      </w:r>
    </w:p>
    <w:p>
      <w:pPr>
        <w:spacing w:after="0" w:line="8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Reserve assumed, net (1)</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loss provision related to:</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loss provision</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97"/>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1,636</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w:t>
            </w: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 of $54 million was recorded as part of the acquisition of LPS on January 2, 2014, and a reserve of $2 million was released as part of the sale of a small title operation.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440" w:type="dxa"/>
            <w:vAlign w:val="bottom"/>
          </w:tcPr>
          <w:p>
            <w:pPr>
              <w:ind w:left="20"/>
              <w:spacing w:after="0"/>
              <w:rPr>
                <w:sz w:val="20"/>
                <w:szCs w:val="20"/>
                <w:color w:val="auto"/>
              </w:rPr>
            </w:pPr>
            <w:r>
              <w:rPr>
                <w:rFonts w:ascii="Arial" w:cs="Arial" w:eastAsia="Arial" w:hAnsi="Arial"/>
                <w:sz w:val="18"/>
                <w:szCs w:val="18"/>
                <w:color w:val="auto"/>
                <w:w w:val="97"/>
              </w:rPr>
              <w:t>5.2%</w:t>
            </w:r>
          </w:p>
        </w:tc>
        <w:tc>
          <w:tcPr>
            <w:tcW w:w="10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w w:val="92"/>
              </w:rPr>
              <w:t>5.5%</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5.3%</w:t>
            </w:r>
          </w:p>
        </w:tc>
      </w:tr>
      <w:tr>
        <w:trPr>
          <w:trHeight w:val="27"/>
        </w:trPr>
        <w:tc>
          <w:tcPr>
            <w:tcW w:w="7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1.7</w:t>
            </w:r>
          </w:p>
        </w:tc>
      </w:tr>
      <w:tr>
        <w:trPr>
          <w:trHeight w:val="257"/>
        </w:trPr>
        <w:tc>
          <w:tcPr>
            <w:tcW w:w="760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7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7"/>
              </w:rPr>
              <w:t>5.7%</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2"/>
              </w:rPr>
              <w:t>6.2%</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7"/>
              </w:rPr>
              <w:t>7.0%</w:t>
            </w:r>
          </w:p>
        </w:tc>
      </w:tr>
      <w:tr>
        <w:trPr>
          <w:trHeight w:val="20"/>
        </w:trPr>
        <w:tc>
          <w:tcPr>
            <w:tcW w:w="7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are made up of loss payments and claims management expenses offset by recoupments and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Claims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Payments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Management</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Recoupments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2013</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2015 and 2014, our recorded reserves were $1,583 million and $1,621 million, respectively, which we determined were reasonable and represented our best estimate and these recorded amounts were within a reasonable range of the central estimates provided by our actuaries. Our recorded reserves were approximately $86 million above the mid-point of the range of our actuarial estimates as of December 31, 2015, but within the provided actuarial range of $1.3 billion and $1.7 billion, and were $20 million above the mid-point of the range of our actuarial estimates as of December 31, 2014.</w:t>
      </w:r>
    </w:p>
    <w:p>
      <w:pPr>
        <w:spacing w:after="0" w:line="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2015 and 2014, payment patterns were consistent with our actuaries and management's expectations. Also, we continued to see positive development relating to the 2009 through 2014 policy years, which we believe is indicative of more stringent underwriting standards by us and the lending industry. In addition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 policy claim paid relating to a property that is in foreclosure negates any potential loss under an owner's policy previously issued on the property as the owner has no equity in the property. Along with the positive development on claims management expenses, our ending open claim inventory decreased from approximately 21,000 claims at December 31, 2014 to approximately 17,000 claims at December 31, 2015. If actual claims loss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$43 million increase (decrease) in our annualized provision for title claim losses would occur if our loss provision rate were 1% higher (lower), based on 2015 title premiums of $4,286 million. A 10% increase (decrease) in our reserve for title claim losses, as of December 31, 2015, would result in an increase (decrease) in our provision for title claim losses of approximately $158 million.</w:t>
      </w:r>
    </w:p>
    <w:p>
      <w:pPr>
        <w:spacing w:after="0" w:line="20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w:t>
      </w:r>
    </w:p>
    <w:p>
      <w:pPr>
        <w:jc w:val="both"/>
        <w:ind w:firstLine="8"/>
        <w:spacing w:after="0" w:line="268" w:lineRule="auto"/>
        <w:tabs>
          <w:tab w:leader="none" w:pos="32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 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2015 and 2014,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7"/>
        </w:trPr>
        <w:tc>
          <w:tcPr>
            <w:tcW w:w="44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5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40" w:type="dxa"/>
            <w:vAlign w:val="bottom"/>
            <w:vMerge w:val="restart"/>
          </w:tcPr>
          <w:p>
            <w:pPr>
              <w:jc w:val="right"/>
              <w:ind w:right="1090"/>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948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3,393</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portfolios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44" w:lineRule="exact"/>
        <w:rPr>
          <w:sz w:val="20"/>
          <w:szCs w:val="20"/>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35"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and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Preferred stocks: Preferred stocks are valued by calculating the appropriate spread over a comparable U.S. Treasury security. Inputs include benchmark quotes and other relevant market data.</w:t>
      </w:r>
    </w:p>
    <w:p>
      <w:pPr>
        <w:ind w:left="660" w:hanging="328"/>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December 31, 2014 our Level 2 financial assets and liabilities included our interest rate swap, foreign exchange contracts, and commodity contracts which were valued using the income approach. This approach uses techniques to convert future amounts to a single present value amount based upon market expectations (including present value techniques, option-pricing and excess earnings models). As of December 31, 2015 and December 31, 2014 we no longer hold these Level 2 financial assets and liabilities.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and December 31, 2014 we held no assets nor liabilities measured at fair value using Level 3 inputs.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years ended December 31, 2015, 2014 and 2013, we incurred impairment charges relating to investments that were determined to be other-than-temporarily impaired of $14 million, $6 million, and $1 million, respectively. Impairment charges during all three years related to fixed maturity securities primarily related to our conclusion that the credit risk of these holdings was high and the ability of the issuer to pay the full amount of the principal outstanding was unlikely. Impairment charges in the 2015 period also included an immaterial portion related to equity securities.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Included in our Investments as of December 31, 2015 are various holdings in Foreign securities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Cayman Islands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Curacao</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Korea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Netherlands</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New Zealand</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We have reviewed all of these securities as of December 31, 2015 and do not believe that there is a risk of significant credit loss as these securities are in a gross unrealized gain position of $1 million and a gross unrealized loss position of $16 million. We held no European sovereign debt at December 31, 2015.</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have made acquisitions in the past that have resulted in a significant amount of goodwill. As of December 31, 2015 and 2014,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aggregated was $4,760 million and $4,721 million, respectively. The majority of our goodwill as of December 31, 2015 relates to goodwill recorded in connection with the LPS acquisition on January 2, 2014, as well as the Chicago Title merger in 2000. In evaluating the recoverability of goodwill, we perform a qualitative analysis to determine whether it is more likely than not that our fair value exceeds our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2015, 2014, or 2013. As of December 31, 2015, we have determined that our goodwill has a fair value which substantially exceeds our carrying value.</w:t>
      </w:r>
    </w:p>
    <w:p>
      <w:pPr>
        <w:spacing w:after="0" w:line="5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Other Intangible Assets. </w:t>
      </w:r>
      <w:r>
        <w:rPr>
          <w:rFonts w:ascii="Arial" w:cs="Arial" w:eastAsia="Arial" w:hAnsi="Arial"/>
          <w:sz w:val="17"/>
          <w:szCs w:val="17"/>
          <w:color w:val="auto"/>
        </w:rPr>
        <w:t>We have other intangible assets, not including goodwill, which consist primarily of customer relationships and contracts and</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 Debt issuance costs are amortized on a straight line basis over the contractual life of the related debt instrument.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recorded a $11 million impairment expense to Tradenames in our Restaurant Group segment during the year ended December 31, 2014. We recorded no impairment expense related to other intangible assets in the years ended December 31, 2015 or 2013.</w:t>
      </w:r>
    </w:p>
    <w:p>
      <w:pPr>
        <w:spacing w:after="0" w:line="3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Title Revenue Recognition. </w:t>
      </w:r>
      <w:r>
        <w:rPr>
          <w:rFonts w:ascii="Arial" w:cs="Arial" w:eastAsia="Arial" w:hAnsi="Arial"/>
          <w:sz w:val="16"/>
          <w:szCs w:val="16"/>
          <w:color w:val="auto"/>
        </w:rPr>
        <w:t>Our direct title insurance premiums and escrow, title-related and other fees are recognized as revenue at the time of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transaction as the earnings process is then considered complete.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86-89% reported within three months following closing, an additional 9-11% reported within the next three months and the remainder within seven to fifteen months. In addition to accruing these earned but unreported agency premiums, we also accrue agent commission expense, which was 76.0% of agent premiums earned in 2015, 75.7% of agent premiums earned in 2014 and 76.1% of agent premiums earned in 2013. We also record provision for claim losses at our average provision rate at the time we record the accrual for the premiums, which was 5.7% for 2015, 6.2% for 2014 and 7.0% for 2013, and accruals for premium taxes and other expenses relating to our premium accrual. The resulting impact to pretax earnings in any period is less than 10% of the accrued premium amount. The impact of the change in the accrual for agency premiums and related expenses on our pretax earnings was a decrease of $5 million for the year ended December 31, 2015, a decrease of $9 million for the year ended 2014 and a decrease of $7 million for the year ended 2013. The amount due from our agents relating to this accrual, i.e., the agent premium less their contractual retained commission, was approximately $45 million and $55 million at December 31, 2015 and 2014, respectively, which represents agency premiums of approximately $230 million and $276 million at December 31, 2015 and 2014, respectively, and agent commissions of $185 million and $221 million at December 31, 2015 and 2014, respectively. We may have changes in our accrual for agency revenue in the future if additional relevant information becomes available.</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Black Knight Revenue Recognition. </w:t>
      </w:r>
      <w:r>
        <w:rPr>
          <w:rFonts w:ascii="Arial" w:cs="Arial" w:eastAsia="Arial" w:hAnsi="Arial"/>
          <w:sz w:val="18"/>
          <w:szCs w:val="18"/>
          <w:color w:val="auto"/>
        </w:rPr>
        <w:t>Within our Black Knight segment, our primary types of revenues and our revenue recognition policies as they pertain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types of contractual arrangements we enter into with our customers to provide services, software licenses, and software-related services either individually or as part of an integrated offering of multiple services. These arrangements occasionally include offerings from more than one segment to the same customer. We recognize revenues relating to mortgage processing, outsourced business processing services, data and analytics services, along with software licensing and software-related services. In some cases, these services are offered in combination with one another, and in other cases we offer them individually. Revenues from processing services are typically volume-based depending on factors such as the number of accounts processed, transactions processed and computer resources utilized.</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revenues are from outsourced data processing and application hosting, data, analytic and valuation related services, and outsourced business processing services. Revenue is realized or realizable and earned when all of the following criteria are met: (1) persuasive evidence of an arrangement exists; (2) delivery has occurred or services have been rendered; (3) the seller’s price to the buyer is fixed or determinable; and (4) collectibility is reasonably assured. For hosting arrangements, revenues and costs related to implementation, conversion and programming services are deferred and subsequently recognized using the straight-line method over the term of the related services agreement. We evaluate these deferred contract costs for impairment in the event any indications of impairment exist.</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event that our arrangements with our customers include more than one element, we determine whether the individual revenue elements can be recognized separately. In arrangements with multiple deliverables, the delivered items are considered separate units of accounting if (1) they have value on a standalone basis and (2) performance of the undelivered items is considered probable and within our control. Arrangement consideration is then allocated to the separate units of accounting based on relative selling price. If it exists, vendor-specific objective evidence is used to determine relative selling price, otherwise third-party evidence of selling price is used. If neither exists, the best estimate of selling price is used for the deliverable.</w:t>
      </w:r>
    </w:p>
    <w:p>
      <w:pPr>
        <w:spacing w:after="0" w:line="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multiple element software arrangements, we determine the appropriate units of accounting and how the arrangement consideration should be measured and allocated to the separate units. Initial license fees are recognized when a contract exists, the fee is fixed or determinable, software delivery has occurred and collection of the receivable is deemed probable, provided that vendor-specific objective evidence (“VSOE”) has been established for each element or for any undelivered elements. We determine the fair value of each element or the undelivered elements in multi-element software arrangements based on VSOE. VSOE for each element is based on the price charged when the same element is sold separately, or in the case of post-contract customer support, when a stated renewal rate is provided to the customer.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post-contract customer support is recognized ratably over the term of the agreement. We record deferred revenue for all billings invoiced prior to revenue recognition.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the consolidated financial statements, we are required to determine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3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i w:val="1"/>
          <w:iCs w:val="1"/>
          <w:color w:val="auto"/>
        </w:rPr>
        <w:t xml:space="preserve">Capitalized Software. </w:t>
      </w:r>
      <w:r>
        <w:rPr>
          <w:rFonts w:ascii="Arial" w:cs="Arial" w:eastAsia="Arial" w:hAnsi="Arial"/>
          <w:sz w:val="17"/>
          <w:szCs w:val="17"/>
          <w:color w:val="auto"/>
        </w:rPr>
        <w:t>Capitalized software includes the fair value of software acquired in business combinations, purchased software and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Black Knight segment we have significant internally developed software. These costs are amortized using the straight-line or an accelerated method over the estimated useful life. Useful lives of computer software range from 3 to 10 years. For software products to be sold, leased, or otherwise marketed,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recorded impairment charges of $1 million and $5 million in the years ended December 31, 2015 and 2014, respectively, for abandoned software development projects. We did not record any impairments for software in the year ended December 31, 2013.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Year ended December 31, 2015. </w:t>
      </w:r>
      <w:r>
        <w:rPr>
          <w:rFonts w:ascii="Arial" w:cs="Arial" w:eastAsia="Arial" w:hAnsi="Arial"/>
          <w:sz w:val="18"/>
          <w:szCs w:val="18"/>
          <w:color w:val="auto"/>
        </w:rPr>
        <w:t>On September 28, 2015 we distributed all of our shares of J. Alexander's to the holders of FNFV Group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this distribution, the results of operations for the year-ended December 31, 2015 include the results from J. Alexander's through the date of the distribution.</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Year ended December 31, 2014. </w:t>
      </w:r>
      <w:r>
        <w:rPr>
          <w:rFonts w:ascii="Arial" w:cs="Arial" w:eastAsia="Arial" w:hAnsi="Arial"/>
          <w:sz w:val="17"/>
          <w:szCs w:val="17"/>
          <w:color w:val="auto"/>
        </w:rPr>
        <w:t>On January 2, 2014, we completed the purchase of LPS. As a result of this acquisition we began to consolidate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LPS effective January 3, 2014. On December 31, 2014, we distributed all of our shares in Remy to the holders of FNFV Group Common Stock. As a result of this distribution, the operations for Remy are presented as discontinued operations for all periods presented.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2,061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1,273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6,824</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2"/>
              </w:rPr>
              <w:t>Earnings from continuing operations before income taxes and equity in (loss) earnings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616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(loss) earnings of unconsolidated affiliates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revenue in 2015 increased $1,108 million compared to 2014, primarily due to an increase in closed order volumes in our direct business, increases in agent remittances, an increase in revenue in our Black Knight segment, and increases related to businesses acquired in the current year and late 2014. Total revenue in 2014 increased $584 million compared to 2013, primarily due to the addition of revenue from the acquisition of LPS on January 2, 2014, as well as an increase in the Restaurant Group segment and the FNFV Corporate and Other segment, offset by a decrease in the Title segment and FNF Core Corporate and Other segments.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net earnings from continuing operations increased $49 million in the year ended December 31, 2015, compared to the 2014 period. The increase consisted of a $310 million increase at FNF Core and $261 million decrease at FNFV. Total net earnings from continuing operations increased $117 million in the year ended December 31, 2014, compared to the 2013 period. The increase consisted of a $175 million decrease at FNF Core and $292 million increase at FNFV.</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 in revenue and net earnings from the FNF Core segments and FNFV segments is discussed in further detail at the segment level below.</w:t>
      </w:r>
    </w:p>
    <w:p>
      <w:pPr>
        <w:spacing w:after="0" w:line="11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was $123 million, $126 million, and $127 million for the years ended December 31, 2015, 2014, and 2013, respectively. The decrease in 2015 as compared to 2014 is primarily attributable to decreased bond yields and a change in portfolio mix. The decrease in 2014 as compared to 2013 is due to decreased bond yield and decreased total holdings. The effective return on average invested assets, excluding realized gains and losses, was 3.4%, 3.6%, and 4.1% for the years ended December 31, 2015, 2014, and 2013, respectively.</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realized (losses) and gains totaled $(13) million, $(13) million, and $16 million for the years ended December 31, 2015, 2014, and 2013, respectively. The net realized loss for the year ended December 31, 2015 includes a net realized gain of $1 million on our investment portfolio, net realized gains of $16 million due to favorable settlement of litigation, net realized losses of $19 million due to impairment of long-lived assets at our Restaurant Group, net realized losses of $5 million on early redemption of</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Black Knight corporate bonds, and $6 million of miscellaneous other net realized losses. The net realized loss for the year ended December 31, 2014 includes net realized gains of $9 million on the sales of various investments and gains of $11 million on consolidation of previously owned minority interests. These gains were offset by a $6 million impairment write down on bonds, asset impairments of $25 million, and $2 million in losses on other individually insignificant items. The net realized gain for the year ended December 31, 2013 includes an $11 million gain on the sale of FIS stock, a $10 million gain on individually insignificant portfolio sales, a $5 million net gain on sales of preferred stock, and a $3 million gain on the settlement of a mortgage loan at J. Alexander's. These gains were offset by a $3 million loss on the structured notes, $4 million in title plant impairments and $6 million in other individually insignificant impairments and net losses.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and at Black Knight are incurred for data processing; agent commissions, which are incurred as revenue is recognized; and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Income tax expense was $290 million, $312 million, and $195 million for the years ended December 31, 2015, 2014, and 2013, respectively. Income tax expense as a percentage of earnings from continuing operations before income taxes for the years ended December 31, 2015, 2014, and 2013 was 33.4%, 79.6%, and 31.7%, respectively. The decrease in the effective tax rate in 2015 from 2014 is primarily related to reduced taxes associated with the reduction in Equity in (loss) earnings of unconsolidated affiliates. The increase in the effective tax rate in 2014 from 2013 is due mainly to the $495 million pre-tax gain of the Ceridian sale of Comdata to FleetCor, which was 43.2% of the effective tax rate; excluding the gain, the effective tax rate for 2014 was 36.5%. Apart from the Comdata sale gain,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246" w:lineRule="exact"/>
        <w:rPr>
          <w:sz w:val="20"/>
          <w:szCs w:val="20"/>
          <w:color w:val="auto"/>
        </w:rPr>
      </w:pPr>
    </w:p>
    <w:p>
      <w:pPr>
        <w:jc w:val="both"/>
        <w:ind w:firstLine="369"/>
        <w:spacing w:after="0" w:line="286" w:lineRule="auto"/>
        <w:rPr>
          <w:sz w:val="20"/>
          <w:szCs w:val="20"/>
          <w:color w:val="auto"/>
        </w:rPr>
      </w:pPr>
      <w:r>
        <w:rPr>
          <w:rFonts w:ascii="Arial" w:cs="Arial" w:eastAsia="Arial" w:hAnsi="Arial"/>
          <w:sz w:val="17"/>
          <w:szCs w:val="17"/>
          <w:color w:val="auto"/>
        </w:rPr>
        <w:t>Equity in (loss) earnings of unconsolidated affiliates was $(16) million, $432 million, and $(26) million for the years ended December 31, 2015, 2014, and 2013, respectively, and consisted of our equity in the net (loss) earnings of Ceridian and other investments in unconsolidated affiliates. The decrease in 2015 and the increase in 2014 are primarily due to our $495 million portion of the Ceridian gain on the sale of Comdata to Fleetcor in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January 2, 2014, the Title segment includes the results of the transaction services business acquired with LPS.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1,096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2,181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1,708</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 2015 increased $784 million or 13.9% compared to 2014. Total revenues in 2014 decreased $250 million or 4.2% compared to 2013. The increase in the year ended December 31, 2015 is primarily attributable to improvements in the overall real estate markets driving increases in closed order volumes as well as current year acquisitions. The decrease in revenue in the year ended December 31, 2014 was primarily driven by decreased closed order volume.</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year ended December 31, 2015 the results of Title included increased Personnel costs, Agent commissions, and Provision for title claim losses associated with the increased title premium revenue. During the year ended December 31, 2014, the results of Title contained $35 million of transaction expenses related to the LPS acquisition and $1 million for merger related litigation, which were included in other operating expenses. Included within personnel costs in the year ended December 31, 2014 were $20 million in severance expenses related to the LPS acquisition and $30 million expense to accrue for bonuses under our synergy bonus program. Depreciation and amortization for the year ended December 31, 2014 included $88 million related to assets acquired with LPS and marked to fair value in purchase accounting.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3"/>
              </w:rPr>
              <w:t>1,727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3"/>
              </w:rPr>
              <w:t>1,944</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56.6</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4,286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3,671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Title premiums increased 16.8% in the year ended December 31, 2015 as compared to the 2014 period. The increase was made up of an increase in premiums from direct operations of $282 million, or 16.3% and an increase in premiums from agency operations of $333 million, or 17.1%. Title premiums decreased 12% in the year ended December 31, 2014 as compared to the 2013 period. The decrease was made up of a decrease in premiums from direct operations of $73 million, or 4%, and a decrease in premiums from agency operations of $408 million, or 17%.</w:t>
      </w:r>
    </w:p>
    <w:p>
      <w:pPr>
        <w:spacing w:after="0" w:line="117" w:lineRule="exact"/>
        <w:rPr>
          <w:sz w:val="20"/>
          <w:szCs w:val="20"/>
          <w:color w:val="auto"/>
        </w:rPr>
      </w:pPr>
    </w:p>
    <w:p>
      <w:pPr>
        <w:ind w:left="40" w:right="40" w:firstLine="243"/>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6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23495</wp:posOffset>
            </wp:positionV>
            <wp:extent cx="24269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26"/>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w w:val="92"/>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Title premiums from direct operations increased in 2015, primarily due to an increase in closed order volumes as compared to the prior year. Closed order volumes were 1,472,000 in the year ended December 31, 2015 compared with 1,319,000 in the year ended December 31, 2014. This represented an increase of 11.6%. The increase in closed order volumes was primarily related to a significant increase in purchase and refinance transactions in the year ended December 31, 2015 compared to the 2014 period. Open title orders increased consistently with closed orders in the 2015 period.</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average fee per file in our direct operations was $2,065 in the year ended December 31, 2015, compared to $2,014 in the year ended December 31, 2014. The increase in average fee per file reflects an increase in commercial transactions which have a higher fee per file and an increase in residential purchase transactions overall, offset by a higher proportion of refinance to purchase transactions from our residential title revenue.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title premiums from agency operations is primarily the result of the overall increase in real estate activity since the prior year. The increase was consistent with the aforementioned increase in direct operations.</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Escrow, title related and other fees increased by $150 million, or 8.1%, in the year ended December 31, 2015 from the 2014 period. Escrow fees, which are more directly related to our direct operations, increased $111 million, or 19%, in the year ended December 31, 2015 compared to the 2014 period. The increase is consistent with the increase in direct title premiums. Other fees in the Title segment, excluding escrow fees, increased $39 million, or 3.0%, in the year ended December 31, 2015 compared to the 2014 period. The increase in other fees was primarily attributable to revenue associated with BPG acquired in the current year. Escrow, title related and other fees increased by $258 million, or 16%, in the year ended December 31, 2014 from the 2013 period. Escrow fees, which are more directly related to our direct operations, decreased $107 million, or 16%, in the year ended December 31, 2014 compared to the 2013 period. The decrease is consistent with the decrease in direct title premiums. Other fees in the Title segment, excluding escrow fees, increased $364 million, or 40%, in the year ended December 31, 2014 compared to the 2013 period. The increase in other fees was primarily due to the addition of $233 million in the year ended December 31, 2014 related to the transaction services business acquired from LPS on January 2, 2014.</w:t>
      </w:r>
    </w:p>
    <w:p>
      <w:pPr>
        <w:spacing w:after="0" w:line="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increased $1 million in the year ended December 31, 2015 compared to the 2014 period and decreased $5 million in the year ended December 31, 2014 compared to the 2013 period. The increase in 2015 is attributable to a change in portfolio mix and market conditions. The decrease in 2014 is attributable primarily to decreases in market interest rates and in turn lower bond yields.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$194 million, or 10.2% increase in the year ended December 31, 2015 compared to the 2014 period is primarily related to additional expense associated with the increased order volumes, acquisitions in the current year, and increased costs associated with the implementation of TRID. Personnel costs as a percentage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total revenues from direct title premiums and escrow, title-related and other fees was 52.1% and 53% for the years ended December 31, 2015 and December 31, 2014, respectively. Average employee count in the Title segment was 20,819 and 19,470 in the years ended December 31, 2015 and 2014, respectively. The increase in the 2015 period is attributable to the aforementioned increase in order volumes and implementation of TRID.</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$11 million, or 0.8% in the year ended December 31, 2015 from the 2014 period. Other operating expenses increased consistent with the increase in direct title premiums and escrow, title-related and other fee income offset by other miscellaneous cost reductions.</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2013</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76.1</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margin from agency title insurance premiums retained as a percentage of total agency premiums in the year ended December 31, 2015 remained consistent with the 2014 and 2013 periods.</w:t>
      </w:r>
    </w:p>
    <w:p>
      <w:pPr>
        <w:spacing w:after="0" w:line="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July 1, 2015, we revised our loss provision rate to 5.5% from 6% primarily due to favorable development on more recent policy year claims.</w:t>
      </w:r>
    </w:p>
    <w:p>
      <w:pPr>
        <w:spacing w:after="0" w:line="4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claim loss provision for title insurance was $246 million, $228 million, and $291 million for the years ended December 31, 2015, 2014, and 2013, respectively. These amounts reflected average claim loss provision rates of 5.7% for 2015, 6.2% for 2014, and 7.0% of title premiums for 2013.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 Knight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for the years ended December 31, 2015 and December 31, 2014, include the results of Black Knight and subsidiaries, which were initially consolidated on January 2, 2014, the date on which we acquired LPS.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263"/>
        </w:trPr>
        <w:tc>
          <w:tcPr>
            <w:tcW w:w="86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Revenues:</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 related and other fees</w:t>
            </w:r>
          </w:p>
        </w:tc>
        <w:tc>
          <w:tcPr>
            <w:tcW w:w="8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862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8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86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8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8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8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 before income taxes</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8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revenues for Black Knight segment increased $74 million in the year ended December 31, 2015 compared to the 2014 period. The increase was driven by higher loan counts as well as increased usage and communication fees in their servicing technology business; by increased professional services and processing revenues from loan origination systems clients and revenues from Closing Insight clients in their origination technology business; and by additional revenue from long-term strategic license deals in its data and analytics segment.</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results of the Black Knight segment were also improved by the reduction in costs related to the acquisition and integration of LPS by FNF on January 2, 2014. Transition and integration costs were $119 million in the year ended December 31, 2014 compared to $8 million in the 2015 period. The reduction related to transition and integration costs was offset by an increase in interest expense of $19 million related to the addition of third-party debt in the current year.</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Earnings from continuing operations before income taxes increased $154 million in the year ended December 31, 2015 compared to the 2014 period. The increase is primarily attributable to the increased revenue and decreased costs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Core Corporate and Other</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 Also included in this segment are eliminations of revenues and expenses between our other core segments.</w:t>
      </w:r>
    </w:p>
    <w:p>
      <w:pPr>
        <w:spacing w:after="0" w:line="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FNF Core Corporate and Other segment generated revenues of $180 million, $(6) million and $49 million for the years ended December 31, 2015, 2014 and 2013, respectively. The revenue in the 2014 and 2015 periods includes the elimination of revenues between our Black Knight segment and our Title segment offset by revenue at other subsidiaries within the segment. The increase in the year ended December 31, 2015 is primarily driven by revenue of $183 million from Pacific Union, a luxury real estate broker based in California in which we acquired a controlling stake in December 2014. The decrease in the 2014 period from the 2013 period is due to inclusion of an elimination of revenues between our BKFS segment and our Title segment, which we began eliminating upon the acquisition of LPS in 2014.</w:t>
      </w:r>
    </w:p>
    <w:p>
      <w:pPr>
        <w:spacing w:after="0" w:line="8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Other operating expenses in the FNF Core Corporate and Other segment were $172 million, $(12) million and $93 million for the years ended December 31, 2015, 2014 and 2013, respectively. The expense in the 2014 and 2015 periods includes the elimination of expenses between our Black Knight segment and our Title segment offset by expense at other subsidiaries within the segment. The increase in the 2015 period from the 2014 period is primarily due to expenses of $162 million from Pacific Union. The decrease in the 2014 period from the 2013 period is due to a $29 million allocation of transaction costs from the FNF Core Corporate segment to BKFS in 2014 and the 2013 period including a $20 million accrual related to an employment litigation matter and $3 million in transaction costs related to the LPS acquisition.</w:t>
      </w:r>
    </w:p>
    <w:p>
      <w:pPr>
        <w:spacing w:after="0" w:line="8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Interest expense was $72 million, $91 million and $68 million for the years ended December 31, 2015, 2014 and 2013, respectively. The decrease in the 2015 period from the 2014 period is due to the payoff of our FNF term loan offset by interest on additional notes entered into by Black Knight. The increase in the 2014 period from the 2013 period is due to additional borrowings in January 2014 to finance the acquisition of LPS.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right="20"/>
        <w:spacing w:after="0" w:line="402" w:lineRule="auto"/>
        <w:rPr>
          <w:sz w:val="20"/>
          <w:szCs w:val="20"/>
          <w:color w:val="auto"/>
        </w:rPr>
      </w:pPr>
      <w:r>
        <w:rPr>
          <w:rFonts w:ascii="Arial" w:cs="Arial" w:eastAsia="Arial" w:hAnsi="Arial"/>
          <w:sz w:val="18"/>
          <w:szCs w:val="18"/>
          <w:color w:val="auto"/>
        </w:rPr>
        <w:t xml:space="preserve">This segment generated pretax losses of $113 million, $113 million and $152 million for the years ended December 31, 2015, 2014 and 2013, respectively. </w:t>
      </w:r>
      <w:r>
        <w:rPr>
          <w:rFonts w:ascii="Arial" w:cs="Arial" w:eastAsia="Arial" w:hAnsi="Arial"/>
          <w:sz w:val="18"/>
          <w:szCs w:val="18"/>
          <w:b w:val="1"/>
          <w:bCs w:val="1"/>
          <w:i w:val="1"/>
          <w:iCs w:val="1"/>
          <w:color w:val="auto"/>
        </w:rPr>
        <w:t>FNFV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of operations for the Restaurant Group for the year ended December 31, 2015 include the results of J. Alexander's through September 29, 2015, the date it was distributed to common shareholders of FNFV. All other periods include the results of operations for J. Alexander's for the full year indicated.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1,204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37"/>
        </w:trPr>
        <w:tc>
          <w:tcPr>
            <w:tcW w:w="77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for the Restaurant group segment decreased $30 million, or 2.1% in the year ended December 31, 2015 from the 2014 period primarily due to the inclusion of the results of J. Alexander's through September 29, 2015 compared to the full calendar year 2014. Total revenues for the Restaurant group segment increased $16 million, or 1.1% in the year ended December 31, 2014 from the 2013 period primarily due to increased same store sales at ABRH and J. Alexander's.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restaurant revenue decreased $25 million or 2.0% in the year ended December 31, 2015 from the 2014 period. Cost of restaurant revenue increased $16 million or 1.3% in the year ended December 31, 2014 from the 2013 period. The change in both periods is consistent with the change in total revenue.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continuing operations before income taxes decreased $6 million in the year ended December 31, 2015 from the 2014 period. Earnings from continuing operations before income taxes increased $1 million in the year ended December 31, 2014 from the 2013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 FNFV Core Corporate and Other segment consists of the operations of the parent holding company including Digital Insurance, operations of our unconsolidated investment in Ceridian, certain other unallocated corporate overhead expenses, and other smaller real estate and insurance related operations.</w:t>
      </w:r>
    </w:p>
    <w:p>
      <w:pPr>
        <w:spacing w:after="0" w:line="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FNFV Corporate and Other segment generated revenues of $205 million, $111 million, and $90 million for the years ended December 31, 2015, 2014, and 2013, respectively. Revenues increased $94 million in 2015 compared to 2014 primarily due to $85 million of revenue recorded related to the sale of Cascade Timberlands in January 2015 and increased revenue at Digital Insurance resulting from current period acquisitions.</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were $92 million, $101 million, and $114 million in the years ended December 31, 2015, 2014, and 2013, respectively. The decrease in the 2015 period of $9 million is primarily due to the inclusion of $19 million of expense related to our Investment Success Incentive Program in the 2014 period, offset by increased costs related to current period acquisitions. The decrease in the 2014 period from the 2013 period is due to the inclusion of an accrual related to our Long Term Incentive Plan, offset by the aforementioned additional expense in 2014.</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operating expenses for the FNFV Corporate and Other segment were $96 million, $25 million, and $19 million in the years ended December 31, 2015, 2014 and 2013, respectively. The increase of $72 million in the current year is primarily attributable to $73 million in expense recorded related to the sale of Cascade Timberlands.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segment generated pretax losses of $2 million, $27 million, and $52 million for the years ended December 31, 2015, 2014, and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2015 period is attributable to the aforementioned changes in revenues and other operating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on our debt, capital expenditures, business acquisitions, stock repurchases and dividends on our common stock. We paid dividends of $0.80 per share during 2015, or approximately $220 million. On February 3, 2016, our Board of Directors formally declared a $0.21 per share cash dividend that is payable on March 31, 2016 to FNF Group shareholders of record as of March 17, 2016.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9"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2015, $2,049 million of our net assets were restricted from dividend payments without prior approval from the relevant departments of insurance. During 2016, our title insurance subsidiaries can pay or make distributions to us of approximately $334 million. Our underwritten title companies and non-title insurance subsidiaries collect revenue and pay operating expenses. However, they are not regulated to the same extent as our insurance subsidiaries.</w:t>
      </w:r>
    </w:p>
    <w:p>
      <w:pPr>
        <w:spacing w:after="0" w:line="138"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creation of a tracking stock for our portfolio company investments, now known as FNFV. The primary FNFV investments included our equity interests in Remy, ABRH, J. Alexander's, Ceridian, and Digital Insurance. We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is expected to be used for general corporate purposes including to reinvest in core operations, repay debt, pay dividends, repurchase stock, other strategic initiatives or conserving cash.</w:t>
      </w:r>
    </w:p>
    <w:p>
      <w:pPr>
        <w:spacing w:after="0" w:line="2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focused on evaluating our FNFV assets and investments as potential vehicles for creating liquidity. Our intent is to use that liquidity for general corporate purposes, including payment of dividends as declared by the Board of Directors and potentially reducing debt, repurchasing shares of our stock, other strategic initiatives and/or conserving cash.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Our cash flows provided by operations for the years ended December 31, 2015, 2014, and 2013 were $917 million, $567 million and $484 million, respectively. The increase in cash provided by operations of $350 million from 2015 to 2014 is primarily due to increased earnings from operations before equity in earnings of unconsolidated affiliates of $497 million and lower claims payments of $17 million, offset by increased payments for income taxes in 2015 compared to 2014 of $175 million. The change in 2015 from 2014 is also driven by $39 million of operating cash flows for Remy included in the 2014 period. The remaining change from the 2014 period to the 2015 period is primarily attributable to timing of receivables and payables. The increase in cash provided by operations of $83 million from 2014 to 2013 is primarily due to increased earnings from operations, lower claims payments of $98 million, and a tax refund of $62 million on LPS acquisition costs. These increases were offset by payments of $54 million in transaction costs and $47 million in severance payments both relating to the acquisition of LPS and bonus payments of $124 million relating to our Long Term Incentive Plan, Investment Success Incentive Program, and synergy plans associated with the LPS acquisition.</w:t>
      </w:r>
    </w:p>
    <w:p>
      <w:pPr>
        <w:spacing w:after="0" w:line="128" w:lineRule="exact"/>
        <w:rPr>
          <w:sz w:val="20"/>
          <w:szCs w:val="20"/>
          <w:color w:val="auto"/>
        </w:rPr>
      </w:pPr>
    </w:p>
    <w:p>
      <w:pPr>
        <w:jc w:val="both"/>
        <w:ind w:firstLine="369"/>
        <w:spacing w:after="0" w:line="293"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Total capital expenditures for property and equipment and capitalized software were $241 million, $210 million and $145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years ended December 31, 2015, 2014, and 2013, respectively. The 2015 period consists of capital expenditures of $92 million in our Title segment, $87 million in our Black Knight segment, $55 million in Restaurant Group segment, and $7 million in other FNFV Group expenditures. The increase in the 2015 period from the 2014 period is primarily due to increased investments in property and equipment in our Title segment and increased expenditures on property and equipment and software at Black Knight. The increase in the 2014 period from the 2013 period is primarily due to increased expenditures on property and equipment and capitalized software at Black Knight and continued remodeling efforts in our Restaurant Group.</w:t>
      </w:r>
    </w:p>
    <w:p>
      <w:pPr>
        <w:spacing w:after="0" w:line="111"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J to the Consolidated Financial Statements included in Item 8 of Part II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Part II, Item 7.</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2013, we saw seasonality trends return to historical patterns. During 2015, we experienced a moderate increase in existing home sales and we have also seen a decline in total housing inventory. However, we have experienced significant declines in refinance activity starting in the fourth quarter of 2013.</w:t>
      </w:r>
    </w:p>
    <w:p>
      <w:pPr>
        <w:spacing w:after="0" w:line="1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2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 and purchase obligations of the Restaurant Group.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1,042</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1,583</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424</w:t>
            </w:r>
          </w:p>
        </w:tc>
      </w:tr>
      <w:tr>
        <w:trPr>
          <w:trHeight w:val="27"/>
        </w:trPr>
        <w:tc>
          <w:tcPr>
            <w:tcW w:w="35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6,311</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2015, we had title insurance reserves of $1,583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3" w:lineRule="exact"/>
        <w:rPr>
          <w:sz w:val="20"/>
          <w:szCs w:val="20"/>
          <w:color w:val="auto"/>
        </w:rPr>
      </w:pPr>
    </w:p>
    <w:p>
      <w:pPr>
        <w:ind w:left="66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ind w:left="660" w:right="2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16"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2015 to determine the amount of the obligations.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Black Knight has data processing and maintenance commitments with various vendors. We used current outstanding contracts with the vendors to determine the amount of the obligations.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sponsor multiple pension plans and other post-retirement benefit plans. See Note O of the Notes to Consolidated Financial Statements included in Item 8 of Part II of this report for further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include estimated future interest payments on our outstanding fixed rate debt and investment commitments entered into in 2015 for $50 million.</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Capital Stock Transactions. </w:t>
      </w:r>
      <w:r>
        <w:rPr>
          <w:rFonts w:ascii="Arial" w:cs="Arial" w:eastAsia="Arial" w:hAnsi="Arial"/>
          <w:sz w:val="17"/>
          <w:szCs w:val="17"/>
          <w:color w:val="auto"/>
        </w:rPr>
        <w:t>On September 16, 2015, J. Alexander's and FNF entered into a Separation and Distribution Agreement, pursuant to which</w:t>
      </w:r>
      <w:r>
        <w:rPr>
          <w:rFonts w:ascii="Arial" w:cs="Arial" w:eastAsia="Arial" w:hAnsi="Arial"/>
          <w:sz w:val="17"/>
          <w:szCs w:val="17"/>
          <w:i w:val="1"/>
          <w:iCs w:val="1"/>
          <w:color w:val="auto"/>
        </w:rPr>
        <w:t xml:space="preserve"> </w:t>
      </w:r>
      <w:r>
        <w:rPr>
          <w:rFonts w:ascii="Arial" w:cs="Arial" w:eastAsia="Arial" w:hAnsi="Arial"/>
          <w:sz w:val="17"/>
          <w:szCs w:val="17"/>
          <w:color w:val="auto"/>
        </w:rPr>
        <w:t>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 LLC. Following the IPO, we owned 55% of the outstanding shares of Black Knight in the form of Class B common stock, with a corresponding ownership interest in BKFS, LLC.</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In the year ended December 31, 2015, we repurchased a total of 8,187,382 shares for $106 million, or an average of $12.95 per share under this program. Subsequent to year-end we repurchased a total of 1,143,900 shares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$11 million, or an average of $9.71 per share, under this program through market close on February 19, 2016. Since the original commencement of the plan adopted November 6, 2014, we have repurchased a total of 9,447,382 shares for $119 million, or an average of $12.57 per share, and there are 552,618 shares available to be repurchased under this program through market close on February 19, 2016. 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January 2, 2014, we completed the purchase of LPS. As part of the consideration, $839 million or 25,920,078 shares of Old FNF common stock was issued to LPS shareholders. See Note B of the Notes to Consolidated Financial Statements for further information on the acquisition of LPS.</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21, 2012, our Board of Directors approved a three-year stock repurchase program, effective August 1, 2012, under which we can repurchase up to 15 million shares of our common stock through July 31, 2015. On July 20, 2015, our Board of Directors approved a new three-year stock repurchase program under which we can purchase up to 25 million shares through July 30, 2018. We may make repurchases from time to time in the open market, in block purchases or in privately negotiated transactions, depending on market conditions and other factors. In the year ended December 31, 2015, we repurchased a total 5,875,000 FNF Group shares under these programs for $214 million, or an average price of $36.41 per share. Subsequent to year-end we repurchased a total of 500,000 shares for $17 million, or an average of $33.19 per share under this program through market close on February 19, 2016. Since the original commencement of the plan adopted July 21, 2012, we have repurchased a total of 3,380,000 FNF common shares for $98 million, or an average of $28.97 per share, and there are no shares available to be repurchased under this program. Since the original commencement of the plan adopted July 20, 2015, we have repurchased a total of 5,075,000 FNF Group common shares for $182 million, or an average of $35.92 per share, and there are 19,925,000 shares available to be repurchased under this program.</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December 31, 2015 of $71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We are currently in the process of exploring our options for purchasing the facilities or renewing the lease, but have not finalized our plans.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recent accounting pronouncements, see Note S of Notes to Consolidated Financial Statements included in Item 8 of Part II of this report.</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normal course of business, we are routinely subject to a variety of risks, as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and in our other filings with the Securities and Exchange Commission. For example, we are exposed to the risk that decreased real estate activity, which depends in part on the level of interest rates, may reduce our Core revenues.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December 31, 2015, we had $2,793 million in long-term debt, of which $1,403 million bears interest at a floating rate. 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As of December 31, 2015 we did not use derivative financial instruments to hedge these risks.</w:t>
      </w:r>
    </w:p>
    <w:p>
      <w:pPr>
        <w:spacing w:after="0" w:line="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In the past, our exposure to changes in equity prices primarily resulted from our holdings of equity securities. At December 31, 2015, we held $345 million in marketable equity securities (not including our investments in preferred stock of $289 million at December 31, 2015 and our Investments in unconsolidated affiliates, which amounted to $521 million at December 31, 2015).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accounts receivable and cash investments. We require placement of cash in financial institutions evaluated as highly creditworthy.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22.6% of total liabilities at December 31, 2015) is not included in the hypothetical effects.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2015 and December 31, 2014, are as follows: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2015, an increase (decrease) in the levels of interest rates of 100 basis points, with all other variables held constant, would result in a (decrease) increase in the fair value of our fixed maturity securities and certain of our investments in preferred stock which are tied to interest rates of $72 million as compared with a (decrease) increase of $82 million at December 31, 2014.</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2015 and 2014, a decrease of 100 basis points in the levels of interest rates, with all other variables held constant, would result in a decrease in the interest expense on our average outstanding floating rate debt of $6 million, as the current LIBOR rate is less than 1%. An increase of 100 basis points in the levels of interest rates, with all other variables held constant, would result in an increase in the interest expense on our average outstanding floating rate debt of $14 million for the year ended December 31, 2015. See Note J of the Notes to Consolidated Financial Statements included in Item 8 of Part II of this report for further details of our 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At December 31, 2015, a 20% increase (decrease) in market prices, with all other variables held constant, would result in an increase (decrease) in the fair value of our equity securities portfolio of $69 million, as compared with an increase (decrease) of $29 million at December 31, 2014.</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9"/>
          </w:tcPr>
          <w:p>
            <w:pPr>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6"/>
              <w:spacing w:after="0" w:line="20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480" w:type="dxa"/>
            <w:vAlign w:val="bottom"/>
          </w:tcPr>
          <w:p>
            <w:pPr>
              <w:spacing w:after="0"/>
              <w:rPr>
                <w:sz w:val="17"/>
                <w:szCs w:val="17"/>
                <w:color w:val="auto"/>
              </w:rPr>
            </w:pPr>
          </w:p>
        </w:tc>
      </w:tr>
      <w:tr>
        <w:trPr>
          <w:trHeight w:val="250"/>
        </w:trPr>
        <w:tc>
          <w:tcPr>
            <w:tcW w:w="8680" w:type="dxa"/>
            <w:vAlign w:val="bottom"/>
            <w:tcBorders>
              <w:top w:val="single" w:sz="8" w:color="0000EE"/>
            </w:tcBorders>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 on Consolidated Financial Statements</w:t>
              </w:r>
            </w:hyperlink>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480" w:type="dxa"/>
            <w:vAlign w:val="bottom"/>
          </w:tcPr>
          <w:p>
            <w:pPr>
              <w:spacing w:after="0"/>
              <w:rPr>
                <w:sz w:val="21"/>
                <w:szCs w:val="21"/>
                <w:color w:val="auto"/>
              </w:rPr>
            </w:pPr>
          </w:p>
        </w:tc>
      </w:tr>
      <w:tr>
        <w:trPr>
          <w:trHeight w:val="250"/>
        </w:trPr>
        <w:tc>
          <w:tcPr>
            <w:tcW w:w="6980" w:type="dxa"/>
            <w:vAlign w:val="bottom"/>
            <w:tcBorders>
              <w:top w:val="single" w:sz="8" w:color="0000EE"/>
            </w:tcBorders>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2015 and 2014</w:t>
              </w:r>
            </w:hyperlink>
          </w:p>
        </w:tc>
        <w:tc>
          <w:tcPr>
            <w:tcW w:w="326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64</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Earnings for the years ended December 31, 2015, 2014, and 2013</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Earnings for the years ended December 31, 2015, 2014, and 2013</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Equity for the years ended December 31, 2015, 2014, and 2013</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68</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 for the years ended December 31, 2015, 2014, and 2013</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480" w:type="dxa"/>
            <w:vAlign w:val="bottom"/>
          </w:tcPr>
          <w:p>
            <w:pPr>
              <w:spacing w:after="0"/>
              <w:rPr>
                <w:sz w:val="21"/>
                <w:szCs w:val="2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audited Fidelity National Financial, Inc.’s internal control over financial reporting as of December 31, 2015,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Fidelity</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our opinion, Fidelity National Financial,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Fidelity National Financial, Inc. and subsidiaries as of December 31, 2015 and 2014, and the related Consolidated Statements of Earnings, Comprehensive Earnings, Equity and Cash Flows for each of the years in the three-year period ended December 31, 2015, and our report dated February 23, 2016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as of December 31, 2015 and 2014, and the related Consolidated Statements of Earnings, Comprehensive Earnings, Equity and Cash Flows for each of the years in the three-year period ended December 31, 2015. These Consolidated Financial Statements are the responsibility of the Company’s management. Our responsibility is to express an opinion on these Consolidated Financial Statements based on our audits.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2015 and 2014, and the results of their operations and their cash flows for each of the years in the three-year period ended December 31, 2015, in conformity with U.S. generally accepted accounting principles.</w:t>
      </w:r>
    </w:p>
    <w:p>
      <w:pPr>
        <w:spacing w:after="0" w:line="1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Fidelity National Financial, Inc.’s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23, 2016 expressed an unqualified opinion on the effectiveness of the Company’s internal control over financial reporting.</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Fixed maturities available for sale, at fair value, at December 31, 2015 and 2014, includes pledged fixed maturities of $342 and $353, respectively,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secured trust 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3"/>
              </w:rPr>
              <w:t>Short-term investments, includes pledged short term investments of $266 and $146 at December 31, 2015 and 2014, respectively, related to secured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trust deposits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1,034</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4,669</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4"/>
              </w:rPr>
              <w:t>Cash and cash equivalents, at December 31, 2015 and 2014, includes pledged cash of $108 and $136,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$32 at December 31, 2015 and 2014</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4,760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4,721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3"/>
        </w:trPr>
        <w:tc>
          <w:tcPr>
            <w:tcW w:w="880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13,845</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1,283</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2,803</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title claim 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50"/>
        </w:trPr>
        <w:tc>
          <w:tcPr>
            <w:tcW w:w="880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6,999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7"/>
              </w:rPr>
              <w:t>Redeemable non-controlling interest by 21% minority holder of ServiceLink Holdings, LLC as of December 31, 2015 and 33% minority holder of</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180"/>
              <w:spacing w:after="0"/>
              <w:rPr>
                <w:sz w:val="20"/>
                <w:szCs w:val="20"/>
                <w:color w:val="auto"/>
              </w:rPr>
            </w:pPr>
            <w:r>
              <w:rPr>
                <w:rFonts w:ascii="Arial" w:cs="Arial" w:eastAsia="Arial" w:hAnsi="Arial"/>
                <w:sz w:val="14"/>
                <w:szCs w:val="14"/>
                <w:color w:val="auto"/>
              </w:rPr>
              <w:t>Black Knight Financial Services, LLC and 35% minority holder of ServiceLink Holdings, LLC as of December 31, 2014</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4"/>
              </w:rPr>
              <w:t>FNF Group common stock, $0.0001 par value; authorized 487,000,000 shares as of December 31, 2015 and 2014; outstanding of 275,781,160 and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180"/>
              <w:spacing w:after="0" w:line="149" w:lineRule="exact"/>
              <w:rPr>
                <w:sz w:val="20"/>
                <w:szCs w:val="20"/>
                <w:color w:val="auto"/>
              </w:rPr>
            </w:pPr>
            <w:r>
              <w:rPr>
                <w:rFonts w:ascii="Arial" w:cs="Arial" w:eastAsia="Arial" w:hAnsi="Arial"/>
                <w:sz w:val="14"/>
                <w:szCs w:val="14"/>
                <w:color w:val="auto"/>
                <w:w w:val="96"/>
              </w:rPr>
              <w:t>279,443,239 as of December 31, 2015 and 2014, respectively; and issued of 282,394,970 and 279,824,125 as of December 31, 2015 and 2014,</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FNFV Group common stock, $0.0001 par value; authorized 113,000,000 shares as of December 31, 2015 and 2014; outstanding of 72,217,882 and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92,828,470 as of December 31, 2015 and 2014, respectively; and issued of 80,581,466 and 92,946,545 as of December 31, 2015 and 2014,</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4,855</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 earnings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14,977,394 shares and 493,737 shares as of December 31, 2015 and 2014, respectively, at cost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5,754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5,994</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13,931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13,845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90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906"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2"/>
              </w:rPr>
              <w:t>(In millions, except share data)</w:t>
            </w:r>
          </w:p>
        </w:tc>
        <w:tc>
          <w:tcPr>
            <w:tcW w:w="780" w:type="dxa"/>
            <w:vAlign w:val="bottom"/>
          </w:tcPr>
          <w:p>
            <w:pPr>
              <w:spacing w:after="0"/>
              <w:rPr>
                <w:sz w:val="17"/>
                <w:szCs w:val="17"/>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Direct title insurance premiums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1,800</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Agency title insurance premiums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2,352</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Escrow, title-related and other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1,737</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Restaurant revenue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1,408</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Interest and investment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127</w:t>
            </w:r>
          </w:p>
        </w:tc>
      </w:tr>
      <w:tr>
        <w:trPr>
          <w:trHeight w:val="270"/>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gains and losses,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50"/>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9,132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7,440</w:t>
            </w:r>
          </w:p>
        </w:tc>
      </w:tr>
      <w:tr>
        <w:trPr>
          <w:trHeight w:val="25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Personnel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2,061</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Agent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1,789</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Other operating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1,273</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restaurant revenue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r>
      <w:tr>
        <w:trPr>
          <w:trHeight w:val="25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8,265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6,824</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 and equity in (loss)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616</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equity in (loss)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421</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395</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discontinued operations, net of tax</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411</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earnings (loss)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83"/>
        </w:trPr>
        <w:tc>
          <w:tcPr>
            <w:tcW w:w="7760" w:type="dxa"/>
            <w:vAlign w:val="bottom"/>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w:t>
            </w:r>
          </w:p>
        </w:tc>
      </w:tr>
      <w:tr>
        <w:trPr>
          <w:trHeight w:val="210"/>
        </w:trPr>
        <w:tc>
          <w:tcPr>
            <w:tcW w:w="7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Old FNF common shareholders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from discontinued operations, attributable to Old FNF common shareholders</w:t>
            </w:r>
          </w:p>
        </w:tc>
        <w:tc>
          <w:tcPr>
            <w:tcW w:w="2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Old FNF common shareholders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FNF Group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earnings from continuing operations, attributable to FNFV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color w:val="auto"/>
              </w:rPr>
              <w:t>Net loss from discontinued operations, attributable to FNFV Group common shareholders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43"/>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earnings attributable to FNFV Group common shareholders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125" w:right="2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 - (continued)</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r>
      <w:tr>
        <w:trPr>
          <w:trHeight w:val="80"/>
        </w:trPr>
        <w:tc>
          <w:tcPr>
            <w:tcW w:w="8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58"/>
        </w:trPr>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r>
      <w:tr>
        <w:trPr>
          <w:trHeight w:val="283"/>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0.04</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from continuing operations attributable to FNFV Group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(loss) from discontinued operations attributable to FNFV Group common shareholders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earnings per share attributable to FNFV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1.64</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from discontinued operations attributable to Old FNF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r>
      <w:tr>
        <w:trPr>
          <w:trHeight w:val="217"/>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90"/>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0.75</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(loss) earnings from continuing operations attributable to FNFV Group common shareholders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FNFV Group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earnings per share attributable to FNFV Group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Pr>
          <w:p>
            <w:pPr>
              <w:ind w:left="20"/>
              <w:spacing w:after="0"/>
              <w:rPr>
                <w:sz w:val="20"/>
                <w:szCs w:val="20"/>
                <w:color w:val="auto"/>
              </w:rPr>
            </w:pPr>
            <w:r>
              <w:rPr>
                <w:rFonts w:ascii="Arial" w:cs="Arial" w:eastAsia="Arial" w:hAnsi="Arial"/>
                <w:sz w:val="16"/>
                <w:szCs w:val="16"/>
                <w:color w:val="auto"/>
              </w:rPr>
              <w:t>Cash dividends paid per share Old FNF common stock</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0.66</w:t>
            </w:r>
          </w:p>
        </w:tc>
      </w:tr>
      <w:tr>
        <w:trPr>
          <w:trHeight w:val="176"/>
        </w:trPr>
        <w:tc>
          <w:tcPr>
            <w:tcW w:w="8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dividends paid per share FNF Group common stock</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519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(loss) earnings (net of tax):</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Unrealized loss on investments and other financial instruments, net (excluding investments in unconsolidated</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affiliates)</w:t>
            </w: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loss relating to investments in unconsolidated affiliates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on foreign currency translation and cash flow hedging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Reclassification adjustments for change in unrealized gains and losses included in net earnings</w:t>
            </w:r>
          </w:p>
        </w:tc>
        <w:tc>
          <w:tcPr>
            <w:tcW w:w="76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Comprehensive earnings (loss) attributable to noncontrolling interests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456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543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7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Old FNF common shareholders</w:t>
            </w: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111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FNF Group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earnings attributable to FNFV Group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w w:val="89"/>
              </w:rPr>
              <w:t>Fidelity National Financial, Inc. Common Shareholders</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120" w:type="dxa"/>
            <w:vAlign w:val="bottom"/>
            <w:gridSpan w:val="4"/>
            <w:vMerge w:val="restart"/>
          </w:tcPr>
          <w:p>
            <w:pPr>
              <w:jc w:val="right"/>
              <w:ind w:right="260"/>
              <w:spacing w:after="0"/>
              <w:rPr>
                <w:sz w:val="20"/>
                <w:szCs w:val="20"/>
                <w:color w:val="auto"/>
              </w:rPr>
            </w:pPr>
            <w:r>
              <w:rPr>
                <w:rFonts w:ascii="Arial" w:cs="Arial" w:eastAsia="Arial" w:hAnsi="Arial"/>
                <w:sz w:val="13"/>
                <w:szCs w:val="13"/>
                <w:b w:val="1"/>
                <w:bCs w:val="1"/>
                <w:color w:val="auto"/>
              </w:rPr>
              <w:t>FNF Class A</w:t>
            </w:r>
          </w:p>
        </w:tc>
        <w:tc>
          <w:tcPr>
            <w:tcW w:w="960" w:type="dxa"/>
            <w:vAlign w:val="bottom"/>
            <w:gridSpan w:val="3"/>
            <w:vMerge w:val="restart"/>
          </w:tcPr>
          <w:p>
            <w:pPr>
              <w:jc w:val="right"/>
              <w:ind w:right="57"/>
              <w:spacing w:after="0"/>
              <w:rPr>
                <w:sz w:val="20"/>
                <w:szCs w:val="20"/>
                <w:color w:val="auto"/>
              </w:rPr>
            </w:pPr>
            <w:r>
              <w:rPr>
                <w:rFonts w:ascii="Arial" w:cs="Arial" w:eastAsia="Arial" w:hAnsi="Arial"/>
                <w:sz w:val="13"/>
                <w:szCs w:val="13"/>
                <w:b w:val="1"/>
                <w:bCs w:val="1"/>
                <w:color w:val="auto"/>
              </w:rPr>
              <w:t>FNF Group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FNFV Group</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Common Stock</w:t>
            </w:r>
          </w:p>
        </w:tc>
        <w:tc>
          <w:tcPr>
            <w:tcW w:w="96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88"/>
              </w:rPr>
              <w:t>Common Stock</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7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ind w:left="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Earnings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760" w:type="dxa"/>
            <w:vAlign w:val="bottom"/>
            <w:gridSpan w:val="3"/>
          </w:tcPr>
          <w:p>
            <w:pPr>
              <w:ind w:left="8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5"/>
                <w:szCs w:val="15"/>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262"/>
        </w:trPr>
        <w:tc>
          <w:tcPr>
            <w:tcW w:w="17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Balance, December 31, 2012</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(658)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rPr>
              <w:t>Equity offering</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94"/>
              </w:rPr>
              <w:t>Treasury stock repurchased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Tax benefit associated with</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6"/>
              </w:rPr>
              <w:t>the exercise of stock-based</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96"/>
              </w:rPr>
              <w:t>Issuance of restricted stock</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on investments and other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financial instruments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on investments in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on foreign currency</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earnings — minimum</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w w:val="97"/>
              </w:rPr>
              <w:t>pension liability adjustment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w w:val="88"/>
              </w:rPr>
              <w:t>Shares withheld for taxes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in treasury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Contributions to</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Consolidation of previous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minority-owned subsidiary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w w:val="93"/>
              </w:rPr>
              <w:t>Subsidiary dividends paid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1720" w:type="dxa"/>
            <w:vAlign w:val="bottom"/>
          </w:tcPr>
          <w:p>
            <w:pPr>
              <w:ind w:left="40"/>
              <w:spacing w:after="0"/>
              <w:rPr>
                <w:sz w:val="20"/>
                <w:szCs w:val="20"/>
                <w:color w:val="auto"/>
              </w:rPr>
            </w:pPr>
            <w:r>
              <w:rPr>
                <w:rFonts w:ascii="Arial" w:cs="Arial" w:eastAsia="Arial" w:hAnsi="Arial"/>
                <w:sz w:val="13"/>
                <w:szCs w:val="13"/>
                <w:color w:val="auto"/>
                <w:w w:val="98"/>
              </w:rPr>
              <w:t>Balance, December 31, 2013</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w w:val="92"/>
              </w:rPr>
              <w:t>$ —</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92"/>
              </w:rPr>
              <w:t>$ —</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4,642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1,089</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(707)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5,535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of LPS</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9"/>
              </w:rPr>
              <w:t>Recapitalization of FNF stock</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w w:val="96"/>
              </w:rPr>
              <w:t>Tax benefit associated with</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6"/>
              </w:rPr>
              <w:t>the exercise of stock-based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compensation</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Issuance of restricted stock</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on investments and other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financial instruments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on investments in</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1"/>
              </w:rPr>
              <w:t>earnings — unrealized (loss)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0"/>
              </w:rPr>
              <w:t>on foreign currency and cash</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flow hedging</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earnings — minimum</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pension liability adjustment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96"/>
              </w:rPr>
              <w:t>Stock-based compensation</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Shares withheld for taxes and</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 treasury</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720" w:type="dxa"/>
            <w:vAlign w:val="bottom"/>
          </w:tcPr>
          <w:p>
            <w:pPr>
              <w:ind w:left="180"/>
              <w:spacing w:after="0"/>
              <w:rPr>
                <w:sz w:val="20"/>
                <w:szCs w:val="20"/>
                <w:color w:val="auto"/>
              </w:rPr>
            </w:pPr>
            <w:r>
              <w:rPr>
                <w:rFonts w:ascii="Arial" w:cs="Arial" w:eastAsia="Arial" w:hAnsi="Arial"/>
                <w:sz w:val="13"/>
                <w:szCs w:val="13"/>
                <w:color w:val="auto"/>
                <w:w w:val="94"/>
              </w:rPr>
              <w:t>Purchases of treasury stock</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Contributions to</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Contribution by minority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owner to acquire minority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rPr>
              <w:t>interest in Black Knight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ind w:left="180"/>
              <w:spacing w:after="0" w:line="135" w:lineRule="exact"/>
              <w:rPr>
                <w:sz w:val="20"/>
                <w:szCs w:val="20"/>
                <w:color w:val="auto"/>
              </w:rPr>
            </w:pPr>
            <w:r>
              <w:rPr>
                <w:rFonts w:ascii="Arial" w:cs="Arial" w:eastAsia="Arial" w:hAnsi="Arial"/>
                <w:sz w:val="13"/>
                <w:szCs w:val="13"/>
                <w:color w:val="auto"/>
                <w:w w:val="93"/>
              </w:rPr>
              <w:t>Financial Services, LLC and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w w:val="99"/>
              </w:rPr>
              <w:t>ServiceLink Holdings, LLC</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Retirement of treasury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rPr>
              <w:t>Distribution of Remy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w w:val="98"/>
              </w:rPr>
              <w:t>FNFV Group Shareholders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720" w:type="dxa"/>
            <w:vAlign w:val="bottom"/>
          </w:tcPr>
          <w:p>
            <w:pPr>
              <w:ind w:left="180"/>
              <w:spacing w:after="0" w:line="148" w:lineRule="exact"/>
              <w:rPr>
                <w:sz w:val="20"/>
                <w:szCs w:val="20"/>
                <w:color w:val="auto"/>
              </w:rPr>
            </w:pPr>
            <w:r>
              <w:rPr>
                <w:rFonts w:ascii="Arial" w:cs="Arial" w:eastAsia="Arial" w:hAnsi="Arial"/>
                <w:sz w:val="13"/>
                <w:szCs w:val="13"/>
                <w:color w:val="auto"/>
                <w:w w:val="93"/>
              </w:rPr>
              <w:t>Subsidiary dividends paid to</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2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1720" w:type="dxa"/>
            <w:vAlign w:val="bottom"/>
          </w:tcPr>
          <w:p>
            <w:pPr>
              <w:ind w:left="40"/>
              <w:spacing w:after="0"/>
              <w:rPr>
                <w:sz w:val="20"/>
                <w:szCs w:val="20"/>
                <w:color w:val="auto"/>
              </w:rPr>
            </w:pPr>
            <w:r>
              <w:rPr>
                <w:rFonts w:ascii="Arial" w:cs="Arial" w:eastAsia="Arial" w:hAnsi="Arial"/>
                <w:sz w:val="13"/>
                <w:szCs w:val="13"/>
                <w:color w:val="auto"/>
                <w:w w:val="98"/>
              </w:rPr>
              <w:t>Balance, December 31, 2014</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92"/>
              </w:rPr>
              <w:t>$ —</w:t>
            </w:r>
          </w:p>
        </w:tc>
        <w:tc>
          <w:tcPr>
            <w:tcW w:w="720" w:type="dxa"/>
            <w:vAlign w:val="bottom"/>
            <w:gridSpan w:val="3"/>
          </w:tcPr>
          <w:p>
            <w:pPr>
              <w:jc w:val="right"/>
              <w:ind w:right="37"/>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4,855</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1,150</w:t>
            </w:r>
          </w:p>
        </w:tc>
        <w:tc>
          <w:tcPr>
            <w:tcW w:w="10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  (13)</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6,073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5" w:right="239"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9019"/>
          </w:cols>
          <w:pgMar w:left="1440" w:top="368" w:right="1440"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34" w:lineRule="exact"/>
        <w:rPr>
          <w:sz w:val="20"/>
          <w:szCs w:val="20"/>
          <w:color w:val="auto"/>
        </w:rPr>
      </w:pPr>
    </w:p>
    <w:tbl>
      <w:tblPr>
        <w:tblLayout w:type="fixed"/>
        <w:tblInd w:w="26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3"/>
          </w:tcPr>
          <w:p>
            <w:pPr>
              <w:jc w:val="center"/>
              <w:ind w:right="460"/>
              <w:spacing w:after="0"/>
              <w:rPr>
                <w:sz w:val="20"/>
                <w:szCs w:val="20"/>
                <w:color w:val="auto"/>
              </w:rPr>
            </w:pPr>
            <w:r>
              <w:rPr>
                <w:rFonts w:ascii="Arial" w:cs="Arial" w:eastAsia="Arial" w:hAnsi="Arial"/>
                <w:sz w:val="13"/>
                <w:szCs w:val="13"/>
                <w:b w:val="1"/>
                <w:bCs w:val="1"/>
                <w:color w:val="auto"/>
                <w:w w:val="88"/>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100" w:type="dxa"/>
            <w:vAlign w:val="bottom"/>
            <w:gridSpan w:val="4"/>
          </w:tcPr>
          <w:p>
            <w:pPr>
              <w:ind w:left="180"/>
              <w:spacing w:after="0"/>
              <w:rPr>
                <w:sz w:val="20"/>
                <w:szCs w:val="20"/>
                <w:color w:val="auto"/>
              </w:rPr>
            </w:pPr>
            <w:r>
              <w:rPr>
                <w:rFonts w:ascii="Arial" w:cs="Arial" w:eastAsia="Arial" w:hAnsi="Arial"/>
                <w:sz w:val="13"/>
                <w:szCs w:val="13"/>
                <w:b w:val="1"/>
                <w:bCs w:val="1"/>
                <w:color w:val="auto"/>
              </w:rPr>
              <w:t>FNF Group</w:t>
            </w:r>
          </w:p>
        </w:tc>
        <w:tc>
          <w:tcPr>
            <w:tcW w:w="11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3"/>
              </w:rPr>
              <w:t>FNFV Group</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100" w:type="dxa"/>
            <w:vAlign w:val="bottom"/>
            <w:gridSpan w:val="4"/>
          </w:tcPr>
          <w:p>
            <w:pPr>
              <w:ind w:left="80"/>
              <w:spacing w:after="0" w:line="144" w:lineRule="exact"/>
              <w:rPr>
                <w:sz w:val="20"/>
                <w:szCs w:val="20"/>
                <w:color w:val="auto"/>
              </w:rPr>
            </w:pPr>
            <w:r>
              <w:rPr>
                <w:rFonts w:ascii="Arial" w:cs="Arial" w:eastAsia="Arial" w:hAnsi="Arial"/>
                <w:sz w:val="13"/>
                <w:szCs w:val="13"/>
                <w:b w:val="1"/>
                <w:bCs w:val="1"/>
                <w:color w:val="auto"/>
              </w:rPr>
              <w:t>Common Stock</w:t>
            </w:r>
          </w:p>
        </w:tc>
        <w:tc>
          <w:tcPr>
            <w:tcW w:w="1120" w:type="dxa"/>
            <w:vAlign w:val="bottom"/>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Other</w:t>
            </w:r>
          </w:p>
        </w:tc>
        <w:tc>
          <w:tcPr>
            <w:tcW w:w="1220" w:type="dxa"/>
            <w:vAlign w:val="bottom"/>
            <w:gridSpan w:val="4"/>
          </w:tcPr>
          <w:p>
            <w:pPr>
              <w:ind w:left="160"/>
              <w:spacing w:after="0" w:line="144" w:lineRule="exact"/>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2"/>
                <w:szCs w:val="12"/>
                <w:color w:val="auto"/>
              </w:rPr>
            </w:pPr>
          </w:p>
        </w:tc>
        <w:tc>
          <w:tcPr>
            <w:tcW w:w="7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32"/>
        </w:trPr>
        <w:tc>
          <w:tcPr>
            <w:tcW w:w="2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2"/>
                <w:szCs w:val="2"/>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2"/>
                <w:szCs w:val="2"/>
                <w:color w:val="auto"/>
              </w:rPr>
            </w:pPr>
          </w:p>
        </w:tc>
        <w:tc>
          <w:tcPr>
            <w:tcW w:w="10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120" w:type="dxa"/>
            <w:vAlign w:val="bottom"/>
          </w:tcPr>
          <w:p>
            <w:pPr>
              <w:spacing w:after="0"/>
              <w:rPr>
                <w:sz w:val="2"/>
                <w:szCs w:val="2"/>
                <w:color w:val="auto"/>
              </w:rPr>
            </w:pPr>
          </w:p>
        </w:tc>
        <w:tc>
          <w:tcPr>
            <w:tcW w:w="6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2"/>
                <w:szCs w:val="2"/>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83"/>
        </w:trPr>
        <w:tc>
          <w:tcPr>
            <w:tcW w:w="2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10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500" w:type="dxa"/>
            <w:vAlign w:val="bottom"/>
            <w:gridSpan w:val="3"/>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Earnings (Loss)</w:t>
            </w: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262"/>
        </w:trPr>
        <w:tc>
          <w:tcPr>
            <w:tcW w:w="2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2014</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5"/>
              </w:rPr>
              <w:t>$  (13)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6,073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62"/>
        </w:trPr>
        <w:tc>
          <w:tcPr>
            <w:tcW w:w="2100" w:type="dxa"/>
            <w:vAlign w:val="bottom"/>
          </w:tcPr>
          <w:p>
            <w:pPr>
              <w:ind w:left="140"/>
              <w:spacing w:after="0"/>
              <w:rPr>
                <w:sz w:val="20"/>
                <w:szCs w:val="20"/>
                <w:color w:val="auto"/>
              </w:rPr>
            </w:pPr>
            <w:r>
              <w:rPr>
                <w:rFonts w:ascii="Arial" w:cs="Arial" w:eastAsia="Arial" w:hAnsi="Arial"/>
                <w:sz w:val="13"/>
                <w:szCs w:val="13"/>
                <w:color w:val="auto"/>
              </w:rPr>
              <w:t>Gain on Black Knight IPO</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Black Knight IPO</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100" w:type="dxa"/>
            <w:vAlign w:val="bottom"/>
          </w:tcPr>
          <w:p>
            <w:pPr>
              <w:ind w:left="140"/>
              <w:spacing w:after="0"/>
              <w:rPr>
                <w:sz w:val="20"/>
                <w:szCs w:val="20"/>
                <w:color w:val="auto"/>
              </w:rPr>
            </w:pPr>
            <w:r>
              <w:rPr>
                <w:rFonts w:ascii="Arial" w:cs="Arial" w:eastAsia="Arial" w:hAnsi="Arial"/>
                <w:sz w:val="13"/>
                <w:szCs w:val="13"/>
                <w:color w:val="auto"/>
              </w:rPr>
              <w:t>Exercise of stock options</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additional share in</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consolidated subsidiaries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rPr>
              <w:t>Tax benefit associated with the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w w:val="87"/>
              </w:rPr>
              <w:t>exercise of stock-based compensation</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restricted stock</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100" w:type="dxa"/>
            <w:vAlign w:val="bottom"/>
          </w:tcPr>
          <w:p>
            <w:pPr>
              <w:ind w:left="140"/>
              <w:spacing w:after="0"/>
              <w:rPr>
                <w:sz w:val="20"/>
                <w:szCs w:val="20"/>
                <w:color w:val="auto"/>
              </w:rPr>
            </w:pPr>
            <w:r>
              <w:rPr>
                <w:rFonts w:ascii="Arial" w:cs="Arial" w:eastAsia="Arial" w:hAnsi="Arial"/>
                <w:sz w:val="13"/>
                <w:szCs w:val="13"/>
                <w:color w:val="auto"/>
              </w:rPr>
              <w:t>Equity offering costs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Other comprehensive earnings —</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91"/>
              </w:rPr>
              <w:t>unrealized (loss) on investments and</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financial instruments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w w:val="99"/>
              </w:rPr>
              <w:t>Other comprehensive earnings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Arial" w:cs="Arial" w:eastAsia="Arial" w:hAnsi="Arial"/>
                <w:sz w:val="13"/>
                <w:szCs w:val="13"/>
                <w:color w:val="auto"/>
                <w:w w:val="96"/>
              </w:rPr>
              <w:t>unrealized (loss) on investments in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unconsolidated affiliates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9"/>
              </w:rPr>
              <w:t>Other comprehensive earnings —</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w w:val="92"/>
              </w:rPr>
              <w:t>unrealized (loss) on foreign currency</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cash flow hedging</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w w:val="99"/>
              </w:rPr>
              <w:t>Other comprehensive earnings —</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00" w:type="dxa"/>
            <w:vAlign w:val="bottom"/>
          </w:tcPr>
          <w:p>
            <w:pPr>
              <w:ind w:left="140"/>
              <w:spacing w:after="0" w:line="135" w:lineRule="exact"/>
              <w:rPr>
                <w:sz w:val="20"/>
                <w:szCs w:val="20"/>
                <w:color w:val="auto"/>
              </w:rPr>
            </w:pPr>
            <w:r>
              <w:rPr>
                <w:rFonts w:ascii="Arial" w:cs="Arial" w:eastAsia="Arial" w:hAnsi="Arial"/>
                <w:sz w:val="13"/>
                <w:szCs w:val="13"/>
                <w:color w:val="auto"/>
              </w:rPr>
              <w:t>minimum pension liability</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adjustment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Stock-based compensation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rPr>
              <w:t>Shares withheld for taxes and in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treasury</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treasury stock</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rPr>
              <w:t>Contributions to noncontrolling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interests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Sale of noncontrolling interest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w w:val="95"/>
              </w:rPr>
              <w:t>Reclassification of redeemable NCI</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w w:val="93"/>
              </w:rPr>
              <w:t>resulting from IPO/share conversion</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Retirement of treasury shares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100" w:type="dxa"/>
            <w:vAlign w:val="bottom"/>
          </w:tcPr>
          <w:p>
            <w:pPr>
              <w:ind w:left="140"/>
              <w:spacing w:after="0" w:line="148" w:lineRule="exact"/>
              <w:rPr>
                <w:sz w:val="20"/>
                <w:szCs w:val="20"/>
                <w:color w:val="auto"/>
              </w:rPr>
            </w:pPr>
            <w:r>
              <w:rPr>
                <w:rFonts w:ascii="Arial" w:cs="Arial" w:eastAsia="Arial" w:hAnsi="Arial"/>
                <w:sz w:val="13"/>
                <w:szCs w:val="13"/>
                <w:color w:val="auto"/>
              </w:rPr>
              <w:t>Distribution of J. Alexander's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ind w:left="140"/>
              <w:spacing w:after="0"/>
              <w:rPr>
                <w:sz w:val="20"/>
                <w:szCs w:val="20"/>
                <w:color w:val="auto"/>
              </w:rPr>
            </w:pPr>
            <w:r>
              <w:rPr>
                <w:rFonts w:ascii="Arial" w:cs="Arial" w:eastAsia="Arial" w:hAnsi="Arial"/>
                <w:sz w:val="13"/>
                <w:szCs w:val="13"/>
                <w:color w:val="auto"/>
              </w:rPr>
              <w:t>FNFV Shareholders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Dilution of ownership in affiliates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100" w:type="dxa"/>
            <w:vAlign w:val="bottom"/>
          </w:tcPr>
          <w:p>
            <w:pPr>
              <w:ind w:left="140"/>
              <w:spacing w:after="0"/>
              <w:rPr>
                <w:sz w:val="20"/>
                <w:szCs w:val="20"/>
                <w:color w:val="auto"/>
              </w:rPr>
            </w:pPr>
            <w:r>
              <w:rPr>
                <w:rFonts w:ascii="Arial" w:cs="Arial" w:eastAsia="Arial" w:hAnsi="Arial"/>
                <w:sz w:val="13"/>
                <w:szCs w:val="13"/>
                <w:color w:val="auto"/>
              </w:rPr>
              <w:t>Dividends declared</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Subsidiary dividends paid to</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noncontrolling interests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earnings</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527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561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2015</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2"/>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 (346)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125" w:right="459" w:bottom="1440" w:gutter="0" w:footer="0" w:header="0"/>
        </w:sectPr>
      </w:pPr>
    </w:p>
    <w:bookmarkStart w:id="72" w:name="page73"/>
    <w:bookmarkEnd w:id="7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411</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losses (earnings) of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loss (gain) on sales of investments and other assets,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Cascade Timberlands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Stock-based compensation cost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pledged cash, pledged investments and secured trust deposits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(increase) decrease in trade receivables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in 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 reserve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264"/>
        </w:trPr>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change in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r>
      <w:tr>
        <w:trPr>
          <w:trHeight w:val="24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306</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Additions to property and equipment and capitalized software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(purchases of) proceeds from short-term investment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Contributions to investments in unconsolidated affiliates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from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other investing activities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Lender Processing Services, Inc., net of cash acquired</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USA Industries, Inc., net of cash acquired</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BPG Holdings, LLC, net of cash acquired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sale of Cascade Timberlands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acquisitions/disposals of businesses, net of cash acquired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Equity offering</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Debt service payments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investment in non-controlling interest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Additional investment in consolidated subsidiary</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4% ownership interest of Digital Insurance</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Black Knight IPO</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by Black Knight to member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Debt and equity issuance costs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35% of Black Knight Financial Services, LLC and ServiceLink, LLC to minority interest holder</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Cash transferred in Remy spin-off</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transferred in J. Alexander's spin-off</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Purchases of treasury stock</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 excluding pledged cash related to secured trust deposits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764</w:t>
            </w:r>
          </w:p>
        </w:tc>
      </w:tr>
      <w:tr>
        <w:trPr>
          <w:trHeight w:val="197"/>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year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w:t>
            </w:r>
          </w:p>
        </w:tc>
      </w:tr>
      <w:tr>
        <w:trPr>
          <w:trHeight w:val="55"/>
        </w:trPr>
        <w:tc>
          <w:tcPr>
            <w:tcW w:w="77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ectPr>
          <w:pgSz w:w="11900" w:h="16900" w:orient="portrait"/>
          <w:cols w:equalWidth="0" w:num="1">
            <w:col w:w="11420"/>
          </w:cols>
          <w:pgMar w:left="240" w:top="125" w:right="239" w:bottom="0" w:gutter="0" w:footer="0" w:header="0"/>
        </w:sectPr>
      </w:pPr>
    </w:p>
    <w:bookmarkStart w:id="73" w:name="page74"/>
    <w:bookmarkEnd w:id="73"/>
    <w:p>
      <w:pPr>
        <w:spacing w:after="0"/>
        <w:tabs>
          <w:tab w:leader="none" w:pos="7740" w:val="left"/>
          <w:tab w:leader="none" w:pos="8540" w:val="left"/>
          <w:tab w:leader="none" w:pos="9020" w:val="left"/>
          <w:tab w:leader="none" w:pos="9800" w:val="left"/>
          <w:tab w:leader="none" w:pos="10260" w:val="left"/>
          <w:tab w:leader="none" w:pos="109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Cash and cash equivalents, excluding pledged cash related to secured trust deposits, at end of year</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672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564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20955</wp:posOffset>
            </wp:positionV>
            <wp:extent cx="23152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26035"/>
                    </a:xfrm>
                    <a:prstGeom prst="rect">
                      <a:avLst/>
                    </a:prstGeom>
                    <a:noFill/>
                  </pic:spPr>
                </pic:pic>
              </a:graphicData>
            </a:graphic>
          </wp:anchor>
        </w:drawing>
      </w:r>
    </w:p>
    <w:p>
      <w:pPr>
        <w:sectPr>
          <w:pgSz w:w="11900" w:h="16838" w:orient="portrait"/>
          <w:cols w:equalWidth="0" w:num="1">
            <w:col w:w="11280"/>
          </w:cols>
          <w:pgMar w:left="280" w:top="215" w:right="339" w:bottom="1440" w:gutter="0" w:footer="0" w:header="0"/>
        </w:sect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See Notes to Consolidated Financial Statements.</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80"/>
          </w:cols>
          <w:pgMar w:left="280" w:top="215"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organized our business into two groups, FNF Core Operations and FNF Ventures ("FNFV").</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Through our Core Operations, FNF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Through our FNFV group, we own majority and minority equity investment stakes in a number of entities, including American Blue Ribbon Holdings, LLC ("ABRH"), Ceridian HCM, Inc. and Fleetcor Technologies, Inc. (collectively "Ceridian") and Digital Insurance, Inc. ("Digital Insurance").</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2015,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title-related services used in the production and management of mortgage loans, including mortgage loans that experience default.</w:t>
      </w:r>
    </w:p>
    <w:p>
      <w:pPr>
        <w:spacing w:after="0" w:line="134"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This segment consists of the operations of Black Knight, which, through leading software systems and information solutions,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mission critical technology and data and analytics services that facilitate and automate many of the business processes across the life cycle of a mortgage.</w:t>
      </w:r>
    </w:p>
    <w:p>
      <w:pPr>
        <w:spacing w:after="0" w:line="127"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76" w:lineRule="auto"/>
        <w:tabs>
          <w:tab w:leader="none" w:pos="66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ABRH, in which we have a 55% ownership interest. ABRH and its affiliates are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owners and operators of the O'Charley's, Ninety Nine Restaurants, Max &amp; Erma's, Village Inn, Bakers Square, and Legendary Baking concepts. This segment also includes the results of J. Alexander's, Inc. ("J. Alexander's") through September 28, 2015, the date it was distributed to FNFV shareholders. See the Recent Developments section below for further discussion of the distribution of J. Alexander's. On January 25, 2016, substantially all of the assets of the Max &amp; Erma's restaurant concept were sold pursuant to an Asset Purchase Agreement.</w:t>
      </w:r>
    </w:p>
    <w:p>
      <w:pPr>
        <w:spacing w:after="0" w:line="118" w:lineRule="exact"/>
        <w:rPr>
          <w:rFonts w:ascii="Arial" w:cs="Arial" w:eastAsia="Arial" w:hAnsi="Arial"/>
          <w:sz w:val="17"/>
          <w:szCs w:val="17"/>
          <w:i w:val="1"/>
          <w:iCs w:val="1"/>
          <w:color w:val="auto"/>
        </w:rPr>
      </w:pPr>
    </w:p>
    <w:p>
      <w:pPr>
        <w:ind w:left="660" w:right="20" w:hanging="409"/>
        <w:spacing w:after="0" w:line="308" w:lineRule="auto"/>
        <w:tabs>
          <w:tab w:leader="none" w:pos="66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below Recent Developments, we have made several acquisitions which are discussed in more detail in Note B.</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11, 2016, we announced that we are considering alternatives to the spin-off of ABRH to FNFV shareholders previously announced on July 30, 2015.</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20, 2016, we entered into two interest rate swap agreements to hedge forecasted monthly interest rate payments on $400.0 million of our floating rate debt ($200.0 million notional value each) (the “Swap Agreements”). The Swap Agreements have been designated as cash flow hedging instruments. Under the terms of the Swap Agreements, we receive payments based on the 1-month LIBOR rate and pay a weighted average fixed rate of 1.01%. The effective term for the Swap Agreements is February 1, 2016 through January 31, 2019.</w:t>
      </w:r>
    </w:p>
    <w:p>
      <w:pPr>
        <w:spacing w:after="0" w:line="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Beginning in October 2015 through December 31, 2015, we purchased approximately 2.2 million shares of Del Frisco Restaurant Group ("Del Frisco's", NASDAQ: DFRG) common stock for a total investment of $32 million. Subsequent to year-end through February 19, 2016, we purchased approximately 0.8 million shares of Del Frisco's common stock for $12 million. We currently own approximately 13% of the outstanding common stock of Del Frisco's.</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5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 LLC. Following the IPO, we owned 55% of the outstanding shares of Black Knight in the form of Class B common stock, with a corresponding ownership interest in BKFS, LLC.</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18,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Consolidated Statement of Operations in the twelve months ended December 31, 2015. The effect of the sale on FNFV's net earnings was income of approximately $12 million. There was no effect on net earnings attributable to FNFV Group common shareholders due to offsetting amounts attributable to noncontrolling interests.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19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December 31, 2014, we completed the distribution (the "Remy Spin-off") of all of the outstanding shares of common stock of our previously owned subsidiary Remy International, Inc. ("New Remy", NASDAQ: REMY), a manufacturer and distributer of auto parts, to FNFV shareholders. We have no continuing involvement in New Remy as of December 31, 2015. As a result of the Remy Spin-off, the results of New Remy are reflected in the Consolidated Statements of Earnings as discontinued operations for the years ended December 31, 2014 and 2013. Total revenue included in discontinued operations was $1,173 million and $1,125 million for the years ended December 31, 2014, and 2013, respectively. Pre-tax earnings included in discontinued operations were $6 million and $22 million for the years ended December 31, 2014, and 2013,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Remy to the Statement of Earnings is shown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60"/>
              <w:spacing w:after="0"/>
              <w:rPr>
                <w:sz w:val="20"/>
                <w:szCs w:val="20"/>
                <w:color w:val="auto"/>
              </w:rPr>
            </w:pPr>
            <w:r>
              <w:rPr>
                <w:rFonts w:ascii="Arial" w:cs="Arial" w:eastAsia="Arial" w:hAnsi="Arial"/>
                <w:sz w:val="18"/>
                <w:szCs w:val="18"/>
                <w:color w:val="auto"/>
              </w:rPr>
              <w:t>Auto parts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1,127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800" w:type="dxa"/>
            <w:vAlign w:val="bottom"/>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Personnel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auto parts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&amp; amortization</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8800" w:type="dxa"/>
            <w:vAlign w:val="bottom"/>
          </w:tcPr>
          <w:p>
            <w:pPr>
              <w:ind w:left="30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88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Earnings from discontinued operations before income taxes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earnings from discontinued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earnings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97"/>
        </w:trPr>
        <w:tc>
          <w:tcPr>
            <w:tcW w:w="88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w w:val="95"/>
              </w:rPr>
              <w:t>Net earnings from discontinued operations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discontinued operations data:</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Discontinued Operations</w:t>
      </w:r>
    </w:p>
    <w:p>
      <w:pPr>
        <w:spacing w:after="0" w:line="19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results from a small software company, which we acquired with LPS and which was sold during the second quarter of 2014, are included in the Consolidated Statements of Earnings as discontinued operations for all periods presented. Total revenues included in discontinued operations were $2 million for the year ending December 31, 2014. Pre-tax earnings included in discontinued operations are $1 million for the year ending December 31, 2014.</w:t>
      </w:r>
    </w:p>
    <w:p>
      <w:pPr>
        <w:spacing w:after="0" w:line="1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two closed J. Alexander's locations in the second quarter of 2013 are reflected in the Consolidated Statements of Earnings as discontinued operations for all periods presented. Total net revenue included in discontinued operations was $3 million for the year ended December 31, 2013. Pre-tax loss included in discontinued operations was $3 million for the year ended December 31, 2013.</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a settlement services company closed in the second quarter of 2013 are reflected in the Consolidated Statements of Earnings as discontinued operations for all periods presented. Total revenues included in discontinued operations were $9 million for the year ended December 31, 2013. Pre-tax earnings included in discontinued operations were $2 million for the year ended December 31,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accrued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8" w:name="page79"/>
    <w:bookmarkEnd w:id="7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long-term investments consist of various cost-method investments. The cost-method investments are carried at historical cost.</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which consist primarily of commercial paper and money market instruments, which have an original maturity of one year or less, are carried at amortized cost, which approximates fair value.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annual goodwill impairment analyses in the fourth quarter of each respective year using a September 30 measurement date and as a result no goodwill impairments have been recorded. For the years ended December 31, 2015 and 2014, we determined there were no events or circumstances which indicated that the carrying value exceeded the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other intangible assets, not including goodwill, which consist primarily of customer relationships and contracts and trademarks which are generally recorded in connection with acquisitions at their fair value, and debt issuance costs relating to the issuance of our long-term notes payable.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 Debt issuance costs are amortized on a straight line basis over the contractual life of the related debt instrument.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recorded $11 million in impairment expense to Tradenames in our Restaurant Group segment during the year ended December 31, 2014,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no impairment expense related to other intangible assets in the years ended December 31, 2015 and 2013.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in the years ended December 31, 2015, 2014 and 2013 and identified and recorded impairment expense of $1 million, $1 million and $4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Equipment under capitalized leases is amortized on a straight-line basis to its expected residual value at the end of the lease term. Property and equipment are reviewed for impairment whenever events or circumstances indicate that the carrying amounts may not be recoverable.</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reserve for title claim losses also includes reserves for losses arising from closing and disbursement functions due to fraud or operational error.</w:t>
      </w:r>
    </w:p>
    <w:p>
      <w:pPr>
        <w:spacing w:after="0" w:line="10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$701 million and $622 million at December 31, 2015 and 2014,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exceeding the retained amounts, the reinsurer is liable for the excess amount assumed. However, the ceding company remains primarily liable in the event the reinsurer does not meet its contractual obligations.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Title. </w:t>
      </w:r>
      <w:r>
        <w:rPr>
          <w:rFonts w:ascii="Arial" w:cs="Arial" w:eastAsia="Arial" w:hAnsi="Arial"/>
          <w:sz w:val="16"/>
          <w:szCs w:val="16"/>
          <w:color w:val="auto"/>
        </w:rPr>
        <w:t>Our direct title insurance premiums and escrow, title-related and other fees are recognized as revenue at the time of closing of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as the earnings process is then considered complete.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86 - 89% reported within three months following closing, an additional 9 - 11% reported within the next three months and the remainder within seven to fifteen months. In addition to accruing these earned but unreported agency premiums, we also accrue agent commission expense, which was 76.0%, of agent premiums earned in 2015, 75.7% of agent premiums earned in 2014 and 76.1% of agent premiums earned in 2013. We also record a provision for claim losses at our average provision rate at the time we record the accrual for the premiums, which was 5.7% for 2015, 6.2% for 2014 and 7% for 2013, and accruals for premium taxes and other expenses relating to our premium accrual. The resulting impact to pretax earnings in any period is approximately 11% of the accrued premium amount. The impact of the change in the accrual for agency premiums and related expenses on our pretax earnings was a decrease of $5 million for the year ended December 31, 2015, $9 million for the year ended 2014 and $7 million for the year ended 2013. The amount due from our agents relating to this accrual, i.e., the agent premium less their contractual retained commission, was approximately $45 million and $55 million at December 31, 2015 and 2014, respectively, which represents agency premiums of approximately $230 million and $276 million at December 31, 2015 and 2014, respectively, and agent commissions of $185 million and $221 million at December 31, 2015 and 2014, respectively.</w:t>
      </w:r>
    </w:p>
    <w:p>
      <w:pPr>
        <w:spacing w:after="0" w:line="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home warranty insurance policies are recognized over the life of the policy, which is one year. The unrecognized portion is recorded as deferred revenue in Accounts payable and other accrued liabilities in the Consolidated Balance Sheets.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Black Knight. </w:t>
      </w:r>
      <w:r>
        <w:rPr>
          <w:rFonts w:ascii="Arial" w:cs="Arial" w:eastAsia="Arial" w:hAnsi="Arial"/>
          <w:sz w:val="18"/>
          <w:szCs w:val="18"/>
          <w:color w:val="auto"/>
        </w:rPr>
        <w:t>Within our Black Knight segment, our primary types of revenues and our revenue recognition policies as they pertain to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arrangements we enter into with our customers to provide services, software licenses, and software-related services either individually or as part of an integrated offering of multiple services. These arrangements occasionally include offerings from more than one segment to the same customer. We recognize revenues relating to mortgage processing, outsourced business processing services, data and analytics services, along with software licensing and software-related services. In some cases, these services are offered in combination with one another, and in other cases we offer them individually. Revenues from processing services are typically volume-based depending on factors such as the number of accounts processed, transactions processed and computer resources utilized.</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revenues are from outsourced data processing and application hosting, data, analytic and valuation related services, and outsourced business processing services. Revenue is realized or realizable and earned when all of the following criteria are met: (1) persuasive evidence of an arrangement exists; (2) delivery has occurred or services have been rendered; (3) the seller’s price to the buyer is fixed or determinable; and (4) collectibility is reasonably assured. For hosting arrangements, revenues and costs related to implementation, conversion and programming services are deferred and subsequently recognized using the straight-line method over the term of the related services agreement. We evaluate these deferred contract costs for impairment in the event any indications of impairment exist.</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event that our arrangements with our customers include more than one element, we determine whether the individual revenue elements can be recognized separately. In arrangements with multiple deliverables, the delivered items are considered separate units of accounting if (1) they have value on a standalone basis and (2) performance of the undelivered items is considered probable and within our control. Arrangement consideration is then allocated to the separate units of accounting based on relative selling price. If it exists, vendor-specific objective evidence is used to determine relative selling price, otherwise third-party evidence of selling price is used. If neither exists, the best estimate of selling price is used for the deliverable.</w:t>
      </w:r>
    </w:p>
    <w:p>
      <w:pPr>
        <w:spacing w:after="0" w:line="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multiple element software arrangements, we determine the appropriate units of accounting and how the arrangement consideration should be measured and allocated to the separate units. Initial license fees are recognized when a contract exists, the fee is fixed or determinable, software delivery has occurred and collection of the receivable is deemed probable, provided that vendor-specific objective evidence (“VSOE”) has been established for each element or for any undelivered elements. We determine the fair value of each element or the undelivered elements in multi-element software arrangements based on VSOE. VSOE for each element is based on the price charged when the same element is sold separately, or in the case of post-contract customer support, when a stated renewal rate is provided to the customer.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until all elements are delivered or fair value is determined for all remaining undelivered elements. Revenue from post-contract customer support is recognized ratably over the term of the agreement. We record deferred revenue for all billings invoiced prior to revenue recognition.</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Black Knight is often party to multiple concurrent contracts with the same client. These situations require judgment to determine whether the individual contracts should be aggregated or evaluated separately for purposes of revenue recognition. In making this determination we consider the timing of negotiating and executing the contracts, whether the different elements of the contracts are interdependent and whether any of the payment terms of the contracts are interrelated.</w:t>
      </w:r>
    </w:p>
    <w:p>
      <w:pPr>
        <w:spacing w:after="0" w:line="7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Restaurant revenue on the Consolidated Statements of Earnings consists of restaurant sales and, to a lesser extent, franchise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revenue. Restaurant sales include food and beverage sales and are net of applicable state and local sales taxes and discounts.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Black Knight segment we have significant internally developed software. These costs are amortized using the straight-line method or accelerated over the estimated useful life. Useful lives of computer software range from 3 to 10 years. For software products to be sold, leased, or otherwise marketed (ASC 985-20 software),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recorded impairment charges of $1 million and $5 million in the years ended December 31, 2015 and 2014, respectively, for abandoned software development projects. We recorded no impairment expense related to capitalized software in the year ended December 31, 2013.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 (Loss)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balance of Other comprehensive earnings by component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Unrealized gain (loss) on</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Unrealized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investments and other financial</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gain relating to</w:t>
            </w: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Unrealized (loss) gain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instruments, net (excluding</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investments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foreign currency</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Minimum pension</w:t>
            </w:r>
          </w:p>
        </w:tc>
        <w:tc>
          <w:tcPr>
            <w:tcW w:w="140" w:type="dxa"/>
            <w:vAlign w:val="bottom"/>
          </w:tcPr>
          <w:p>
            <w:pPr>
              <w:spacing w:after="0"/>
              <w:rPr>
                <w:sz w:val="17"/>
                <w:szCs w:val="17"/>
                <w:color w:val="auto"/>
              </w:rPr>
            </w:pPr>
          </w:p>
        </w:tc>
        <w:tc>
          <w:tcPr>
            <w:tcW w:w="13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investments in unconsolidated</w:t>
            </w:r>
          </w:p>
        </w:tc>
        <w:tc>
          <w:tcPr>
            <w:tcW w:w="140" w:type="dxa"/>
            <w:vAlign w:val="bottom"/>
          </w:tcPr>
          <w:p>
            <w:pPr>
              <w:spacing w:after="0"/>
              <w:rPr>
                <w:sz w:val="8"/>
                <w:szCs w:val="8"/>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9"/>
              </w:rPr>
              <w:t>unconsolidated</w:t>
            </w:r>
          </w:p>
        </w:tc>
        <w:tc>
          <w:tcPr>
            <w:tcW w:w="120" w:type="dxa"/>
            <w:vAlign w:val="bottom"/>
          </w:tcPr>
          <w:p>
            <w:pPr>
              <w:spacing w:after="0"/>
              <w:rPr>
                <w:sz w:val="8"/>
                <w:szCs w:val="8"/>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translation and cash</w:t>
            </w:r>
          </w:p>
        </w:tc>
        <w:tc>
          <w:tcPr>
            <w:tcW w:w="200" w:type="dxa"/>
            <w:vAlign w:val="bottom"/>
          </w:tcPr>
          <w:p>
            <w:pPr>
              <w:spacing w:after="0"/>
              <w:rPr>
                <w:sz w:val="8"/>
                <w:szCs w:val="8"/>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liability</w:t>
            </w: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affiliates)</w:t>
            </w:r>
          </w:p>
        </w:tc>
        <w:tc>
          <w:tcPr>
            <w:tcW w:w="140" w:type="dxa"/>
            <w:vAlign w:val="bottom"/>
          </w:tcPr>
          <w:p>
            <w:pPr>
              <w:spacing w:after="0"/>
              <w:rPr>
                <w:sz w:val="3"/>
                <w:szCs w:val="3"/>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9"/>
              </w:rPr>
              <w:t>affiliates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flow hedging</w:t>
            </w:r>
          </w:p>
        </w:tc>
        <w:tc>
          <w:tcPr>
            <w:tcW w:w="200" w:type="dxa"/>
            <w:vAlign w:val="bottom"/>
          </w:tcPr>
          <w:p>
            <w:pPr>
              <w:spacing w:after="0"/>
              <w:rPr>
                <w:sz w:val="3"/>
                <w:szCs w:val="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1"/>
              </w:rPr>
              <w:t>adjustment</w:t>
            </w:r>
          </w:p>
        </w:tc>
        <w:tc>
          <w:tcPr>
            <w:tcW w:w="1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Other comprehensive (losses)</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w:t>
            </w:r>
          </w:p>
        </w:tc>
        <w:tc>
          <w:tcPr>
            <w:tcW w:w="12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9"/>
              </w:rPr>
              <w:t>Distribution of Remy to FNFV</w:t>
            </w: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Group Shareholders</w:t>
            </w:r>
          </w:p>
        </w:tc>
        <w:tc>
          <w:tcPr>
            <w:tcW w:w="120" w:type="dxa"/>
            <w:vAlign w:val="bottom"/>
          </w:tcPr>
          <w:p>
            <w:pPr>
              <w:spacing w:after="0"/>
              <w:rPr>
                <w:sz w:val="20"/>
                <w:szCs w:val="20"/>
                <w:color w:val="auto"/>
              </w:rPr>
            </w:pP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7"/>
              </w:rPr>
              <w:t>Other comprehensive (losses)</w:t>
            </w:r>
          </w:p>
        </w:tc>
        <w:tc>
          <w:tcPr>
            <w:tcW w:w="1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Subsequent to the acquisition of LPS we issued 35% ownership interests in each of Black Knight and ServiceLink to funds affiliated with Thomas H. Lee Partners ("THL" or "the minority interest holder"). THL had an option to put its ownership interests of either or both of Black Knight and ServiceLink to us if no public offering of the corresponding business was consummated after four years from the date of FNF's purchase of LPS. The units owned by THL ("redeemable noncontrolling interests") may be settled in cash or common stock of FNF or a combination of both at our election. The redeemable noncontrolling interests will be settled at the current fair value at the time we receive notice of THL's put election as determined by the parties or by a third party appraisal under the terms of the Unit Purchase Agreement. As a result of Black Knight's IPO, discussed in the Recent Developments section above, THL's option to put its ownership interest in Black Knight expired. As a result of the ServiceLink Recapitalization, also discussed in the Recent Developments section above, the ownership interest by the minority interest holder was reduced from 35% to 21%. As of December 31, 2015, we do not believe the exercise of their remaining put right in ServiceLink to be probable.</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these redeemable noncontrolling interests provide for redemption features not solely within our control, we classify the redeemable noncontrolling interests outside of permanent equity. Redeemable noncontrolling interests held by third parties in subsidiaries owned or controlled by FNF is reported on the Consolidated Balance Sheet outside permanent of equity; and the Consolidated Statement of Earnings reflects the respective redeemable noncontrolling interests in Net earnings (loss) attributable to non-controlling interests, the effect of which is removed from the net earnings attributable to Fidelity National Financial, Inc. common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9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net earnings of Black Knight in our calculation of diluted earnings per share is adjusted for dilution related to certain Black Knight restricted stock granted to employees in accordance with ASC 260-10-55-20. We calculate the ratio of the Class B shares we own to the total weighted average diluted shares of Black Knight outstanding and multiply the ratio by their net earnings. The result is used as a substitution for Black Knight's net earnings attributable to FNF included in our consolidated net earnings in the numerator for our diluted EPS calculation. As the effect was antidilutive for the year-ended December 31, 2015 there were no adjustments made to net earnings attributable to FNF in our calculation of diluted EPS. There are no adjustments to earnings attributable to FNF in our calculation of basic EPS. There are no adjustments made to net earnings attributable to FNFV in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calculation of basic or diluted EPS.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For the years ended December 31, 2015, 2014, and 2013, options to purchase 1 million shares, 2 million shares and 1 million shares, respectively, of our common stock were excluded from the computation of diluted earnings per share.</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of the close of business on June 30, 2014, we completed the recapitalization of Old FNF common stock into two tracking stocks, FNF Group common stock and FNFV Group common stock. As a result of the recapitalization, the weighted average shares outstanding presented on the Consolidated Statements of Earnings includes shares of Old FNF common stock, FNF Group common stock and FNFV Group common stock weighted over the 12 month period ended December 31, 2014. However, earnings per share attributable to Old FNF common shareholders are computed by dividing net earnings of FNF from January 1, 2014 through June 30, 2014 by the weighted average number of Old FNF common shares outstanding during the corresponding period (273 million basic shares and 282 million diluted shares). Earnings per share attributable to FNF Group common shareholders and to FNFV Group common shareholders are computed by dividing net earnings attributable to the FNF Group common shareholders and to the FNFV Group common shareholders from July 1, 2014 through December 31, 2014 by the weighted average number of common shares outstanding for each class of common stock during the corresponding period (276 million basic shares, 285 million diluted shares and 92 million basic shares, 93 million diluted shares,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no longer have any officers in common with Fidelity National Information Services, Inc. ("FIS"), effective January 1, 2014, we no longer consider FIS a related party. We have described below transactions with FIS through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2013 is as follows:</w:t>
      </w:r>
    </w:p>
    <w:p>
      <w:pPr>
        <w:spacing w:after="0" w:line="279" w:lineRule="exact"/>
        <w:rPr>
          <w:sz w:val="20"/>
          <w:szCs w:val="20"/>
          <w:color w:val="auto"/>
        </w:rPr>
      </w:pPr>
    </w:p>
    <w:p>
      <w:pPr>
        <w:jc w:val="both"/>
        <w:ind w:left="660" w:right="2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Information Technology (“IT”) and data processing services from FIS. This agreement governs IT support services provided to us by FIS, primarily consisting of infrastructure support and data center management. Certain subsidiaries of FIS also provided technology consulting services to FNF during 2013.</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Administrative aviation corporate support and cost-sharing services to FIS.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3"/>
              </w:rPr>
              <w:t>Year Ended December 31,</w:t>
            </w:r>
          </w:p>
        </w:tc>
      </w:tr>
      <w:tr>
        <w:trPr>
          <w:trHeight w:val="196"/>
        </w:trPr>
        <w:tc>
          <w:tcPr>
            <w:tcW w:w="9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2013</w:t>
            </w:r>
          </w:p>
        </w:tc>
      </w:tr>
      <w:tr>
        <w:trPr>
          <w:trHeight w:val="196"/>
        </w:trPr>
        <w:tc>
          <w:tcPr>
            <w:tcW w:w="9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center"/>
              <w:ind w:right="139"/>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FNF earned or was charged under these arrangements were not negotiated at arm’s-length, and may not represent the terms that we might have obtained from an unrelated third party.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reclassifications have been made in the 2014 and 2013 Consolidated Financial Statements to conform to classifications used in 2015. These reclassifications have not changed net earnings or total equity, as previously reported.</w:t>
      </w:r>
    </w:p>
    <w:p>
      <w:pPr>
        <w:spacing w:after="0" w:line="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5"/>
          <w:szCs w:val="15"/>
          <w:b w:val="1"/>
          <w:bCs w:val="1"/>
          <w:color w:val="auto"/>
        </w:rPr>
        <w:t>Acquisitions</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Consolidated Financial Statements from and after the date of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Merger with Lender Processing Services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2, 2014, we completed the purchase of LPS. The purchase consideration paid was $37.14 per share of LPS common stock, of which $28.10 per share was paid in cash and the remaining $9.04 was paid in Old FNF common shares. The purchase consideration represented an exchange ratio of 0.28742 of Old FNF common shares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Goodwill has been recorded based on the amount that the purchase price exceeded the fair value of the net assets acquired.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340"/>
              <w:spacing w:after="0"/>
              <w:rPr>
                <w:sz w:val="20"/>
                <w:szCs w:val="20"/>
                <w:color w:val="auto"/>
              </w:rPr>
            </w:pPr>
            <w:r>
              <w:rPr>
                <w:rFonts w:ascii="Arial" w:cs="Arial" w:eastAsia="Arial" w:hAnsi="Arial"/>
                <w:sz w:val="18"/>
                <w:szCs w:val="18"/>
                <w:color w:val="auto"/>
              </w:rPr>
              <w:t>The purchase price was as follows (in millions):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35"/>
        </w:trPr>
        <w:tc>
          <w:tcPr>
            <w:tcW w:w="10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LPS outstanding shares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Less: cash acquired from LPS</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for LPS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FNF common stock issued (25,920,078 shares)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consideration paid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purchase price has been allocated to the LPS assets acquired and liabilities assumed based on our best estimates of their fair values as of the acquisition date.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price allocation was completed in 2014. The purchase price allocation is as follows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and notes receivable</w:t>
            </w:r>
          </w:p>
        </w:tc>
        <w:tc>
          <w:tcPr>
            <w:tcW w:w="6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6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6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6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Intangible assets including title plants</w:t>
            </w:r>
          </w:p>
        </w:tc>
        <w:tc>
          <w:tcPr>
            <w:tcW w:w="6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6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Goodwill</w:t>
            </w:r>
          </w:p>
        </w:tc>
        <w:tc>
          <w:tcPr>
            <w:tcW w:w="6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6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title claims</w:t>
            </w:r>
          </w:p>
        </w:tc>
        <w:tc>
          <w:tcPr>
            <w:tcW w:w="6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6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assumed</w:t>
            </w:r>
          </w:p>
        </w:tc>
        <w:tc>
          <w:tcPr>
            <w:tcW w:w="6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6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6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4390"/>
              <w:spacing w:after="0"/>
              <w:rPr>
                <w:sz w:val="20"/>
                <w:szCs w:val="20"/>
                <w:color w:val="auto"/>
              </w:rPr>
            </w:pPr>
            <w:r>
              <w:rPr>
                <w:rFonts w:ascii="Arial" w:cs="Arial" w:eastAsia="Arial" w:hAnsi="Arial"/>
                <w:sz w:val="18"/>
                <w:szCs w:val="18"/>
                <w:color w:val="auto"/>
              </w:rPr>
              <w:t>81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comparative purposes, selected unaudited pro-forma consolidated results of operations of FNF for the years ended December 31, 2014 and 2013 are presented below. Pro-forma results presented assume the consolidation of LPS occurred as of the beginning of the 2013 period.</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reflect our 65% ownership interest in BKFS, LLC and our 65% ownership interest in ServiceLink at the acquisition date and were adjusted to exclude costs directly attributable to the acquisition of LPS including transaction costs, severance costs and costs related to our synergy bonus program associated with the acquisition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Year Ended December 31,</w:t>
            </w:r>
          </w:p>
        </w:tc>
      </w:tr>
      <w:tr>
        <w:trPr>
          <w:trHeight w:val="243"/>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497</w:t>
            </w: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LPS acquisition, we formed a wholly-owned subsidiary, Black Knight Financial Services, Inc. (now known as Black Knight Holdings, Inc. "BKHI"). After acquiring LPS, we retained a 65% ownership interest in each of the subsidiaries (BKFS, LLC and ServiceLink) and the subsidiaries each issued 35% minority ownership interest to THL and certain related entities on January 3, 2014. BKFS, LLC and ServiceLink now own and operate the former LPS businesses and our legacy ServiceLink business.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LLC. As a result of this transfer, our ownership percentage in BKFS, LLC increased to 67%. Our results for periods since June 1, 2014, reflect our now 67% ownership interest in BKFS, LLC.</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Black Knight IPO and ServiceLink Reorganization discussed in Note A, our ownership interest in BKFS, LLC and ServiceLink changed to 55% and 79%, respectively, as of May 26, 2015 and June 20, 2015, respectively. Our results for periods subsequent to these dates reflect the new ownership percentages in BKFS, LLC and ServiceLink.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12, 2015, we closed the purchase of all of the membership interest in Buyers Protection Group Holdings, LLC ("BPG"), pursuant to a certain Membership Interest Purchase Agreement, for $46 million. We first consolidated the results of BPG as of March 31, 2015. BPG is a recognized leader in home warranty, home inspection services and commercial inspections.</w:t>
      </w:r>
    </w:p>
    <w:p>
      <w:pPr>
        <w:spacing w:after="0" w:line="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2015 and 2014,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3,192</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1,820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3,393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portfolios and another for our tax-exempt bond portfolios.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44" w:lineRule="exact"/>
        <w:rPr>
          <w:sz w:val="20"/>
          <w:szCs w:val="20"/>
          <w:color w:val="auto"/>
        </w:rPr>
      </w:pPr>
    </w:p>
    <w:p>
      <w:pPr>
        <w:ind w:left="660" w:right="20" w:hanging="328"/>
        <w:spacing w:after="0" w:line="25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7" w:name="page88"/>
    <w:bookmarkEnd w:id="8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available trade information, dealer quotes, cash flows, relevant indices and market data for similar assets in active markets.</w:t>
      </w:r>
    </w:p>
    <w:p>
      <w:pPr>
        <w:spacing w:after="0" w:line="23" w:lineRule="exact"/>
        <w:rPr>
          <w:sz w:val="20"/>
          <w:szCs w:val="20"/>
          <w:color w:val="auto"/>
        </w:rPr>
      </w:pPr>
    </w:p>
    <w:p>
      <w:pPr>
        <w:ind w:left="660" w:right="20" w:hanging="328"/>
        <w:spacing w:after="0" w:line="27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3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securities available for sale: This security is valued using a blending of two models, a discounted cash flow model and a comparable company model utilizing earnings and multiples of similar publicly-traded companies.</w:t>
      </w:r>
    </w:p>
    <w:p>
      <w:pPr>
        <w:spacing w:after="0" w:line="1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December 31, 2014 our Level 2 financial assets and liabilities included our interest rate swap, foreign exchange contracts, and commodity contracts which were valued using the income approach. This approach uses techniques to convert future amounts to a single present value amount based upon market expectations (including present value techniques, option-pricing and excess earnings models). As of December 31, 2015 and December 31, 2014 we no longer hold these Level 2 financial assets and liabilities.</w:t>
      </w:r>
    </w:p>
    <w:p>
      <w:pPr>
        <w:spacing w:after="0" w:line="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2014, our Level 3 investments consisted of structured notes that were purchased in 2009. During the third quarter of 2014, all of our outstanding structured notes matured and we received $39 million in cash upon maturity, resulting in a net realized gain of $1 million for the year ended December 31, 2014. We held no structured notes or other Level 3 investments at December 31, 2015 or December 31, 2014.</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investments that are classified as Level 3 for the year ended December 31, 2014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Proceeds received upon maturity</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0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(loss)</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0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short-term investments, accounts receivable and notes receivable approximate fair value due to their short-term nature. The fair value of our notes payable is included in Note J.</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8" w:name="page89"/>
    <w:bookmarkEnd w:id="8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5"/>
          <w:szCs w:val="15"/>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available for sale securities at December 31, 2015 and 2014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since the date of purchase. At December 31, 2015 all of our mortgage-backed and asset-backed securities are rated AAA by Moody's Investors Service which is the highest rating available by Moody's. The mortgage-backed and asset-backed securities are made up of $49 million of agency mortgage-backed securities, $8 million of collateralized mortgage obligations, and $14 million in asset-backed securities.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2015, 2014, and 2013 was $(64) million, $(20) million, and $(58) million,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$136 million and $141 million were on deposit with various governmental authorities at December 31, 2015 and 2014, respectively, as required by law.</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are carried at fair value. The change in unrealized gains on equity securities for the years ended December 31, 2015, 2014 and 2013 was a net (decrease) increase of $(4) million, $8 million, and $30 million, respectively.</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investments at December 31, 2015 and 2014 included investments in banks at a cost basis of $382 million and $372 million, respectively, and a fair value of $382 million and $380 million, respectively. Our investments at December 31, 2015 and 2014 included investments in insurance companies at a cost basis of $9 million and $52 million, respectively, and a fair value of $10 million and $53 million, respectively.</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2015 and 2014 are as follows (in millions):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December 31, 2014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unrealized losses for the corporate debt securities were primarily caused by widening credit spreads that we consider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2015.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unrealized losses for the equity securities available for sale were primarily caused by market volatility. We expect to recover the entire cost basis of our temporarily impaired equity securities available for sale as we do not intend to sell these securities and we do not believe that we will be required to sell the equity securities available for sale before recovery of the cost basis. For these reasons, we do not consider these securities other-than-temporarily impaired at December 31, 2015.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years ended December 31, 2015, 2014 and 2013 we incurred impairment charges relating to investments that were determined to be other-than-temporarily impaired, which resulted in impairment charges of $14 million, $6 million and $1 million, respectively. Impairment charges during all three years were for fixed maturity securities that we determined the credit risk of these holdings was high and the ability of the issuer to pay the full amount of the principal outstanding was unlikely. Impairment charges in the 2015 period also included an immaterial portion related to equity securities.</w:t>
      </w:r>
    </w:p>
    <w:p>
      <w:pPr>
        <w:spacing w:after="0" w:line="3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2015, we held $2 million in securities for which other-than-temporary impairments had been previously recognized. As of December 31, 2014, we held $5 million investments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ended December 31, 2015, 2014, and 2013,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2015</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6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6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7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2014</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6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6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7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8"/>
              </w:rPr>
              <w:t>Year ended December 31, 2013</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3"/>
                <w:szCs w:val="13"/>
                <w:color w:val="auto"/>
              </w:rPr>
            </w:pPr>
          </w:p>
        </w:tc>
        <w:tc>
          <w:tcPr>
            <w:tcW w:w="6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280" w:type="dxa"/>
            <w:vAlign w:val="bottom"/>
          </w:tcPr>
          <w:p>
            <w:pPr>
              <w:spacing w:after="0"/>
              <w:rPr>
                <w:sz w:val="12"/>
                <w:szCs w:val="12"/>
                <w:color w:val="auto"/>
              </w:rPr>
            </w:pPr>
          </w:p>
        </w:tc>
        <w:tc>
          <w:tcPr>
            <w:tcW w:w="6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76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ind w:left="20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22"/>
                <w:szCs w:val="22"/>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Interest and investment income consists of the following:</w:t>
            </w: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9"/>
          </w:tcPr>
          <w:p>
            <w:pPr>
              <w:jc w:val="center"/>
              <w:ind w:left="121"/>
              <w:spacing w:after="0"/>
              <w:rPr>
                <w:sz w:val="20"/>
                <w:szCs w:val="20"/>
                <w:color w:val="auto"/>
              </w:rPr>
            </w:pPr>
            <w:r>
              <w:rPr>
                <w:rFonts w:ascii="Arial" w:cs="Arial" w:eastAsia="Arial" w:hAnsi="Arial"/>
                <w:sz w:val="14"/>
                <w:szCs w:val="14"/>
                <w:b w:val="1"/>
                <w:bCs w:val="1"/>
                <w:color w:val="auto"/>
                <w:w w:val="93"/>
              </w:rPr>
              <w:t>Year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92" w:name="page93"/>
    <w:bookmarkEnd w:id="9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Included in our other long-term investments in 2013 and into 2014 were fixed-maturity structured notes. The structured notes were carried at fair value (see Note C) and changes in the fair value of these structured notes are recorded as Realized gains and losses in the Consolidated Statements of Earnings. During the third quarter of 2014, all of our outstanding structured notes matured and we received $39 million in cash upon maturity. We held no structured notes as of December 31, 2015 or December 31, 2014. We recorded a gain of $1 million related to the structured notes in the year ended December 31, 2014, and a loss of $3 million related to the structured notes in 2013.</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December 31, 2015 and 2014 consisted of the following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at</w:t>
            </w: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various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firstLine="324"/>
        <w:spacing w:after="0" w:line="323" w:lineRule="auto"/>
        <w:rPr>
          <w:sz w:val="20"/>
          <w:szCs w:val="20"/>
          <w:color w:val="auto"/>
        </w:rPr>
      </w:pPr>
      <w:r>
        <w:rPr>
          <w:rFonts w:ascii="Arial" w:cs="Arial" w:eastAsia="Arial" w:hAnsi="Arial"/>
          <w:sz w:val="16"/>
          <w:szCs w:val="16"/>
          <w:color w:val="auto"/>
        </w:rPr>
        <w:t>On November 17, 2014, Ceridian completed the exchange of its subsidiary Comdata to FleetCor in a transaction valued at approximately $3.5 billion. We recognized $495 million in equity in earnings of unconsolidated affiliates in the twelve months ended December 31, 2014 as a result of the transaction.</w:t>
      </w:r>
    </w:p>
    <w:p>
      <w:pPr>
        <w:spacing w:after="0" w:line="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year ended December 31, 2015, Ceridian sold a portion of its holdings of Fleetcor common stock. The sale resulted in increased distributions to us from Ceridian. During the year ended December 31, 2015 we received distributions from Ceridian of approximately $292 million. The distributions resulted in a corresponding decrease in our associated balance of Investments in unconsolidated affiliates.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2014, we sold $2 million of Ceridian bonds. We did not sell any Ceridian bonds in the year ended December 31, 2015. Our investment in Ceridian bonds had a fair value of $23 million and $32 million as of December 31, 2015 and 2014.</w:t>
      </w:r>
    </w:p>
    <w:p>
      <w:pPr>
        <w:spacing w:after="0" w:line="1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2014 we accounted for our equity in Ceridian on a three-month lag. However, during the first quarter of 2014, we began to account for our equity in Ceridian on a real-time basis. The year ended December 31, 2014 includes results for the 15 months ended December 31, 2014. The Ceridian results from October 1, 2013 to December 31, 2013 resulted in recording $4 million in Equity in losses of unconsolidated affiliates. The year ended December 31, 2015 includes Ceridian's results for the 12 months ended December 31, 2015 and the year ended December 31, 2013 includes Ceridian's results for the 12 months ended September 30, 2013.</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2013, Ceridian entered into a memorandum of understanding to resolve claims brought by a putative class of U.S. Fueling Merchants. Under the terms of the memorandum of understanding, which will need to be finalized in a definitive settlement agreement and approved by the Court, Ceridian has agreed to make a one-time cash payment of $100 million as part of a $130 million global settlement with other defendants in the lawsuit, and to provide certain prospective relief with respect to specific provisions in its merchant agreements. This settlement will provide Ceridian and affiliated companies with a broad release of claims and will limit their exposure to legal claims by merchants. Our portion of the settlement of $32 million was recorded by us in the first quarter of 2014, as at that time we reported the results of Ceridian on a three-month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for the periods included in our Consolidated Financial Statements for Ceridian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2014</w:t>
            </w:r>
          </w:p>
        </w:tc>
      </w:tr>
      <w:tr>
        <w:trPr>
          <w:trHeight w:val="196"/>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4"/>
          </w:tcPr>
          <w:p>
            <w:pPr>
              <w:jc w:val="right"/>
              <w:ind w:right="129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4,957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 before customer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205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1,168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6,068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6,695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r>
      <w:tr>
        <w:trPr>
          <w:trHeight w:val="25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8,975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5" w:lineRule="exact"/>
        <w:rPr>
          <w:sz w:val="20"/>
          <w:szCs w:val="20"/>
          <w:color w:val="auto"/>
        </w:rPr>
      </w:pPr>
    </w:p>
    <w:p>
      <w:pPr>
        <w:ind w:left="8300"/>
        <w:spacing w:after="0"/>
        <w:rPr>
          <w:sz w:val="20"/>
          <w:szCs w:val="20"/>
          <w:color w:val="auto"/>
        </w:rPr>
      </w:pPr>
      <w:r>
        <w:rPr>
          <w:rFonts w:ascii="Arial" w:cs="Arial" w:eastAsia="Arial" w:hAnsi="Arial"/>
          <w:sz w:val="13"/>
          <w:szCs w:val="13"/>
          <w:b w:val="1"/>
          <w:bCs w:val="1"/>
          <w:color w:val="auto"/>
        </w:rPr>
        <w:t>12 Months Ending</w:t>
      </w:r>
    </w:p>
    <w:p>
      <w:pPr>
        <w:spacing w:after="0" w:line="15"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27940</wp:posOffset>
            </wp:positionV>
            <wp:extent cx="2084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280" w:firstLine="14"/>
        <w:spacing w:after="0" w:line="317" w:lineRule="auto"/>
        <w:rPr>
          <w:sz w:val="20"/>
          <w:szCs w:val="20"/>
          <w:color w:val="auto"/>
        </w:rPr>
      </w:pPr>
      <w:r>
        <w:rPr>
          <w:rFonts w:ascii="Arial" w:cs="Arial" w:eastAsia="Arial" w:hAnsi="Arial"/>
          <w:sz w:val="12"/>
          <w:szCs w:val="12"/>
          <w:b w:val="1"/>
          <w:bCs w:val="1"/>
          <w:color w:val="auto"/>
        </w:rPr>
        <w:t>15 Months Ending December 31, 2014</w:t>
      </w:r>
    </w:p>
    <w:p>
      <w:pPr>
        <w:spacing w:after="0" w:line="1" w:lineRule="exact"/>
        <w:rPr>
          <w:sz w:val="20"/>
          <w:szCs w:val="20"/>
          <w:color w:val="auto"/>
        </w:rPr>
      </w:pPr>
    </w:p>
    <w:p>
      <w:pPr>
        <w:sectPr>
          <w:pgSz w:w="11900" w:h="16838" w:orient="portrait"/>
          <w:cols w:equalWidth="0" w:num="2">
            <w:col w:w="9440" w:space="540"/>
            <w:col w:w="14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6"/>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Total revenues</w:t>
            </w:r>
          </w:p>
        </w:tc>
        <w:tc>
          <w:tcPr>
            <w:tcW w:w="78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5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22"/>
                <w:szCs w:val="22"/>
                <w:color w:val="auto"/>
              </w:rPr>
            </w:pP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1"/>
                <w:szCs w:val="21"/>
                <w:color w:val="auto"/>
              </w:rPr>
            </w:pPr>
          </w:p>
        </w:tc>
      </w:tr>
      <w:tr>
        <w:trPr>
          <w:trHeight w:val="27"/>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Comdata</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w:t>
            </w:r>
          </w:p>
        </w:tc>
        <w:tc>
          <w:tcPr>
            <w:tcW w:w="60" w:type="dxa"/>
            <w:vAlign w:val="bottom"/>
          </w:tcPr>
          <w:p>
            <w:pPr>
              <w:spacing w:after="0"/>
              <w:rPr>
                <w:sz w:val="21"/>
                <w:szCs w:val="21"/>
                <w:color w:val="auto"/>
              </w:rPr>
            </w:pP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Net (loss) earnings</w:t>
            </w: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1,354</w:t>
            </w:r>
          </w:p>
        </w:tc>
        <w:tc>
          <w:tcPr>
            <w:tcW w:w="60" w:type="dxa"/>
            <w:vAlign w:val="bottom"/>
          </w:tcPr>
          <w:p>
            <w:pPr>
              <w:spacing w:after="0"/>
              <w:rPr>
                <w:sz w:val="21"/>
                <w:szCs w:val="21"/>
                <w:color w:val="auto"/>
              </w:rPr>
            </w:pPr>
          </w:p>
        </w:tc>
      </w:tr>
      <w:tr>
        <w:trPr>
          <w:trHeight w:val="675"/>
        </w:trPr>
        <w:tc>
          <w:tcPr>
            <w:tcW w:w="1200" w:type="dxa"/>
            <w:vAlign w:val="bottom"/>
          </w:tcPr>
          <w:p>
            <w:pPr>
              <w:spacing w:after="0"/>
              <w:rPr>
                <w:sz w:val="20"/>
                <w:szCs w:val="20"/>
                <w:color w:val="auto"/>
              </w:rPr>
            </w:pPr>
            <w:r>
              <w:rPr>
                <w:rFonts w:ascii="Arial" w:cs="Arial" w:eastAsia="Arial" w:hAnsi="Arial"/>
                <w:sz w:val="18"/>
                <w:szCs w:val="18"/>
                <w:b w:val="1"/>
                <w:bCs w:val="1"/>
                <w:color w:val="auto"/>
              </w:rPr>
              <w:t>Note E.</w:t>
            </w:r>
          </w:p>
        </w:tc>
        <w:tc>
          <w:tcPr>
            <w:tcW w:w="8020" w:type="dxa"/>
            <w:vAlign w:val="bottom"/>
            <w:gridSpan w:val="2"/>
          </w:tcPr>
          <w:p>
            <w:pPr>
              <w:jc w:val="right"/>
              <w:ind w:right="5980"/>
              <w:spacing w:after="0"/>
              <w:rPr>
                <w:sz w:val="20"/>
                <w:szCs w:val="20"/>
                <w:color w:val="auto"/>
              </w:rPr>
            </w:pPr>
            <w:r>
              <w:rPr>
                <w:rFonts w:ascii="Arial" w:cs="Arial" w:eastAsia="Arial" w:hAnsi="Arial"/>
                <w:sz w:val="18"/>
                <w:szCs w:val="18"/>
                <w:b w:val="1"/>
                <w:bCs w:val="1"/>
                <w:color w:val="auto"/>
                <w:w w:val="96"/>
              </w:rPr>
              <w:t>Property and Equipment</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9220" w:type="dxa"/>
            <w:vAlign w:val="bottom"/>
            <w:gridSpan w:val="3"/>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12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120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r>
      <w:tr>
        <w:trPr>
          <w:trHeight w:val="190"/>
        </w:trPr>
        <w:tc>
          <w:tcPr>
            <w:tcW w:w="12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5"/>
        </w:trPr>
        <w:tc>
          <w:tcPr>
            <w:tcW w:w="1200" w:type="dxa"/>
            <w:vAlign w:val="bottom"/>
          </w:tcPr>
          <w:p>
            <w:pPr>
              <w:ind w:left="40"/>
              <w:spacing w:after="0"/>
              <w:rPr>
                <w:sz w:val="20"/>
                <w:szCs w:val="20"/>
                <w:color w:val="auto"/>
              </w:rPr>
            </w:pPr>
            <w:r>
              <w:rPr>
                <w:rFonts w:ascii="Arial" w:cs="Arial" w:eastAsia="Arial" w:hAnsi="Arial"/>
                <w:sz w:val="18"/>
                <w:szCs w:val="18"/>
                <w:color w:val="auto"/>
              </w:rPr>
              <w:t>Land</w:t>
            </w:r>
          </w:p>
        </w:tc>
        <w:tc>
          <w:tcPr>
            <w:tcW w:w="8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2"/>
                <w:szCs w:val="22"/>
                <w:color w:val="auto"/>
              </w:rPr>
            </w:pPr>
          </w:p>
        </w:tc>
      </w:tr>
      <w:tr>
        <w:trPr>
          <w:trHeight w:val="27"/>
        </w:trPr>
        <w:tc>
          <w:tcPr>
            <w:tcW w:w="12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7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w:t>
            </w:r>
          </w:p>
        </w:tc>
        <w:tc>
          <w:tcPr>
            <w:tcW w:w="60" w:type="dxa"/>
            <w:vAlign w:val="bottom"/>
          </w:tcPr>
          <w:p>
            <w:pPr>
              <w:spacing w:after="0"/>
              <w:rPr>
                <w:sz w:val="21"/>
                <w:szCs w:val="21"/>
                <w:color w:val="auto"/>
              </w:rPr>
            </w:pPr>
          </w:p>
        </w:tc>
      </w:tr>
      <w:tr>
        <w:trPr>
          <w:trHeight w:val="27"/>
        </w:trPr>
        <w:tc>
          <w:tcPr>
            <w:tcW w:w="9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Data processing equipment</w:t>
            </w: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Furniture, fixtures and equipment</w:t>
            </w:r>
          </w:p>
        </w:tc>
        <w:tc>
          <w:tcPr>
            <w:tcW w:w="42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21"/>
                <w:szCs w:val="21"/>
                <w:color w:val="auto"/>
              </w:rPr>
            </w:pPr>
          </w:p>
        </w:tc>
      </w:tr>
      <w:tr>
        <w:trPr>
          <w:trHeight w:val="27"/>
        </w:trPr>
        <w:tc>
          <w:tcPr>
            <w:tcW w:w="12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1,112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22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r>
      <w:tr>
        <w:trPr>
          <w:trHeight w:val="27"/>
        </w:trPr>
        <w:tc>
          <w:tcPr>
            <w:tcW w:w="12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9"/>
        </w:trPr>
        <w:tc>
          <w:tcPr>
            <w:tcW w:w="1200" w:type="dxa"/>
            <w:vAlign w:val="bottom"/>
            <w:tcBorders>
              <w:bottom w:val="single" w:sz="8" w:color="CCEEFF"/>
            </w:tcBorders>
            <w:shd w:val="clear" w:color="auto" w:fill="CCEEFF"/>
          </w:tcPr>
          <w:p>
            <w:pPr>
              <w:spacing w:after="0"/>
              <w:rPr>
                <w:sz w:val="22"/>
                <w:szCs w:val="22"/>
                <w:color w:val="auto"/>
              </w:rPr>
            </w:pPr>
          </w:p>
        </w:tc>
        <w:tc>
          <w:tcPr>
            <w:tcW w:w="8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and equipment was $120 million, $122 million, and $97 million for the years ended December 31, 2015, 2014, and 2013,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280" w:type="dxa"/>
            <w:vAlign w:val="bottom"/>
            <w:gridSpan w:val="14"/>
          </w:tcPr>
          <w:p>
            <w:pPr>
              <w:jc w:val="right"/>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8340" w:type="dxa"/>
            <w:vAlign w:val="bottom"/>
            <w:gridSpan w:val="17"/>
          </w:tcPr>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2080" w:type="dxa"/>
            <w:vAlign w:val="bottom"/>
          </w:tcPr>
          <w:p>
            <w:pPr>
              <w:ind w:left="380"/>
              <w:spacing w:after="0"/>
              <w:rPr>
                <w:sz w:val="20"/>
                <w:szCs w:val="20"/>
                <w:color w:val="auto"/>
              </w:rPr>
            </w:pPr>
            <w:r>
              <w:rPr>
                <w:rFonts w:ascii="Arial" w:cs="Arial" w:eastAsia="Arial" w:hAnsi="Arial"/>
                <w:sz w:val="18"/>
                <w:szCs w:val="18"/>
                <w:b w:val="1"/>
                <w:bCs w:val="1"/>
                <w:color w:val="auto"/>
              </w:rPr>
              <w:t>Goodwill</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gridSpan w:val="2"/>
          </w:tcPr>
          <w:p>
            <w:pPr>
              <w:ind w:left="340"/>
              <w:spacing w:after="0"/>
              <w:rPr>
                <w:sz w:val="20"/>
                <w:szCs w:val="20"/>
                <w:color w:val="auto"/>
              </w:rPr>
            </w:pPr>
            <w:r>
              <w:rPr>
                <w:rFonts w:ascii="Arial" w:cs="Arial" w:eastAsia="Arial" w:hAnsi="Arial"/>
                <w:sz w:val="18"/>
                <w:szCs w:val="18"/>
                <w:color w:val="auto"/>
                <w:w w:val="98"/>
              </w:rPr>
              <w:t>Goodwill consists of the following:</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FNF Core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Restaurant</w:t>
            </w: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FNFV</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Black Knight</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Remy</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8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9"/>
              </w:rPr>
              <w:t>Goodwill acquired during the year (1)</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Adjustments to prior year acquisitions</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Spin-off of Remy and Imaging</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changes (2)</w:t>
            </w:r>
          </w:p>
        </w:tc>
        <w:tc>
          <w:tcPr>
            <w:tcW w:w="5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5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acquired during the year</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8"/>
              </w:rPr>
              <w:t>Adjustments to prior year acquisitions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 of Cascade Timberlands</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Spin-off of J. Alexander's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gridSpan w:val="2"/>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4,760</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9" w:lineRule="exact"/>
        <w:rPr>
          <w:sz w:val="20"/>
          <w:szCs w:val="20"/>
          <w:color w:val="auto"/>
        </w:rPr>
      </w:pPr>
    </w:p>
    <w:p>
      <w:pPr>
        <w:ind w:firstLine="8"/>
        <w:spacing w:after="0" w:line="250" w:lineRule="auto"/>
        <w:tabs>
          <w:tab w:leader="none" w:pos="2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2014, we acquired LPS and subsequently completed an internal reorganization in which the assets of LPS were divided between the Title and Black Knight segments and Property Insight was contributed from the Title segment to Black Knight.</w:t>
      </w:r>
    </w:p>
    <w:p>
      <w:pPr>
        <w:ind w:firstLine="8"/>
        <w:spacing w:after="0" w:line="261"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2015, we reclassified Pacific Union International and other similar but smaller real estate service providers from the Title segment and into FNF Core Corporate &amp; Other. See Note R for further discussion.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G.</w:t>
            </w:r>
          </w:p>
        </w:tc>
        <w:tc>
          <w:tcPr>
            <w:tcW w:w="7840" w:type="dxa"/>
            <w:vAlign w:val="bottom"/>
          </w:tcPr>
          <w:p>
            <w:pPr>
              <w:ind w:left="340"/>
              <w:spacing w:after="0"/>
              <w:rPr>
                <w:sz w:val="20"/>
                <w:szCs w:val="20"/>
                <w:color w:val="auto"/>
              </w:rPr>
            </w:pPr>
            <w:r>
              <w:rPr>
                <w:rFonts w:ascii="Arial" w:cs="Arial" w:eastAsia="Arial" w:hAnsi="Arial"/>
                <w:sz w:val="18"/>
                <w:szCs w:val="18"/>
                <w:b w:val="1"/>
                <w:bCs w:val="1"/>
                <w:color w:val="auto"/>
              </w:rPr>
              <w:t>Capitalized Software</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97"/>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Capitalized software consists of the following:</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2"/>
        </w:trPr>
        <w:tc>
          <w:tcPr>
            <w:tcW w:w="9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r>
      <w:tr>
        <w:trPr>
          <w:trHeight w:val="196"/>
        </w:trPr>
        <w:tc>
          <w:tcPr>
            <w:tcW w:w="96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7"/>
                <w:szCs w:val="17"/>
                <w:color w:val="auto"/>
              </w:rPr>
            </w:pPr>
          </w:p>
        </w:tc>
      </w:tr>
      <w:tr>
        <w:trPr>
          <w:trHeight w:val="256"/>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(347)</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(271)</w:t>
            </w:r>
          </w:p>
        </w:tc>
      </w:tr>
      <w:tr>
        <w:trPr>
          <w:trHeight w:val="27"/>
        </w:trPr>
        <w:tc>
          <w:tcPr>
            <w:tcW w:w="96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96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on software was $83 million, $84 million, and $14 million for the years ended December 31, 2015, 2014, and 2013,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H.</w:t>
            </w:r>
          </w:p>
        </w:tc>
        <w:tc>
          <w:tcPr>
            <w:tcW w:w="7620" w:type="dxa"/>
            <w:vAlign w:val="bottom"/>
          </w:tcPr>
          <w:p>
            <w:pPr>
              <w:ind w:left="340"/>
              <w:spacing w:after="0"/>
              <w:rPr>
                <w:sz w:val="20"/>
                <w:szCs w:val="20"/>
                <w:color w:val="auto"/>
              </w:rPr>
            </w:pPr>
            <w:r>
              <w:rPr>
                <w:rFonts w:ascii="Arial" w:cs="Arial" w:eastAsia="Arial" w:hAnsi="Arial"/>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6"/>
        </w:trPr>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Trademarks and tradenames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1,417</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1,110</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amortizable intangible assets, which consist primarily of customer relationships, was $193 million, $193 million, and $23 million for the years ended December 31, 2015, 2014 and 2013, respectively. Other intangible assets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1440" w:gutter="0" w:footer="0" w:header="0"/>
          <w:type w:val="continuous"/>
        </w:sectPr>
      </w:pPr>
    </w:p>
    <w:bookmarkStart w:id="95" w:name="page96"/>
    <w:bookmarkEnd w:id="9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primarily represent non-amortizable intangible assets such as trademarks and licenses. Estimated amortization expense for the next five years for assets owned at December 31, 2015, is $163 million in 2016, $159 million in 2017, $156 million in 2018, $153 million in 2019 and $117 million in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8120" w:type="dxa"/>
            <w:vAlign w:val="bottom"/>
            <w:gridSpan w:val="2"/>
          </w:tcPr>
          <w:p>
            <w:pPr>
              <w:jc w:val="right"/>
              <w:ind w:right="4400"/>
              <w:spacing w:after="0"/>
              <w:rPr>
                <w:sz w:val="20"/>
                <w:szCs w:val="20"/>
                <w:color w:val="auto"/>
              </w:rPr>
            </w:pPr>
            <w:r>
              <w:rPr>
                <w:rFonts w:ascii="Arial" w:cs="Arial" w:eastAsia="Arial" w:hAnsi="Arial"/>
                <w:sz w:val="18"/>
                <w:szCs w:val="18"/>
                <w:b w:val="1"/>
                <w:bCs w:val="1"/>
                <w:color w:val="auto"/>
                <w:w w:val="90"/>
              </w:rPr>
              <w:t>Accounts Payable and Other Accrued Liabilities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9420" w:type="dxa"/>
            <w:vAlign w:val="bottom"/>
            <w:gridSpan w:val="3"/>
          </w:tcPr>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1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8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196"/>
        </w:trPr>
        <w:tc>
          <w:tcPr>
            <w:tcW w:w="13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7"/>
                <w:szCs w:val="17"/>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Accrued benefits</w:t>
            </w:r>
          </w:p>
        </w:tc>
        <w:tc>
          <w:tcPr>
            <w:tcW w:w="81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Salaries and incentives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292</w:t>
            </w: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7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8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Accrued premium taxes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Deferred revenue</w:t>
            </w:r>
          </w:p>
        </w:tc>
        <w:tc>
          <w:tcPr>
            <w:tcW w:w="7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r>
      <w:tr>
        <w:trPr>
          <w:trHeight w:val="243"/>
        </w:trPr>
        <w:tc>
          <w:tcPr>
            <w:tcW w:w="9420" w:type="dxa"/>
            <w:vAlign w:val="bottom"/>
            <w:gridSpan w:val="3"/>
          </w:tcPr>
          <w:p>
            <w:pPr>
              <w:ind w:left="40"/>
              <w:spacing w:after="0"/>
              <w:rPr>
                <w:sz w:val="20"/>
                <w:szCs w:val="20"/>
                <w:color w:val="auto"/>
              </w:rPr>
            </w:pPr>
            <w:r>
              <w:rPr>
                <w:rFonts w:ascii="Arial" w:cs="Arial" w:eastAsia="Arial" w:hAnsi="Arial"/>
                <w:sz w:val="18"/>
                <w:szCs w:val="18"/>
                <w:color w:val="auto"/>
              </w:rPr>
              <w:t>Other accrued liabilities</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410</w:t>
            </w:r>
          </w:p>
        </w:tc>
      </w:tr>
      <w:tr>
        <w:trPr>
          <w:trHeight w:val="27"/>
        </w:trPr>
        <w:tc>
          <w:tcPr>
            <w:tcW w:w="13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1,308</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8120" w:type="dxa"/>
            <w:vAlign w:val="bottom"/>
          </w:tcPr>
          <w:p>
            <w:pPr>
              <w:jc w:val="right"/>
              <w:ind w:right="657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FNF Term Loan, interest payable monthly at LIBOR + 1.63%</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Revolving Credit Facility, unsecured, unused portion of $800 at December 31, 2015, due July 2018 with interest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 at LIBOR + 1.45%</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7"/>
              </w:rPr>
              <w:t>Unsecured Black Knight Infoserv notes, including premium, interest payable semi-annually at 5.75%, due April 2023</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Black Knight Term A Facility, due May 27, 2020 with interest currently payable monthly at LIBOR + 2.00% (2.44% at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6"/>
              </w:rPr>
              <w:t>Black Knight Term B Facility, due May 27, 2022 with interest currently payable quarterly at LIBOR + 3.00% (3.75% at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December 31, 2015)</w:t>
            </w: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Black Knight Revolving Credit Facility, unused portion of $300, due May 27, 2020 with interest currently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 at LIBOR + 2.00% (2.44% at December 31, 2015)</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ABRH Term Loan, interest payable monthly at LIBOR + 2.50% (2.92% at December 31, 2015), due August 2019</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ABRH Revolving Credit Facility, unused portion of $85 at December 31, 2015, due August 2019 with interest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 at LIBOR + 2.50%</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4"/>
              </w:rPr>
              <w:t>Digital Insurance Revolving Credit Facility, unused portion $26 at December 31, 2015, due March 31, 2020 with interest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payable monthly at LIBOR + 2.50% - 3.50% (3.80% at December 31, 2015)</w:t>
            </w:r>
          </w:p>
        </w:tc>
        <w:tc>
          <w:tcPr>
            <w:tcW w:w="2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8120" w:type="dxa"/>
            <w:vAlign w:val="bottom"/>
            <w:vMerge w:val="restart"/>
          </w:tcPr>
          <w:p>
            <w:pPr>
              <w:jc w:val="right"/>
              <w:ind w:right="3150"/>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12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920" w:type="dxa"/>
            <w:vAlign w:val="bottom"/>
          </w:tcPr>
          <w:p>
            <w:pPr>
              <w:spacing w:after="0"/>
              <w:rPr>
                <w:sz w:val="24"/>
                <w:szCs w:val="24"/>
                <w:color w:val="auto"/>
              </w:rPr>
            </w:pPr>
          </w:p>
        </w:tc>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December 31, 2015, the estimated fair value of our long-term debt was approximately $3,162 million or $337 million higher than its carrying value, excluding unamortized debt issuance costs. The fair value of our unsecured notes payable was $1,728 million as of December 31, 2015. The fair values of our unsecured notes payable are based on established market prices for the securities on December 31, 2015 and are considered Level 2 financial liabilities. The carrying value of the Black Knight Term A, Term B, and Revolving Credit facilities; the ABRH term loan; and the Digital Insurance revolving credit facility approximate fair value at December 31, 2015, as they are variable rate instruments with short reset periods (either monthly or quarterly) which reflect current market rates. The revolving credit facilities are considered Level 2 financial liabilities.</w:t>
      </w:r>
    </w:p>
    <w:p>
      <w:pPr>
        <w:spacing w:after="0" w:line="7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May 27, 2015, BKIS entered into a credit and guaranty agreement (the “BKIS Credit Agreement”) with an aggregate borrowing capacity of $1.6 billion with JPMorgan Chase Bank, N.A. as administrative agent, the guarantors party thereto, the other agent's party thereto and the lenders party thereto. The BKIS Credit Agreement provides for (i) an $800 million term loan A facility (the “Term A Facility”), (ii) a $400 million term loan B facility (the “Term B Facility”) and (iii) a $400 million revolving credit facility (the “Revolving Credit Facility”, and collectively with the Term A Facility and Term B Facility, the “Facilities”). The loans under the Term A Facility and the Revolving Credit Facility mature on May 27, 2020 and the loans under the Term B Facility mature on May 27, 2022. The Facilities are guaranteed by substantially all of BKIS’s wholly-owned domestic restricted subsidiaries and Black Knight Financial Services, LLC, a Delaware limited liability company and the direct parent company of BKIS (“Holdings”), and are secured by associated collateral agreements which pledge a lien on virtually all of the BKIS’s assets, including fixed assets and intangibles, and the assets of the guarantors. The Term A Facility and the Revolving Credit Facility bear interest at rates based upon, at the option of BKIS, either (i) the base rate plus a margin of between 50 and 125 basis points depending on the total leverage ratio of Holdings and its restricted subsidiaries on a consolidated basis (the “Consolidated Leverage Ratio”) and</w:t>
      </w:r>
    </w:p>
    <w:p>
      <w:pPr>
        <w:spacing w:after="0" w:line="6" w:lineRule="exact"/>
        <w:rPr>
          <w:sz w:val="20"/>
          <w:szCs w:val="20"/>
          <w:color w:val="auto"/>
        </w:rPr>
      </w:pPr>
    </w:p>
    <w:p>
      <w:pPr>
        <w:jc w:val="both"/>
        <w:ind w:firstLine="8"/>
        <w:spacing w:after="0" w:line="286" w:lineRule="auto"/>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Eurodollar rate plus a margin of between 150 and 225 basis points depending on the Consolidated Leverage Ratio. Until the delivery of the initial financial statements under the BKIS Credit Agreement, the Term A Facility and the Revolving Credit Facility bear interest, at the option of BKIS, at either (i) the base rate plus a margin of 125 basis points or (ii) the Eurodollar rate plus a margin of 225 basis points. The Term B Facility bears interest at rates based upon, at the option of BKIS, either (i) the base rate plus a margin of 175 or 200 basis points depending on the Consolidated Leverage Ratio and (ii) the Eurodollar rate plus a margin of 275 or 300 basis points depending on the Consolidated Leverage Ratio; subject to a Eurodollar rate floor of 75 basis points. Until the delivery of the initial financial statements under the BKIS Credit Agreement, the Term B Facility bears interest, at the option of BKIS, at either (i) the base rate plus a margin of 200 basis points or (ii) the Eurodollar rate plus a margin of 300 basis points. In addition, BKIS will pay an unused commitment fee of between 25 and 35 basis points on the undrawn commitments under the Revolving Credit Facility, also depending on the Consolidated Leverage Ratio. As of December 31, 2015 BKIS had aggregate outstanding debt of $1,259 million under the BKIS Credit Agreement, net of debt issuance costs. As of December 31, 2015 we hold approximately$50 million of the outstanding Term B notes which eliminate in consolidation.</w:t>
      </w:r>
    </w:p>
    <w:p>
      <w:pPr>
        <w:spacing w:after="0" w:line="3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March 31, 2015, Digital Insurance, entered into a senior secured credit facility (the “Digital Insurance Facility”) with Bank of America, N.A. (“Bank of America”) as Administrative Agent, JPMorgan Chase Bank, N.A. as Syndication Agent, and the other financial institutions party thereto. The Digital Insurance Facility provides for a maximum revolving loan of up to$120 million with a maturity date of March 31, 2020. The Digital Insurance Facility is guaranteed by Digital Insurance Holdings, Inc. (“DIH”) and each subsidiary of Digital Insurance (together with DIH, the “Loan Parties”) and secured by (i) a lien on all equity interests in Digital Insurance and each of its present and future subsidiaries, (ii) all property and assets of Digital Insurance and (iii) all proceeds and products of the property described in (i) and (ii) above. Pricing under the Digital Insurance Facility is based on an applicable margin between 250 and 350 basis points over LIBOR and between 150 and 250 basis points over the Base Rate (which is the highest of (a) 50 basis points in excess of the federal funds rate, (b) the Bank of America “prime rate” and (c) 100 basis points in excess of the one month LIBOR adjusted daily rate). A commitment fee amount is also due at a rate per annum equal to between 25 and 40 basis points on the actual daily unused portions of the Digital Insurance Facility. The Digital Insurance Facility also allows Digital Insurance to request up to $15 million in letters of credit commitments and $10 million in swingline debt from Bank of America. The Digital Insurance Facility allows Digital Insurance to elect to increase the amount of revolving commitments by up to $40 million so long as (i) no default or event of default exists under the Digital Insurance Facility at the time of such request and (ii) Digital Insurance is in compliance with its financial covenants on a pro forma basis after giving effect to such request. The Digital Insurance facility is subject to affirmative, negative and financial covenants customary for financings of this type, including, among other things, limits on Digital Insurance’s creation of liens, incurrence of indebtedness, dispositions of assets, restricted payments and transactions with affiliates. The Digital Insurance Facility includes customary events of default for facilities of this type, which include a cross-default provision whereby an event of default will be deemed to have occurred if any Loan Party fails to make any payment when due in respect of any indebtedness having a principal amount of $7.5 million or more or otherwise defaults under such indebtedness and such default results in a right by the lender to accelerate such Loan Party’s obligations. As of December 31, 2015, Digital Insurance had outstanding debt of $99 million under the Digital Insurance Facility, net of debt issuance costs.</w:t>
      </w: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19, 2014, ABRH entered into a credit agreement (the “ABRH Credit Facility”) with Wells Fargo Bank, National Association as Administrative Agent, Swingline Lender and Issuing Lender (the “ABRH Administrative Agent”), Bank of America,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N.A. as Syndication Agent and the other financial institutions party thereto. The ABRH Credit Facility provides for a maximum revolving loan of $100 million (the “ABRH Revolver") with a maturity date of August 19, 2019. As of December 31, 2014, ABRH has nothing outstanding on this revolver.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has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amount is also due at a rate per annum equal to between 325 and 400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ABRH's creation of liens, sales of assets, incurrence of indebtedness, restricted payments and transactions with affiliates. The covenants addressing restricted payments 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$75 million if such dividend occurs on or before November 17, 2014, or up to $1.5 million if such dividend occurs on or before June 15, 2016. The ABRH Credit Facility includes customary events of default for 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ABRH had $15 million of outstanding letters of credit and $85 million of remaining borrowing capacity under its revolving credit facility as of December 31, 2015.</w:t>
      </w:r>
    </w:p>
    <w:p>
      <w:pPr>
        <w:spacing w:after="0" w:line="38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in 2023, initially issued by BKIS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Prior to October 15, 2017, BKIS may redeem some or all of the Black Knight Senior Notes by paying a “make-whole” premium based on U.S. Treasury rates. On or after October 15, 2017, BKIS may redeem some or all of the Black Knight Senior Notes at the redemption prices described in the Black Knight Senior Notes indenture, plus accrued and unpaid interest. In addition, if a change of control occurs, BKIS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BKIS's ability and the ability of certain of its subsidiaries (a) to incur or guarantee additional indebtedness or issue preferred stock, (b) to make certain restricted payments, including dividends or distributions on equity interests held by persons other than BKIS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BKIS or certain other subsidiaries, (ii) repay any debt or make any loans or advances to BKIS or certain other subsidiaries or (iii) transfer any property or assets to BKIS or certain other subsidiaries, (f) to sell or dispose of assets of BKIS or any restricted subsidiary or enter into merger or consolidation transactions and (g) to engage in certain transactions with affiliates. As a result of our guarantee of the Black Knight Senior Notes on January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8" w:name="page99"/>
    <w:bookmarkEnd w:id="9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BKIS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BKIS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BKIS or certain subsidiaries), the trustee or holders of at least 25% of the Black Knight Senior Notes then outstanding may accelerate the Black Knight Senior Notes by giving us appropriate notice. If, however, a bankruptcy default occurs with respect to BKIS or certain subsidiaries, then the principal of and accrued interest on the Black Knight Senior Notes then outstanding will accelerate immediately without any declaration or other act on the part of the trustee or any holder.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subsequently purchased by us on February 24, 2014. On May 29, 2015, Black Knight completed a redemption of $205 million in aggregate principal of its Black Knight Senior Notes at a price of 105.75% under the note feature allowing redemption using proceeds from an equity offering.</w:t>
      </w:r>
    </w:p>
    <w:p>
      <w:pPr>
        <w:spacing w:after="0" w:line="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October 24, 2013, we entered into a bridge loan commitment letter (the “Bridge Loan Commitment Letter”) with Merrill Lynch, Pierce, Fenner &amp; Smith Incorporated, Bank of America, N.A. (“Bank of America”), J.P. Morgan Securities LLC and JP Morgan Chase Bank, N.A. The Bridge Loan Commitment Letter provides for up to an $800 million short-term loan facility (the “Bridge Facility”). The proceeds of the loans under the Bridge Facility were used to fund, in part, the cash consideration for the acquisition of LPS and pay certain costs, fees and expenses in connection with the LPS merger. Pursuant to the Bridge Loan Commitment Letter, we executed a promissory note in favor of the Bridge Facility lenders on the closing date of the Merger that evidenced the terms of the Bridge Facility. The Bridge Facility matured on the second business day following the funding thereof and required scheduled amortization payments. Borrowings under the Bridge Facility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are substantially the same as the terms of the Amended Term Loan Agreement discussed below. As part of the acquisition of LPS on January 2, 2014, the Bridge Facility was funded and subsequently repaid the following day.</w:t>
      </w:r>
    </w:p>
    <w:p>
      <w:pPr>
        <w:spacing w:after="0" w:line="6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 On October 27, 2013, we amended the Term Loan Agreement to permit us to incur the indebtedness in respect of the Bridge Facility and incorporate other technical changes to describe the structure of the LPS merger. As part of the acquisition of LPS on January 2, 2014, the Term Loan Agreement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9" w:name="page100"/>
    <w:bookmarkEnd w:id="9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was fully funded. In May 2015 we repaid the entire $1.1 billion outstanding balance of the term loans outstanding under the Term Loan Agreement.</w:t>
      </w:r>
    </w:p>
    <w:p>
      <w:pPr>
        <w:spacing w:after="0" w:line="1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amended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0.5% in excess of the federal funds rate, (b) the Administrative Agent's “prime rate”, or (c) the sum of 1%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pay a facility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Old Credit Agreement, except that the total debt to total capitalization ratio limit of 35% increased to 37.5% for a period of one year after the closing of the LPS acquisition and the net worth test was reset. As of December 31, 2015 and 2014, there was no outstanding balance under the Revolving Credit Facility and $5 million and $7 million, respectively, in unamortized debt issuance costs.</w:t>
      </w:r>
    </w:p>
    <w:p>
      <w:pPr>
        <w:spacing w:after="0" w:line="2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5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100" w:name="page101"/>
    <w:bookmarkEnd w:id="10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Gross principal maturities of notes payable at December 31, 2015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2016</w:t>
            </w:r>
          </w:p>
        </w:tc>
        <w:tc>
          <w:tcPr>
            <w:tcW w:w="7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7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2018</w:t>
            </w:r>
          </w:p>
        </w:tc>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vMerge w:val="restart"/>
          </w:tcPr>
          <w:p>
            <w:pPr>
              <w:jc w:val="right"/>
              <w:ind w:right="4390"/>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Note K.</w:t>
            </w:r>
          </w:p>
        </w:tc>
        <w:tc>
          <w:tcPr>
            <w:tcW w:w="67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80" w:type="dxa"/>
            <w:vAlign w:val="bottom"/>
            <w:gridSpan w:val="3"/>
          </w:tcPr>
          <w:p>
            <w:pPr>
              <w:ind w:left="340"/>
              <w:spacing w:after="0"/>
              <w:rPr>
                <w:sz w:val="20"/>
                <w:szCs w:val="20"/>
                <w:color w:val="auto"/>
              </w:rPr>
            </w:pPr>
            <w:r>
              <w:rPr>
                <w:rFonts w:ascii="Arial" w:cs="Arial" w:eastAsia="Arial" w:hAnsi="Arial"/>
                <w:sz w:val="18"/>
                <w:szCs w:val="18"/>
                <w:color w:val="auto"/>
              </w:rPr>
              <w:t>Income tax expense on continuing operations consists of the following:</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Total income tax expense (benefit) was allocated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expense (benefit) attributable to net earnings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Other comprehensive earnings (loss):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Unrealized loss on investments and other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Arial" w:cs="Arial" w:eastAsia="Arial" w:hAnsi="Arial"/>
                <w:sz w:val="18"/>
                <w:szCs w:val="18"/>
                <w:color w:val="auto"/>
              </w:rPr>
              <w:t>Unrealized loss on foreign currency translation and cash flow hedging</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9"/>
              </w:rPr>
              <w:t>Reclassification adjustment for change in unrealized gains and losses included in net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tax benefit allocated to other comprehensive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Additional paid-in capital, stock-based compensation</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6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Tax exempt interest income</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6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Consolidated Partnerships</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Effective tax rate excluding equity investments</w:t>
            </w: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36.5 %</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Effective tax rate</w:t>
            </w:r>
          </w:p>
        </w:tc>
        <w:tc>
          <w:tcPr>
            <w:tcW w:w="3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2" w:name="page103"/>
    <w:bookmarkEnd w:id="10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significant components of deferred tax assets and liabilities at December 31, 2015 and 2014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2014</w:t>
            </w:r>
          </w:p>
        </w:tc>
      </w:tr>
      <w:tr>
        <w:trPr>
          <w:trHeight w:val="196"/>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reserve discounting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uncollectible accounts received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Pension plan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gross deferred tax asset</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deferred tax asset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Title plant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Partnerships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reserve discounting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received</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r>
      <w:tr>
        <w:trPr>
          <w:trHeight w:val="257"/>
        </w:trPr>
        <w:tc>
          <w:tcPr>
            <w:tcW w:w="9020" w:type="dxa"/>
            <w:vAlign w:val="bottom"/>
          </w:tcPr>
          <w:p>
            <w:pPr>
              <w:ind w:left="28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net deferred tax liability was $594 million and $703 million at December 31, 2015, and 2014, respectively. The significant changes in the deferred taxes are as follows: The deferred tax asset related to Other Investments increased by $97 million mainly due to recognition of tax gains recorded on our investment in Ceridian. The deferred tax liability for insurance reserve discounting increased by $54 million largely due to a reclassification of $28 million between other of $(18) million and allowance for uncollected accounts received of $(10) million. The $26 million increase in other related to current year activity in the claims reserves. The deferred tax liability for investment securities decreased by $24 million due to book changes in unrealized gains. The deferred tax liability relating to partnerships decreased by $11 million primarily due Black Knight and ServiceLink activity. The deferred tax liability on amortization increased by $10 million partially due to the Pacific Union acquisition.</w:t>
      </w:r>
    </w:p>
    <w:p>
      <w:pPr>
        <w:spacing w:after="0" w:line="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2015 and 2014 we had a valuation allowance of $12 million and $11 million, respectively. The increase of $1 million relates to net operating losses associated with the BPG acquisition.</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2015, we have net operating losses on a pretax basis of $79 million available to carryforward and offset future federal taxable income. The net operating losses are US federal net operating losses arising from LandAmerica, Digital Insurance, NextAce, LPS, BPG and Black Knight Financial Services, Inc. acquisitions made since 2008 and are subject to an annual Internal Revenue Code Section 382 limitation. These losses will begin to expire in year 2023 and we fully anticipate utilizing these losses prior to expiration with the exception of $3 million of gross net operating losses at BPG that are offset by a $1 million valuation allowance. Digital Insurance has a deferred tax asset for state net operating losses; however, it is largely offset by a $1 million valuation allowance.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3" w:name="page104"/>
    <w:bookmarkEnd w:id="10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2015 and 2014, we had $43 million and $44 million of tax credits, respectively. The credits primarily consist of general business credits from acquisitions in the Restaurant Group. We anticipate that these credits will be utilized prior to expiration after a valuation allowance of $10 million on the general business credits.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Tax benefits of $21 million, $16 million, and $17 million associated with the exercise of employee stock options and the vesting of restricted stock grants were allocated to equity for the years ended December 31, 2015, 2014, and 2013, respectively.</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2015 and 2014, we had approximately $3 million (including interest of less than $1 million) and $5 million (including interest of $1 million), respectively,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Internal Revenue Service (“IRS”) has selected us to participate in the Compliance Assurance Program that is a real-time audit. We are currently under audit by the Internal Revenue Service for the 2013, 2014, 2015 and 2016 tax years. We file income tax returns in various foreign and US state jurisdictions.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L.</w:t>
            </w:r>
          </w:p>
        </w:tc>
        <w:tc>
          <w:tcPr>
            <w:tcW w:w="634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Reserve assumed, net (1)</w:t>
            </w:r>
          </w:p>
        </w:tc>
        <w:tc>
          <w:tcPr>
            <w:tcW w:w="30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Reinsurance recoverable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Claim loss provision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Current year</w:t>
            </w:r>
          </w:p>
        </w:tc>
        <w:tc>
          <w:tcPr>
            <w:tcW w:w="6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title claim loss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Current year</w:t>
            </w:r>
          </w:p>
        </w:tc>
        <w:tc>
          <w:tcPr>
            <w:tcW w:w="6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97"/>
        </w:trPr>
        <w:tc>
          <w:tcPr>
            <w:tcW w:w="75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51"/>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Reserves of $54 million were acquired in the acquisition of LPS on January 2, 2014, and a reserve of $2 million was released due to the sale of a small title operation in 2014.</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 As a result of continued volatility experienced in claim development on policy years 2005 - 2008, we believe there is an increased level of uncertainty attributable to these policy years.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1" w:right="239" w:bottom="1440" w:gutter="0" w:footer="0" w:header="0"/>
          <w:type w:val="continuous"/>
        </w:sectPr>
      </w:pPr>
    </w:p>
    <w:bookmarkStart w:id="104" w:name="page105"/>
    <w:bookmarkEnd w:id="10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class action lawsuits, which make allegations related to aspects of our insurance operations. We believe that no actions, other than the matters discussed below, depart from customary litigation incidental to our insurance business.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$75 million and $95 million as of December 31, 2015 and December 31, 2014. Of this accrual, $67 million and $84 million relates to historical LPS matters as of December 31, 2015 and 2014, respectively. As discussed elsewhere, LPS was acquired on January 2,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Following a review by the Board of Governors of the Federal Reserve System, the Federal Deposit Insurance Corporation, the Office of the Comptroller of the Currency and the Office of Thrift Supervision (collectively, the “banking agencies”), Lender Processing Services, Inc. (“LPS”) entered into a consent order (the “Order”) dated April 13, 2011 with the banking agencies. The banking agencies’ review of LPS’s services included the services provided by LPS’s default operations to mortgage servicers regulated by the banking agencies, including document execution services. The Order does not make any findings of fact or conclusions of wrongdoing, nor did LPS admit any fault or liability. Under the Order, LPS agreed to further study the issues identified in the review and to enhance LPS’s compliance, internal audit, risk management and board oversight plans with respect to those businesses. LPS also agreed to engage an independent third party to conduct a risk assessment and review of LPS’s default management businesses and the document execution services it provided to mortgage servicers from January 1, 2008 through December 31, 2010.</w:t>
      </w:r>
    </w:p>
    <w:p>
      <w:pPr>
        <w:spacing w:after="0" w:line="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will continue to take longer to complete than the Company originally anticipated. In addition, the LPS default operations that were subject to the Order were contributed to ServiceLink Holdings, LLC (“ServiceLink”) in connection with the LPS Acquisition and Reorganization. To the extent such review, once completed, requires additional remediation of mortgage documents or identifies any financial injury from the document execution services LPS provided, ServiceLink (as a result of the contribution of the underlying LPS business) has agreed to implement an appropriate plan to address the issues. The Order contains various deadlines to accomplish the undertakings set forth therein, including the preparation of a remediation plan following the completion of the document execution review. ServiceLink will continue to make periodic reports to the banking agencies on the progress with respect to each of the undertakings in the Order. Although the Order does not include any fine or other monetary penalty, the banking agencies reserved their right to impose civil monetary penalties at any time. Based on discussions with the banking agencies and actions taken by the banking agencies with respect to other companies, the Company believes the likelihood that the banking agencies will assess a civil monetary penalty is both probable and reasonably estimable, and ServiceLink Holdings, LLC has included an estimate of such loss in its accrual for loss contingencies. The banking agencies notified ServiceLink in December 2015 that they wish to discuss terminating the Order through a possible agreed civil monetary penalty amount in lieu of requiring any additional document execution review by the independent third party. At this time, the parties have not agreed on a possible civil monetary penalty amount. The Company does not believe an adjustment to the amount already accrued in loss contingencies is warranted based upon discussions thus far. The parties have entered into a tolling agreement to allow the parties to engage in these discussions. This matter is subject to a Cross-Indemnity Agreement dated December 22, 2014, between Black Knight Financial Services, LLC and ServiceLink Holdings, LLC.</w:t>
      </w:r>
    </w:p>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$14.3 billion at December 31, 2015. As a result of holding these customers’ assets in escrow, we have ongoing programs for realizing economic benefits during the year through favorable borrowing and vendor arrangements with various banks. There were no investments or loans outstanding as of December 31, 2015 and 2014 related to these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30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 expense incurred under operating leases during the years ended December 31, 2015, 2014 and 2013 was $136 million, $130 million, and $194 million, respectively. Rent expense in 2015, 2014, and 2013 includes abandoned lease charges related to office closures of $1 million, $4 million, and $1 million, respectively.</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29, 2004 we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lessor financed the acquisition of the facilities through funding provided by third-party financial institutions. On June 27, 2011, we renewed and amended the synthetic lease for the facilities. The amended lease provides for a five year term ending June 27, 2016 and had an outstanding balance as of December 31, 2015 of $71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We are currently in the process of exploring our options for purchasing the facilities or renewing the lease, but have not finalized our plans.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2015 to determine the amount of the obligations. Black Knight has data processing and maintenance commitments with various vendors. We used current outstanding contracts with the vendors to determine the amount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1028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59"/>
        </w:trPr>
        <w:tc>
          <w:tcPr>
            <w:tcW w:w="10280" w:type="dxa"/>
            <w:vAlign w:val="bottom"/>
          </w:tcPr>
          <w:p>
            <w:pPr>
              <w:ind w:left="340"/>
              <w:spacing w:after="0"/>
              <w:rPr>
                <w:sz w:val="20"/>
                <w:szCs w:val="20"/>
                <w:color w:val="auto"/>
              </w:rPr>
            </w:pPr>
            <w:r>
              <w:rPr>
                <w:rFonts w:ascii="Arial" w:cs="Arial" w:eastAsia="Arial" w:hAnsi="Arial"/>
                <w:sz w:val="18"/>
                <w:szCs w:val="18"/>
                <w:color w:val="auto"/>
              </w:rPr>
              <w:t>Purchase obligations as of December 31, 2015 are as follows (in millions):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10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commitments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Regulation and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2015, the combined statutory unearned premium reserve required and reported for our title insurers was $1,728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2015, $2,049 million of our net assets are restricted from dividend payments without prior approval from the Departments of Insurance. During 2016, our title insurers can pay or make distributions to us of approximately $334 million, without prior approval.</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$1,412 million and $1,472 million as of December 31, 2015 and 2014, respectively. The combined statutory net earnings (losses) of our title insurance subsidiaries were $381 million, $276 million, and $352 million for the years ended December 31, 2015, 2014, and 2013, respectively.</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 Practices and Procedures</w:t>
      </w:r>
      <w:r>
        <w:rPr>
          <w:rFonts w:ascii="Arial" w:cs="Arial" w:eastAsia="Arial" w:hAnsi="Arial"/>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2015 and 2014, respectively, was lower by approximately $206 million and $212 million than if we had reported such amounts in accordance with NAIC SAP.</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2015.</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2015.</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 LLC. Following the IPO, we owned 55% of the outstanding shares of Black Knight in the form of Class B common stock, with a corresponding ownership interest in BKFS, LLC.</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In the year ended December 31, 2015, we repurchased a total of 8,187,382 shares for $106 million, or an average of $12.95 per share under this program. Subsequent to year-end we repurchased a total of 1,143,900 shares for $11 million, or an average of $9.71 per share under this program through market close on February 19, 2016. Since the original commencement of the plan adopted November 6, 2014, we have repurchased a total of 9,447,382 shares for $119 million, or an average of $12.57 per share, and there are 552,618 shares available to be repurchased under this program through market close on February 19, 2016. 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January 2, 2014, we completed the purchase of LPS. As part of the consideration, $839 million or 25,920,078 shares of Old FNF common stock was issued to LPS shareholders. See Note B of the Notes to Consolidated Financial Statements for further information on the acquisition of LPS.</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21, 2012, our Board of Directors approved a three-year stock repurchase program, effective August 1, 2012, under which we can repurchase up to 15 million shares of our FNF Group common stock through July 31, 2015. On July 20, 2015, our Board of Directors approved a new three-year stock repurchase program under which we can purchase up to 25 million shares through July 30, 2018. We may make repurchases from time to time in the open market, in block purchases or in privately negotiated transactions, depending on market conditions and other factors. In the year ended December 31, 2015, we repurchased a total 5,875,000 FNF Group shares under these programs for $214 million, or an average price of $36.41 per share. Subsequent to year-end we repurchased a total of 500,000 shares for $17 million, or an average of $33.19 per share under this program through market on February 19, 2016. Since the original commencement of the plan adopted July 21, 2012, we have repurchased a total of 3,380,000 FNF common shares for $98 million, or an average of $28.97 per share, and there are no shares available to be repurchased under this program. Since the original commencement of the plan adopted July 20, 2015, we have repurchased a total of 5,075,000 FNF common shares for $182 million, or an average of $35.92 per share, and there are 19,925,000 shares available to be repurchased under this program.</w:t>
      </w:r>
    </w:p>
    <w:p>
      <w:pPr>
        <w:spacing w:after="0" w:line="200" w:lineRule="exact"/>
        <w:rPr>
          <w:sz w:val="20"/>
          <w:szCs w:val="20"/>
          <w:color w:val="auto"/>
        </w:rPr>
      </w:pP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2015,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$21 million, $18 million, and $17 million to the ESPPs in the years ended December 31, 2015, 2014, and 2013, respectively, in accordance with the employer’s matching contribution.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three-year period ended December 31, 2015, we have offered our employees the opportunity to participate in our 401(k) profit sharing plans (the “401(k) Plan”), qualified voluntary contributory savings plans which are available to substantially all of our employees. Eligible employees may contribute up to 40% of their pretax annual compensation, up to the amount allowed pursuant to the Internal Revenue Code. Beginning in 2012, we initiated an employer match on the 401(k) Plan whereby we matched $0.25 on each $1.00 contributed up to the first 6% of eligible earnings contributed to the 401(k) Plan. Effective April 1, 2013, we increased the employer match from $0.25 to $0.375 on each $1.00 contributed up to the first 6% of eligible earnings contributed to the 401 (k) Plan. On June 30, 2014, we completed the recapitalization of Old FNF common stock into two tracking stocks, FNF Group common stock and FNFV Group common stock. Participants in the FNF 401(k) Plan received one share of FNF Group Common Stock and 0.3333 of a share of FNFV Group Common Stock for each share of Old FNF common stock that they held at the close of business on June 30, 2014. The employer match for the years ended December 31, 2015, 2014 and 2013 was $28 million, $25 million and $17 million, respectively, that was credited to the FNF Stock Fund in the FNF 401(k) Plan, through July 1, 2014. Subsequent to July 1, 2014, the employer match has been credited based on the participant's individual investment elections.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2005, we established the FNT 2005 Omnibus Incentive Plan (the “Omnibus Plan”) authorizing the issuance of up to 8 million shares of common stock, subject to the terms of the Omnibus Plan. On October 23, 2006, the shareholders of FNF approved an amendment to increase the number of shares available for issuance under the Omnibus Plan by 16 million shares. The increase was in part to provide capacity for options and restricted stock to be issued to replace Old FNF options and restricted stock. On May 29, 2008, May 25, 2011 and May 22, 2013, the shareholders of FNF approved amendments to increase the number of shares for issuance under the Omnibus Plan by 11 million, 6 million, and 6 million shares, respectively. The primary purpose of the increase was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2015, there were 1,391,874 shares of restricted stock and 9,300,509 stock options outstanding under this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trading symbol "FNF," and 0.3333 of a share of FNFV Group common stock. All participants in the stock option and restricted stock plans at the time of the recapitalization were granted a one-time grant of additional FNF Group options and restricted shares. The grant was made in order for each participant to maintain their current intrinsic value in the plan. This one-time grant did not result in any additional compensation for the employees participating in the plan. Awards granted are determined and approved by the Compensation Committee of the Board of Directors.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stock option transactions under the Omnibus Plan for 2013, 2014, and 2015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w:t>
            </w:r>
          </w:p>
        </w:tc>
        <w:tc>
          <w:tcPr>
            <w:tcW w:w="100" w:type="dxa"/>
            <w:vAlign w:val="bottom"/>
          </w:tcPr>
          <w:p>
            <w:pPr>
              <w:spacing w:after="0"/>
              <w:rPr>
                <w:sz w:val="14"/>
                <w:szCs w:val="14"/>
                <w:color w:val="auto"/>
              </w:rPr>
            </w:pPr>
          </w:p>
        </w:tc>
        <w:tc>
          <w:tcPr>
            <w:tcW w:w="13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8,967,074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8,147,381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3,712,416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(52,813)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9,358,740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5,180,504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1,112,133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granted for FNFV recapitalization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(2,418,713)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9,393,211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19.43</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5,173,802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(1,966,937)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9,300,509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23.92</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5,256,426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restricted stock transactions under the Omnibus Plan in 2013, 2014, and 2015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2,924,738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(1,654,278)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Balance, December 31, 2013</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1,913,072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785,705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Restricted shares granted for FNFV recapitalization</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363,392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(1,286,732)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1,770,781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613,960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(982,762)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1,391,874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FNFV restricted stock transactions under the Omnibus Plan in 2014 and 2015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12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7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1,233,333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2014</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1,233,333</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(31,746)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(411,109)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2015</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790,478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5"/>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60" w:type="dxa"/>
            <w:vAlign w:val="bottom"/>
          </w:tcPr>
          <w:p>
            <w:pPr>
              <w:spacing w:after="0"/>
              <w:rPr>
                <w:sz w:val="23"/>
                <w:szCs w:val="2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Intrinsic</w:t>
            </w:r>
          </w:p>
        </w:tc>
        <w:tc>
          <w:tcPr>
            <w:tcW w:w="1240" w:type="dxa"/>
            <w:vAlign w:val="bottom"/>
          </w:tcPr>
          <w:p>
            <w:pPr>
              <w:jc w:val="right"/>
              <w:ind w:right="255"/>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240" w:type="dxa"/>
            <w:vAlign w:val="bottom"/>
          </w:tcPr>
          <w:p>
            <w:pPr>
              <w:jc w:val="right"/>
              <w:ind w:right="315"/>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$6.16</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1,100,006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1,100,006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$6.17 — $12.22</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453,856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453,856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$12.23 — $15.76</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28,537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28,537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$15.77 — $18.17</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28,547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28,547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$18.18 — $21.90</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705,212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705,212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$21.91 — $24.24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4,009,334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2,589,192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$24.25 — $34.84</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2,975,017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351,076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9,300,509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5,256,426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attributable to FNF Shareholders reflects stock-based compensation expense amounts of $56 million for the year ended December 31, 2015, $51 million for the year ended December 31, 2014, and $35 million for the year ended December 31, 2013, which are included in personnel costs in the reported financial results of each period.</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risk free interest rates used in the calculation of compensation cost on stock options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2015, 2014, and 2013, we used risk free interest rates of 1.4%, 1.5%, and 1.1%, respectively; volatility factors for the expected market price of the common stock of 22%, 24%, and 26%, respectively; expected dividend yields of 2.4%, 2.6%, and 2.6%, respectively; and weighted average expected lives of 4.6 years, 4.6 years, and 4.4 years, respectively. The weighted average fair value of each option granted in the years ended December 31, 2015, 2014, and 2013, were $5.15, $4.81, and $4.67, respectively.</w:t>
      </w:r>
    </w:p>
    <w:p>
      <w:pPr>
        <w:spacing w:after="0" w:line="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2015, the total unrecognized compensation cost related to non-vested stock option grants and restricted stock grants is $67 million, which is expected to be recognized in pre-tax income over a weighted average period of 1.59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Profits Interests Plan</w:t>
      </w:r>
    </w:p>
    <w:p>
      <w:pPr>
        <w:spacing w:after="0" w:line="9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of December 31, 2015 there were 11 million profits interests outstanding in ServiceLink and no profits interest outstanding in Black Knight. As of December 31, 2014, there were 11 million profits interest outstanding in both ServiceLink and Black Knight. The profits interests were issued to certain members of management, directors, and certain employees, and vest over 3 years, with 50% vesting after the second year and 50% vesting after the third year. The terms of the profits interest grants provide for the grantees to participate in any incremental value of Black Knight and ServiceLink in excess of its fair value at the date of grant in proportion to the Class A member unit holders participation in the same. The fair values of Black Knight and ServiceLink at the date of grant is otherwise known as the hurdle amount. Profits interests granted are determined and approved by the Compensation Committee of the Board of Directors. Once vested, Class B units are not subject to expiration. The Class B units may be settled under various scenarios. According to the terms of the Profits Interest Plan (or the “Plan”) and depending on the scenario, the Class B units may be settled in shares of FNF Group common stock or cash at our election. The profits interest in Black Knight were converted to restricted stock units upon their IPO in the current year.</w:t>
      </w:r>
    </w:p>
    <w:p>
      <w:pPr>
        <w:spacing w:after="0" w:line="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profits interest holders have an option to put their profits interests to us if no public offering of the corresponding businesses has been consummated after four years from the date of grant. The units may be settled in cash or FNF Group common stock or a combination of both at our election and will be settled at the current fair value at the time we receive notice of the put election. The fair value will be determined by the parties or by a third party appraisal under the terms of the Plan. As the profits interests provide for redemption features not solely within our control, we classify the redemption value outside of permanent equity in redeemable noncontrolling interests. The redemption value is equal to the difference in the per unit fair value of the underlying member units and the hurdle amount, based upon the proportionate required service period rendered to date.</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the profits interests granted to employees and directors in accordance with GAAP on share-based payments, which requires that compensation cost relating to share-based payments made to employees and directors be recognized in the consolidated financial statements based on the fair value of each award. Using the fair value method of accounting, compensation cost is measured based on the fair value of the award at the grant date and recognized over the service period. We utilized the Black-Scholes model to calculate the fair value of the profits interests’ awards on the date of grant (“Calculation”).</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hurdle rate as of the date of grant was used to determine the per unit strike price for the Calculation. The risk free interest rates used in the calculation of the fair value of profits interests are the rates that correspond to the weighted average expected life of the profits interests. The volatility was estimated based on the historical volatility of Black Knight and ServiceLink peers and of the historical LPS stock price over a term equal to the weighted average expected life of the profits interests. We used a weighted average risk free interest rate of 1.06%, a volatility factor for the expected market price of the member units of 33.3% and a weighted average expected life of 3.5 years with a discount of 22.0% for lack of marketability, resulting in a weighted average fair value of $2.04 per profits interests unit granted. There was no redemption value of the outstanding profits interests as of December 31, 2015 as the fair value of ServiceLink was less than the hurdle rate.</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Profits interest expense is included in Personnel costs in the Consolidated Statements of Earnings and Non-controlling interest in the Consolidated Statements of Equity. Net earnings from continuing operations reflect profits interest expense of $13 million and $14 million for the years ended December 31, 2015 and December 31, 2014, respectively.</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2015, the total unrecognized compensation cost related to non-vested profits interests grants is $8 million which is expected to be recognized in pre-tax income over a weighted average period of 1 year.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Plans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net pension liability included in Accounts payable and other accrued liabilities as of December 31, 2015, and 2014 was $13 million and $14 million, respectively. The discount rate used to determine the benefit obligation as of the years ended December 31, 2015 and 2014 was 3.72% and 3.37%, respectively. As of the years ended December 31, 2015 and 2014 the projected benefit obligation was $172 million and $185 million, respectively, and the fair value of plan assets was $159 million and $171 million, respectively. The net periodic expense included in the results of operations relating to these plans was $8 million, $6 million, and $9 million for the years ended December 31, 2015, 2014, and 2013, respectively.</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12" w:name="page113"/>
    <w:bookmarkEnd w:id="11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and Other Nonqualified Employee Benefit Plans</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assumed certain health care and life insurance benefits for retired Chicago Title employees in connection with the FNF merger with Chicago Title. Beginning on January 1, 2001, these benefits were offered to all employees who met specific eligibility requirements. Additionally, in connection with the acquisition of LandAmerica Financial Group's two principal title insurance underwriters, Commonwealth Land Title Insurance Company and Lawyers Title Insurance Corporation, as well as United Capital Title Insurance Company (collectively,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$17 million at December 31, 2015 and $20 million at December 31, 2014. The net costs relating to these plans were immaterial for the years ended December 31, 2015, 2014, and 2013.</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Supplementary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43"/>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Liabilities assumed in connection with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Fair value of net assets acquired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Less: Total purchase price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Liabilities assumed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purchases payable at period end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California, Texas, New York and Florida.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Black Knight generates a significant amount of revenue from large customers, including a large customer that accounted for 12.0% of total revenue in the year ended December 31, 2015 and two large customers that accounted for 13.5% and 11.8% of total revenue, respectively, in the year ended December 31, 2014.</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and trade receivables.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4" w:name="page115"/>
    <w:bookmarkEnd w:id="11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fourth quarter of 2013, we determined that the Corporate and Other segment would be split in order to differentiate operations and costs related to our FNF Core businesses from those associated with FNFV. As a result, we reorganized our reporting segments to reflect this change.</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 2014, we acquired LPS. As a result we created a new segment in 2014, Black Knight, which contains the technology, data and analytics operations of the former LPS company. We have combined the acquired transaction services business of LPS with our existing ServiceLink operations which reside in the Title segment.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fourth quarter of 2015, we determined that Pacific Union International, Inc. ("Pacific Union"), a luxury real estate broker based in California in which we acquired a controlling stake in December 2014, better aligned with the businesses within our FNF Core Corporate and Other segment. Because of the timing of the acquisition, we did not record any of the results of the operations of Pacific Union in 2014. Pacific Union's Total assets of $48 million and Goodwill of $40 million as of December 31, 2014 were previously included in the Title segment, but have been reclassified to the FNF Core Corporate and Other segment in the tables below.</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Summarized financial information concerning our reportable segments is shown in the following tables. There are several intercompany corporate related arrangements between our various FNF Core businesses. The effects of these arrangements including intercompany notes and related interest and any other non-operational intercompany revenues and expenses have been eliminated in the segment presentations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4,286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4,286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3,121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3,324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1,412</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6,291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185</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7,407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1,615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9,022</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127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110</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6,428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7,534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1,393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9,132</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867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310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552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577</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8,533</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3,703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266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12,502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1,429</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13,931</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5" w:name="page116"/>
    <w:bookmarkEnd w:id="11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Black Knight</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3,671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3,671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1,855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2,694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2,804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1,436</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5,526</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6,365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1,546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7,911</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5,644</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6,490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1,423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1,534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8,024</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392</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Earnings (loss) from continuing operations, before equity in earnings</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432</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8,250</w:t>
            </w:r>
          </w:p>
        </w:tc>
        <w:tc>
          <w:tcPr>
            <w:tcW w:w="120" w:type="dxa"/>
            <w:vAlign w:val="bottom"/>
          </w:tcPr>
          <w:p>
            <w:pPr>
              <w:spacing w:after="0"/>
              <w:rPr>
                <w:sz w:val="18"/>
                <w:szCs w:val="18"/>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11,926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1,919</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13,845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FNFV</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1"/>
              </w:rPr>
              <w:t>FNF Core</w:t>
            </w:r>
          </w:p>
        </w:tc>
        <w:tc>
          <w:tcPr>
            <w:tcW w:w="72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auto"/>
              </w:rPr>
              <w:t>Total FNF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6"/>
              </w:rPr>
              <w:t>Corporate</w:t>
            </w:r>
          </w:p>
        </w:tc>
        <w:tc>
          <w:tcPr>
            <w:tcW w:w="100" w:type="dxa"/>
            <w:vAlign w:val="bottom"/>
          </w:tcPr>
          <w:p>
            <w:pPr>
              <w:spacing w:after="0"/>
              <w:rPr>
                <w:sz w:val="11"/>
                <w:szCs w:val="11"/>
                <w:color w:val="auto"/>
              </w:rPr>
            </w:pPr>
          </w:p>
        </w:tc>
        <w:tc>
          <w:tcPr>
            <w:tcW w:w="5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00"/>
              <w:spacing w:after="0" w:line="131" w:lineRule="exact"/>
              <w:rPr>
                <w:sz w:val="20"/>
                <w:szCs w:val="20"/>
                <w:color w:val="auto"/>
              </w:rPr>
            </w:pPr>
            <w:r>
              <w:rPr>
                <w:rFonts w:ascii="Arial" w:cs="Arial" w:eastAsia="Arial" w:hAnsi="Arial"/>
                <w:sz w:val="13"/>
                <w:szCs w:val="13"/>
                <w:color w:val="auto"/>
                <w:w w:val="86"/>
              </w:rPr>
              <w:t>Corporate and</w:t>
            </w: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1" w:lineRule="exact"/>
              <w:rPr>
                <w:sz w:val="20"/>
                <w:szCs w:val="20"/>
                <w:color w:val="auto"/>
              </w:rPr>
            </w:pPr>
            <w:r>
              <w:rPr>
                <w:rFonts w:ascii="Arial" w:cs="Arial" w:eastAsia="Arial" w:hAnsi="Arial"/>
                <w:sz w:val="13"/>
                <w:szCs w:val="13"/>
                <w:color w:val="auto"/>
                <w:w w:val="84"/>
              </w:rPr>
              <w:t>Restaurant</w:t>
            </w:r>
          </w:p>
        </w:tc>
        <w:tc>
          <w:tcPr>
            <w:tcW w:w="90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and Other (1),</w:t>
            </w: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Title</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5"/>
              </w:rPr>
              <w:t>Other</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Core</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FNFV</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4,152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4,152</w:t>
            </w:r>
          </w:p>
        </w:tc>
        <w:tc>
          <w:tcPr>
            <w:tcW w:w="0" w:type="dxa"/>
            <w:vAlign w:val="bottom"/>
          </w:tcPr>
          <w:p>
            <w:pPr>
              <w:spacing w:after="0"/>
              <w:rPr>
                <w:sz w:val="1"/>
                <w:szCs w:val="1"/>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160" w:type="dxa"/>
            <w:vAlign w:val="bottom"/>
          </w:tcPr>
          <w:p>
            <w:pPr>
              <w:spacing w:after="0"/>
              <w:rPr>
                <w:sz w:val="22"/>
                <w:szCs w:val="22"/>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rPr>
              <w:t>1,650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1,737</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1"/>
              </w:rPr>
              <w:t>1,408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1,408</w:t>
            </w:r>
          </w:p>
        </w:tc>
        <w:tc>
          <w:tcPr>
            <w:tcW w:w="0" w:type="dxa"/>
            <w:vAlign w:val="bottom"/>
          </w:tcPr>
          <w:p>
            <w:pPr>
              <w:spacing w:after="0"/>
              <w:rPr>
                <w:sz w:val="1"/>
                <w:szCs w:val="1"/>
                <w:color w:val="auto"/>
              </w:rPr>
            </w:pPr>
          </w:p>
        </w:tc>
      </w:tr>
      <w:tr>
        <w:trPr>
          <w:trHeight w:val="250"/>
        </w:trPr>
        <w:tc>
          <w:tcPr>
            <w:tcW w:w="572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5,802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1,495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7,297</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5,894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5,943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1,407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1"/>
              </w:rPr>
              <w:t>1,497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7,440</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63"/>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656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616</w:t>
            </w:r>
          </w:p>
        </w:tc>
        <w:tc>
          <w:tcPr>
            <w:tcW w:w="0" w:type="dxa"/>
            <w:vAlign w:val="bottom"/>
          </w:tcPr>
          <w:p>
            <w:pPr>
              <w:spacing w:after="0"/>
              <w:rPr>
                <w:sz w:val="1"/>
                <w:szCs w:val="1"/>
                <w:color w:val="auto"/>
              </w:rPr>
            </w:pPr>
          </w:p>
        </w:tc>
      </w:tr>
      <w:tr>
        <w:trPr>
          <w:trHeight w:val="194"/>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25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Earnings (loss) from continuing operations, before equity in earnings of unconsolidated affiliates</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421</w:t>
            </w: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20" w:type="dxa"/>
            <w:vAlign w:val="bottom"/>
          </w:tcPr>
          <w:p>
            <w:pPr>
              <w:ind w:left="40"/>
              <w:spacing w:after="0"/>
              <w:rPr>
                <w:sz w:val="20"/>
                <w:szCs w:val="20"/>
                <w:color w:val="auto"/>
              </w:rPr>
            </w:pPr>
            <w:r>
              <w:rPr>
                <w:rFonts w:ascii="Arial" w:cs="Arial" w:eastAsia="Arial" w:hAnsi="Arial"/>
                <w:sz w:val="14"/>
                <w:szCs w:val="14"/>
                <w:color w:val="auto"/>
              </w:rPr>
              <w:t>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6,762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1,130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9"/>
              <w:spacing w:after="0"/>
              <w:rPr>
                <w:sz w:val="20"/>
                <w:szCs w:val="20"/>
                <w:color w:val="auto"/>
              </w:rPr>
            </w:pPr>
            <w:r>
              <w:rPr>
                <w:rFonts w:ascii="Arial" w:cs="Arial" w:eastAsia="Arial" w:hAnsi="Arial"/>
                <w:sz w:val="14"/>
                <w:szCs w:val="14"/>
                <w:b w:val="1"/>
                <w:bCs w:val="1"/>
                <w:color w:val="auto"/>
              </w:rPr>
              <w:t>7,892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1,946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49"/>
              <w:spacing w:after="0"/>
              <w:rPr>
                <w:sz w:val="20"/>
                <w:szCs w:val="20"/>
                <w:color w:val="auto"/>
              </w:rPr>
            </w:pPr>
            <w:r>
              <w:rPr>
                <w:rFonts w:ascii="Arial" w:cs="Arial" w:eastAsia="Arial" w:hAnsi="Arial"/>
                <w:sz w:val="14"/>
                <w:szCs w:val="14"/>
                <w:b w:val="1"/>
                <w:bCs w:val="1"/>
                <w:color w:val="auto"/>
                <w:w w:val="91"/>
              </w:rPr>
              <w:t>2,616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b w:val="1"/>
                <w:bCs w:val="1"/>
                <w:color w:val="auto"/>
                <w:w w:val="97"/>
              </w:rPr>
              <w:t>10,508</w:t>
            </w:r>
          </w:p>
        </w:tc>
        <w:tc>
          <w:tcPr>
            <w:tcW w:w="0" w:type="dxa"/>
            <w:vAlign w:val="bottom"/>
          </w:tcPr>
          <w:p>
            <w:pPr>
              <w:spacing w:after="0"/>
              <w:rPr>
                <w:sz w:val="1"/>
                <w:szCs w:val="1"/>
                <w:color w:val="auto"/>
              </w:rPr>
            </w:pPr>
          </w:p>
        </w:tc>
      </w:tr>
      <w:tr>
        <w:trPr>
          <w:trHeight w:val="276"/>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1,901</w:t>
            </w:r>
          </w:p>
        </w:tc>
        <w:tc>
          <w:tcPr>
            <w:tcW w:w="0" w:type="dxa"/>
            <w:vAlign w:val="bottom"/>
          </w:tcPr>
          <w:p>
            <w:pPr>
              <w:spacing w:after="0"/>
              <w:rPr>
                <w:sz w:val="1"/>
                <w:szCs w:val="1"/>
                <w:color w:val="auto"/>
              </w:rPr>
            </w:pPr>
          </w:p>
        </w:tc>
      </w:tr>
      <w:tr>
        <w:trPr>
          <w:trHeight w:val="218"/>
        </w:trPr>
        <w:tc>
          <w:tcPr>
            <w:tcW w:w="5720" w:type="dxa"/>
            <w:vAlign w:val="bottom"/>
          </w:tcPr>
          <w:p>
            <w:pPr>
              <w:spacing w:after="0"/>
              <w:rPr>
                <w:sz w:val="20"/>
                <w:szCs w:val="20"/>
                <w:color w:val="auto"/>
              </w:rPr>
            </w:pPr>
            <w:r>
              <w:rPr>
                <w:rFonts w:ascii="Arial" w:cs="Arial" w:eastAsia="Arial" w:hAnsi="Arial"/>
                <w:sz w:val="18"/>
                <w:szCs w:val="18"/>
                <w:color w:val="auto"/>
              </w:rPr>
              <w:t>______________</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(1) Assets in 2013 also included $1,255 million for Remy, which is now presented as discontinued operations.</w:t>
      </w:r>
    </w:p>
    <w:p>
      <w:pPr>
        <w:sectPr>
          <w:pgSz w:w="11900" w:h="16838" w:orient="portrait"/>
          <w:cols w:equalWidth="0" w:num="1">
            <w:col w:w="11420"/>
          </w:cols>
          <w:pgMar w:left="240" w:top="121"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1" w:right="239" w:bottom="1440" w:gutter="0" w:footer="0" w:header="0"/>
          <w:type w:val="continuous"/>
        </w:sectPr>
      </w:pPr>
    </w:p>
    <w:bookmarkStart w:id="116" w:name="page117"/>
    <w:bookmarkEnd w:id="116"/>
    <w:p>
      <w:pPr>
        <w:spacing w:after="0" w:line="6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Goodwill in 2013 also included $248 million or Remy, which is now presented as discontinued operations.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title-related services used in the production and management of mortgage loans, including mortgage loans that experience default.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segment consists of the operations of the parent holding company, certain other unallocated corporate overhead expenses, and other smaller real estate and insurance-related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segment consists of the operations of ABRH, in which we have a 55% ownership interest. ABRH and its affiliates are the owners and operators of the O'Charley's, Ninety Nine Restaurants, Max &amp; Erma's, Village Inn, Bakers Square, and Legendary Baking concepts. This segment also includes the results of J. Alexander's, Inc. ("J. Alexander's") through September 28, 2015, the date it was distributed to FNFV shareholders. On January 25, 2016, substantially all of the assets of the Max &amp; Erma's restaurant concept were sold pursuant to an Asset Purchase Agreement.</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primarily consists of our share in the operations of certain equity investments, including Ceridian, as well as consolidated investments, including Digital Insurance in which we own 96%, and other smaller operations which are not title related.</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This ASU provides a new comprehensive revenue recognition model that requires companies to recognize revenue to depict the transfer of goods or 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We are evaluating the effect this new guidance will have on our consolidated financial statements and related disclosures. We have not yet selected a transition method nor have we determined the effect of the standard on our ongoing financial reporting. Upon issuance of ASU 2015-14, the effective date of ASU 2014-09 was deferred to annual and interim periods beginning on or after December 15, 2017.</w:t>
      </w:r>
    </w:p>
    <w:p>
      <w:pPr>
        <w:spacing w:after="0" w:line="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February 2015, the Financial Accounting Standards Board ("FASB") issued Accounting Standards Update ("ASU") No.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(Topic 810). This ASU changes the way reporting enterprises evaluate whether (a) they should consolidate limited partnerships and similar entities, (b) fees paid to a decision maker or service provider are variable interests in a variable interest entity (VIE), and (c) variable interests in a VIE held by related parties of the reporting enterprise require the reporting enterprise to consolidate the VIE. The ASU eliminates the ASU 2010-10 deferral of the ASU 2009-17 VIE consolidation requirements for certain investment companies and similar entities. In addition, the ASU excludes money market funds that are required to comply with Rule 2a-7 of the Investment Company Act of 1940 or that operate under requirements similar to those in Rule 2a-7 from the GAAP consolidation requirements. The ASU also significantly changes how to evaluate voting rights for entities that are not similar to limited partnerships when determining whether the entity is a VIE, which may affect entities for which the decision making rights are conveyed though a contractual arrangement. The update allows for the application of the amendments using a modified retrospective approach by recording a cumulative-effect adjustment to equity as of the beginning of the fiscal year of adoption or retrospective application prior periods. This update is effective for annual and interim periods beginning on or after December 15, 2015, with early application permitted. We are currently evaluating this ASU and do not expect this update to have a material impact on our results of operations or our financial position.</w:t>
      </w:r>
    </w:p>
    <w:p>
      <w:pPr>
        <w:spacing w:after="0" w:line="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April 2015, FASB issued ASU No. 2015-03 </w:t>
      </w:r>
      <w:r>
        <w:rPr>
          <w:rFonts w:ascii="Arial" w:cs="Arial" w:eastAsia="Arial" w:hAnsi="Arial"/>
          <w:sz w:val="17"/>
          <w:szCs w:val="17"/>
          <w:i w:val="1"/>
          <w:iCs w:val="1"/>
          <w:color w:val="auto"/>
        </w:rPr>
        <w:t>Interest - Presentation of Debt Issuance Costs</w:t>
      </w:r>
      <w:r>
        <w:rPr>
          <w:rFonts w:ascii="Arial" w:cs="Arial" w:eastAsia="Arial" w:hAnsi="Arial"/>
          <w:sz w:val="17"/>
          <w:szCs w:val="17"/>
          <w:color w:val="auto"/>
        </w:rPr>
        <w:t xml:space="preserve"> (Subtopic 835-30). The ASU was issued as part of FASB's current plan to simplify overly complex standards. To simplify presentation of debt issuance costs, the 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this ASU. The update requires retrospective application to all prior period amounts presented. This update is effective for annual and interim periods beginning on or after December 15, 2015, with early application permitted. We early adopted the standard as of June 30, 2015 and have retrospectively applied the standard to all periods presented. Accordingly, unamortized debt issuance costs of $32 million and $23 million have been reclassified from Other intangible assets to offset Notes payable in the Consolidated Balance Sheets as of December 31, 2015 and December 31, 2014, respectively.</w:t>
      </w:r>
    </w:p>
    <w:p>
      <w:pPr>
        <w:spacing w:after="0" w:line="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May 2015, FASB issued ASU No. 2015-09 </w:t>
      </w:r>
      <w:r>
        <w:rPr>
          <w:rFonts w:ascii="Arial" w:cs="Arial" w:eastAsia="Arial" w:hAnsi="Arial"/>
          <w:sz w:val="17"/>
          <w:szCs w:val="17"/>
          <w:i w:val="1"/>
          <w:iCs w:val="1"/>
          <w:color w:val="auto"/>
        </w:rPr>
        <w:t>Financial Services - Insurance</w:t>
      </w:r>
      <w:r>
        <w:rPr>
          <w:rFonts w:ascii="Arial" w:cs="Arial" w:eastAsia="Arial" w:hAnsi="Arial"/>
          <w:sz w:val="17"/>
          <w:szCs w:val="17"/>
          <w:color w:val="auto"/>
        </w:rPr>
        <w:t xml:space="preserve"> (Topic 944): Disclosures about Short-Duration Contracts. The amendments in this ASU require insurance entities to disclose for annual reporting periods additional information about the liability for unpaid claims and claim adjustment expenses related to short-duration contracts. The amendments also require insurance entities to disclose information about significant changes in methodologies and assumptions used to calculate the liability for unpaid claims and claim adjustment expenses. This update is effective for annual and interim periods beginning after December 15, 2015, and interim periods within annual periods beginning after December 15, 2016, with early application permitted. We do not expect this update to have a significant effect on our ongoing financial reporting as our primary insurance products are not short-duration contracts. However, we are still evaluating the totality of the effects the update will have on our disclosures.</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September 2015, the FASB issued ASU No. 2015-16 </w:t>
      </w:r>
      <w:r>
        <w:rPr>
          <w:rFonts w:ascii="Arial" w:cs="Arial" w:eastAsia="Arial" w:hAnsi="Arial"/>
          <w:sz w:val="16"/>
          <w:szCs w:val="16"/>
          <w:i w:val="1"/>
          <w:iCs w:val="1"/>
          <w:color w:val="auto"/>
        </w:rPr>
        <w:t>Business Combinations (Topic 805): Simplifying the Accounting for Measurement-Period</w:t>
      </w:r>
      <w:r>
        <w:rPr>
          <w:rFonts w:ascii="Arial" w:cs="Arial" w:eastAsia="Arial" w:hAnsi="Arial"/>
          <w:sz w:val="16"/>
          <w:szCs w:val="16"/>
          <w:color w:val="auto"/>
        </w:rPr>
        <w:t xml:space="preserve"> </w:t>
      </w:r>
      <w:r>
        <w:rPr>
          <w:rFonts w:ascii="Arial" w:cs="Arial" w:eastAsia="Arial" w:hAnsi="Arial"/>
          <w:sz w:val="16"/>
          <w:szCs w:val="16"/>
          <w:i w:val="1"/>
          <w:iCs w:val="1"/>
          <w:color w:val="auto"/>
        </w:rPr>
        <w:t>Adjustments</w:t>
      </w:r>
      <w:r>
        <w:rPr>
          <w:rFonts w:ascii="Arial" w:cs="Arial" w:eastAsia="Arial" w:hAnsi="Arial"/>
          <w:sz w:val="16"/>
          <w:szCs w:val="16"/>
          <w:color w:val="auto"/>
        </w:rPr>
        <w:t>. The amendments in this ASU require that an acquirer recognize adjustments to provisional amounts that are identified during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the reporting period in which the adjustment amounts are determined. The acquirer will be required to record, in the same period’s financial</w:t>
      </w:r>
    </w:p>
    <w:p>
      <w:pPr>
        <w:sectPr>
          <w:pgSz w:w="11900" w:h="16898" w:orient="portrait"/>
          <w:cols w:equalWidth="0" w:num="1">
            <w:col w:w="11420"/>
          </w:cols>
          <w:pgMar w:left="240" w:top="121" w:right="239" w:bottom="0" w:gutter="0" w:footer="0" w:header="0"/>
        </w:sectPr>
      </w:pPr>
    </w:p>
    <w:bookmarkStart w:id="117" w:name="page118"/>
    <w:bookmarkEnd w:id="117"/>
    <w:p>
      <w:pPr>
        <w:jc w:val="both"/>
        <w:spacing w:after="0" w:line="286" w:lineRule="auto"/>
        <w:rPr>
          <w:sz w:val="20"/>
          <w:szCs w:val="20"/>
          <w:color w:val="auto"/>
        </w:rPr>
      </w:pPr>
      <w:r>
        <w:rPr>
          <w:rFonts w:ascii="Arial" w:cs="Arial" w:eastAsia="Arial" w:hAnsi="Arial"/>
          <w:sz w:val="17"/>
          <w:szCs w:val="17"/>
          <w:color w:val="auto"/>
        </w:rPr>
        <w:t>statements, the effect on earnings of changes in depreciation, amortization, or other income effects, if any, as a result of the change to the provisional amounts, calculated as if the accounting had been completed at the acquisition date. Entities will also be required to present separately on the face of the income statement or disclose in the notes the portion of the amount recorded in current-period earnings by line item that would have been recorded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8" w:name="page119"/>
    <w:bookmarkEnd w:id="11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previous reporting periods if the adjustment to the provisional amounts had been recognized as of the acquisition date. The amendments in this ASU are effective for fiscal years beginning after December 15, 2015, including interim periods within those fiscal years. The ASU requires the prospective application of the amendments for adjustments to provisional amounts that occur after its effective date. While we are currently evaluating the effect this new guidance will have on our consolidated financial statements and related disclosures, the ASU would potentially have a material effect in future periods on large acquisitions with significant measurement period adjustments.</w:t>
      </w:r>
    </w:p>
    <w:p>
      <w:pPr>
        <w:spacing w:after="0" w:line="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The primary amendments required by the ASU include: requiring equity investments with readily determinable fair values to</w:t>
      </w:r>
      <w:r>
        <w:rPr>
          <w:rFonts w:ascii="Arial" w:cs="Arial" w:eastAsia="Arial" w:hAnsi="Arial"/>
          <w:sz w:val="17"/>
          <w:szCs w:val="17"/>
          <w:i w:val="1"/>
          <w:iCs w:val="1"/>
          <w:color w:val="auto"/>
        </w:rPr>
        <w:t xml:space="preserve"> </w:t>
      </w:r>
      <w:r>
        <w:rPr>
          <w:rFonts w:ascii="Arial" w:cs="Arial" w:eastAsia="Arial" w:hAnsi="Arial"/>
          <w:sz w:val="17"/>
          <w:szCs w:val="17"/>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are currently evaluating the effect this new guidance will have on our consolidated financial statements and related disclosures. We have not yet determined the effect of the standard on our consolidated financial statements and related disclosures.</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T.</w:t>
      </w:r>
      <w:r>
        <w:rPr>
          <w:sz w:val="20"/>
          <w:szCs w:val="20"/>
          <w:color w:val="auto"/>
        </w:rPr>
        <w:tab/>
      </w:r>
      <w:r>
        <w:rPr>
          <w:rFonts w:ascii="Arial" w:cs="Arial" w:eastAsia="Arial" w:hAnsi="Arial"/>
          <w:sz w:val="16"/>
          <w:szCs w:val="16"/>
          <w:b w:val="1"/>
          <w:bCs w:val="1"/>
          <w:color w:val="auto"/>
        </w:rPr>
        <w:t>Net Income Attributable to FNF Group Shareholders and Change in Total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effect of the change in our ownership percentage in Black Knight Financial Services, LLC on equity attributable to FNF.</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Increase in FNF's additional paid in capital for reduction in ownership percentage in Black Knight Financial</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LLC</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Decrease in noncontrolling interests resulting from decreased ownership percentage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total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120" w:type="dxa"/>
            <w:vAlign w:val="bottom"/>
          </w:tcPr>
          <w:p>
            <w:pPr>
              <w:ind w:left="40"/>
              <w:spacing w:after="0"/>
              <w:rPr>
                <w:sz w:val="20"/>
                <w:szCs w:val="20"/>
                <w:color w:val="auto"/>
              </w:rPr>
            </w:pPr>
            <w:r>
              <w:rPr>
                <w:rFonts w:ascii="Arial" w:cs="Arial" w:eastAsia="Arial" w:hAnsi="Arial"/>
                <w:sz w:val="18"/>
                <w:szCs w:val="18"/>
                <w:color w:val="auto"/>
                <w:w w:val="92"/>
              </w:rPr>
              <w:t>Change from net earnings attributable to Fidelity National Financial, Inc. common shareholders and change in</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2"/>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2015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internal control over financial reporting. Management has adopted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on our evaluation under this framework, our management concluded that our internal control over financial reporting was effective as of December 31, 2015. The effectiveness of our internal control over financial reporting as of December 31, 2015 has been audited by KPMG LLP, an independent registered public accounting firm, as stated in their report which is included herein.</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Securities and Exchange Commission the matters required by these items.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7" w:lineRule="auto"/>
        <w:tabs>
          <w:tab w:leader="none" w:pos="5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8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 on Effectiveness of Internal Control over Financial Reporting</w:t>
              </w:r>
            </w:hyperlink>
          </w:p>
        </w:tc>
        <w:tc>
          <w:tcPr>
            <w:tcW w:w="28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68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 on Financial Statements</w:t>
              </w:r>
            </w:hyperlink>
          </w:p>
        </w:tc>
        <w:tc>
          <w:tcPr>
            <w:tcW w:w="2400" w:type="dxa"/>
            <w:vAlign w:val="bottom"/>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598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December 31, 2015 and 2014</w:t>
              </w:r>
            </w:hyperlink>
          </w:p>
        </w:tc>
        <w:tc>
          <w:tcPr>
            <w:tcW w:w="5100" w:type="dxa"/>
            <w:vAlign w:val="bottom"/>
            <w:gridSpan w:val="6"/>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gridSpan w:val="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Earnings for the years ended December 31, 2015, 2014 and 2013</w:t>
              </w:r>
            </w:hyperlink>
          </w:p>
        </w:tc>
        <w:tc>
          <w:tcPr>
            <w:tcW w:w="4380" w:type="dxa"/>
            <w:vAlign w:val="bottom"/>
            <w:gridSpan w:val="4"/>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880" w:type="dxa"/>
            <w:vAlign w:val="bottom"/>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Earnings for the years ended December 31, 2015, 2014 and 2013</w:t>
              </w:r>
            </w:hyperlink>
          </w:p>
        </w:tc>
        <w:tc>
          <w:tcPr>
            <w:tcW w:w="320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540" w:type="dxa"/>
            <w:vAlign w:val="bottom"/>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Equity for the years ended December 31, 2015, 2014 and 2013</w:t>
              </w:r>
            </w:hyperlink>
          </w:p>
        </w:tc>
        <w:tc>
          <w:tcPr>
            <w:tcW w:w="1340" w:type="dxa"/>
            <w:vAlign w:val="bottom"/>
            <w:gridSpan w:val="3"/>
          </w:tcPr>
          <w:p>
            <w:pPr>
              <w:spacing w:after="0"/>
              <w:rPr>
                <w:sz w:val="21"/>
                <w:szCs w:val="21"/>
                <w:color w:val="auto"/>
              </w:rPr>
            </w:pPr>
          </w:p>
        </w:tc>
        <w:tc>
          <w:tcPr>
            <w:tcW w:w="320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80" w:type="dxa"/>
            <w:vAlign w:val="bottom"/>
            <w:gridSpan w:val="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 for the years ended December 31, 2015, 2014 and 2013</w:t>
              </w:r>
            </w:hyperlink>
          </w:p>
        </w:tc>
        <w:tc>
          <w:tcPr>
            <w:tcW w:w="28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4180" w:type="dxa"/>
            <w:vAlign w:val="bottom"/>
            <w:gridSpan w:val="3"/>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79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080" w:type="dxa"/>
            <w:vAlign w:val="bottom"/>
            <w:gridSpan w:val="9"/>
          </w:tcPr>
          <w:p>
            <w:pPr>
              <w:ind w:left="300"/>
              <w:spacing w:after="0"/>
              <w:rPr>
                <w:sz w:val="20"/>
                <w:szCs w:val="20"/>
                <w:color w:val="auto"/>
              </w:rPr>
            </w:pPr>
            <w:r>
              <w:rPr>
                <w:rFonts w:ascii="Arial" w:cs="Arial" w:eastAsia="Arial" w:hAnsi="Arial"/>
                <w:sz w:val="18"/>
                <w:szCs w:val="18"/>
                <w:color w:val="auto"/>
                <w:w w:val="95"/>
              </w:rPr>
              <w:t xml:space="preserve">(a) (2) </w:t>
            </w:r>
            <w:r>
              <w:rPr>
                <w:rFonts w:ascii="Arial" w:cs="Arial" w:eastAsia="Arial" w:hAnsi="Arial"/>
                <w:sz w:val="18"/>
                <w:szCs w:val="18"/>
                <w:i w:val="1"/>
                <w:iCs w:val="1"/>
                <w:color w:val="auto"/>
                <w:w w:val="95"/>
              </w:rPr>
              <w:t>Financial Statement Schedules.</w:t>
            </w:r>
            <w:r>
              <w:rPr>
                <w:rFonts w:ascii="Arial" w:cs="Arial" w:eastAsia="Arial" w:hAnsi="Arial"/>
                <w:sz w:val="18"/>
                <w:szCs w:val="18"/>
                <w:color w:val="auto"/>
                <w:w w:val="95"/>
              </w:rPr>
              <w:t xml:space="preserve">  The following is a list of financial statement schedules filed as part of this annual report on Form 10-K: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r>
      <w:tr>
        <w:trPr>
          <w:trHeight w:val="250"/>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89"/>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September 18, 2006 (incorporated by reference to Annex A to the Registrant’s Schedule 14C filed on September 19,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Agreement and Plan of Merger, dated as of May 28, 2013, among Fidelity National Financial, Inc., Lion Merger Sub, Inc. and Lender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Processing Services, Inc. (incorporated by reference to Exhibit 2.1 to Fidelity National Financial, Inc.’s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May 28,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Fourth Amended and Restated Certificate of Incorporation (incorporated by reference to Exhibit 3.1 to the company's Current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8-K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Third Amended and Restated Bylaws of Fidelity National Financial, Inc., February 3, 2016 (incorporated by reference to Exhibit 3.1 to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Inc.’s Current Report on Form 8-K, dated February 9,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Supplemental Indenture, dated as of January 2, 2014, among Lender Processing Services, Inc., Fidelity National Financial, Inc.,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Lending Solutions, Inc. and U.S. Bank National Association, as trustee (incorporated by reference to Exhibit 3.2 to the Registrant’s Quarterly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10-Q for the quarter ended September 30,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Indenture between the Registrant and The Bank of New York Trust Company, N.A., dated December 8, 2005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4.1 to the Registrant’s Annual Report on Form 10-K for the year ended December 31, 2005)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of May 5, 2010 (incorporated by reference to Exhibit 4.1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Third Supplemental Indenture, dated as of June 30, 2014, between the Registrant and The Bank of New York Mellon Trust Company, N.A.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4.1 to the Registrant's Current Report on Form 8-K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4.25% Convertible Note due August 2018 (incorporated by reference to Exhibit 4.5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August 2,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Specimen certificate for shares of the Registrant’s FNF Group common stock, par value $0.0001 per Share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4.1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Specimen certificate for shares of the Registrant’s FNFV Group common stock, par value $0.0001 per Share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4.2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dated as of October 24, 2013, to the Third Amended and Restated Credit Agreement, dated as of June 25, 2013, among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Registrant, Bank of American, N.A., as administrative agent, and the other agents parties thereto (incorporated by reference to the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October 25,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dated as of June 25, 2013, to the Second Amended and Restated Credit Agreement, dated as of April 16, 2012, among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National Financial, Inc., the lenders party thereto, Bank of America, N.A., as administrative agent, and the other agents party thereto, including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the Third Amended and Restated Credit Agreement among the parties dated as of June 25, 2013, which is included as Exhibit A thereto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 to the Current Report on Form 8-K filed on June 26,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Appendix A to the Registrant’s Schedule 14A filed on April 12,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Term Loan Credit Agreement, dated as of August 19, 2013, among ABRH ,LLC, the lenders party thereto, Wells Fargo Bank N.A.,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administrative agent, and the other agents party thereto (incorporated by reference to Exhibit 10.3 to the Registrant's Quarterly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10-Q filed on November 10,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Term Loan Credit Agreement, dated as of July 11, 2013, among Fidelity National Financial, Inc., the lenders party thereto, Bank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N.A., as administrative agent, and the other agents party thereto (incorporated by reference to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July 12,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dated as of October 24, 2013, to the Term Loan Credit Agreement, dated as of July 11, 2013, among the Registrant, Bank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American, N.A., as administrative agent, and the other agents parties thereto (incorporated by reference to the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on October 25, 2013)</w:t>
            </w:r>
          </w:p>
        </w:tc>
        <w:tc>
          <w:tcPr>
            <w:tcW w:w="0" w:type="dxa"/>
            <w:vAlign w:val="bottom"/>
          </w:tcPr>
          <w:p>
            <w:pPr>
              <w:spacing w:after="0"/>
              <w:rPr>
                <w:sz w:val="1"/>
                <w:szCs w:val="1"/>
                <w:color w:val="auto"/>
              </w:rPr>
            </w:pPr>
          </w:p>
        </w:tc>
      </w:tr>
      <w:tr>
        <w:trPr>
          <w:trHeight w:val="783"/>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2"/>
          </w:tcPr>
          <w:p>
            <w:pPr>
              <w:ind w:left="4740"/>
              <w:spacing w:after="0"/>
              <w:rPr>
                <w:sz w:val="20"/>
                <w:szCs w:val="20"/>
                <w:color w:val="auto"/>
              </w:rPr>
            </w:pPr>
            <w:r>
              <w:rPr>
                <w:rFonts w:ascii="Arial" w:cs="Arial" w:eastAsia="Arial" w:hAnsi="Arial"/>
                <w:sz w:val="18"/>
                <w:szCs w:val="18"/>
                <w:color w:val="auto"/>
              </w:rPr>
              <w:t>117</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Credit Agreement, dated as of March 31, 2015, among Digital Insurance, Inc., Bank of America, N.A., as administrative agent, and the other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lenders party thereto (incorporated by reference to Exhibit 10.1 to the Registrant's Quarterly Report on Form 10-Q for the quarter ended March</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31, 2015)</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Credit and Guaranty Agreement, dated as of May 27, 2015, by and among Black Knight InfoServ, LLC, a Delaware limited liability company,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89"/>
              </w:rPr>
              <w:t>as the borrower, JPMorgan Chase Bank, N.A. as administrative agent, the guarantors party thereto, the other agents party thereto and the lenders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party thereto (incorporated by reference to Exhibit 10.1 to the Registrant's Current Report on 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Second Amendment, dated as of May 27, 2015, to Third Amended and Restated Credit Agreement, dated as of June 25, 2013, by and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Fidelity National Financial, Inc., a Delaware corporation, as the borrower, Bank of America, N.A., as administrative agent, the other agents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party thereto and the financial institutions party thereto as lenders (incorporated by reference to Exhibit 10.1 to the Registrant's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on 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Fidelity National Financial, Inc. 2013 Employee Stock Purchase Plan (incorporated by reference to Annex D to the Registrant’s Schedule 14A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May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 2005 Omnibus Incentive Plan for October 2015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FNF Group Stock Option Award and FNF Group Stock Option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 2005 Omnibus Incentive Plan for October 2015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Notice of FNFV Group Restricted Stock Grant and FNFV Group Restricted Stock Award Agreement under Amended and Restated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Fidelity National Financial, Inc. 2005 Omnibus Incentive Plan for September 2014 Awards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Registrant’s Quarterly Report on Form 10-Q for the quarter ended September 30, 2014)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Notice of Restricted Stock Grant and FNF Group Restricted Stock Award Agreement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Financial, Inc. 2005 Omnibus Incentive Plan for November 2013 Awards (incorporated by reference to Exhibit 10.11 to the Registrant’s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10-K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Stock Option Award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Omnibus Incentive Plan for November 2013 Awards (incorporated by reference to Exhibit 10.12 to the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Amendment effective as of July 1,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10.11 to the Registrant’s Quarterly Report on Form 10-Q for the quarter ended June 30, 2012)(1)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effective as of January 2,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10.16 to the Registrant’s Annual Report on Form 10-K for the year ended December 31, 2011)(1)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Amendment effective February 4, 2010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(incorporated by reference to Exhibit 10.15 to the Registrant’s Annual Report on Form 10-K for the year ended December 31, 2009)</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Employment Agreement between Fidelity National Financial, Inc. and Brent B. Bickett, effective as of July 2, 2008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10.14 to the Registrant’s Annual Report on Form 10-K for the year ended December 31, 2008)(1)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00"/>
          </w:cols>
          <w:pgMar w:left="240" w:top="125"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Employment Agreement between BKFS I Management and William P. Foley, II, effective as of January 8, 2016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Director Services Agreement between Fidelity National Financial, Inc. and William P. Foley, II, effective as of January 8, 2016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No. 2 to Amended and Restated Employment Agreement between the Registrant and Michael L. Gravelle, effective as of March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2015 (incorporated by 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Employment Agreement by and between BKFS I Management, Inc. and Michael L. Gravelle, effective as of March 1, 2015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11, 2011)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Peter T. Sadowski, effective as of February 4, 2010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Black Knight Financial Services, LLC 2013 Management Incentive Plan (incorporated by reference to Exhibit 10.1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ServiceLink Holdings, LLC 2013 Management Incentive Plan (incorporated by reference to Exhibit 10.2 to the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Black Knight Financial Services, LLC Unit Grant Agreement (incorporated by reference to Exhibit 10.3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ServiceLink Holdings, LLC Unit Grant Agreement (incorporated by reference to Exhibit 10.4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Black Knight Financial Services, LLC Incentive Plan (incorporated by reference to Exhibit 10.5 to the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Black Knight 2015 Omnibus Incentive Plan (incorporated by reference to to Exhibit 10.19 to Amendment No. 3 to the Form S-1 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Statement filed by Black Knight Financial Services, Inc. on March 30,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Grant Agreement for Restricted Stock Awards under the Black Knight Knight Financial Services, Inc. 2015 Omnibus Incentive Plan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be issued upon Exchange of Grant Units (incorporated by reference to Exhibit 10.31 to Amendment No. 4 to the Form S-1Registration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Statement filed y Black Knight Financial Services, Inc. on May 4,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Form of Restricted Stock Agreement for February 2016 Restricted Stock Awards with a three year vesting period under the Black Knight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Financial Services, 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Restricted Stock Agreement for February 2016 Restricted Stock Awards with a four year vesting period under the Black Knight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Financial Services, 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ServiceLink Holdings, LLC Incentive Plan (incorporated by reference to Exhibit 10.6 to the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January 9, 2014)(1)</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80" w:type="dxa"/>
            <w:vAlign w:val="bottom"/>
            <w:gridSpan w:val="2"/>
          </w:tcPr>
          <w:p>
            <w:pPr>
              <w:ind w:left="4740"/>
              <w:spacing w:after="0"/>
              <w:rPr>
                <w:sz w:val="20"/>
                <w:szCs w:val="20"/>
                <w:color w:val="auto"/>
              </w:rPr>
            </w:pPr>
            <w:r>
              <w:rPr>
                <w:rFonts w:ascii="Arial" w:cs="Arial" w:eastAsia="Arial" w:hAnsi="Arial"/>
                <w:sz w:val="18"/>
                <w:szCs w:val="18"/>
                <w:color w:val="auto"/>
              </w:rPr>
              <w:t>119</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1"/>
                <w:szCs w:val="21"/>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Unaudited Attributed Financial Information for FNF Group Tracking Stock</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Unaudited Attributed Financial Information for FNFV Group Tracking Stock</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960" w:hanging="628"/>
        <w:spacing w:after="0" w:line="259"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Annual Report on Form 10-K for the year ended December 31, 2015, formatted in Extensible Business Reporting Language (XBRL): (i) the Consolidated Balance Sheets, (ii) the Consolidated Statements of Earnings, (iii) the Consolidated Statements of Comprehensive Earnings, (iv) the Consolidated Statements of Stockholders' Equity, (v) the Consolidated Statements of Cash Flows, and (vi) the Notes to the Consolidated Financial Statements.</w:t>
      </w: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120</w:t>
      </w:r>
    </w:p>
    <w:p>
      <w:pPr>
        <w:sectPr>
          <w:pgSz w:w="11900" w:h="16838" w:orient="portrait"/>
          <w:cols w:equalWidth="0" w:num="1">
            <w:col w:w="11380"/>
          </w:cols>
          <w:pgMar w:left="240" w:top="125"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266"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14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gridSpan w:val="3"/>
          </w:tcPr>
          <w:p>
            <w:pPr>
              <w:jc w:val="center"/>
              <w:ind w:left="67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Raymond R. Quirk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Chief Executive Officer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Raymond R. Quirk</w:t>
            </w:r>
          </w:p>
        </w:tc>
        <w:tc>
          <w:tcPr>
            <w:tcW w:w="5140" w:type="dxa"/>
            <w:vAlign w:val="bottom"/>
            <w:gridSpan w:val="3"/>
          </w:tcPr>
          <w:p>
            <w:pPr>
              <w:jc w:val="center"/>
              <w:ind w:left="271"/>
              <w:spacing w:after="0"/>
              <w:rPr>
                <w:sz w:val="20"/>
                <w:szCs w:val="20"/>
                <w:color w:val="auto"/>
              </w:rPr>
            </w:pPr>
            <w:r>
              <w:rPr>
                <w:rFonts w:ascii="Arial" w:cs="Arial" w:eastAsia="Arial" w:hAnsi="Arial"/>
                <w:sz w:val="18"/>
                <w:szCs w:val="18"/>
                <w:color w:val="auto"/>
                <w:w w:val="94"/>
              </w:rPr>
              <w:t>(Principal Executive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(Principal 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1"/>
              </w:rPr>
              <w:t>Director and Chairman of the Board</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/s/ Willie D. Davis</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John D. Rood</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Frank P. Willey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2016</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Frank P. Willey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1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date of February 23, 2016, we reported on the Consolidated Balance Sheets of Fidelity National Financial, Inc. and subsidiaries as of December 31, 2015 and 2014, and the related Consolidated Statements of Earnings, Comprehensive Earnings, Equity and Cash Flows for each of the years in the three-year period ended December 31, 2015, as contained in the Annual Report on Form 10-K for the year 2015.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9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8660" w:type="dxa"/>
            <w:vAlign w:val="bottom"/>
          </w:tcPr>
          <w:p>
            <w:pPr>
              <w:jc w:val="center"/>
              <w:ind w:left="2706"/>
              <w:spacing w:after="0"/>
              <w:rPr>
                <w:sz w:val="20"/>
                <w:szCs w:val="20"/>
                <w:color w:val="auto"/>
              </w:rPr>
            </w:pPr>
            <w:r>
              <w:rPr>
                <w:rFonts w:ascii="Arial" w:cs="Arial" w:eastAsia="Arial" w:hAnsi="Arial"/>
                <w:sz w:val="18"/>
                <w:szCs w:val="18"/>
                <w:b w:val="1"/>
                <w:bCs w:val="1"/>
                <w:color w:val="auto"/>
              </w:rPr>
              <w:t>FIDELITY NATIONAL FINANCIAL, INC.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1"/>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8"/>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2"/>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86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22"/>
                <w:szCs w:val="22"/>
                <w:color w:val="auto"/>
              </w:rPr>
            </w:pPr>
          </w:p>
        </w:tc>
      </w:tr>
      <w:tr>
        <w:trPr>
          <w:trHeight w:val="190"/>
        </w:trPr>
        <w:tc>
          <w:tcPr>
            <w:tcW w:w="8660" w:type="dxa"/>
            <w:vAlign w:val="bottom"/>
          </w:tcPr>
          <w:p>
            <w:pPr>
              <w:spacing w:after="0"/>
              <w:rPr>
                <w:sz w:val="16"/>
                <w:szCs w:val="16"/>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(In millions, except share data)</w:t>
            </w:r>
          </w:p>
        </w:tc>
      </w:tr>
      <w:tr>
        <w:trPr>
          <w:trHeight w:val="209"/>
        </w:trPr>
        <w:tc>
          <w:tcPr>
            <w:tcW w:w="866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151</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Short term investments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2,635</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Investments in and amounts due from subsidiaries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6,326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5,962</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receivable</w:t>
            </w:r>
          </w:p>
        </w:tc>
        <w:tc>
          <w:tcPr>
            <w:tcW w:w="7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23"/>
                <w:szCs w:val="23"/>
                <w:color w:val="auto"/>
              </w:rPr>
            </w:pPr>
          </w:p>
        </w:tc>
      </w:tr>
      <w:tr>
        <w:trPr>
          <w:trHeight w:val="283"/>
        </w:trPr>
        <w:tc>
          <w:tcPr>
            <w:tcW w:w="8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7,428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8,814</w:t>
            </w:r>
          </w:p>
        </w:tc>
        <w:tc>
          <w:tcPr>
            <w:tcW w:w="200" w:type="dxa"/>
            <w:vAlign w:val="bottom"/>
          </w:tcPr>
          <w:p>
            <w:pPr>
              <w:spacing w:after="0"/>
              <w:rPr>
                <w:sz w:val="24"/>
                <w:szCs w:val="24"/>
                <w:color w:val="auto"/>
              </w:rPr>
            </w:pPr>
          </w:p>
        </w:tc>
      </w:tr>
      <w:tr>
        <w:trPr>
          <w:trHeight w:val="156"/>
        </w:trPr>
        <w:tc>
          <w:tcPr>
            <w:tcW w:w="8660" w:type="dxa"/>
            <w:vAlign w:val="bottom"/>
            <w:shd w:val="clear" w:color="auto" w:fill="CCEEFF"/>
          </w:tcPr>
          <w:p>
            <w:pPr>
              <w:ind w:left="4700"/>
              <w:spacing w:after="0" w:line="147" w:lineRule="exact"/>
              <w:rPr>
                <w:sz w:val="20"/>
                <w:szCs w:val="20"/>
                <w:color w:val="auto"/>
              </w:rPr>
            </w:pPr>
            <w:r>
              <w:rPr>
                <w:rFonts w:ascii="Arial" w:cs="Arial" w:eastAsia="Arial" w:hAnsi="Arial"/>
                <w:sz w:val="14"/>
                <w:szCs w:val="14"/>
                <w:b w:val="1"/>
                <w:bCs w:val="1"/>
                <w:color w:val="auto"/>
              </w:rPr>
              <w:t>LIABILITIES AND EQUITY</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Income taxes payable</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703</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payable</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2,065</w:t>
            </w:r>
          </w:p>
        </w:tc>
        <w:tc>
          <w:tcPr>
            <w:tcW w:w="200" w:type="dxa"/>
            <w:vAlign w:val="bottom"/>
          </w:tcPr>
          <w:p>
            <w:pPr>
              <w:spacing w:after="0"/>
              <w:rPr>
                <w:sz w:val="22"/>
                <w:szCs w:val="22"/>
                <w:color w:val="auto"/>
              </w:rPr>
            </w:pPr>
          </w:p>
        </w:tc>
      </w:tr>
      <w:tr>
        <w:trPr>
          <w:trHeight w:val="25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1,674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2,820</w:t>
            </w:r>
          </w:p>
        </w:tc>
        <w:tc>
          <w:tcPr>
            <w:tcW w:w="200" w:type="dxa"/>
            <w:vAlign w:val="bottom"/>
          </w:tcPr>
          <w:p>
            <w:pPr>
              <w:spacing w:after="0"/>
              <w:rPr>
                <w:sz w:val="22"/>
                <w:szCs w:val="22"/>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Equity:</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63"/>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FNF Group common stock, $0.0001 par value; authorized 487,000,000 shares as of December 31, 2015 and 2014; outstanding of 275,781,160 and</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6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279,443,239 as of December 31, 2015 and 2014, respectively; and issued of 282,394,970 and 279,824,125 as of December 31, 2015 and 2014,</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94"/>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157"/>
        </w:trPr>
        <w:tc>
          <w:tcPr>
            <w:tcW w:w="8660" w:type="dxa"/>
            <w:vAlign w:val="bottom"/>
          </w:tcPr>
          <w:p>
            <w:pPr>
              <w:ind w:left="40"/>
              <w:spacing w:after="0" w:line="157" w:lineRule="exact"/>
              <w:rPr>
                <w:sz w:val="20"/>
                <w:szCs w:val="20"/>
                <w:color w:val="auto"/>
              </w:rPr>
            </w:pPr>
            <w:r>
              <w:rPr>
                <w:rFonts w:ascii="Arial" w:cs="Arial" w:eastAsia="Arial" w:hAnsi="Arial"/>
                <w:sz w:val="14"/>
                <w:szCs w:val="14"/>
                <w:color w:val="auto"/>
                <w:w w:val="94"/>
              </w:rPr>
              <w:t>FNFV Group common stock, $0.0001 par value; authorized 113,000,000 shares as of December 31, 2015 and 2014; outstanding of 72,217,882 and</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9"/>
        </w:trPr>
        <w:tc>
          <w:tcPr>
            <w:tcW w:w="8660" w:type="dxa"/>
            <w:vAlign w:val="bottom"/>
          </w:tcPr>
          <w:p>
            <w:pPr>
              <w:ind w:left="40"/>
              <w:spacing w:after="0" w:line="149" w:lineRule="exact"/>
              <w:rPr>
                <w:sz w:val="20"/>
                <w:szCs w:val="20"/>
                <w:color w:val="auto"/>
              </w:rPr>
            </w:pPr>
            <w:r>
              <w:rPr>
                <w:rFonts w:ascii="Arial" w:cs="Arial" w:eastAsia="Arial" w:hAnsi="Arial"/>
                <w:sz w:val="14"/>
                <w:szCs w:val="14"/>
                <w:color w:val="auto"/>
                <w:w w:val="99"/>
              </w:rPr>
              <w:t>92,828,470 as of December 31, 2015 and 2014, respectively; and issued of 80,581,466 and 92,946,545 as of December 31, 2015 and 2014,</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88"/>
        </w:trPr>
        <w:tc>
          <w:tcPr>
            <w:tcW w:w="8660" w:type="dxa"/>
            <w:vAlign w:val="bottom"/>
          </w:tcPr>
          <w:p>
            <w:pPr>
              <w:ind w:left="40"/>
              <w:spacing w:after="0"/>
              <w:rPr>
                <w:sz w:val="20"/>
                <w:szCs w:val="20"/>
                <w:color w:val="auto"/>
              </w:rPr>
            </w:pPr>
            <w:r>
              <w:rPr>
                <w:rFonts w:ascii="Arial" w:cs="Arial" w:eastAsia="Arial" w:hAnsi="Arial"/>
                <w:sz w:val="14"/>
                <w:szCs w:val="14"/>
                <w:color w:val="auto"/>
              </w:rPr>
              <w:t>respectively</w:t>
            </w:r>
          </w:p>
        </w:tc>
        <w:tc>
          <w:tcPr>
            <w:tcW w:w="7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4,795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4,855</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1,374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1,150</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earnings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Treasury stock, 14,977,394 shares and 493,737 shares as of December 31, 2015 and 2014, respectively, at cost</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2"/>
                <w:szCs w:val="22"/>
                <w:color w:val="auto"/>
              </w:rPr>
            </w:pPr>
          </w:p>
        </w:tc>
      </w:tr>
      <w:tr>
        <w:trPr>
          <w:trHeight w:val="250"/>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5,754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5,994</w:t>
            </w:r>
          </w:p>
        </w:tc>
        <w:tc>
          <w:tcPr>
            <w:tcW w:w="200" w:type="dxa"/>
            <w:vAlign w:val="bottom"/>
          </w:tcPr>
          <w:p>
            <w:pPr>
              <w:spacing w:after="0"/>
              <w:rPr>
                <w:sz w:val="21"/>
                <w:szCs w:val="21"/>
                <w:color w:val="auto"/>
              </w:rPr>
            </w:pPr>
          </w:p>
        </w:tc>
      </w:tr>
      <w:tr>
        <w:trPr>
          <w:trHeight w:val="243"/>
        </w:trPr>
        <w:tc>
          <w:tcPr>
            <w:tcW w:w="866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7,428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8,814</w:t>
            </w:r>
          </w:p>
        </w:tc>
        <w:tc>
          <w:tcPr>
            <w:tcW w:w="200" w:type="dxa"/>
            <w:vAlign w:val="bottom"/>
          </w:tcPr>
          <w:p>
            <w:pPr>
              <w:spacing w:after="0"/>
              <w:rPr>
                <w:sz w:val="21"/>
                <w:szCs w:val="2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1"/>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1"/>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1"/>
              <w:spacing w:after="0"/>
              <w:rPr>
                <w:sz w:val="20"/>
                <w:szCs w:val="20"/>
                <w:color w:val="auto"/>
              </w:rPr>
            </w:pPr>
            <w:r>
              <w:rPr>
                <w:rFonts w:ascii="Arial" w:cs="Arial" w:eastAsia="Arial" w:hAnsi="Arial"/>
                <w:sz w:val="18"/>
                <w:szCs w:val="18"/>
                <w:b w:val="1"/>
                <w:bCs w:val="1"/>
                <w:color w:val="auto"/>
                <w:w w:val="99"/>
              </w:rPr>
              <w:t>STATEMENTS OF EARNINGS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income tax (benefit) expense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earnings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r>
      <w:tr>
        <w:trPr>
          <w:trHeight w:val="122"/>
        </w:trPr>
        <w:tc>
          <w:tcPr>
            <w:tcW w:w="74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304"/>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share Old FNF common shareholders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1.71</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Old FNF common shareholders, basic basis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Old FNF Common shareholders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1.68</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Old FNF common shareholders, diluted basis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share FNF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 Group common shareholders, basic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FNF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 Group common shareholders, diluted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share FNFV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FNFV Group common shareholders, basic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FNFV Group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FNFV Group common shareholders, diluted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849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 of Remy to FNFV Group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of J. Alexander's to FNFV Group common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 end of year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120" w:type="dxa"/>
            <w:vAlign w:val="bottom"/>
          </w:tcPr>
          <w:p>
            <w:pPr>
              <w:jc w:val="center"/>
              <w:ind w:left="3231"/>
              <w:spacing w:after="0"/>
              <w:rPr>
                <w:sz w:val="20"/>
                <w:szCs w:val="20"/>
                <w:color w:val="auto"/>
              </w:rPr>
            </w:pPr>
            <w:r>
              <w:rPr>
                <w:rFonts w:ascii="Arial" w:cs="Arial" w:eastAsia="Arial" w:hAnsi="Arial"/>
                <w:sz w:val="18"/>
                <w:szCs w:val="18"/>
                <w:b w:val="1"/>
                <w:bCs w:val="1"/>
                <w:color w:val="auto"/>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w w:val="91"/>
              </w:rPr>
              <w:t>(Parent Company)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360"/>
              <w:spacing w:after="0"/>
              <w:rPr>
                <w:sz w:val="20"/>
                <w:szCs w:val="20"/>
                <w:color w:val="auto"/>
              </w:rPr>
            </w:pPr>
            <w:r>
              <w:rPr>
                <w:rFonts w:ascii="Arial" w:cs="Arial" w:eastAsia="Arial" w:hAnsi="Arial"/>
                <w:sz w:val="18"/>
                <w:szCs w:val="18"/>
                <w:b w:val="1"/>
                <w:bCs w:val="1"/>
                <w:color w:val="auto"/>
              </w:rPr>
              <w:t>STATEMENTS OF CASH FLOWS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subsidiaries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income taxes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(decrease) increase in accounts payable and other accrued liabilities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provided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purchases of short-term investment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to notes receivable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additions to investments in subsidiaries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offering</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service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to FNFV</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financing activity</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dividends from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at beginning of year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end of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jc w:val="center"/>
              <w:ind w:left="3231"/>
              <w:spacing w:after="0"/>
              <w:rPr>
                <w:sz w:val="20"/>
                <w:szCs w:val="20"/>
                <w:color w:val="auto"/>
              </w:rPr>
            </w:pPr>
            <w:r>
              <w:rPr>
                <w:rFonts w:ascii="Arial" w:cs="Arial" w:eastAsia="Arial" w:hAnsi="Arial"/>
                <w:sz w:val="18"/>
                <w:szCs w:val="18"/>
                <w:color w:val="auto"/>
                <w:w w:val="88"/>
              </w:rPr>
              <w:t>See Notes to Financial Statements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2014 presentation to conform to the classifications used in 2015.</w:t>
      </w:r>
    </w:p>
    <w:p>
      <w:pPr>
        <w:spacing w:after="0" w:line="4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2014 we began reporting our Investments in subsidiaries net of non-controlling interest on the Balance Sheets and similarly on the Statement of Earnings, we report Equity in earnings of subsidiaries net of (Losses) earnings attributable to non-controlling interest. The amount of Non-controlling interest reflected in Investments in subsidiaries was $834 million and $79 million as of December 31, 2015 and 2014, respectively. The amount of Earnings (losses) attributable to non-controlling interest reflected in Equity in earnings of subsidiaries on the Statements of Earnings was $34 million, $(64) million and $17 million for the years ending December 31, 2015, 2014 and 2013, respectively.</w:t>
      </w:r>
    </w:p>
    <w:p>
      <w:pPr>
        <w:spacing w:after="0" w:line="4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9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6"/>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74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w w:val="86"/>
              </w:rPr>
              <w:t>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284</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6"/>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FNF Term Loan, interest payable monthly at LIBOR + 1.63%</w:t>
            </w: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1,094</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Revolving Credit Facility, unsecured, unused portion of $800 at December 31, 2015, due July 2018 with interest payable</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at LIBOR + 1.45%</w:t>
            </w: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904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6"/>
              </w:rPr>
              <w:t>980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2,065</w:t>
            </w:r>
          </w:p>
        </w:tc>
      </w:tr>
      <w:tr>
        <w:trPr>
          <w:trHeight w:val="27"/>
        </w:trPr>
        <w:tc>
          <w:tcPr>
            <w:tcW w:w="9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r>
      <w:tr>
        <w:trPr>
          <w:trHeight w:val="190"/>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Cash paid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payments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w w:val="93"/>
              </w:rPr>
              <w:t>250</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242</w:t>
            </w:r>
          </w:p>
        </w:tc>
      </w:tr>
    </w:tbl>
    <w:p>
      <w:pPr>
        <w:spacing w:after="0" w:line="9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$0.2 billion, $0.4 billion, and $0.1 billion during the years ended December 31, 2015, 2014, and 2013,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Column C</w:t>
            </w:r>
          </w:p>
        </w:tc>
        <w:tc>
          <w:tcPr>
            <w:tcW w:w="4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Additions</w:t>
            </w:r>
          </w:p>
        </w:tc>
        <w:tc>
          <w:tcPr>
            <w:tcW w:w="4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Column E</w:t>
            </w:r>
          </w:p>
        </w:tc>
      </w:tr>
      <w:tr>
        <w:trPr>
          <w:trHeight w:val="258"/>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Charge to</w:t>
            </w: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r>
      <w:tr>
        <w:trPr>
          <w:trHeight w:val="242"/>
        </w:trPr>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Column A</w:t>
            </w:r>
          </w:p>
        </w:tc>
        <w:tc>
          <w:tcPr>
            <w:tcW w:w="4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Costs and</w:t>
            </w:r>
          </w:p>
        </w:tc>
        <w:tc>
          <w:tcPr>
            <w:tcW w:w="7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Deduction</w:t>
            </w:r>
          </w:p>
        </w:tc>
        <w:tc>
          <w:tcPr>
            <w:tcW w:w="180" w:type="dxa"/>
            <w:vAlign w:val="bottom"/>
          </w:tcPr>
          <w:p>
            <w:pPr>
              <w:spacing w:after="0"/>
              <w:rPr>
                <w:sz w:val="21"/>
                <w:szCs w:val="21"/>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 of</w:t>
            </w:r>
          </w:p>
        </w:tc>
      </w:tr>
      <w:tr>
        <w:trPr>
          <w:trHeight w:val="285"/>
        </w:trPr>
        <w:tc>
          <w:tcPr>
            <w:tcW w:w="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Expenses</w:t>
            </w:r>
          </w:p>
        </w:tc>
        <w:tc>
          <w:tcPr>
            <w:tcW w:w="1740" w:type="dxa"/>
            <w:vAlign w:val="bottom"/>
            <w:gridSpan w:val="4"/>
          </w:tcPr>
          <w:p>
            <w:pPr>
              <w:ind w:left="560"/>
              <w:spacing w:after="0"/>
              <w:rPr>
                <w:sz w:val="20"/>
                <w:szCs w:val="20"/>
                <w:color w:val="auto"/>
              </w:rPr>
            </w:pPr>
            <w:r>
              <w:rPr>
                <w:rFonts w:ascii="Arial" w:cs="Arial" w:eastAsia="Arial" w:hAnsi="Arial"/>
                <w:sz w:val="14"/>
                <w:szCs w:val="14"/>
                <w:b w:val="1"/>
                <w:bCs w:val="1"/>
                <w:color w:val="auto"/>
              </w:rPr>
              <w:t>(Described)</w:t>
            </w:r>
          </w:p>
        </w:tc>
        <w:tc>
          <w:tcPr>
            <w:tcW w:w="24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(Described)</w:t>
            </w:r>
          </w:p>
        </w:tc>
        <w:tc>
          <w:tcPr>
            <w:tcW w:w="180" w:type="dxa"/>
            <w:vAlign w:val="bottom"/>
          </w:tcPr>
          <w:p>
            <w:pPr>
              <w:spacing w:after="0"/>
              <w:rPr>
                <w:sz w:val="24"/>
                <w:szCs w:val="24"/>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w:t>
            </w:r>
          </w:p>
        </w:tc>
        <w:tc>
          <w:tcPr>
            <w:tcW w:w="7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1,583</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Year ended December 31, 2014:</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7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1,621</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7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1,636</w:t>
            </w:r>
          </w:p>
        </w:tc>
      </w:tr>
      <w:tr>
        <w:trPr>
          <w:trHeight w:val="243"/>
        </w:trPr>
        <w:tc>
          <w:tcPr>
            <w:tcW w:w="4800" w:type="dxa"/>
            <w:vAlign w:val="bottom"/>
            <w:gridSpan w:val="3"/>
          </w:tcPr>
          <w:p>
            <w:pPr>
              <w:jc w:val="right"/>
              <w:ind w:right="2280"/>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recording a reinsurance recoverable.</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an increase of $54 million to the reserve for claim losses as a result of the acquisition of LPS (See Note B), a $2 million decrease to the reserve due to the sale of a small title operation and recording $7 million increase to the claims reserve for a reinsurance recoverable.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4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05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September 18, 2006 (incorporated by reference to Annex A to the Registrant’s Schedule 14C filed on September 19,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Agreement and Plan of Merger, dated as of May 28, 2013, among Fidelity National Financial, Inc., Lion Merger Sub, Inc. and Lender Processing</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Services, Inc. (incorporated by reference to Exhibit 2.1 to Fidelity National Financial, Inc.’s Current Report on Form 8-K, filed on May 28,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Fourth Amended and Restated Certificate of Incorporation (incorporated by reference to Exhibit 3.1 to the company's Current Report on Form 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Third Amended and Restated Bylaws of Fidelity National Financial, Inc., February 3, 2016 (incorporated by reference to Exhibit 3.1 to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National Financial, Inc.’s Current Report on Form 8-K, dated February 9, 2016)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Supplemental Indenture, dated as of January 2, 2014, among Lender Processing Services, Inc., Fidelity National Financial, Inc.,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Lending Solutions, Inc. and U.S. Bank National Association, as trustee (incorporated by reference to Exhibit 3.2 to the Registrant’s Quarterly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10-Q for the quarter ended September 30,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Indenture between the Registrant and The Bank of New York Trust Company, N.A., dated December 8, 2005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4.1 to the Registrant’s Annual Report on Form 10-K for the year ended December 31, 2005)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of May 5, 2010 (incorporated by reference to Exhibit 4.1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Third Supplemental Indenture, dated as of June 30, 2014, between the Registrant and The Bank of New York Mellon Trust Company, N.A.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4.1 to the Registrant's Current Report on Form 8-K filed on June 30,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4.25% Convertible Note due August 2018 (incorporated by reference to Exhibit 4.5 to the Registrant's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August 2,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Specimen certificate for shares of the Registrant’s FNF Group common stock, par value $0.0001 per Share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4.1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Specimen certificate for shares of the Registrant’s FNFV Group common stock, par value $0.0001 per Share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4.2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First Amendment, dated as of October 24, 2013, to the Third Amended and Restated Credit Agreement, dated as of June 25, 2013, among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Registrant, Bank of American, N.A., as administrative agent, and the other agents parties thereto (incorporated by refrence to the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Form 8-K filed on October 25,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Amendment, dated as of June 25, 2013, to the Second Amended and Restated Credit Agreement, dated as of April 16, 2012, among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National Financial, Inc., the lenders party thereto, Bank of America, N.A., as administrative agent, and the other agents party thereto, including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the Third Amended and Restated Credit Agreement among the parties dated as of June 25, 2013, which is included as Exhibit A thereto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10.1 to the Current Report on Form 8-K filed on June 26,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Appendix A to the Registrant’s Schedule 14A filed on April 12,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9"/>
              </w:rPr>
              <w:t>Term Loan Credit Agreement, dated as of August 19, 2013, among ABRH ,LLC, the lenders party thereto, Wells Fargo Bank N.A.,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administrative agent, and the other agents party thereto (incorporated by reference to Exhibit 10.3 to the Registrant's Quarterly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10-Q filed on November 10,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Term Loan Credit Agreement, dated as of July 11, 2013, among Fidelity National Financial, Inc., the lenders party thereto, Bank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N.A., as administrative agent, and the other agents party thereto (incorporated by reference to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July 12,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First Amendment, dated as of October 24, 2013, to the Term Loan Credit Agreement, dated as of July 11, 2013, among the Registrant, Bank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American, N.A., as administrative agent, and the other agents parties thereto (incorporated by reference to the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October 25, 2013)</w:t>
            </w: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2"/>
          </w:tcPr>
          <w:p>
            <w:pPr>
              <w:ind w:left="4800"/>
              <w:spacing w:after="0"/>
              <w:rPr>
                <w:sz w:val="20"/>
                <w:szCs w:val="20"/>
                <w:color w:val="auto"/>
              </w:rPr>
            </w:pPr>
            <w:r>
              <w:rPr>
                <w:rFonts w:ascii="Arial" w:cs="Arial" w:eastAsia="Arial" w:hAnsi="Arial"/>
                <w:sz w:val="18"/>
                <w:szCs w:val="18"/>
                <w:color w:val="auto"/>
              </w:rPr>
              <w:t>128</w:t>
            </w: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580" w:type="dxa"/>
            <w:vAlign w:val="bottom"/>
            <w:gridSpan w:val="3"/>
            <w:vMerge w:val="restart"/>
          </w:tcPr>
          <w:p>
            <w:pPr>
              <w:ind w:left="4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Number</w:t>
            </w:r>
          </w:p>
        </w:tc>
        <w:tc>
          <w:tcPr>
            <w:tcW w:w="105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Credit Agreement, dated as of March 31, 2015, among Digital Insurance, Inc., Bank of America, N.A., as administrative agent, and the other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lenders party thereto (incorporated by reference to Exhibit 10.1 to the Registrant's Quarterly Report on Form 10-Q for the quarter ended March</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31, 2015)</w:t>
            </w: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Credit and Guaranty Agreement, dated as of May 27, 2015, by and among Black Knight InfoServ, LLC, a Delaware limited liability company,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the borrower, JPMorgan Chase Bank, N.A. as administrative agent, the guarantors party thereto, the other agents party thereto and the lenders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party thereto (incorporated by reference to Exhibit 10.1 to the Registrant's Current Report on 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Second Amendment, dated as of May 27, 2015, to Third Amended and Restated Credit Agreement, dated as of June 25, 2013, by and among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Fidelity National Financial, Inc., a Delaware corporation, as the borrower, Bank of America, N.A., as administrative agent, the other agents party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thereto and the financial institutions party thereto as lenders (incorporated by reference to Exhibit 10.1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Form 8-K filed on May 27, 2015)</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Fidelity National Financial, Inc. 2013 Employee Stock Purchase Plan (incorporated by reference to Annex D to the Registrant’s Schedule 14A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filed on May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National Financial, Inc. 2005 Omnibus Incentive Plan for October 2015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Form of Notice of FNF Group Stock Option Award and FNF Group Stock Option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National Financial, Inc. 2005 Omnibus Incentive Plan for October 2015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Form of Notice of FNFV Group Restricted Stock Grant and FNFV Group Restricted Stock Award Agreement under Amended and Restated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Fidelity National Financial, Inc. 2005 Omnibus Incentive Plan for September 2014 Awards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Registrant’s Quarterly Report on Form 10-Q for the quarter ended September 30, 2014)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Notice of Restricted Stock Grant and FNF Group Restricted Stock Award Agreement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Financial, Inc. 2005 Omnibus Incentive Plan for November 2013 Awards (incorporated by reference to Exhibit 10.11 to the Registrant’s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10-K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Form of Notice of Stock Option Award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Omnibus Incentive Plan for November 2013 Awards (incorporated by reference to Exhibit 10.12 to the Registrant’s Annual Report on Form 10-K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Amendment effective February 4, 2010 to Amended and Restated Employment Agreement between the Registrant and Anthony J. Park, effective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as of October 10, 2008 (incorporated by reference to Exhibit 10.13 to the Registrant's Annual Report on Form 10-K for the year ended December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tcPr>
          <w:p>
            <w:pPr>
              <w:ind w:left="80"/>
              <w:spacing w:after="0"/>
              <w:rPr>
                <w:sz w:val="20"/>
                <w:szCs w:val="20"/>
                <w:color w:val="auto"/>
              </w:rPr>
            </w:pPr>
            <w:r>
              <w:rPr>
                <w:rFonts w:ascii="Arial" w:cs="Arial" w:eastAsia="Arial" w:hAnsi="Arial"/>
                <w:sz w:val="18"/>
                <w:szCs w:val="18"/>
                <w:color w:val="auto"/>
              </w:rPr>
              <w:t>31, 2009) (1)</w:t>
            </w:r>
          </w:p>
        </w:tc>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Amendment effective as of July 1,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10.11 to the Registrant’s Quarterly Report on Form 10-Q for the quarter ended June 30, 2012)(1)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Amendment effective as of January 2,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10.16 to the Registrant’s Annual Report on Form 10-K for the year ended December 31, 2011)(1)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Amendment effective February 4, 2010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10.15 to the Registrant’s Annual Report on Form 10-K for the year ended December 31, 2009)</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Amended and Restated Employment Agreement between Fidelity National Financial, Inc. and Brent B. Bickett, effective as of July 2, 2008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8"/>
              </w:rPr>
              <w:t>(incorporated by reference to Exhibit 10.14 to the Registrant’s Annual Report on Form 10-K for the year ended December 31, 2008)(1)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360"/>
          </w:cols>
          <w:pgMar w:left="240" w:top="125" w:right="29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00" w:type="dxa"/>
            <w:vAlign w:val="bottom"/>
          </w:tcPr>
          <w:p>
            <w:pPr>
              <w:spacing w:after="0"/>
              <w:rPr>
                <w:sz w:val="24"/>
                <w:szCs w:val="24"/>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Amended and Restated Employment Agreement between BKFS I Management and William P. Foley, II, effective as of January 8, 2016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Director Services Agreement between Fidelity National Financial, Inc. and William P. Foley, II, effective as of January 8, 2016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9"/>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Amendment No. 2 to Amended and Restated Employment Agreement between the Registrant and Michael L. Gravelle, effective as of March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2015 (incorporated by 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Employment Agreement by and between BKFS I Management, Inc. and Michael L. Gravelle, effective as of March 1, 2015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Exhibit 10.3 to the Registrant’s Quarterly Report on Form 10-Q for the quarter ended March 31, 2015)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11, 2011) (1)</w:t>
            </w:r>
          </w:p>
        </w:tc>
        <w:tc>
          <w:tcPr>
            <w:tcW w:w="9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0"/>
              </w:rPr>
              <w:t>Amended and Restated Employment Agreement between the Registrant and Peter T. Sadowski, effective as of February 4, 2010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Financial, Inc. 2005 Omnibus Incentive Plan (incorporated by reference to Exhibit 10.3 to the Registrant's Quarterly Report on Form 10-Q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Financial, Inc. 2005 Omnibus Incentive Plan (incorporated by reference to Exhibit 10.3 to the Registrant's Quarterly Report on Form 10-Q for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Black Knight Financial Services, LLC 2013 Management Incentive Plan (incorporated by reference to Exhibit 10.1 to the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Current 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1"/>
              </w:rPr>
              <w:t>ServiceLink Holdings, LLC 2013 Management Incentive Plan (incorporated by reference to Exhibit 10.2 to the to the Registrant’s Current Report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Form of Black Knight Financial Services, LLC Unit Grant Agreement (incorporated by reference to Exhibit 10.3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Form of ServiceLink Holdings, LLC Unit Grant Agreement (incorporated by reference to Exhibit 10.4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Black Knight Financial Services, LLC Incentive Plan (incorporated by reference to Exhibit 10.5 to the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Black Knight 2015 Omnibus Incentive Plan (incorporated by reference to to Exhibit 10.19 to Amendment No. 3 to the Form S-1 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Statement filed by Black Knight Financial Services, Inc. on March 30,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3"/>
              </w:rPr>
              <w:t>Form of Grant Agreement for Restricted Stock Awards under the Black Knight Knight Financial Services, Inc. 2015 Omnibus Incentive Plan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be issued upon Exchange of Grant Units (incorporated by reference to Exhibit 10.31 to Amendment No. 4 to the Form S-1 Registration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Statement filed by Black Knight Financial Services, Inc. on May 4, 2015)(1)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6"/>
              </w:rPr>
              <w:t>Form of Restricted Stock Agreement for February 2016 Restricted Stock Awards with a three year vesting period under the Black Knight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Financial Services, 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10.46</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7"/>
              </w:rPr>
              <w:t>Form of Restricted Stock Agreement for February 2016 Restricted Stock Awards with a four year vesting period under the Black Knight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Financial Services, Inc. 2015 Omnibus Incentive Plan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2"/>
              </w:rPr>
              <w:t>ServiceLink Holdings, LLC Incentive Plan (incorporated by reference to Exhibit 10.6 to the to the Registrant’s Current Report on Form 8-K filed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on January 9, 2014)(1)</w:t>
            </w: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
          </w:tcPr>
          <w:p>
            <w:pPr>
              <w:ind w:left="4800"/>
              <w:spacing w:after="0"/>
              <w:rPr>
                <w:sz w:val="20"/>
                <w:szCs w:val="20"/>
                <w:color w:val="auto"/>
              </w:rPr>
            </w:pPr>
            <w:r>
              <w:rPr>
                <w:rFonts w:ascii="Arial" w:cs="Arial" w:eastAsia="Arial" w:hAnsi="Arial"/>
                <w:sz w:val="18"/>
                <w:szCs w:val="18"/>
                <w:color w:val="auto"/>
              </w:rPr>
              <w:t>130</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1"/>
                <w:szCs w:val="21"/>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0" w:type="dxa"/>
            <w:vAlign w:val="bottom"/>
          </w:tcPr>
          <w:p>
            <w:pPr>
              <w:spacing w:after="0"/>
              <w:rPr>
                <w:sz w:val="22"/>
                <w:szCs w:val="22"/>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w w:val="95"/>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Unaudited Attributed Financial Information for FNF Group Tracking Stock</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23"/>
                <w:szCs w:val="23"/>
                <w:color w:val="auto"/>
              </w:rPr>
            </w:pPr>
          </w:p>
        </w:tc>
        <w:tc>
          <w:tcPr>
            <w:tcW w:w="10580" w:type="dxa"/>
            <w:vAlign w:val="bottom"/>
            <w:gridSpan w:val="3"/>
          </w:tcPr>
          <w:p>
            <w:pPr>
              <w:ind w:left="80"/>
              <w:spacing w:after="0"/>
              <w:rPr>
                <w:sz w:val="20"/>
                <w:szCs w:val="20"/>
                <w:color w:val="auto"/>
              </w:rPr>
            </w:pPr>
            <w:r>
              <w:rPr>
                <w:rFonts w:ascii="Arial" w:cs="Arial" w:eastAsia="Arial" w:hAnsi="Arial"/>
                <w:sz w:val="18"/>
                <w:szCs w:val="18"/>
                <w:color w:val="auto"/>
              </w:rPr>
              <w:t>Unaudited Attributed Financial Information for FNFV Group Tracking Stock</w:t>
            </w: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860" w:hanging="562"/>
        <w:spacing w:after="0" w:line="259" w:lineRule="auto"/>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Annual Report on Form 10-K for the year ended December 31, 2015, formatted in Extensible Business Reporting Language (XBRL): (i) the Consolidated Balance Sheets, (ii) the Consolidated Statements of Earnings, (iii) the Consolidated Statements of Comprehensive Earnings, (iv) the Consolidated Statements of Stockholders' Equity, (v) the Consolidated Statements of Cash Flows, and (vi) the Notes to the Consolidated Financial Statements.</w:t>
      </w: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360"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131</w:t>
      </w:r>
    </w:p>
    <w:p>
      <w:pPr>
        <w:sectPr>
          <w:pgSz w:w="11900" w:h="16838" w:orient="portrait"/>
          <w:cols w:equalWidth="0" w:num="1">
            <w:col w:w="11360"/>
          </w:cols>
          <w:pgMar w:left="240" w:top="125" w:right="2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FNF Group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11" w:lineRule="exact"/>
        <w:rPr>
          <w:sz w:val="20"/>
          <w:szCs w:val="20"/>
          <w:color w:val="auto"/>
        </w:rPr>
      </w:pPr>
    </w:p>
    <w:tbl>
      <w:tblPr>
        <w:tblLayout w:type="fixed"/>
        <w:tblInd w:w="85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260" w:type="dxa"/>
            <w:vAlign w:val="bottom"/>
            <w:tcBorders>
              <w:top w:val="single" w:sz="8" w:color="auto"/>
              <w:right w:val="single" w:sz="8" w:color="auto"/>
            </w:tcBorders>
          </w:tcPr>
          <w:p>
            <w:pPr>
              <w:spacing w:after="0"/>
              <w:rPr>
                <w:sz w:val="22"/>
                <w:szCs w:val="22"/>
                <w:color w:val="auto"/>
              </w:rPr>
            </w:pP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260" w:type="dxa"/>
            <w:vAlign w:val="bottom"/>
            <w:tcBorders>
              <w:right w:val="single" w:sz="8" w:color="auto"/>
            </w:tcBorders>
          </w:tcPr>
          <w:p>
            <w:pPr>
              <w:spacing w:after="0"/>
              <w:rPr>
                <w:sz w:val="20"/>
                <w:szCs w:val="20"/>
                <w:color w:val="auto"/>
              </w:rPr>
            </w:pP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October 29, 2015</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222"/>
        </w:trPr>
        <w:tc>
          <w:tcPr>
            <w:tcW w:w="4500" w:type="dxa"/>
            <w:vAlign w:val="bottom"/>
            <w:tcBorders>
              <w:left w:val="single" w:sz="8" w:color="auto"/>
              <w:right w:val="single" w:sz="8" w:color="auto"/>
            </w:tcBorders>
          </w:tcPr>
          <w:p>
            <w:pPr>
              <w:spacing w:after="0"/>
              <w:rPr>
                <w:sz w:val="19"/>
                <w:szCs w:val="19"/>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Subject to the terms of the Plan and the Restricted Stock Award</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Agreement attached hereto, the Period of Restriction shall lapse, and</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Shares shall vest and become free of the forfeiture provisions</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contained in the Restricted Stock Award Agreement, with respect to</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one third of the shares on each anniversary of the Effective Date of</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Grant and satisfaction of the Performance Restriction as set forth on</w:t>
            </w:r>
          </w:p>
        </w:tc>
      </w:tr>
      <w:tr>
        <w:trPr>
          <w:trHeight w:val="230"/>
        </w:trPr>
        <w:tc>
          <w:tcPr>
            <w:tcW w:w="4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Exhibit A of the Restricted Stock Award Agreement, attached hereto.</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ectPr>
          <w:pgSz w:w="11900" w:h="16838" w:orient="portrait"/>
          <w:cols w:equalWidth="0" w:num="1">
            <w:col w:w="11420"/>
          </w:cols>
          <w:pgMar w:left="240" w:top="580"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firstLine="8"/>
        <w:spacing w:after="0" w:line="313" w:lineRule="auto"/>
        <w:tabs>
          <w:tab w:leader="none" w:pos="89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76" w:lineRule="exact"/>
        <w:rPr>
          <w:rFonts w:ascii="Arial" w:cs="Arial" w:eastAsia="Arial" w:hAnsi="Arial"/>
          <w:sz w:val="18"/>
          <w:szCs w:val="18"/>
          <w:color w:val="auto"/>
        </w:rPr>
      </w:pPr>
    </w:p>
    <w:p>
      <w:pPr>
        <w:jc w:val="both"/>
        <w:ind w:firstLine="8"/>
        <w:spacing w:after="0" w:line="308" w:lineRule="auto"/>
        <w:tabs>
          <w:tab w:leader="none" w:pos="90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right="20" w:firstLine="8"/>
        <w:spacing w:after="0" w:line="299" w:lineRule="auto"/>
        <w:tabs>
          <w:tab w:leader="none" w:pos="933"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58"/>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firstLine="656"/>
        <w:spacing w:after="0" w:line="334" w:lineRule="auto"/>
        <w:tabs>
          <w:tab w:leader="none" w:pos="15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Arial" w:cs="Arial" w:eastAsia="Arial" w:hAnsi="Arial"/>
          <w:sz w:val="16"/>
          <w:szCs w:val="16"/>
          <w:color w:val="auto"/>
        </w:rPr>
      </w:pPr>
    </w:p>
    <w:p>
      <w:pPr>
        <w:ind w:firstLine="656"/>
        <w:spacing w:after="0" w:line="324" w:lineRule="auto"/>
        <w:tabs>
          <w:tab w:leader="none" w:pos="15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66" w:lineRule="exact"/>
        <w:rPr>
          <w:rFonts w:ascii="Arial" w:cs="Arial" w:eastAsia="Arial" w:hAnsi="Arial"/>
          <w:sz w:val="18"/>
          <w:szCs w:val="18"/>
          <w:color w:val="auto"/>
        </w:rPr>
      </w:pPr>
    </w:p>
    <w:p>
      <w:pPr>
        <w:ind w:firstLine="8"/>
        <w:spacing w:after="0" w:line="329" w:lineRule="auto"/>
        <w:tabs>
          <w:tab w:leader="none" w:pos="91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spacing w:after="0" w:line="161" w:lineRule="exact"/>
        <w:rPr>
          <w:rFonts w:ascii="Arial" w:cs="Arial" w:eastAsia="Arial" w:hAnsi="Arial"/>
          <w:sz w:val="18"/>
          <w:szCs w:val="18"/>
          <w:color w:val="auto"/>
        </w:rPr>
      </w:pPr>
    </w:p>
    <w:p>
      <w:pPr>
        <w:jc w:val="both"/>
        <w:ind w:firstLine="8"/>
        <w:spacing w:after="0" w:line="303" w:lineRule="auto"/>
        <w:tabs>
          <w:tab w:leader="none" w:pos="906"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Holding Period</w:t>
      </w:r>
      <w:r>
        <w:rPr>
          <w:rFonts w:ascii="Arial" w:cs="Arial" w:eastAsia="Arial" w:hAnsi="Arial"/>
          <w:sz w:val="18"/>
          <w:szCs w:val="18"/>
          <w:color w:val="auto"/>
        </w:rPr>
        <w:t>. If and when (i) the Grantee is an Officer (as defined in Rule 16a-1(f) of the Exchange Act) or holds the title of President -</w:t>
      </w:r>
      <w:r>
        <w:rPr>
          <w:rFonts w:ascii="Arial" w:cs="Arial" w:eastAsia="Arial" w:hAnsi="Arial"/>
          <w:sz w:val="18"/>
          <w:szCs w:val="18"/>
          <w:b w:val="1"/>
          <w:bCs w:val="1"/>
          <w:color w:val="auto"/>
        </w:rPr>
        <w:t xml:space="preserve"> </w:t>
      </w:r>
      <w:r>
        <w:rPr>
          <w:rFonts w:ascii="Arial" w:cs="Arial" w:eastAsia="Arial" w:hAnsi="Arial"/>
          <w:sz w:val="18"/>
          <w:szCs w:val="18"/>
          <w:color w:val="auto"/>
        </w:rPr>
        <w:t>Eastern Operations, President - Western Operations, President - Agency Operations, or Chief Legal Officer, and (ii) Grantee does not hold Shares of FNF Group Common Stock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of FNF Group</w:t>
      </w:r>
    </w:p>
    <w:p>
      <w:pPr>
        <w:sectPr>
          <w:pgSz w:w="11900" w:h="16838" w:orient="portrait"/>
          <w:cols w:equalWidth="0" w:num="1">
            <w:col w:w="11420"/>
          </w:cols>
          <w:pgMar w:left="240" w:top="837" w:right="239" w:bottom="1440" w:gutter="0" w:footer="0" w:header="0"/>
        </w:sectPr>
      </w:pPr>
    </w:p>
    <w:bookmarkStart w:id="138" w:name="page139"/>
    <w:bookmarkEnd w:id="138"/>
    <w:p>
      <w:pPr>
        <w:jc w:val="both"/>
        <w:spacing w:after="0" w:line="302" w:lineRule="auto"/>
        <w:rPr>
          <w:sz w:val="20"/>
          <w:szCs w:val="20"/>
          <w:color w:val="auto"/>
        </w:rPr>
      </w:pPr>
      <w:r>
        <w:rPr>
          <w:rFonts w:ascii="Arial" w:cs="Arial" w:eastAsia="Arial" w:hAnsi="Arial"/>
          <w:sz w:val="18"/>
          <w:szCs w:val="18"/>
          <w:color w:val="auto"/>
        </w:rPr>
        <w:t>Common Stock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of FNF Group Common Stock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89" w:lineRule="exact"/>
        <w:rPr>
          <w:sz w:val="20"/>
          <w:szCs w:val="20"/>
          <w:color w:val="auto"/>
        </w:rPr>
      </w:pPr>
    </w:p>
    <w:p>
      <w:pPr>
        <w:jc w:val="both"/>
        <w:ind w:firstLine="8"/>
        <w:spacing w:after="0" w:line="303" w:lineRule="auto"/>
        <w:tabs>
          <w:tab w:leader="none" w:pos="903"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 Stock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b w:val="1"/>
          <w:bCs w:val="1"/>
          <w:color w:val="auto"/>
        </w:rPr>
        <w:t>DIVIDENDS</w:t>
      </w:r>
    </w:p>
    <w:p>
      <w:pPr>
        <w:spacing w:after="0" w:line="40" w:lineRule="exact"/>
        <w:rPr>
          <w:sz w:val="20"/>
          <w:szCs w:val="20"/>
          <w:color w:val="auto"/>
        </w:rPr>
      </w:pPr>
    </w:p>
    <w:p>
      <w:pPr>
        <w:ind w:left="900" w:hanging="892"/>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rFonts w:ascii="Arial" w:cs="Arial" w:eastAsia="Arial" w:hAnsi="Arial"/>
          <w:sz w:val="16"/>
          <w:szCs w:val="16"/>
          <w:color w:val="auto"/>
        </w:rPr>
      </w:pPr>
    </w:p>
    <w:p>
      <w:pPr>
        <w:ind w:left="920" w:hanging="912"/>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265" w:lineRule="exact"/>
        <w:rPr>
          <w:rFonts w:ascii="Arial" w:cs="Arial" w:eastAsia="Arial" w:hAnsi="Arial"/>
          <w:sz w:val="18"/>
          <w:szCs w:val="18"/>
          <w:color w:val="auto"/>
        </w:rPr>
      </w:pPr>
    </w:p>
    <w:p>
      <w:pPr>
        <w:ind w:firstLine="8"/>
        <w:spacing w:after="0" w:line="324" w:lineRule="auto"/>
        <w:tabs>
          <w:tab w:leader="none" w:pos="89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44" w:lineRule="auto"/>
        <w:tabs>
          <w:tab w:leader="none" w:pos="893"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59" w:lineRule="exact"/>
        <w:rPr>
          <w:rFonts w:ascii="Arial" w:cs="Arial" w:eastAsia="Arial" w:hAnsi="Arial"/>
          <w:sz w:val="16"/>
          <w:szCs w:val="16"/>
          <w:color w:val="auto"/>
        </w:rPr>
      </w:pPr>
    </w:p>
    <w:p>
      <w:pPr>
        <w:jc w:val="both"/>
        <w:ind w:firstLine="8"/>
        <w:spacing w:after="0" w:line="313" w:lineRule="auto"/>
        <w:tabs>
          <w:tab w:leader="none" w:pos="90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ectPr>
          <w:pgSz w:w="11900" w:h="16838" w:orient="portrait"/>
          <w:cols w:equalWidth="0" w:num="1">
            <w:col w:w="11420"/>
          </w:cols>
          <w:pgMar w:left="240" w:top="611" w:right="239" w:bottom="1440" w:gutter="0" w:footer="0" w:header="0"/>
        </w:sectPr>
      </w:pPr>
    </w:p>
    <w:bookmarkStart w:id="139" w:name="page140"/>
    <w:bookmarkEnd w:id="139"/>
    <w:p>
      <w:pPr>
        <w:jc w:val="both"/>
        <w:ind w:firstLine="8"/>
        <w:spacing w:after="0" w:line="338" w:lineRule="auto"/>
        <w:tabs>
          <w:tab w:leader="none" w:pos="906"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0" w:lineRule="exact"/>
        <w:rPr>
          <w:rFonts w:ascii="Arial" w:cs="Arial" w:eastAsia="Arial" w:hAnsi="Arial"/>
          <w:sz w:val="17"/>
          <w:szCs w:val="17"/>
          <w:color w:val="auto"/>
        </w:rPr>
      </w:pPr>
    </w:p>
    <w:p>
      <w:pPr>
        <w:jc w:val="both"/>
        <w:ind w:firstLine="8"/>
        <w:spacing w:after="0" w:line="313" w:lineRule="auto"/>
        <w:tabs>
          <w:tab w:leader="none" w:pos="90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6" w:lineRule="exact"/>
        <w:rPr>
          <w:rFonts w:ascii="Arial" w:cs="Arial" w:eastAsia="Arial" w:hAnsi="Arial"/>
          <w:sz w:val="18"/>
          <w:szCs w:val="18"/>
          <w:color w:val="auto"/>
        </w:rPr>
      </w:pPr>
    </w:p>
    <w:p>
      <w:pPr>
        <w:jc w:val="both"/>
        <w:ind w:firstLine="8"/>
        <w:spacing w:after="0" w:line="351" w:lineRule="auto"/>
        <w:tabs>
          <w:tab w:leader="none" w:pos="893"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Subject to, and in accordance with the provisions of Article 3 of the Plan, any dispute or claim arising out of or relating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Indiana, without regard to internal principles relating to conflict of laws.</w:t>
      </w:r>
    </w:p>
    <w:p>
      <w:pPr>
        <w:spacing w:after="0" w:line="153" w:lineRule="exact"/>
        <w:rPr>
          <w:rFonts w:ascii="Arial" w:cs="Arial" w:eastAsia="Arial" w:hAnsi="Arial"/>
          <w:sz w:val="16"/>
          <w:szCs w:val="16"/>
          <w:color w:val="auto"/>
        </w:rPr>
      </w:pPr>
    </w:p>
    <w:p>
      <w:pPr>
        <w:ind w:firstLine="8"/>
        <w:spacing w:after="0" w:line="329" w:lineRule="auto"/>
        <w:tabs>
          <w:tab w:leader="none" w:pos="87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color w:val="auto"/>
        </w:rPr>
      </w:pPr>
    </w:p>
    <w:p>
      <w:pPr>
        <w:jc w:val="both"/>
        <w:ind w:firstLine="8"/>
        <w:spacing w:after="0" w:line="313" w:lineRule="auto"/>
        <w:tabs>
          <w:tab w:leader="none" w:pos="91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left="920" w:hanging="912"/>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8.5% or greater Title Operating Margin (as defined below) in at least two calendar quarters of any of the next five calendar quarters starting October 1, 2015 (the “Performance Restriction”). The five calendar quarters starting October 1, 2015 and ending December 31, 2016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ectPr>
          <w:pgSz w:w="11900" w:h="16838" w:orient="portrait"/>
          <w:cols w:equalWidth="0" w:num="1">
            <w:col w:w="11420"/>
          </w:cols>
          <w:pgMar w:left="240" w:top="823" w:right="239" w:bottom="1440" w:gutter="0" w:footer="0" w:header="0"/>
        </w:sectPr>
      </w:pPr>
    </w:p>
    <w:bookmarkStart w:id="140" w:name="page141"/>
    <w:bookmarkEnd w:id="140"/>
    <w:tbl>
      <w:tblPr>
        <w:tblLayout w:type="fixed"/>
        <w:tblInd w:w="23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33.34%</w:t>
            </w:r>
          </w:p>
        </w:tc>
      </w:tr>
      <w:tr>
        <w:trPr>
          <w:trHeight w:val="426"/>
        </w:trPr>
        <w:tc>
          <w:tcPr>
            <w:tcW w:w="4280" w:type="dxa"/>
            <w:vAlign w:val="bottom"/>
          </w:tcPr>
          <w:p>
            <w:pPr>
              <w:spacing w:after="0"/>
              <w:rPr>
                <w:sz w:val="24"/>
                <w:szCs w:val="24"/>
                <w:color w:val="auto"/>
              </w:rPr>
            </w:pPr>
          </w:p>
        </w:tc>
        <w:tc>
          <w:tcPr>
            <w:tcW w:w="6760" w:type="dxa"/>
            <w:vAlign w:val="bottom"/>
            <w:gridSpan w:val="2"/>
          </w:tcPr>
          <w:p>
            <w:pPr>
              <w:jc w:val="right"/>
              <w:ind w:right="5170"/>
              <w:spacing w:after="0"/>
              <w:rPr>
                <w:sz w:val="20"/>
                <w:szCs w:val="20"/>
                <w:color w:val="auto"/>
              </w:rPr>
            </w:pPr>
            <w:r>
              <w:rPr>
                <w:rFonts w:ascii="Arial" w:cs="Arial" w:eastAsia="Arial" w:hAnsi="Arial"/>
                <w:sz w:val="18"/>
                <w:szCs w:val="18"/>
                <w:b w:val="1"/>
                <w:bCs w:val="1"/>
                <w:color w:val="auto"/>
              </w:rPr>
              <w:t>Vesting</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“Optionee”) have been granted the following option to purchase Shares of FNF Group Common Stock, par value $0.0001 per share (“Share”), by Fidelity National Financial, Inc. (the “Company”), pursuant to the Fidelity National Financial, Inc. Amended and Restated 2005 Omnibus Incentive Plan (the “Plan”):</w:t>
      </w:r>
    </w:p>
    <w:p>
      <w:pPr>
        <w:spacing w:after="0" w:line="311"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 of Optionee:</w:t>
            </w:r>
          </w:p>
        </w:tc>
        <w:tc>
          <w:tcPr>
            <w:tcW w:w="5140" w:type="dxa"/>
            <w:vAlign w:val="bottom"/>
            <w:tcBorders>
              <w:top w:val="single" w:sz="8" w:color="auto"/>
              <w:right w:val="single" w:sz="8" w:color="auto"/>
            </w:tcBorders>
          </w:tcPr>
          <w:p>
            <w:pPr>
              <w:spacing w:after="0"/>
              <w:rPr>
                <w:sz w:val="22"/>
                <w:szCs w:val="22"/>
                <w:color w:val="auto"/>
              </w:rPr>
            </w:pP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Number of Shares Subject to Option:</w:t>
            </w:r>
          </w:p>
        </w:tc>
        <w:tc>
          <w:tcPr>
            <w:tcW w:w="5140" w:type="dxa"/>
            <w:vAlign w:val="bottom"/>
            <w:tcBorders>
              <w:right w:val="single" w:sz="8" w:color="auto"/>
            </w:tcBorders>
          </w:tcPr>
          <w:p>
            <w:pPr>
              <w:spacing w:after="0"/>
              <w:rPr>
                <w:sz w:val="20"/>
                <w:szCs w:val="20"/>
                <w:color w:val="auto"/>
              </w:rPr>
            </w:pP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Type of Option:</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Nonqualified</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Exercise Price Per Share:</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$34.84</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Effective Date of Grant:</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October 29, 2015</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22"/>
        </w:trPr>
        <w:tc>
          <w:tcPr>
            <w:tcW w:w="4980" w:type="dxa"/>
            <w:vAlign w:val="bottom"/>
            <w:tcBorders>
              <w:left w:val="single" w:sz="8" w:color="auto"/>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Subject to the terms of the Plan and the Stock Option Agreement</w:t>
            </w:r>
          </w:p>
        </w:tc>
      </w:tr>
      <w:tr>
        <w:trPr>
          <w:trHeight w:val="216"/>
        </w:trPr>
        <w:tc>
          <w:tcPr>
            <w:tcW w:w="4980" w:type="dxa"/>
            <w:vAlign w:val="bottom"/>
            <w:tcBorders>
              <w:left w:val="single" w:sz="8" w:color="auto"/>
              <w:right w:val="single" w:sz="8" w:color="auto"/>
            </w:tcBorders>
          </w:tcPr>
          <w:p>
            <w:pPr>
              <w:spacing w:after="0"/>
              <w:rPr>
                <w:sz w:val="18"/>
                <w:szCs w:val="18"/>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attached hereto, the right to exercise this Option shall vest with</w:t>
            </w:r>
          </w:p>
        </w:tc>
      </w:tr>
      <w:tr>
        <w:trPr>
          <w:trHeight w:val="216"/>
        </w:trPr>
        <w:tc>
          <w:tcPr>
            <w:tcW w:w="4980" w:type="dxa"/>
            <w:vAlign w:val="bottom"/>
            <w:tcBorders>
              <w:left w:val="single" w:sz="8" w:color="auto"/>
              <w:right w:val="single" w:sz="8" w:color="auto"/>
            </w:tcBorders>
          </w:tcPr>
          <w:p>
            <w:pPr>
              <w:spacing w:after="0"/>
              <w:rPr>
                <w:sz w:val="18"/>
                <w:szCs w:val="18"/>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respect to one-third of the total number of Shares subject to this</w:t>
            </w:r>
          </w:p>
        </w:tc>
      </w:tr>
      <w:tr>
        <w:trPr>
          <w:trHeight w:val="230"/>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Vesting Schedule:</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on each anniversary of the Effective Date of Grant.</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335"/>
        </w:trPr>
        <w:tc>
          <w:tcPr>
            <w:tcW w:w="498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Effective Date of Grant</w:t>
            </w:r>
          </w:p>
        </w:tc>
      </w:tr>
      <w:tr>
        <w:trPr>
          <w:trHeight w:val="319"/>
        </w:trPr>
        <w:tc>
          <w:tcPr>
            <w:tcW w:w="498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The Option is subject to earlier expiration, as provided in Section 3(b)</w:t>
            </w:r>
          </w:p>
        </w:tc>
      </w:tr>
      <w:tr>
        <w:trPr>
          <w:trHeight w:val="230"/>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Expiration Date:</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the attached Stock Option Agreement.</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this Option is granted under and governed by the terms and conditions of the Plan and the attached Stock Option Agreement, which are incorporated herein by reference, and that you have been provided with a copy of the Plan and Stock Option Agreement.</w:t>
      </w:r>
    </w:p>
    <w:p>
      <w:pPr>
        <w:sectPr>
          <w:pgSz w:w="11900" w:h="16838" w:orient="portrait"/>
          <w:cols w:equalWidth="0" w:num="1">
            <w:col w:w="11420"/>
          </w:cols>
          <w:pgMar w:left="240" w:top="580"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GRANT OF OPTION.</w:t>
      </w:r>
    </w:p>
    <w:p>
      <w:pPr>
        <w:spacing w:after="0" w:line="252" w:lineRule="exact"/>
        <w:rPr>
          <w:sz w:val="20"/>
          <w:szCs w:val="20"/>
          <w:color w:val="auto"/>
        </w:rPr>
      </w:pPr>
    </w:p>
    <w:p>
      <w:pPr>
        <w:jc w:val="both"/>
        <w:ind w:firstLine="656"/>
        <w:spacing w:after="0" w:line="313" w:lineRule="auto"/>
        <w:tabs>
          <w:tab w:leader="none" w:pos="1496"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conditions set forth in the Notice of Stock Option Grant, which is incorporated by reference, and this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(the “Agreement”), the Company grants to the Optionee on the Effective Date of Grant the Option to purchase at the Exercise Price the number of Shares set forth in the Notice of Stock Option Grant.</w:t>
      </w:r>
    </w:p>
    <w:p>
      <w:pPr>
        <w:spacing w:after="0" w:line="176" w:lineRule="exact"/>
        <w:rPr>
          <w:rFonts w:ascii="Arial" w:cs="Arial" w:eastAsia="Arial" w:hAnsi="Arial"/>
          <w:sz w:val="18"/>
          <w:szCs w:val="18"/>
          <w:color w:val="auto"/>
        </w:rPr>
      </w:pPr>
    </w:p>
    <w:p>
      <w:pPr>
        <w:jc w:val="both"/>
        <w:ind w:firstLine="656"/>
        <w:spacing w:after="0" w:line="308" w:lineRule="auto"/>
        <w:tabs>
          <w:tab w:leader="none" w:pos="1506"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and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pursuant to the Plan. All terms, provisions, and conditions applicable to the Option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Plan 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RIGHT TO EXERCISE</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 (c) by broker-assisted exercise, or (d) by a combination of such methods.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TERM AND EXPIRATION.</w:t>
      </w:r>
    </w:p>
    <w:p>
      <w:pPr>
        <w:spacing w:after="0" w:line="252" w:lineRule="exact"/>
        <w:rPr>
          <w:sz w:val="20"/>
          <w:szCs w:val="20"/>
          <w:color w:val="auto"/>
        </w:rPr>
      </w:pPr>
    </w:p>
    <w:p>
      <w:pPr>
        <w:ind w:firstLine="656"/>
        <w:spacing w:after="0" w:line="329" w:lineRule="auto"/>
        <w:tabs>
          <w:tab w:leader="none" w:pos="149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Subject to earlier termination pursuant to the terms hereof, the Option shall expire on the expiration date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Stock Option Grant.</w:t>
      </w:r>
    </w:p>
    <w:p>
      <w:pPr>
        <w:spacing w:after="0" w:line="161" w:lineRule="exact"/>
        <w:rPr>
          <w:rFonts w:ascii="Arial" w:cs="Arial" w:eastAsia="Arial" w:hAnsi="Arial"/>
          <w:sz w:val="18"/>
          <w:szCs w:val="18"/>
          <w:color w:val="auto"/>
        </w:rPr>
      </w:pPr>
    </w:p>
    <w:p>
      <w:pPr>
        <w:jc w:val="both"/>
        <w:ind w:firstLine="656"/>
        <w:spacing w:after="0" w:line="313" w:lineRule="auto"/>
        <w:tabs>
          <w:tab w:leader="none" w:pos="150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Employment or Service. </w:t>
      </w:r>
      <w:r>
        <w:rPr>
          <w:rFonts w:ascii="Arial" w:cs="Arial" w:eastAsia="Arial" w:hAnsi="Arial"/>
          <w:sz w:val="18"/>
          <w:szCs w:val="18"/>
          <w:color w:val="auto"/>
        </w:rPr>
        <w:t>If the Optionee’s employment or service as a Director or Consultant, as the case may be,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except as otherwise provided in the Optionee’s employment, director services or similar agreement in effect at the time of the termination, the Option shall expire on the earliest of the following occasions:</w:t>
      </w:r>
    </w:p>
    <w:p>
      <w:pPr>
        <w:spacing w:after="0" w:line="180" w:lineRule="exact"/>
        <w:rPr>
          <w:rFonts w:ascii="Arial" w:cs="Arial" w:eastAsia="Arial" w:hAnsi="Arial"/>
          <w:sz w:val="18"/>
          <w:szCs w:val="18"/>
          <w:color w:val="auto"/>
        </w:rPr>
      </w:pPr>
    </w:p>
    <w:p>
      <w:pPr>
        <w:ind w:left="2780" w:hanging="827"/>
        <w:spacing w:after="0"/>
        <w:tabs>
          <w:tab w:leader="none" w:pos="27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expiration date set forth in the Notice of Stock Option Grant;</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date three months following the termination of the Optionee’s employment or service for any reason other than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Cause, death, or Disability;</w:t>
      </w:r>
    </w:p>
    <w:p>
      <w:pPr>
        <w:spacing w:after="0" w:line="265" w:lineRule="exact"/>
        <w:rPr>
          <w:rFonts w:ascii="Arial" w:cs="Arial" w:eastAsia="Arial" w:hAnsi="Arial"/>
          <w:sz w:val="16"/>
          <w:szCs w:val="16"/>
          <w:color w:val="auto"/>
        </w:rPr>
      </w:pPr>
    </w:p>
    <w:p>
      <w:pPr>
        <w:ind w:left="2880" w:hanging="927"/>
        <w:spacing w:after="0"/>
        <w:tabs>
          <w:tab w:leader="none" w:pos="28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date one year following the termination of the Optionee’s employment or service due to death or Disability; or</w:t>
      </w:r>
    </w:p>
    <w:p>
      <w:pPr>
        <w:spacing w:after="0" w:line="277" w:lineRule="exact"/>
        <w:rPr>
          <w:rFonts w:ascii="Arial" w:cs="Arial" w:eastAsia="Arial" w:hAnsi="Arial"/>
          <w:sz w:val="17"/>
          <w:szCs w:val="17"/>
          <w:color w:val="auto"/>
        </w:rPr>
      </w:pPr>
    </w:p>
    <w:p>
      <w:pPr>
        <w:ind w:left="2860" w:hanging="907"/>
        <w:spacing w:after="0"/>
        <w:tabs>
          <w:tab w:leader="none" w:pos="28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date of termination of the Optionee’s employment or service for Cause.</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ectPr>
          <w:pgSz w:w="11900" w:h="16838" w:orient="portrait"/>
          <w:cols w:equalWidth="0" w:num="1">
            <w:col w:w="11420"/>
          </w:cols>
          <w:pgMar w:left="240" w:top="796" w:right="239" w:bottom="1440" w:gutter="0" w:footer="0" w:header="0"/>
        </w:sectPr>
      </w:pPr>
    </w:p>
    <w:bookmarkStart w:id="143" w:name="page144"/>
    <w:bookmarkEnd w:id="143"/>
    <w:p>
      <w:pPr>
        <w:jc w:val="both"/>
        <w:ind w:left="-340" w:firstLine="656"/>
        <w:spacing w:after="0" w:line="324" w:lineRule="auto"/>
        <w:tabs>
          <w:tab w:leader="none" w:pos="1156"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“Cause</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“Cause” shall have the meaning ascribed to such term in the Optionee’s employment, director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or similar agreement with the Company or any Subsidiary. If the Optionee’s employment, director services or similar agreement does not define the term “Cause,” or if the Optionee has not entered into an employment, director services or similar agreement with the Company or any Subsidiary, the term “Cause” shall mean (i) the willful engaging by the Optionee in misconduct that is demonstrably injurious to the Company or any Parent or Subsidiary (monetarily or otherwise), (ii) the Optionee’s conviction of, or pleading guilty or nolo contendere to, a felony involving moral turpitude, or (iii) the Optionee’s violation of any confidentiality, non-solicitation, or non-competition covenant to which the Optionee is subject.</w:t>
      </w:r>
    </w:p>
    <w:p>
      <w:pPr>
        <w:spacing w:after="0" w:line="172" w:lineRule="exact"/>
        <w:rPr>
          <w:rFonts w:ascii="Arial" w:cs="Arial" w:eastAsia="Arial" w:hAnsi="Arial"/>
          <w:sz w:val="17"/>
          <w:szCs w:val="17"/>
          <w:color w:val="auto"/>
        </w:rPr>
      </w:pPr>
    </w:p>
    <w:p>
      <w:pPr>
        <w:jc w:val="both"/>
        <w:ind w:left="-340" w:firstLine="656"/>
        <w:spacing w:after="0" w:line="305" w:lineRule="auto"/>
        <w:tabs>
          <w:tab w:leader="none" w:pos="1166"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“Disability” shall have the meaning ascribed to such term in the Optionee’s employment,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or similar agreement with the Company or any Subsidiary. If the Optionee’s employment, director services or similar agreement does not define the term “Disability,” or if the Optionee has not entered into an employment, director services or similar agreement with the Company or any Subsidiary, the term “Disability” shall mean the Optionee’s entitlement to long-term disability benefits pursuant to the long-term disability plan maintained by the Company or in which the Company’s employees participate.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TRANSFERABILITY OF OPTION.</w:t>
      </w:r>
    </w:p>
    <w:p>
      <w:pPr>
        <w:spacing w:after="0" w:line="252" w:lineRule="exact"/>
        <w:rPr>
          <w:sz w:val="20"/>
          <w:szCs w:val="20"/>
          <w:color w:val="auto"/>
        </w:rPr>
      </w:pPr>
    </w:p>
    <w:p>
      <w:pPr>
        <w:jc w:val="both"/>
        <w:ind w:left="-340" w:firstLine="656"/>
        <w:spacing w:after="0" w:line="313" w:lineRule="auto"/>
        <w:tabs>
          <w:tab w:leader="none" w:pos="115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Except as provided in Section 4(b) herein, the Option shall not be transferable by the Optionee other than by will or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descent and distribution, and the Option shall be exercisable during the Optionee’s lifetime only by the Optionee or on his or her behalf by the Optionee's guardian or legal representative.</w:t>
      </w:r>
    </w:p>
    <w:p>
      <w:pPr>
        <w:spacing w:after="0" w:line="176" w:lineRule="exact"/>
        <w:rPr>
          <w:rFonts w:ascii="Arial" w:cs="Arial" w:eastAsia="Arial" w:hAnsi="Arial"/>
          <w:sz w:val="18"/>
          <w:szCs w:val="18"/>
          <w:color w:val="auto"/>
        </w:rPr>
      </w:pPr>
    </w:p>
    <w:p>
      <w:pPr>
        <w:jc w:val="both"/>
        <w:ind w:left="-340" w:firstLine="656"/>
        <w:spacing w:after="0" w:line="313" w:lineRule="auto"/>
        <w:tabs>
          <w:tab w:leader="none" w:pos="116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Transfers to Family Members. </w:t>
      </w:r>
      <w:r>
        <w:rPr>
          <w:rFonts w:ascii="Arial" w:cs="Arial" w:eastAsia="Arial" w:hAnsi="Arial"/>
          <w:sz w:val="18"/>
          <w:szCs w:val="18"/>
          <w:color w:val="auto"/>
        </w:rPr>
        <w:t>Notwithstanding Section 4(a) herein, if the Option is a Nonqualified Stock Option, the Optionee may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the Option for no consideration to or for the benefit of a Family Member, subject to such limits as the Committee may establish, and the transferee shall remain subject to all the terms and conditions applicable to the Option.</w:t>
      </w:r>
    </w:p>
    <w:p>
      <w:pPr>
        <w:spacing w:after="0" w:line="176" w:lineRule="exact"/>
        <w:rPr>
          <w:rFonts w:ascii="Arial" w:cs="Arial" w:eastAsia="Arial" w:hAnsi="Arial"/>
          <w:sz w:val="18"/>
          <w:szCs w:val="18"/>
          <w:color w:val="auto"/>
        </w:rPr>
      </w:pPr>
    </w:p>
    <w:p>
      <w:pPr>
        <w:jc w:val="both"/>
        <w:ind w:left="-340" w:firstLine="656"/>
        <w:spacing w:after="0" w:line="351" w:lineRule="auto"/>
        <w:tabs>
          <w:tab w:leader="none" w:pos="1156"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Definition of </w:t>
      </w:r>
      <w:r>
        <w:rPr>
          <w:rFonts w:ascii="Arial" w:cs="Arial" w:eastAsia="Arial" w:hAnsi="Arial"/>
          <w:sz w:val="16"/>
          <w:szCs w:val="16"/>
          <w:color w:val="auto"/>
        </w:rPr>
        <w:t>“</w:t>
      </w:r>
      <w:r>
        <w:rPr>
          <w:rFonts w:ascii="Arial" w:cs="Arial" w:eastAsia="Arial" w:hAnsi="Arial"/>
          <w:sz w:val="16"/>
          <w:szCs w:val="16"/>
          <w:b w:val="1"/>
          <w:bCs w:val="1"/>
          <w:color w:val="auto"/>
        </w:rPr>
        <w:t xml:space="preserve">Family Member.” </w:t>
      </w:r>
      <w:r>
        <w:rPr>
          <w:rFonts w:ascii="Arial" w:cs="Arial" w:eastAsia="Arial" w:hAnsi="Arial"/>
          <w:sz w:val="16"/>
          <w:szCs w:val="16"/>
          <w:color w:val="auto"/>
        </w:rPr>
        <w:t>For purposes of this Agreement, the term “Family Member” shall mean any child, stepchild,</w:t>
      </w:r>
      <w:r>
        <w:rPr>
          <w:rFonts w:ascii="Arial" w:cs="Arial" w:eastAsia="Arial" w:hAnsi="Arial"/>
          <w:sz w:val="16"/>
          <w:szCs w:val="16"/>
          <w:b w:val="1"/>
          <w:bCs w:val="1"/>
          <w:color w:val="auto"/>
        </w:rPr>
        <w:t xml:space="preserve"> </w:t>
      </w:r>
      <w:r>
        <w:rPr>
          <w:rFonts w:ascii="Arial" w:cs="Arial" w:eastAsia="Arial" w:hAnsi="Arial"/>
          <w:sz w:val="16"/>
          <w:szCs w:val="16"/>
          <w:color w:val="auto"/>
        </w:rPr>
        <w:t>grandchild, parent, 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left="-340" w:firstLine="656"/>
        <w:spacing w:after="0" w:line="338" w:lineRule="auto"/>
        <w:tabs>
          <w:tab w:leader="none" w:pos="1156"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Optionee hereby acknowledges that he or she has read and understands the terms of the Plan and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agrees to be bound by their respective terms and conditions. The Optionee acknowledges that there may be tax consequences upon the exercise or transfer of the Option and that the Optionee should consult an independent tax advisor prior to any exercise or transfer of the Option.</w:t>
      </w:r>
    </w:p>
    <w:p>
      <w:pPr>
        <w:spacing w:after="0" w:line="160" w:lineRule="exact"/>
        <w:rPr>
          <w:rFonts w:ascii="Arial" w:cs="Arial" w:eastAsia="Arial" w:hAnsi="Arial"/>
          <w:sz w:val="17"/>
          <w:szCs w:val="17"/>
          <w:color w:val="auto"/>
        </w:rPr>
      </w:pPr>
    </w:p>
    <w:p>
      <w:pPr>
        <w:jc w:val="both"/>
        <w:ind w:left="-340" w:firstLine="656"/>
        <w:spacing w:after="0" w:line="301" w:lineRule="auto"/>
        <w:tabs>
          <w:tab w:leader="none" w:pos="1166"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Article 20 of the Plan, the Committee shall have the power and the right to deduct or withhold, or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Optionee to 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Optionee’s FICA taxes) that could be imposed on the transaction, and, to the extent the Committee so permits, amounts in excess of the minimum statutory withholding to the extent it would not result in additional accounting expense. Such election shall be irrevocable, made in writing and signed by the Optionee, and shall be subject to any restrictions or limitations that the Committee, in its sole discretion, deems appropriate.</w:t>
      </w:r>
    </w:p>
    <w:p>
      <w:pPr>
        <w:spacing w:after="0" w:line="189" w:lineRule="exact"/>
        <w:rPr>
          <w:rFonts w:ascii="Arial" w:cs="Arial" w:eastAsia="Arial" w:hAnsi="Arial"/>
          <w:sz w:val="18"/>
          <w:szCs w:val="18"/>
          <w:color w:val="auto"/>
        </w:rPr>
      </w:pPr>
    </w:p>
    <w:p>
      <w:pPr>
        <w:jc w:val="both"/>
        <w:ind w:left="-340" w:firstLine="656"/>
        <w:spacing w:after="0" w:line="323" w:lineRule="auto"/>
        <w:tabs>
          <w:tab w:leader="none" w:pos="1156"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Holding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If and when (i) the Optionee is an Officer (as defined in Rule 16a-1(f) of the Exchange Act) or holds the title of</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 Eastern Operations, President - Western Operations, President - Agency Operations, or Chief Legal Officer, and (ii) Optionee does not hold Shares of FNF Group Common Stock with a value sufficient to satisfy the applicable stock ownership guidelines of the Company in place at that time, then Optionee must retain at least 50% of the Shares acquired by Optionee as a result of any exercise of this Option (excluding from the calculation any Shares withheld, sold, cancelled, or otherwise forfeited by Optionee for purposes of satisfying the exercise price and tax obligations in connection with the exercise of the Option) until such time as the value of the Shares of FNF Group Common Stock remaining in Grantee’s possession following any sale, assignment, pledge, exchange, gift or other transfer of the Shares acquired by Optionee as a result of the exercise of this</w:t>
      </w:r>
    </w:p>
    <w:p>
      <w:pPr>
        <w:sectPr>
          <w:pgSz w:w="11900" w:h="16838" w:orient="portrait"/>
          <w:cols w:equalWidth="0" w:num="1">
            <w:col w:w="11080"/>
          </w:cols>
          <w:pgMar w:left="580" w:top="607" w:right="239" w:bottom="1440" w:gutter="0" w:footer="0" w:header="0"/>
        </w:sectPr>
      </w:pPr>
    </w:p>
    <w:bookmarkStart w:id="144" w:name="page145"/>
    <w:bookmarkEnd w:id="144"/>
    <w:p>
      <w:pPr>
        <w:jc w:val="both"/>
        <w:spacing w:after="0" w:line="304" w:lineRule="auto"/>
        <w:rPr>
          <w:sz w:val="20"/>
          <w:szCs w:val="20"/>
          <w:color w:val="auto"/>
        </w:rPr>
      </w:pPr>
      <w:r>
        <w:rPr>
          <w:rFonts w:ascii="Arial" w:cs="Arial" w:eastAsia="Arial" w:hAnsi="Arial"/>
          <w:sz w:val="18"/>
          <w:szCs w:val="18"/>
          <w:color w:val="auto"/>
        </w:rPr>
        <w:t>Option shall be sufficient to meet any applicable stock ownership guidelines of the Company in place at that time. For the avoidance of doubt, at any time when Optionee holds, in the aggregate, Shares of FNF Group Common Stock with a value sufficient to satisfy the applicable stock ownership guidelines of the Company in place at that time, Optionee may enter into a transaction with respect to any Shares acquired by Optionee as a result of the exercise of the Option without regard to the holding period requirement contained in this Section 5(c) so long as Optionee shall continue to satisfy such stock ownership guidelines following such transaction.</w:t>
      </w:r>
    </w:p>
    <w:p>
      <w:pPr>
        <w:spacing w:after="0" w:line="184" w:lineRule="exact"/>
        <w:rPr>
          <w:sz w:val="20"/>
          <w:szCs w:val="20"/>
          <w:color w:val="auto"/>
        </w:rPr>
      </w:pPr>
    </w:p>
    <w:p>
      <w:pPr>
        <w:jc w:val="both"/>
        <w:ind w:firstLine="656"/>
        <w:spacing w:after="0" w:line="308" w:lineRule="auto"/>
        <w:tabs>
          <w:tab w:leader="none" w:pos="150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Concerning Disqualifying Dispositions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Option is an Incentive Stock Option, the Optionee shall notify the Committee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179" w:lineRule="exact"/>
        <w:rPr>
          <w:rFonts w:ascii="Arial" w:cs="Arial" w:eastAsia="Arial" w:hAnsi="Arial"/>
          <w:sz w:val="18"/>
          <w:szCs w:val="18"/>
          <w:color w:val="auto"/>
        </w:rPr>
      </w:pPr>
    </w:p>
    <w:p>
      <w:pPr>
        <w:jc w:val="both"/>
        <w:ind w:firstLine="656"/>
        <w:spacing w:after="0" w:line="313"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Optionee nor the Optionee’s transferee or representative shall have any rights as a stockholder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Shares subject to this Option until the Option has been exercised and Share certificates have been issued to the Optionee, transferee or representative, as the case may be.</w:t>
      </w:r>
    </w:p>
    <w:p>
      <w:pPr>
        <w:spacing w:after="0" w:line="176" w:lineRule="exact"/>
        <w:rPr>
          <w:rFonts w:ascii="Arial" w:cs="Arial" w:eastAsia="Arial" w:hAnsi="Arial"/>
          <w:sz w:val="18"/>
          <w:szCs w:val="18"/>
          <w:color w:val="auto"/>
        </w:rPr>
      </w:pPr>
    </w:p>
    <w:p>
      <w:pPr>
        <w:jc w:val="both"/>
        <w:ind w:firstLine="656"/>
        <w:spacing w:after="0" w:line="313" w:lineRule="auto"/>
        <w:tabs>
          <w:tab w:leader="none" w:pos="147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of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this Agreement, the Optionee and each person claiming under or through the Optionee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conclusively deemed to have indicated the Optionee’s acceptance and ratification of, and consent to, any action taken under the Plan or this Agreement and Notice of Stock Option Grant by the Company, the Board, or the Committee.</w:t>
      </w:r>
    </w:p>
    <w:p>
      <w:pPr>
        <w:spacing w:after="0" w:line="176" w:lineRule="exact"/>
        <w:rPr>
          <w:rFonts w:ascii="Arial" w:cs="Arial" w:eastAsia="Arial" w:hAnsi="Arial"/>
          <w:sz w:val="18"/>
          <w:szCs w:val="18"/>
          <w:color w:val="auto"/>
        </w:rPr>
      </w:pPr>
    </w:p>
    <w:p>
      <w:pPr>
        <w:jc w:val="both"/>
        <w:ind w:firstLine="656"/>
        <w:spacing w:after="0" w:line="338" w:lineRule="auto"/>
        <w:tabs>
          <w:tab w:leader="none" w:pos="1506"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by the terms of this Agreement shall be given in writing and shall be deemed effective upon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160" w:lineRule="exact"/>
        <w:rPr>
          <w:rFonts w:ascii="Arial" w:cs="Arial" w:eastAsia="Arial" w:hAnsi="Arial"/>
          <w:sz w:val="17"/>
          <w:szCs w:val="17"/>
          <w:color w:val="auto"/>
        </w:rPr>
      </w:pPr>
    </w:p>
    <w:p>
      <w:pPr>
        <w:jc w:val="both"/>
        <w:ind w:firstLine="656"/>
        <w:spacing w:after="0" w:line="313" w:lineRule="auto"/>
        <w:tabs>
          <w:tab w:leader="none" w:pos="150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Notice of Stock Option Grant shall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Florida, without regard to any conflicts of law or choice of law rule or principle that might otherwise cause the Plan, this Agreement or the Notice of Stock Option Grant to be governed by or construed in accordance with the substantive law of another jurisdiction.</w:t>
      </w:r>
    </w:p>
    <w:p>
      <w:pPr>
        <w:spacing w:after="0" w:line="176" w:lineRule="exact"/>
        <w:rPr>
          <w:rFonts w:ascii="Arial" w:cs="Arial" w:eastAsia="Arial" w:hAnsi="Arial"/>
          <w:sz w:val="18"/>
          <w:szCs w:val="18"/>
          <w:color w:val="auto"/>
        </w:rPr>
      </w:pPr>
    </w:p>
    <w:p>
      <w:pPr>
        <w:jc w:val="both"/>
        <w:ind w:firstLine="656"/>
        <w:spacing w:after="0" w:line="326" w:lineRule="auto"/>
        <w:tabs>
          <w:tab w:leader="none" w:pos="1466"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Article 3 of the Plan, any dispute or claim arising out of or relating to the Plan, this Agreement or the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Stock Option Grant, provided that all substantive questions of law shall be determined in accordance with the state and Federal laws applicable in Florida, without regard to internal principles relating to conflict of laws.</w:t>
      </w:r>
    </w:p>
    <w:p>
      <w:pPr>
        <w:spacing w:after="0" w:line="171" w:lineRule="exact"/>
        <w:rPr>
          <w:rFonts w:ascii="Arial" w:cs="Arial" w:eastAsia="Arial" w:hAnsi="Arial"/>
          <w:sz w:val="17"/>
          <w:szCs w:val="17"/>
          <w:color w:val="auto"/>
        </w:rPr>
      </w:pPr>
    </w:p>
    <w:p>
      <w:pPr>
        <w:ind w:firstLine="656"/>
        <w:spacing w:after="0" w:line="362" w:lineRule="auto"/>
        <w:tabs>
          <w:tab w:leader="none" w:pos="1466"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Modification or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only be modified or amended by written agreement executed by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however, that the adjustments permitted pursuant to Section 4.3 of the Plan may be made without such written agreement.</w:t>
      </w:r>
    </w:p>
    <w:p>
      <w:pPr>
        <w:spacing w:after="0" w:line="139" w:lineRule="exact"/>
        <w:rPr>
          <w:rFonts w:ascii="Arial" w:cs="Arial" w:eastAsia="Arial" w:hAnsi="Arial"/>
          <w:sz w:val="17"/>
          <w:szCs w:val="17"/>
          <w:color w:val="auto"/>
        </w:rPr>
      </w:pPr>
    </w:p>
    <w:p>
      <w:pPr>
        <w:jc w:val="both"/>
        <w:ind w:firstLine="656"/>
        <w:spacing w:after="0" w:line="313" w:lineRule="auto"/>
        <w:tabs>
          <w:tab w:leader="none" w:pos="150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provision of this Agreement shall be held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firstLine="656"/>
        <w:spacing w:after="0" w:line="329" w:lineRule="auto"/>
        <w:tabs>
          <w:tab w:leader="none" w:pos="146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 to Plan</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to the Plan (or to a Section or Article of the Plan) shall be deemed references to the Plan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or Article) as may be amended from time to time.</w:t>
      </w:r>
    </w:p>
    <w:p>
      <w:pPr>
        <w:spacing w:after="0" w:line="161" w:lineRule="exact"/>
        <w:rPr>
          <w:rFonts w:ascii="Arial" w:cs="Arial" w:eastAsia="Arial" w:hAnsi="Arial"/>
          <w:sz w:val="18"/>
          <w:szCs w:val="18"/>
          <w:color w:val="auto"/>
        </w:rPr>
      </w:pPr>
    </w:p>
    <w:p>
      <w:pPr>
        <w:jc w:val="both"/>
        <w:ind w:firstLine="656"/>
        <w:spacing w:after="0" w:line="313" w:lineRule="auto"/>
        <w:tabs>
          <w:tab w:leader="none" w:pos="155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applicable, it is intended that the Plan and this Agreement comply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THIS AMENDED AND RESTATED EMPLOYMENT AGREEMENT (the "Agreement") is effective as of January 8, 2016 (the "Effective Date"), by and between </w:t>
      </w:r>
      <w:r>
        <w:rPr>
          <w:rFonts w:ascii="Arial" w:cs="Arial" w:eastAsia="Arial" w:hAnsi="Arial"/>
          <w:sz w:val="22"/>
          <w:szCs w:val="22"/>
          <w:b w:val="1"/>
          <w:bCs w:val="1"/>
          <w:color w:val="auto"/>
        </w:rPr>
        <w:t>BKFS I MANAGEMENT, INC.</w:t>
      </w:r>
      <w:r>
        <w:rPr>
          <w:rFonts w:ascii="Arial" w:cs="Arial" w:eastAsia="Arial" w:hAnsi="Arial"/>
          <w:sz w:val="22"/>
          <w:szCs w:val="22"/>
          <w:color w:val="auto"/>
        </w:rPr>
        <w:t xml:space="preserve">, a Delaware corporation (the "Company"), and </w:t>
      </w:r>
      <w:r>
        <w:rPr>
          <w:rFonts w:ascii="Arial" w:cs="Arial" w:eastAsia="Arial" w:hAnsi="Arial"/>
          <w:sz w:val="22"/>
          <w:szCs w:val="22"/>
          <w:b w:val="1"/>
          <w:bCs w:val="1"/>
          <w:color w:val="auto"/>
        </w:rPr>
        <w:t xml:space="preserve">WILLIAM P. FOLEY, II </w:t>
      </w:r>
      <w:r>
        <w:rPr>
          <w:rFonts w:ascii="Arial" w:cs="Arial" w:eastAsia="Arial" w:hAnsi="Arial"/>
          <w:sz w:val="22"/>
          <w:szCs w:val="22"/>
          <w:color w:val="auto"/>
        </w:rPr>
        <w:t>(the "Employee"). In consideration of the mutual covenants and agreements set forth herein,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agree as follows:</w:t>
      </w:r>
    </w:p>
    <w:p>
      <w:pPr>
        <w:spacing w:after="0" w:line="188" w:lineRule="exact"/>
        <w:rPr>
          <w:sz w:val="20"/>
          <w:szCs w:val="20"/>
          <w:color w:val="auto"/>
        </w:rPr>
      </w:pPr>
    </w:p>
    <w:p>
      <w:pPr>
        <w:jc w:val="both"/>
        <w:ind w:firstLine="494"/>
        <w:spacing w:after="0" w:line="270" w:lineRule="auto"/>
        <w:tabs>
          <w:tab w:leader="none" w:pos="783" w:val="left"/>
        </w:tabs>
        <w:numPr>
          <w:ilvl w:val="1"/>
          <w:numId w:val="71"/>
        </w:numPr>
        <w:rPr>
          <w:rFonts w:ascii="Arial" w:cs="Arial" w:eastAsia="Arial" w:hAnsi="Arial"/>
          <w:sz w:val="17"/>
          <w:szCs w:val="17"/>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This Agreement amends and restates, in its entirety, the Employment Agreement between the Company and Employee dated as of January 10, 2014 (the “Prior Agreement”).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209" w:lineRule="exact"/>
        <w:rPr>
          <w:rFonts w:ascii="Arial" w:cs="Arial" w:eastAsia="Arial" w:hAnsi="Arial"/>
          <w:sz w:val="17"/>
          <w:szCs w:val="17"/>
          <w:color w:val="auto"/>
        </w:rPr>
      </w:pPr>
    </w:p>
    <w:p>
      <w:pPr>
        <w:jc w:val="both"/>
        <w:ind w:firstLine="656"/>
        <w:spacing w:after="0" w:line="291" w:lineRule="auto"/>
        <w:tabs>
          <w:tab w:leader="none" w:pos="1431" w:val="left"/>
        </w:tabs>
        <w:numPr>
          <w:ilvl w:val="2"/>
          <w:numId w:val="71"/>
        </w:numPr>
        <w:rPr>
          <w:rFonts w:ascii="Arial" w:cs="Arial" w:eastAsia="Arial" w:hAnsi="Arial"/>
          <w:sz w:val="16"/>
          <w:szCs w:val="16"/>
          <w:color w:val="auto"/>
        </w:rPr>
      </w:pPr>
      <w:r>
        <w:rPr>
          <w:rFonts w:ascii="Arial" w:cs="Arial" w:eastAsia="Arial" w:hAnsi="Arial"/>
          <w:sz w:val="19"/>
          <w:szCs w:val="19"/>
          <w:u w:val="single" w:color="auto"/>
          <w:color w:val="auto"/>
        </w:rPr>
        <w:t>Employment and Duties</w:t>
      </w:r>
      <w:r>
        <w:rPr>
          <w:rFonts w:ascii="Arial" w:cs="Arial" w:eastAsia="Arial" w:hAnsi="Arial"/>
          <w:sz w:val="19"/>
          <w:szCs w:val="19"/>
          <w:color w:val="auto"/>
        </w:rPr>
        <w:t>. Subject to the terms and conditions of this Agreement, the Company employs the Employee to serve in an executive capacity as Chairman of the Black Knight Financial Services, Inc. ("Black Knight") Board of Directors (the “Board”). The Employee accepts such employment and agrees to undertake and discharge the duties, functions and responsibilities set forth in Appendix A attached hereto. In addition to the duties and responsibilities specifically assigned to the Employee pursuant to Appendix A, the Employee will perform such other duties and responsibilities as are from time to time assigned to the Employee by the Board in writing, consistent with the terms and provisions of this Agreement. The Company acknowledges and agrees that Employee is now and may continue to serve as Chairman of Fidelity National Financial, Inc. (“FNF”) and ServiceLink Holdings, LLC ("ServiceLink"), Vice Chairman of Fidelity National Information Services, Inc. and as an owner and officer of several personal real estate, winery and restaurant investments.</w:t>
      </w:r>
    </w:p>
    <w:p>
      <w:pPr>
        <w:spacing w:after="0" w:line="195" w:lineRule="exact"/>
        <w:rPr>
          <w:rFonts w:ascii="Arial" w:cs="Arial" w:eastAsia="Arial" w:hAnsi="Arial"/>
          <w:sz w:val="16"/>
          <w:szCs w:val="16"/>
          <w:color w:val="auto"/>
        </w:rPr>
      </w:pPr>
    </w:p>
    <w:p>
      <w:pPr>
        <w:ind w:left="1440" w:hanging="784"/>
        <w:spacing w:after="0"/>
        <w:tabs>
          <w:tab w:leader="none" w:pos="1440" w:val="left"/>
        </w:tabs>
        <w:numPr>
          <w:ilvl w:val="2"/>
          <w:numId w:val="71"/>
        </w:numPr>
        <w:rPr>
          <w:rFonts w:ascii="Arial" w:cs="Arial" w:eastAsia="Arial" w:hAnsi="Arial"/>
          <w:sz w:val="16"/>
          <w:szCs w:val="16"/>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a period of three</w:t>
      </w:r>
    </w:p>
    <w:p>
      <w:pPr>
        <w:spacing w:after="0" w:line="56" w:lineRule="exact"/>
        <w:rPr>
          <w:rFonts w:ascii="Arial" w:cs="Arial" w:eastAsia="Arial" w:hAnsi="Arial"/>
          <w:sz w:val="16"/>
          <w:szCs w:val="16"/>
          <w:color w:val="auto"/>
        </w:rPr>
      </w:pPr>
    </w:p>
    <w:p>
      <w:pPr>
        <w:jc w:val="both"/>
        <w:ind w:firstLine="8"/>
        <w:spacing w:after="0" w:line="291" w:lineRule="auto"/>
        <w:tabs>
          <w:tab w:leader="none" w:pos="306" w:val="left"/>
        </w:tabs>
        <w:numPr>
          <w:ilvl w:val="0"/>
          <w:numId w:val="72"/>
        </w:numPr>
        <w:rPr>
          <w:rFonts w:ascii="Arial" w:cs="Arial" w:eastAsia="Arial" w:hAnsi="Arial"/>
          <w:sz w:val="19"/>
          <w:szCs w:val="19"/>
          <w:color w:val="auto"/>
        </w:rPr>
      </w:pPr>
      <w:r>
        <w:rPr>
          <w:rFonts w:ascii="Arial" w:cs="Arial" w:eastAsia="Arial" w:hAnsi="Arial"/>
          <w:sz w:val="19"/>
          <w:szCs w:val="19"/>
          <w:color w:val="auto"/>
        </w:rPr>
        <w:t>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193" w:lineRule="exact"/>
        <w:rPr>
          <w:rFonts w:ascii="Arial" w:cs="Arial" w:eastAsia="Arial" w:hAnsi="Arial"/>
          <w:sz w:val="19"/>
          <w:szCs w:val="19"/>
          <w:color w:val="auto"/>
        </w:rPr>
      </w:pPr>
    </w:p>
    <w:p>
      <w:pPr>
        <w:jc w:val="both"/>
        <w:ind w:firstLine="656"/>
        <w:spacing w:after="0" w:line="264" w:lineRule="auto"/>
        <w:tabs>
          <w:tab w:leader="none" w:pos="1431" w:val="left"/>
        </w:tabs>
        <w:numPr>
          <w:ilvl w:val="2"/>
          <w:numId w:val="72"/>
        </w:numPr>
        <w:rPr>
          <w:rFonts w:ascii="Arial" w:cs="Arial" w:eastAsia="Arial" w:hAnsi="Arial"/>
          <w:sz w:val="17"/>
          <w:szCs w:val="17"/>
          <w:color w:val="auto"/>
        </w:rPr>
      </w:pPr>
      <w:r>
        <w:rPr>
          <w:rFonts w:ascii="Arial" w:cs="Arial" w:eastAsia="Arial" w:hAnsi="Arial"/>
          <w:sz w:val="21"/>
          <w:szCs w:val="21"/>
          <w:u w:val="single" w:color="auto"/>
          <w:color w:val="auto"/>
        </w:rPr>
        <w:t>Salary</w:t>
      </w:r>
      <w:r>
        <w:rPr>
          <w:rFonts w:ascii="Arial" w:cs="Arial" w:eastAsia="Arial" w:hAnsi="Arial"/>
          <w:sz w:val="21"/>
          <w:szCs w:val="21"/>
          <w:color w:val="auto"/>
        </w:rPr>
        <w:t>. During the Employment Term, the Company shall pay the Employee an annual base salary, before deducting all applicable withholdings, of no less than $600,000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 and performance results (the aggregate amount of paid salary in any given year shall be referred to as the “Annual Base Salary”).</w:t>
      </w:r>
    </w:p>
    <w:p>
      <w:pPr>
        <w:spacing w:after="0" w:line="215" w:lineRule="exact"/>
        <w:rPr>
          <w:rFonts w:ascii="Arial" w:cs="Arial" w:eastAsia="Arial" w:hAnsi="Arial"/>
          <w:sz w:val="17"/>
          <w:szCs w:val="17"/>
          <w:color w:val="auto"/>
        </w:rPr>
      </w:pPr>
    </w:p>
    <w:p>
      <w:pPr>
        <w:ind w:firstLine="656"/>
        <w:spacing w:after="0" w:line="276" w:lineRule="auto"/>
        <w:tabs>
          <w:tab w:leader="none" w:pos="1431" w:val="left"/>
        </w:tabs>
        <w:numPr>
          <w:ilvl w:val="2"/>
          <w:numId w:val="72"/>
        </w:numPr>
        <w:rPr>
          <w:rFonts w:ascii="Arial" w:cs="Arial" w:eastAsia="Arial" w:hAnsi="Arial"/>
          <w:sz w:val="18"/>
          <w:szCs w:val="18"/>
          <w:color w:val="auto"/>
        </w:rPr>
      </w:pPr>
      <w:r>
        <w:rPr>
          <w:rFonts w:ascii="Arial" w:cs="Arial" w:eastAsia="Arial" w:hAnsi="Arial"/>
          <w:sz w:val="22"/>
          <w:szCs w:val="22"/>
          <w:u w:val="single" w:color="auto"/>
          <w:color w:val="auto"/>
        </w:rPr>
        <w:t>Other Compensation and Fringe Benefits</w:t>
      </w:r>
      <w:r>
        <w:rPr>
          <w:rFonts w:ascii="Arial" w:cs="Arial" w:eastAsia="Arial" w:hAnsi="Arial"/>
          <w:sz w:val="22"/>
          <w:szCs w:val="22"/>
          <w:color w:val="auto"/>
        </w:rPr>
        <w:t>. In addition to any executive bonus, deferred compensation and long-term incentive plans which the Company or an affiliate of the Company may from</w:t>
      </w:r>
    </w:p>
    <w:p>
      <w:pPr>
        <w:sectPr>
          <w:pgSz w:w="11900" w:h="16838" w:orient="portrait"/>
          <w:cols w:equalWidth="0" w:num="1">
            <w:col w:w="11420"/>
          </w:cols>
          <w:pgMar w:left="240" w:top="580" w:right="239" w:bottom="1440" w:gutter="0" w:footer="0" w:header="0"/>
        </w:sectPr>
      </w:pPr>
    </w:p>
    <w:bookmarkStart w:id="146" w:name="page147"/>
    <w:bookmarkEnd w:id="146"/>
    <w:p>
      <w:pPr>
        <w:spacing w:after="0"/>
        <w:rPr>
          <w:sz w:val="20"/>
          <w:szCs w:val="20"/>
          <w:color w:val="auto"/>
        </w:rPr>
      </w:pPr>
      <w:r>
        <w:rPr>
          <w:rFonts w:ascii="Arial" w:cs="Arial" w:eastAsia="Arial" w:hAnsi="Arial"/>
          <w:sz w:val="21"/>
          <w:szCs w:val="21"/>
          <w:color w:val="auto"/>
        </w:rPr>
        <w:t>time to time make available to the Employee, the Employee shall be entitled to the following during the Employment Term:</w:t>
      </w:r>
    </w:p>
    <w:p>
      <w:pPr>
        <w:spacing w:after="0" w:line="33"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22"/>
          <w:szCs w:val="22"/>
          <w:color w:val="auto"/>
        </w:rPr>
        <w:t>the standard Company benefits enjoyed by the Company's other top executives as a group;</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22"/>
          <w:szCs w:val="22"/>
          <w:color w:val="auto"/>
        </w:rPr>
        <w:t>participation in the FNF Executive Medical Plan (for the Employee and any covered dependents);</w:t>
      </w:r>
    </w:p>
    <w:p>
      <w:pPr>
        <w:spacing w:after="0" w:line="3" w:lineRule="exact"/>
        <w:rPr>
          <w:rFonts w:ascii="Arial" w:cs="Arial" w:eastAsia="Arial" w:hAnsi="Arial"/>
          <w:sz w:val="18"/>
          <w:szCs w:val="18"/>
          <w:color w:val="auto"/>
        </w:rPr>
      </w:pPr>
    </w:p>
    <w:p>
      <w:pPr>
        <w:ind w:left="1300" w:hanging="644"/>
        <w:spacing w:after="0" w:line="243"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22"/>
          <w:szCs w:val="22"/>
          <w:color w:val="auto"/>
        </w:rPr>
        <w:t>eligibility to elect and purchase supplemental disability insurance in accordance with the Company’s or an affiliate's then current benefit offering;</w:t>
      </w:r>
    </w:p>
    <w:p>
      <w:pPr>
        <w:jc w:val="both"/>
        <w:ind w:left="1300" w:hanging="644"/>
        <w:spacing w:after="0" w:line="246" w:lineRule="auto"/>
        <w:tabs>
          <w:tab w:leader="none" w:pos="1300" w:val="left"/>
        </w:tabs>
        <w:numPr>
          <w:ilvl w:val="0"/>
          <w:numId w:val="73"/>
        </w:numPr>
        <w:rPr>
          <w:rFonts w:ascii="Arial" w:cs="Arial" w:eastAsia="Arial" w:hAnsi="Arial"/>
          <w:sz w:val="17"/>
          <w:szCs w:val="17"/>
          <w:color w:val="auto"/>
        </w:rPr>
      </w:pPr>
      <w:r>
        <w:rPr>
          <w:rFonts w:ascii="Arial" w:cs="Arial" w:eastAsia="Arial" w:hAnsi="Arial"/>
          <w:sz w:val="21"/>
          <w:szCs w:val="21"/>
          <w:color w:val="auto"/>
        </w:rPr>
        <w:t>an annual incentive bonus opportunity under Black Knight’s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250% of the Employee’s Annual Base Salary (collectively, the target and maximum are referred to as the “Annual Bonus Opportunity”). The Employee’s 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first following the calendar year to which the Annual Bonus relates; and</w:t>
      </w:r>
    </w:p>
    <w:p>
      <w:pPr>
        <w:spacing w:after="0" w:line="1" w:lineRule="exact"/>
        <w:rPr>
          <w:rFonts w:ascii="Arial" w:cs="Arial" w:eastAsia="Arial" w:hAnsi="Arial"/>
          <w:sz w:val="17"/>
          <w:szCs w:val="17"/>
          <w:color w:val="auto"/>
        </w:rPr>
      </w:pPr>
    </w:p>
    <w:p>
      <w:pPr>
        <w:jc w:val="both"/>
        <w:ind w:left="1300" w:hanging="644"/>
        <w:spacing w:after="0" w:line="281" w:lineRule="auto"/>
        <w:tabs>
          <w:tab w:leader="none" w:pos="1300" w:val="left"/>
        </w:tabs>
        <w:numPr>
          <w:ilvl w:val="0"/>
          <w:numId w:val="73"/>
        </w:numPr>
        <w:rPr>
          <w:rFonts w:ascii="Arial" w:cs="Arial" w:eastAsia="Arial" w:hAnsi="Arial"/>
          <w:sz w:val="16"/>
          <w:szCs w:val="16"/>
          <w:color w:val="auto"/>
        </w:rPr>
      </w:pPr>
      <w:r>
        <w:rPr>
          <w:rFonts w:ascii="Arial" w:cs="Arial" w:eastAsia="Arial" w:hAnsi="Arial"/>
          <w:sz w:val="19"/>
          <w:szCs w:val="19"/>
          <w:color w:val="auto"/>
        </w:rPr>
        <w:t>participation in Black Knight's equity incentive plans, as determined by the Compensation Committee of the Board (provided that the aggregate grant date fair value of Foley’s annual equity grants from Black Knight shall be at least</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$7,000,000).</w:t>
      </w:r>
    </w:p>
    <w:p>
      <w:pPr>
        <w:spacing w:after="0" w:line="4" w:lineRule="exact"/>
        <w:rPr>
          <w:sz w:val="20"/>
          <w:szCs w:val="20"/>
          <w:color w:val="auto"/>
        </w:rPr>
      </w:pPr>
    </w:p>
    <w:p>
      <w:pPr>
        <w:jc w:val="both"/>
        <w:ind w:firstLine="656"/>
        <w:spacing w:after="0" w:line="248" w:lineRule="auto"/>
        <w:tabs>
          <w:tab w:leader="none" w:pos="1431" w:val="left"/>
        </w:tabs>
        <w:numPr>
          <w:ilvl w:val="0"/>
          <w:numId w:val="74"/>
        </w:numPr>
        <w:rPr>
          <w:rFonts w:ascii="Arial" w:cs="Arial" w:eastAsia="Arial" w:hAnsi="Arial"/>
          <w:sz w:val="18"/>
          <w:szCs w:val="18"/>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232" w:lineRule="exact"/>
        <w:rPr>
          <w:rFonts w:ascii="Arial" w:cs="Arial" w:eastAsia="Arial" w:hAnsi="Arial"/>
          <w:sz w:val="18"/>
          <w:szCs w:val="18"/>
          <w:color w:val="auto"/>
        </w:rPr>
      </w:pPr>
    </w:p>
    <w:p>
      <w:pPr>
        <w:jc w:val="both"/>
        <w:ind w:firstLine="656"/>
        <w:spacing w:after="0" w:line="254" w:lineRule="auto"/>
        <w:tabs>
          <w:tab w:leader="none" w:pos="1431" w:val="left"/>
        </w:tabs>
        <w:numPr>
          <w:ilvl w:val="0"/>
          <w:numId w:val="74"/>
        </w:numPr>
        <w:rPr>
          <w:rFonts w:ascii="Arial" w:cs="Arial" w:eastAsia="Arial" w:hAnsi="Arial"/>
          <w:sz w:val="18"/>
          <w:szCs w:val="18"/>
          <w:color w:val="auto"/>
        </w:rPr>
      </w:pPr>
      <w:r>
        <w:rPr>
          <w:rFonts w:ascii="Arial" w:cs="Arial" w:eastAsia="Arial" w:hAnsi="Arial"/>
          <w:sz w:val="22"/>
          <w:szCs w:val="22"/>
          <w:u w:val="single" w:color="auto"/>
          <w:color w:val="auto"/>
        </w:rPr>
        <w:t>Expense Reimbursement</w:t>
      </w:r>
      <w:r>
        <w:rPr>
          <w:rFonts w:ascii="Arial" w:cs="Arial" w:eastAsia="Arial" w:hAnsi="Arial"/>
          <w:sz w:val="22"/>
          <w:szCs w:val="22"/>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225" w:lineRule="exact"/>
        <w:rPr>
          <w:rFonts w:ascii="Arial" w:cs="Arial" w:eastAsia="Arial" w:hAnsi="Arial"/>
          <w:sz w:val="18"/>
          <w:szCs w:val="18"/>
          <w:color w:val="auto"/>
        </w:rPr>
      </w:pPr>
    </w:p>
    <w:p>
      <w:pPr>
        <w:jc w:val="both"/>
        <w:ind w:firstLine="656"/>
        <w:spacing w:after="0" w:line="320" w:lineRule="auto"/>
        <w:tabs>
          <w:tab w:leader="none" w:pos="1431" w:val="left"/>
        </w:tabs>
        <w:numPr>
          <w:ilvl w:val="0"/>
          <w:numId w:val="74"/>
        </w:numPr>
        <w:rPr>
          <w:rFonts w:ascii="Arial" w:cs="Arial" w:eastAsia="Arial" w:hAnsi="Arial"/>
          <w:sz w:val="16"/>
          <w:szCs w:val="16"/>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166" w:lineRule="exact"/>
        <w:rPr>
          <w:sz w:val="20"/>
          <w:szCs w:val="20"/>
          <w:color w:val="auto"/>
        </w:rPr>
      </w:pPr>
    </w:p>
    <w:p>
      <w:pPr>
        <w:jc w:val="both"/>
        <w:ind w:left="1300" w:hanging="644"/>
        <w:spacing w:after="0" w:line="245"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ectPr>
          <w:pgSz w:w="11900" w:h="16838" w:orient="portrait"/>
          <w:cols w:equalWidth="0" w:num="1">
            <w:col w:w="11420"/>
          </w:cols>
          <w:pgMar w:left="240" w:top="591" w:right="239" w:bottom="1440" w:gutter="0" w:footer="0" w:header="0"/>
        </w:sectPr>
      </w:pPr>
    </w:p>
    <w:bookmarkStart w:id="147" w:name="page148"/>
    <w:bookmarkEnd w:id="147"/>
    <w:p>
      <w:pPr>
        <w:jc w:val="both"/>
        <w:ind w:left="644" w:hanging="644"/>
        <w:spacing w:after="0" w:line="228" w:lineRule="auto"/>
        <w:tabs>
          <w:tab w:leader="none" w:pos="64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For purposes of this Agreement, "Date of Termination" shall mean the date specified in the Notice of Termination (but in no event shall such date be earlier than the thirtieth (30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the Notice of Termination is given) or the date of the Employee's death.</w:t>
      </w:r>
    </w:p>
    <w:p>
      <w:pPr>
        <w:spacing w:after="0" w:line="199"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88" w:lineRule="exact"/>
        <w:rPr>
          <w:rFonts w:ascii="Arial" w:cs="Arial" w:eastAsia="Arial" w:hAnsi="Arial"/>
          <w:sz w:val="22"/>
          <w:szCs w:val="22"/>
          <w:color w:val="auto"/>
        </w:rPr>
      </w:pPr>
    </w:p>
    <w:p>
      <w:pPr>
        <w:jc w:val="both"/>
        <w:ind w:left="644" w:hanging="644"/>
        <w:spacing w:after="0" w:line="285" w:lineRule="auto"/>
        <w:tabs>
          <w:tab w:leader="none" w:pos="644"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w:t>
      </w:r>
    </w:p>
    <w:p>
      <w:pPr>
        <w:spacing w:after="0" w:line="3" w:lineRule="exact"/>
        <w:rPr>
          <w:rFonts w:ascii="Arial" w:cs="Arial" w:eastAsia="Arial" w:hAnsi="Arial"/>
          <w:sz w:val="19"/>
          <w:szCs w:val="19"/>
          <w:color w:val="auto"/>
        </w:rPr>
      </w:pPr>
    </w:p>
    <w:p>
      <w:pPr>
        <w:jc w:val="both"/>
        <w:ind w:left="644" w:firstLine="5"/>
        <w:spacing w:after="0" w:line="256" w:lineRule="auto"/>
        <w:tabs>
          <w:tab w:leader="none" w:pos="1060" w:val="left"/>
        </w:tabs>
        <w:numPr>
          <w:ilvl w:val="1"/>
          <w:numId w:val="76"/>
        </w:numPr>
        <w:rPr>
          <w:rFonts w:ascii="Arial" w:cs="Arial" w:eastAsia="Arial" w:hAnsi="Arial"/>
          <w:sz w:val="21"/>
          <w:szCs w:val="21"/>
          <w:color w:val="auto"/>
        </w:rPr>
      </w:pPr>
      <w:r>
        <w:rPr>
          <w:rFonts w:ascii="Arial" w:cs="Arial" w:eastAsia="Arial" w:hAnsi="Arial"/>
          <w:sz w:val="21"/>
          <w:szCs w:val="21"/>
          <w:color w:val="auto"/>
        </w:rPr>
        <w:t xml:space="preserve">conviction of, or pleading nolo contendere to, criminal or other illegal activities involving dishonesty; (iv) material breach of this Agreement; or (v) failure to materially cooperate with or impeding an investigation authorized by the Board. The Employee's termination for Cause shall be effective when and if a resolution is duly adopted by an affirmative vote of at least ¾ of the Board (less the Employee), stating that, in the good faith opinion of the Board, the Employee is guilty of the conduct described in the Notice of Termination and such conduct constitutes Cause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Employee shall have been given reasonable 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189" w:lineRule="exact"/>
        <w:rPr>
          <w:rFonts w:ascii="Arial" w:cs="Arial" w:eastAsia="Arial" w:hAnsi="Arial"/>
          <w:sz w:val="21"/>
          <w:szCs w:val="21"/>
          <w:color w:val="auto"/>
        </w:rPr>
      </w:pPr>
    </w:p>
    <w:p>
      <w:pPr>
        <w:jc w:val="both"/>
        <w:ind w:left="644" w:hanging="644"/>
        <w:spacing w:after="0" w:line="271" w:lineRule="auto"/>
        <w:tabs>
          <w:tab w:leader="none" w:pos="644"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For purposes of this Agreement, a termination based upon "Disability" means a termination by the Company based upon the Employee's entitlement to long-term disability benefits under the Company's or an affiliate's long-term disability plan or policy, as the case may be, as in effect on the Date of Termination.</w:t>
      </w:r>
    </w:p>
    <w:p>
      <w:pPr>
        <w:spacing w:after="0" w:line="168" w:lineRule="exact"/>
        <w:rPr>
          <w:sz w:val="20"/>
          <w:szCs w:val="20"/>
          <w:color w:val="auto"/>
        </w:rPr>
      </w:pPr>
    </w:p>
    <w:p>
      <w:pPr>
        <w:jc w:val="both"/>
        <w:ind w:left="644" w:hanging="644"/>
        <w:spacing w:after="0" w:line="249" w:lineRule="auto"/>
        <w:tabs>
          <w:tab w:leader="none" w:pos="644" w:val="left"/>
        </w:tabs>
        <w:numPr>
          <w:ilvl w:val="0"/>
          <w:numId w:val="77"/>
        </w:numPr>
        <w:rPr>
          <w:rFonts w:ascii="Arial" w:cs="Arial" w:eastAsia="Arial" w:hAnsi="Arial"/>
          <w:sz w:val="18"/>
          <w:szCs w:val="18"/>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For purposes of this Agreement, a termination for "Good Reason" means a termination by the Employee during the Employment Term based upon the occurrence (without the Employee's express written consent) of any of the following:</w:t>
      </w:r>
    </w:p>
    <w:p>
      <w:pPr>
        <w:ind w:left="1304" w:hanging="655"/>
        <w:spacing w:after="0" w:line="243" w:lineRule="auto"/>
        <w:tabs>
          <w:tab w:leader="none" w:pos="1304" w:val="left"/>
        </w:tabs>
        <w:numPr>
          <w:ilvl w:val="1"/>
          <w:numId w:val="77"/>
        </w:numPr>
        <w:rPr>
          <w:rFonts w:ascii="Arial" w:cs="Arial" w:eastAsia="Arial" w:hAnsi="Arial"/>
          <w:sz w:val="18"/>
          <w:szCs w:val="18"/>
          <w:color w:val="auto"/>
        </w:rPr>
      </w:pPr>
      <w:r>
        <w:rPr>
          <w:rFonts w:ascii="Arial" w:cs="Arial" w:eastAsia="Arial" w:hAnsi="Arial"/>
          <w:sz w:val="22"/>
          <w:szCs w:val="22"/>
          <w:color w:val="auto"/>
        </w:rPr>
        <w:t>a material diminution in the Employee's position or title, or the assignment of duties to the Employee that are materially inconsistent with the Employee's position or title;</w:t>
      </w:r>
    </w:p>
    <w:p>
      <w:pPr>
        <w:ind w:left="1304" w:hanging="655"/>
        <w:spacing w:after="0"/>
        <w:tabs>
          <w:tab w:leader="none" w:pos="1304" w:val="left"/>
        </w:tabs>
        <w:numPr>
          <w:ilvl w:val="1"/>
          <w:numId w:val="77"/>
        </w:numPr>
        <w:rPr>
          <w:rFonts w:ascii="Arial" w:cs="Arial" w:eastAsia="Arial" w:hAnsi="Arial"/>
          <w:sz w:val="18"/>
          <w:szCs w:val="18"/>
          <w:color w:val="auto"/>
        </w:rPr>
      </w:pPr>
      <w:r>
        <w:rPr>
          <w:rFonts w:ascii="Arial" w:cs="Arial" w:eastAsia="Arial" w:hAnsi="Arial"/>
          <w:sz w:val="22"/>
          <w:szCs w:val="22"/>
          <w:color w:val="auto"/>
        </w:rPr>
        <w:t>a material diminution in the Employee's Annual Base Salary or Annual Bonus Opportunity;</w:t>
      </w:r>
    </w:p>
    <w:p>
      <w:pPr>
        <w:spacing w:after="0" w:line="3" w:lineRule="exact"/>
        <w:rPr>
          <w:rFonts w:ascii="Arial" w:cs="Arial" w:eastAsia="Arial" w:hAnsi="Arial"/>
          <w:sz w:val="18"/>
          <w:szCs w:val="18"/>
          <w:color w:val="auto"/>
        </w:rPr>
      </w:pPr>
    </w:p>
    <w:p>
      <w:pPr>
        <w:jc w:val="both"/>
        <w:ind w:left="1304" w:hanging="655"/>
        <w:spacing w:after="0" w:line="287" w:lineRule="auto"/>
        <w:tabs>
          <w:tab w:leader="none" w:pos="1304" w:val="left"/>
        </w:tabs>
        <w:numPr>
          <w:ilvl w:val="1"/>
          <w:numId w:val="77"/>
        </w:numPr>
        <w:rPr>
          <w:rFonts w:ascii="Arial" w:cs="Arial" w:eastAsia="Arial" w:hAnsi="Arial"/>
          <w:sz w:val="16"/>
          <w:szCs w:val="16"/>
          <w:color w:val="auto"/>
        </w:rPr>
      </w:pPr>
      <w:r>
        <w:rPr>
          <w:rFonts w:ascii="Arial" w:cs="Arial" w:eastAsia="Arial" w:hAnsi="Arial"/>
          <w:sz w:val="19"/>
          <w:szCs w:val="19"/>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9"/>
          <w:szCs w:val="19"/>
          <w:i w:val="1"/>
          <w:iCs w:val="1"/>
          <w:color w:val="auto"/>
        </w:rPr>
        <w:t>e.g.</w:t>
      </w:r>
      <w:r>
        <w:rPr>
          <w:rFonts w:ascii="Arial" w:cs="Arial" w:eastAsia="Arial" w:hAnsi="Arial"/>
          <w:sz w:val="19"/>
          <w:szCs w:val="19"/>
          <w:color w:val="auto"/>
        </w:rPr>
        <w:t>, the Employee no longer serving as Chairman of the Board would constitute such a material adverse change); (B) a material adverse change in the position to whom the Employee reports (including any requirement that the Employee report to a corporate officer or employee instead of reporting directly to the Board)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w:t>
      </w:r>
    </w:p>
    <w:p>
      <w:pPr>
        <w:sectPr>
          <w:pgSz w:w="11900" w:h="16838" w:orient="portrait"/>
          <w:cols w:equalWidth="0" w:num="1">
            <w:col w:w="10764"/>
          </w:cols>
          <w:pgMar w:left="896" w:top="591" w:right="239" w:bottom="1440" w:gutter="0" w:footer="0" w:header="0"/>
        </w:sectPr>
      </w:pPr>
    </w:p>
    <w:bookmarkStart w:id="148" w:name="page149"/>
    <w:bookmarkEnd w:id="148"/>
    <w:p>
      <w:pPr>
        <w:jc w:val="both"/>
        <w:ind w:left="1304"/>
        <w:spacing w:after="0" w:line="249" w:lineRule="auto"/>
        <w:rPr>
          <w:sz w:val="20"/>
          <w:szCs w:val="20"/>
          <w:color w:val="auto"/>
        </w:rPr>
      </w:pPr>
      <w:r>
        <w:rPr>
          <w:rFonts w:ascii="Arial" w:cs="Arial" w:eastAsia="Arial" w:hAnsi="Arial"/>
          <w:sz w:val="22"/>
          <w:szCs w:val="22"/>
          <w:color w:val="auto"/>
        </w:rPr>
        <w:t>has managing authority; or (D) a material change in the geographic location of the Employee's principal place of employment (</w:t>
      </w:r>
      <w:r>
        <w:rPr>
          <w:rFonts w:ascii="Arial" w:cs="Arial" w:eastAsia="Arial" w:hAnsi="Arial"/>
          <w:sz w:val="22"/>
          <w:szCs w:val="22"/>
          <w:i w:val="1"/>
          <w:iCs w:val="1"/>
          <w:color w:val="auto"/>
        </w:rPr>
        <w:t>e.g.</w:t>
      </w:r>
      <w:r>
        <w:rPr>
          <w:rFonts w:ascii="Arial" w:cs="Arial" w:eastAsia="Arial" w:hAnsi="Arial"/>
          <w:sz w:val="22"/>
          <w:szCs w:val="22"/>
          <w:color w:val="auto"/>
        </w:rPr>
        <w:t>, the Company has determined that a relocation of more than thirty-five (35) miles would constitute such a material change);</w:t>
      </w:r>
    </w:p>
    <w:p>
      <w:pPr>
        <w:ind w:left="1304" w:hanging="655"/>
        <w:spacing w:after="0"/>
        <w:tabs>
          <w:tab w:leader="none" w:pos="1304" w:val="left"/>
        </w:tabs>
        <w:numPr>
          <w:ilvl w:val="0"/>
          <w:numId w:val="78"/>
        </w:numPr>
        <w:rPr>
          <w:rFonts w:ascii="Arial" w:cs="Arial" w:eastAsia="Arial" w:hAnsi="Arial"/>
          <w:sz w:val="18"/>
          <w:szCs w:val="18"/>
          <w:color w:val="auto"/>
        </w:rPr>
      </w:pPr>
      <w:r>
        <w:rPr>
          <w:rFonts w:ascii="Arial" w:cs="Arial" w:eastAsia="Arial" w:hAnsi="Arial"/>
          <w:sz w:val="22"/>
          <w:szCs w:val="22"/>
          <w:color w:val="auto"/>
        </w:rPr>
        <w:t>a material breach by the Company of any of its obligations under this Agreement; or</w:t>
      </w:r>
    </w:p>
    <w:p>
      <w:pPr>
        <w:spacing w:after="0" w:line="3" w:lineRule="exact"/>
        <w:rPr>
          <w:rFonts w:ascii="Arial" w:cs="Arial" w:eastAsia="Arial" w:hAnsi="Arial"/>
          <w:sz w:val="18"/>
          <w:szCs w:val="18"/>
          <w:color w:val="auto"/>
        </w:rPr>
      </w:pPr>
    </w:p>
    <w:p>
      <w:pPr>
        <w:ind w:left="1304" w:hanging="655"/>
        <w:spacing w:after="0" w:line="243" w:lineRule="auto"/>
        <w:tabs>
          <w:tab w:leader="none" w:pos="1304" w:val="left"/>
        </w:tabs>
        <w:numPr>
          <w:ilvl w:val="0"/>
          <w:numId w:val="78"/>
        </w:numPr>
        <w:rPr>
          <w:rFonts w:ascii="Arial" w:cs="Arial" w:eastAsia="Arial" w:hAnsi="Arial"/>
          <w:sz w:val="18"/>
          <w:szCs w:val="18"/>
          <w:color w:val="auto"/>
        </w:rPr>
      </w:pPr>
      <w:r>
        <w:rPr>
          <w:rFonts w:ascii="Arial" w:cs="Arial" w:eastAsia="Arial" w:hAnsi="Arial"/>
          <w:sz w:val="22"/>
          <w:szCs w:val="22"/>
          <w:color w:val="auto"/>
        </w:rPr>
        <w:t>election of a new director to the Company’s Board who Employee (as a director of the Board) did not consent to or vote for.</w:t>
      </w:r>
    </w:p>
    <w:p>
      <w:pPr>
        <w:spacing w:after="0" w:line="1" w:lineRule="exact"/>
        <w:rPr>
          <w:sz w:val="20"/>
          <w:szCs w:val="20"/>
          <w:color w:val="auto"/>
        </w:rPr>
      </w:pPr>
    </w:p>
    <w:p>
      <w:pPr>
        <w:jc w:val="both"/>
        <w:ind w:left="644"/>
        <w:spacing w:after="0" w:line="285" w:lineRule="auto"/>
        <w:rPr>
          <w:sz w:val="20"/>
          <w:szCs w:val="20"/>
          <w:color w:val="auto"/>
        </w:rPr>
      </w:pPr>
      <w:r>
        <w:rPr>
          <w:rFonts w:ascii="Arial" w:cs="Arial" w:eastAsia="Arial" w:hAnsi="Arial"/>
          <w:sz w:val="19"/>
          <w:szCs w:val="19"/>
          <w:color w:val="auto"/>
        </w:rPr>
        <w:t xml:space="preserve">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 respect to, any act or failure to act constituting Good Reason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the Employee's Notice of Termination. Employee and the Company hereby acknowledge and agree that none of the changes made to this Agreement or the replacement of the Amended and Restated Employment Agreement between FNF and Employee with the Director Services Agreement between FNF and Employee, or the termination of the Amended and Restated Employment Agreement between ServiceLink Management, Inc. (and none of the related changes to Employee's titles, authority, duties, positions, responsibilities, compensation or benefits) shall constitute Good Reason under this Agreement or any of the Employee's other agreements.</w:t>
      </w:r>
    </w:p>
    <w:p>
      <w:pPr>
        <w:spacing w:after="0" w:line="158" w:lineRule="exact"/>
        <w:rPr>
          <w:sz w:val="20"/>
          <w:szCs w:val="20"/>
          <w:color w:val="auto"/>
        </w:rPr>
      </w:pPr>
    </w:p>
    <w:p>
      <w:pPr>
        <w:jc w:val="both"/>
        <w:ind w:left="644" w:hanging="644"/>
        <w:spacing w:after="0" w:line="291" w:lineRule="auto"/>
        <w:tabs>
          <w:tab w:leader="none" w:pos="644" w:val="left"/>
        </w:tabs>
        <w:numPr>
          <w:ilvl w:val="0"/>
          <w:numId w:val="79"/>
        </w:numPr>
        <w:rPr>
          <w:rFonts w:ascii="Arial" w:cs="Arial" w:eastAsia="Arial" w:hAnsi="Arial"/>
          <w:sz w:val="16"/>
          <w:szCs w:val="16"/>
          <w:color w:val="auto"/>
        </w:rPr>
      </w:pPr>
      <w:r>
        <w:rPr>
          <w:rFonts w:ascii="Arial" w:cs="Arial" w:eastAsia="Arial" w:hAnsi="Arial"/>
          <w:sz w:val="19"/>
          <w:szCs w:val="19"/>
          <w:u w:val="single" w:color="auto"/>
          <w:color w:val="auto"/>
        </w:rPr>
        <w:t>Cross-Termination</w:t>
      </w:r>
      <w:r>
        <w:rPr>
          <w:rFonts w:ascii="Arial" w:cs="Arial" w:eastAsia="Arial" w:hAnsi="Arial"/>
          <w:sz w:val="19"/>
          <w:szCs w:val="19"/>
          <w:color w:val="auto"/>
        </w:rPr>
        <w:t>. A termination by Employee or FNF of the Employee’s position on the Board of Directors of FNF for any reason under that certain Director Services Agreement between FNF and Employee shall constitute a</w:t>
      </w:r>
    </w:p>
    <w:p>
      <w:pPr>
        <w:spacing w:after="0" w:line="1" w:lineRule="exact"/>
        <w:rPr>
          <w:sz w:val="20"/>
          <w:szCs w:val="20"/>
          <w:color w:val="auto"/>
        </w:rPr>
      </w:pPr>
    </w:p>
    <w:p>
      <w:pPr>
        <w:ind w:left="644" w:right="20"/>
        <w:spacing w:after="0" w:line="243" w:lineRule="auto"/>
        <w:rPr>
          <w:sz w:val="20"/>
          <w:szCs w:val="20"/>
          <w:color w:val="auto"/>
        </w:rPr>
      </w:pPr>
      <w:r>
        <w:rPr>
          <w:rFonts w:ascii="Arial" w:cs="Arial" w:eastAsia="Arial" w:hAnsi="Arial"/>
          <w:sz w:val="22"/>
          <w:szCs w:val="22"/>
          <w:color w:val="auto"/>
        </w:rPr>
        <w:t>termination for the same reason under this Agreement and Employee shall be entitled to the appropriate termination benefits under this Agreement.</w:t>
      </w:r>
    </w:p>
    <w:p>
      <w:pPr>
        <w:spacing w:after="0" w:line="1" w:lineRule="exact"/>
        <w:rPr>
          <w:sz w:val="20"/>
          <w:szCs w:val="20"/>
          <w:color w:val="auto"/>
        </w:rPr>
      </w:pPr>
    </w:p>
    <w:p>
      <w:pPr>
        <w:ind w:left="784" w:hanging="784"/>
        <w:spacing w:after="0"/>
        <w:tabs>
          <w:tab w:leader="none" w:pos="784" w:val="left"/>
        </w:tabs>
        <w:numPr>
          <w:ilvl w:val="0"/>
          <w:numId w:val="80"/>
        </w:numPr>
        <w:rPr>
          <w:rFonts w:ascii="Arial" w:cs="Arial" w:eastAsia="Arial" w:hAnsi="Arial"/>
          <w:sz w:val="18"/>
          <w:szCs w:val="18"/>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56" w:lineRule="exact"/>
        <w:rPr>
          <w:sz w:val="20"/>
          <w:szCs w:val="20"/>
          <w:color w:val="auto"/>
        </w:rPr>
      </w:pPr>
    </w:p>
    <w:p>
      <w:pPr>
        <w:jc w:val="both"/>
        <w:ind w:left="644" w:hanging="644"/>
        <w:spacing w:after="0" w:line="258" w:lineRule="auto"/>
        <w:tabs>
          <w:tab w:leader="none" w:pos="644" w:val="left"/>
        </w:tabs>
        <w:numPr>
          <w:ilvl w:val="0"/>
          <w:numId w:val="81"/>
        </w:numPr>
        <w:rPr>
          <w:rFonts w:ascii="Arial" w:cs="Arial" w:eastAsia="Arial" w:hAnsi="Arial"/>
          <w:sz w:val="17"/>
          <w:szCs w:val="17"/>
          <w:color w:val="auto"/>
        </w:rPr>
      </w:pPr>
      <w:r>
        <w:rPr>
          <w:rFonts w:ascii="Arial" w:cs="Arial" w:eastAsia="Arial" w:hAnsi="Arial"/>
          <w:sz w:val="21"/>
          <w:szCs w:val="21"/>
          <w:u w:val="single" w:color="auto"/>
          <w:color w:val="auto"/>
        </w:rPr>
        <w:t>Termination by Foley for Good Reason, Not Re-Elected to the Board or Removed from the Board</w:t>
      </w:r>
      <w:r>
        <w:rPr>
          <w:rFonts w:ascii="Arial" w:cs="Arial" w:eastAsia="Arial" w:hAnsi="Arial"/>
          <w:sz w:val="21"/>
          <w:szCs w:val="21"/>
          <w:color w:val="auto"/>
        </w:rPr>
        <w:t>. If Foley’s employment or service as a director is terminated: (1) by the Company for any reason other than Cause, Death or Disability; (2) by Foley for Good Reason; or (3) because Foley is not nominated to run for re-election to the Board as Chairman, is nominated, but does not receive enough votes to be re-elected to the Board, or is removed from the position of Chairman of the Board for reasons other than Cause:</w:t>
      </w:r>
    </w:p>
    <w:p>
      <w:pPr>
        <w:spacing w:after="0" w:line="2" w:lineRule="exact"/>
        <w:rPr>
          <w:rFonts w:ascii="Arial" w:cs="Arial" w:eastAsia="Arial" w:hAnsi="Arial"/>
          <w:sz w:val="17"/>
          <w:szCs w:val="17"/>
          <w:color w:val="auto"/>
        </w:rPr>
      </w:pPr>
    </w:p>
    <w:p>
      <w:pPr>
        <w:ind w:left="1304" w:hanging="655"/>
        <w:spacing w:after="0"/>
        <w:tabs>
          <w:tab w:leader="none" w:pos="1304" w:val="left"/>
        </w:tabs>
        <w:numPr>
          <w:ilvl w:val="1"/>
          <w:numId w:val="81"/>
        </w:numPr>
        <w:rPr>
          <w:rFonts w:ascii="Arial" w:cs="Arial" w:eastAsia="Arial" w:hAnsi="Arial"/>
          <w:sz w:val="16"/>
          <w:szCs w:val="16"/>
          <w:color w:val="auto"/>
        </w:rPr>
      </w:pPr>
      <w:r>
        <w:rPr>
          <w:rFonts w:ascii="Arial" w:cs="Arial" w:eastAsia="Arial" w:hAnsi="Arial"/>
          <w:sz w:val="19"/>
          <w:szCs w:val="19"/>
          <w:color w:val="auto"/>
        </w:rPr>
        <w:t>the Company shall pay the Employee the following (collectively, the "Accrued Obligations"): (A) within five</w:t>
      </w:r>
    </w:p>
    <w:p>
      <w:pPr>
        <w:spacing w:after="0" w:line="38" w:lineRule="exact"/>
        <w:rPr>
          <w:rFonts w:ascii="Arial" w:cs="Arial" w:eastAsia="Arial" w:hAnsi="Arial"/>
          <w:sz w:val="16"/>
          <w:szCs w:val="16"/>
          <w:color w:val="auto"/>
        </w:rPr>
      </w:pPr>
    </w:p>
    <w:p>
      <w:pPr>
        <w:jc w:val="both"/>
        <w:ind w:left="1304" w:hanging="7"/>
        <w:spacing w:after="0" w:line="230" w:lineRule="auto"/>
        <w:tabs>
          <w:tab w:leader="none" w:pos="1636" w:val="left"/>
        </w:tabs>
        <w:numPr>
          <w:ilvl w:val="2"/>
          <w:numId w:val="81"/>
        </w:numPr>
        <w:rPr>
          <w:rFonts w:ascii="Arial" w:cs="Arial" w:eastAsia="Arial" w:hAnsi="Arial"/>
          <w:sz w:val="22"/>
          <w:szCs w:val="22"/>
          <w:color w:val="auto"/>
        </w:rPr>
      </w:pPr>
      <w:r>
        <w:rPr>
          <w:rFonts w:ascii="Arial" w:cs="Arial" w:eastAsia="Arial" w:hAnsi="Arial"/>
          <w:sz w:val="22"/>
          <w:szCs w:val="22"/>
          <w:color w:val="auto"/>
        </w:rPr>
        <w:t>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year in which the Date of Termination occurs, any earned but unpaid Annual Bonus payments relating to the prior calendar year;</w:t>
      </w:r>
    </w:p>
    <w:p>
      <w:pPr>
        <w:spacing w:after="0" w:line="4" w:lineRule="exact"/>
        <w:rPr>
          <w:rFonts w:ascii="Arial" w:cs="Arial" w:eastAsia="Arial" w:hAnsi="Arial"/>
          <w:sz w:val="22"/>
          <w:szCs w:val="22"/>
          <w:color w:val="auto"/>
        </w:rPr>
      </w:pPr>
    </w:p>
    <w:p>
      <w:pPr>
        <w:jc w:val="both"/>
        <w:ind w:left="1304" w:hanging="655"/>
        <w:spacing w:after="0" w:line="227" w:lineRule="auto"/>
        <w:tabs>
          <w:tab w:leader="none" w:pos="1304" w:val="left"/>
        </w:tabs>
        <w:numPr>
          <w:ilvl w:val="1"/>
          <w:numId w:val="81"/>
        </w:numPr>
        <w:rPr>
          <w:rFonts w:ascii="Arial" w:cs="Arial" w:eastAsia="Arial" w:hAnsi="Arial"/>
          <w:sz w:val="18"/>
          <w:szCs w:val="18"/>
          <w:color w:val="auto"/>
        </w:rPr>
      </w:pPr>
      <w:r>
        <w:rPr>
          <w:rFonts w:ascii="Arial" w:cs="Arial" w:eastAsia="Arial" w:hAnsi="Arial"/>
          <w:sz w:val="22"/>
          <w:szCs w:val="22"/>
          <w:color w:val="auto"/>
        </w:rPr>
        <w:t>the Company shall pay the Employee no later than March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w:t>
      </w:r>
    </w:p>
    <w:p>
      <w:pPr>
        <w:sectPr>
          <w:pgSz w:w="11900" w:h="16838" w:orient="portrait"/>
          <w:cols w:equalWidth="0" w:num="1">
            <w:col w:w="10764"/>
          </w:cols>
          <w:pgMar w:left="896" w:top="591" w:right="239" w:bottom="1440" w:gutter="0" w:footer="0" w:header="0"/>
        </w:sectPr>
      </w:pPr>
    </w:p>
    <w:bookmarkStart w:id="149" w:name="page150"/>
    <w:bookmarkEnd w:id="149"/>
    <w:p>
      <w:pPr>
        <w:jc w:val="both"/>
        <w:ind w:left="760"/>
        <w:spacing w:after="0" w:line="243" w:lineRule="auto"/>
        <w:rPr>
          <w:sz w:val="20"/>
          <w:szCs w:val="20"/>
          <w:color w:val="auto"/>
        </w:rPr>
      </w:pPr>
      <w:r>
        <w:rPr>
          <w:rFonts w:ascii="Arial" w:cs="Arial" w:eastAsia="Arial" w:hAnsi="Arial"/>
          <w:sz w:val="22"/>
          <w:szCs w:val="22"/>
          <w:color w:val="auto"/>
        </w:rPr>
        <w:t>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4" w:lineRule="exact"/>
        <w:rPr>
          <w:sz w:val="20"/>
          <w:szCs w:val="20"/>
          <w:color w:val="auto"/>
        </w:rPr>
      </w:pPr>
    </w:p>
    <w:p>
      <w:pPr>
        <w:jc w:val="both"/>
        <w:ind w:left="760" w:hanging="655"/>
        <w:spacing w:after="0" w:line="257" w:lineRule="auto"/>
        <w:tabs>
          <w:tab w:leader="none" w:pos="760" w:val="left"/>
        </w:tabs>
        <w:numPr>
          <w:ilvl w:val="0"/>
          <w:numId w:val="82"/>
        </w:numPr>
        <w:rPr>
          <w:rFonts w:ascii="Arial" w:cs="Arial" w:eastAsia="Arial" w:hAnsi="Arial"/>
          <w:sz w:val="17"/>
          <w:szCs w:val="17"/>
          <w:color w:val="auto"/>
        </w:rPr>
      </w:pPr>
      <w:r>
        <w:rPr>
          <w:rFonts w:ascii="Arial" w:cs="Arial" w:eastAsia="Arial" w:hAnsi="Arial"/>
          <w:sz w:val="20"/>
          <w:szCs w:val="20"/>
          <w:color w:val="auto"/>
        </w:rPr>
        <w:t>the Company shall pay the Employee, no later than the sixty-fifth (65</w:t>
      </w:r>
      <w:r>
        <w:rPr>
          <w:rFonts w:ascii="Arial" w:cs="Arial" w:eastAsia="Arial" w:hAnsi="Arial"/>
          <w:sz w:val="26"/>
          <w:szCs w:val="26"/>
          <w:color w:val="auto"/>
          <w:vertAlign w:val="superscript"/>
        </w:rPr>
        <w:t>th</w:t>
      </w:r>
      <w:r>
        <w:rPr>
          <w:rFonts w:ascii="Arial" w:cs="Arial" w:eastAsia="Arial" w:hAnsi="Arial"/>
          <w:sz w:val="20"/>
          <w:szCs w:val="20"/>
          <w:color w:val="auto"/>
        </w:rPr>
        <w:t>) calendar day after the Date of Termination, a lump-sum payment equal to 300% of the sum of: (A) the Employee's Annual Base Salary 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4" w:lineRule="exact"/>
        <w:rPr>
          <w:rFonts w:ascii="Arial" w:cs="Arial" w:eastAsia="Arial" w:hAnsi="Arial"/>
          <w:sz w:val="17"/>
          <w:szCs w:val="17"/>
          <w:color w:val="auto"/>
        </w:rPr>
      </w:pPr>
    </w:p>
    <w:p>
      <w:pPr>
        <w:jc w:val="both"/>
        <w:ind w:left="760" w:hanging="655"/>
        <w:spacing w:after="0" w:line="281" w:lineRule="auto"/>
        <w:tabs>
          <w:tab w:leader="none" w:pos="760" w:val="left"/>
        </w:tabs>
        <w:numPr>
          <w:ilvl w:val="0"/>
          <w:numId w:val="82"/>
        </w:numPr>
        <w:rPr>
          <w:rFonts w:ascii="Arial" w:cs="Arial" w:eastAsia="Arial" w:hAnsi="Arial"/>
          <w:sz w:val="16"/>
          <w:szCs w:val="16"/>
          <w:color w:val="auto"/>
        </w:rPr>
      </w:pPr>
      <w:r>
        <w:rPr>
          <w:rFonts w:ascii="Arial" w:cs="Arial" w:eastAsia="Arial" w:hAnsi="Arial"/>
          <w:sz w:val="19"/>
          <w:szCs w:val="19"/>
          <w:color w:val="auto"/>
        </w:rPr>
        <w:t>all stock option, restricted stock, profits interest and other equity-based incentive awards granted by Black Knight or ServiceLink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provided, however, that any such equity awards that are vested pursuant to this provision and that constitute a non-qualified deferred compensation arrangement within the meaning of Code Section 409A shall be paid or settled on the earliest date coinciding with or following the Date of Termination that does not result in a violation of or penalties under Section 409A; and</w:t>
      </w:r>
    </w:p>
    <w:p>
      <w:pPr>
        <w:spacing w:after="0" w:line="6" w:lineRule="exact"/>
        <w:rPr>
          <w:rFonts w:ascii="Arial" w:cs="Arial" w:eastAsia="Arial" w:hAnsi="Arial"/>
          <w:sz w:val="16"/>
          <w:szCs w:val="16"/>
          <w:color w:val="auto"/>
        </w:rPr>
      </w:pPr>
    </w:p>
    <w:p>
      <w:pPr>
        <w:ind w:left="760" w:hanging="655"/>
        <w:spacing w:after="0" w:line="243"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22"/>
          <w:szCs w:val="22"/>
          <w:color w:val="auto"/>
        </w:rPr>
        <w:t>the Company shall provide (or cause an affiliate to provide) the Employee with certain continued welfare benefits as follows:</w:t>
      </w:r>
    </w:p>
    <w:p>
      <w:pPr>
        <w:jc w:val="both"/>
        <w:ind w:left="1400" w:hanging="647"/>
        <w:spacing w:after="0" w:line="255" w:lineRule="auto"/>
        <w:tabs>
          <w:tab w:leader="none" w:pos="1400" w:val="left"/>
        </w:tabs>
        <w:numPr>
          <w:ilvl w:val="1"/>
          <w:numId w:val="82"/>
        </w:numPr>
        <w:rPr>
          <w:rFonts w:ascii="Arial" w:cs="Arial" w:eastAsia="Arial" w:hAnsi="Arial"/>
          <w:sz w:val="17"/>
          <w:szCs w:val="17"/>
          <w:color w:val="auto"/>
        </w:rPr>
      </w:pPr>
      <w:r>
        <w:rPr>
          <w:rFonts w:ascii="Arial" w:cs="Arial" w:eastAsia="Arial" w:hAnsi="Arial"/>
          <w:sz w:val="21"/>
          <w:szCs w:val="21"/>
          <w:color w:val="auto"/>
        </w:rPr>
        <w:t>Any life insurance coverage provided by the Company or an affiliate shall terminate at the same time as life insurance coverage would normally terminate for any other employee that terminates employment with the Company or an affiliate, and the Employee shall have the right to convert that life insurance coverage to an individual policy under the regular rules of the Company's or affiliate's, as the case may be, group policy. In addition, if the Employee is covered under or receives life insurance coverage provided by the Company or an affiliate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such life insurance coverage into an individual policy.</w:t>
      </w:r>
    </w:p>
    <w:p>
      <w:pPr>
        <w:jc w:val="both"/>
        <w:ind w:left="1400" w:hanging="647"/>
        <w:spacing w:after="0" w:line="257" w:lineRule="auto"/>
        <w:tabs>
          <w:tab w:leader="none" w:pos="1400" w:val="left"/>
        </w:tabs>
        <w:numPr>
          <w:ilvl w:val="1"/>
          <w:numId w:val="82"/>
        </w:numPr>
        <w:rPr>
          <w:rFonts w:ascii="Arial" w:cs="Arial" w:eastAsia="Arial" w:hAnsi="Arial"/>
          <w:sz w:val="17"/>
          <w:szCs w:val="17"/>
          <w:color w:val="auto"/>
        </w:rPr>
      </w:pPr>
      <w:r>
        <w:rPr>
          <w:rFonts w:ascii="Arial" w:cs="Arial" w:eastAsia="Arial" w:hAnsi="Arial"/>
          <w:sz w:val="21"/>
          <w:szCs w:val="21"/>
          <w:color w:val="auto"/>
        </w:rPr>
        <w:t>As long as the Employee pays the full monthly premiums for COBRA coverage, the Company shall provide (or cause an affiliate to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w:t>
      </w:r>
    </w:p>
    <w:p>
      <w:pPr>
        <w:sectPr>
          <w:pgSz w:w="11900" w:h="16838" w:orient="portrait"/>
          <w:cols w:equalWidth="0" w:num="1">
            <w:col w:w="10220"/>
          </w:cols>
          <w:pgMar w:left="1440" w:top="591" w:right="239" w:bottom="1440" w:gutter="0" w:footer="0" w:header="0"/>
        </w:sectPr>
      </w:pPr>
    </w:p>
    <w:bookmarkStart w:id="150" w:name="page151"/>
    <w:bookmarkEnd w:id="150"/>
    <w:p>
      <w:pPr>
        <w:ind w:left="1944"/>
        <w:spacing w:after="0" w:line="251" w:lineRule="auto"/>
        <w:rPr>
          <w:sz w:val="20"/>
          <w:szCs w:val="20"/>
          <w:color w:val="auto"/>
        </w:rPr>
      </w:pPr>
      <w:r>
        <w:rPr>
          <w:rFonts w:ascii="Arial" w:cs="Arial" w:eastAsia="Arial" w:hAnsi="Arial"/>
          <w:sz w:val="22"/>
          <w:szCs w:val="22"/>
          <w:color w:val="auto"/>
        </w:rPr>
        <w:t>and dental COBRA premiums based on the level of coverage in effect for the Employee (</w:t>
      </w:r>
      <w:r>
        <w:rPr>
          <w:rFonts w:ascii="Arial" w:cs="Arial" w:eastAsia="Arial" w:hAnsi="Arial"/>
          <w:sz w:val="22"/>
          <w:szCs w:val="22"/>
          <w:i w:val="1"/>
          <w:iCs w:val="1"/>
          <w:color w:val="auto"/>
        </w:rPr>
        <w:t>e.g.</w:t>
      </w:r>
      <w:r>
        <w:rPr>
          <w:rFonts w:ascii="Arial" w:cs="Arial" w:eastAsia="Arial" w:hAnsi="Arial"/>
          <w:sz w:val="22"/>
          <w:szCs w:val="22"/>
          <w:color w:val="auto"/>
        </w:rPr>
        <w:t>, employee only or family coverage) on the Date of Termination.</w:t>
      </w:r>
    </w:p>
    <w:p>
      <w:pPr>
        <w:spacing w:after="0" w:line="2" w:lineRule="exact"/>
        <w:rPr>
          <w:sz w:val="20"/>
          <w:szCs w:val="20"/>
          <w:color w:val="auto"/>
        </w:rPr>
      </w:pPr>
    </w:p>
    <w:p>
      <w:pPr>
        <w:jc w:val="both"/>
        <w:ind w:left="644" w:hanging="644"/>
        <w:spacing w:after="0" w:line="243" w:lineRule="auto"/>
        <w:tabs>
          <w:tab w:leader="none" w:pos="644" w:val="left"/>
        </w:tabs>
        <w:numPr>
          <w:ilvl w:val="0"/>
          <w:numId w:val="83"/>
        </w:numPr>
        <w:rPr>
          <w:rFonts w:ascii="Arial" w:cs="Arial" w:eastAsia="Arial" w:hAnsi="Arial"/>
          <w:sz w:val="18"/>
          <w:szCs w:val="18"/>
          <w:color w:val="auto"/>
        </w:rPr>
      </w:pPr>
      <w:r>
        <w:rPr>
          <w:rFonts w:ascii="Arial" w:cs="Arial" w:eastAsia="Arial" w:hAnsi="Arial"/>
          <w:sz w:val="22"/>
          <w:szCs w:val="22"/>
          <w:u w:val="single" w:color="auto"/>
          <w:color w:val="auto"/>
        </w:rPr>
        <w:t>Termination by the Company for Cause and by the Employee without Good Reason</w:t>
      </w:r>
      <w:r>
        <w:rPr>
          <w:rFonts w:ascii="Arial" w:cs="Arial" w:eastAsia="Arial" w:hAnsi="Arial"/>
          <w:sz w:val="22"/>
          <w:szCs w:val="22"/>
          <w:color w:val="auto"/>
        </w:rPr>
        <w:t>. If the Employee's employment is terminated (i) by the Company for Cause or (ii) by the Employee without Good Reason, the Company's only obligation under this Agreement shall be payment of any Accrued Obligations.</w:t>
      </w:r>
    </w:p>
    <w:p>
      <w:pPr>
        <w:spacing w:after="0" w:line="1"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83"/>
        </w:numPr>
        <w:rPr>
          <w:rFonts w:ascii="Arial" w:cs="Arial" w:eastAsia="Arial" w:hAnsi="Arial"/>
          <w:sz w:val="17"/>
          <w:szCs w:val="17"/>
          <w:color w:val="auto"/>
        </w:rPr>
      </w:pPr>
      <w:r>
        <w:rPr>
          <w:rFonts w:ascii="Arial" w:cs="Arial" w:eastAsia="Arial" w:hAnsi="Arial"/>
          <w:sz w:val="21"/>
          <w:szCs w:val="21"/>
          <w:u w:val="single" w:color="auto"/>
          <w:color w:val="auto"/>
        </w:rPr>
        <w:t>Termination due to Death or Disability</w:t>
      </w:r>
      <w:r>
        <w:rPr>
          <w:rFonts w:ascii="Arial" w:cs="Arial" w:eastAsia="Arial" w:hAnsi="Arial"/>
          <w:sz w:val="21"/>
          <w:szCs w:val="21"/>
          <w:color w:val="auto"/>
        </w:rPr>
        <w:t>. If the Employee's employment is terminated due to death or Disability, the Company shall pay the Employee (or to the Employee's estate or personal representative in the case of death), within thirty (30) business days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ind w:left="644" w:hanging="644"/>
        <w:spacing w:after="0" w:line="243" w:lineRule="auto"/>
        <w:tabs>
          <w:tab w:leader="none" w:pos="644" w:val="left"/>
        </w:tabs>
        <w:numPr>
          <w:ilvl w:val="0"/>
          <w:numId w:val="83"/>
        </w:numPr>
        <w:rPr>
          <w:rFonts w:ascii="Arial" w:cs="Arial" w:eastAsia="Arial" w:hAnsi="Arial"/>
          <w:sz w:val="18"/>
          <w:szCs w:val="18"/>
          <w:color w:val="auto"/>
        </w:rPr>
      </w:pPr>
      <w:r>
        <w:rPr>
          <w:rFonts w:ascii="Arial" w:cs="Arial" w:eastAsia="Arial" w:hAnsi="Arial"/>
          <w:sz w:val="22"/>
          <w:szCs w:val="22"/>
          <w:u w:val="single" w:color="auto"/>
          <w:color w:val="auto"/>
        </w:rPr>
        <w:t>Definition of Change in Control</w:t>
      </w:r>
      <w:r>
        <w:rPr>
          <w:rFonts w:ascii="Arial" w:cs="Arial" w:eastAsia="Arial" w:hAnsi="Arial"/>
          <w:sz w:val="22"/>
          <w:szCs w:val="22"/>
          <w:color w:val="auto"/>
        </w:rPr>
        <w:t>. For purposes of this Agreement, the term "Change in Control" shall mean that the conditions set forth in any one of the following subsections shall have been satisfied:</w:t>
      </w:r>
    </w:p>
    <w:p>
      <w:pPr>
        <w:jc w:val="both"/>
        <w:ind w:left="1304" w:hanging="655"/>
        <w:spacing w:after="0" w:line="243"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22"/>
          <w:szCs w:val="22"/>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Black Knight possessing more than fifty percent (50%) of the total combined voting power of all outstanding securities of Black Knight;</w:t>
      </w:r>
    </w:p>
    <w:p>
      <w:pPr>
        <w:spacing w:after="0" w:line="2"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22"/>
          <w:szCs w:val="22"/>
          <w:color w:val="auto"/>
        </w:rPr>
        <w:t>a merger or consolidation in which Black Knight is not the surviving entity, except for a transaction in which the holders of the outstanding voting securities of Black Knight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2"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22"/>
          <w:szCs w:val="22"/>
          <w:color w:val="auto"/>
        </w:rPr>
        <w:t>a reverse merger in which Black Knight is the surviving entity but in which securities possessing more than fifty percent (50%) of the total combined voting power of all outstanding voting securities of Black Knight are transferred to or acquired by a person or persons different from the persons holding those securities immediately prior to such merger;</w:t>
      </w:r>
    </w:p>
    <w:p>
      <w:pPr>
        <w:spacing w:after="0" w:line="1"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83"/>
        </w:numPr>
        <w:rPr>
          <w:rFonts w:ascii="Arial" w:cs="Arial" w:eastAsia="Arial" w:hAnsi="Arial"/>
          <w:sz w:val="18"/>
          <w:szCs w:val="18"/>
          <w:color w:val="auto"/>
        </w:rPr>
      </w:pPr>
      <w:r>
        <w:rPr>
          <w:rFonts w:ascii="Arial" w:cs="Arial" w:eastAsia="Arial" w:hAnsi="Arial"/>
          <w:sz w:val="22"/>
          <w:szCs w:val="22"/>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2" w:lineRule="exact"/>
        <w:rPr>
          <w:rFonts w:ascii="Arial" w:cs="Arial" w:eastAsia="Arial" w:hAnsi="Arial"/>
          <w:sz w:val="18"/>
          <w:szCs w:val="18"/>
          <w:color w:val="auto"/>
        </w:rPr>
      </w:pPr>
    </w:p>
    <w:p>
      <w:pPr>
        <w:jc w:val="both"/>
        <w:ind w:left="1304" w:hanging="655"/>
        <w:spacing w:after="0" w:line="288" w:lineRule="auto"/>
        <w:tabs>
          <w:tab w:leader="none" w:pos="1304" w:val="left"/>
        </w:tabs>
        <w:numPr>
          <w:ilvl w:val="1"/>
          <w:numId w:val="83"/>
        </w:numPr>
        <w:rPr>
          <w:rFonts w:ascii="Arial" w:cs="Arial" w:eastAsia="Arial" w:hAnsi="Arial"/>
          <w:sz w:val="16"/>
          <w:szCs w:val="16"/>
          <w:color w:val="auto"/>
        </w:rPr>
      </w:pPr>
      <w:r>
        <w:rPr>
          <w:rFonts w:ascii="Arial" w:cs="Arial" w:eastAsia="Arial" w:hAnsi="Arial"/>
          <w:sz w:val="19"/>
          <w:szCs w:val="19"/>
          <w:color w:val="auto"/>
        </w:rPr>
        <w:t>the sale, transfer or other disposition (in one transaction or a series of related transactions) of assets of Black Knight that have a total fair market value equal to or more than one-third of the total fair market value of all of the assets of Black Knight immediately prior to such sale, transfer or other disposition, other than a sale, transfer or other disposition to an entity (A) which immediately following such sale, transfer or other disposition owns, directly or indirectly, at least fifty percent (50%) of Black Knight's outstanding voting securities or (B) fifty percent (50%) or more of whose outstanding voting securities is immediately following such sale, transfer or other disposition owned, directly or indirectly, by Black Knight. For purposes of the</w:t>
      </w:r>
    </w:p>
    <w:p>
      <w:pPr>
        <w:sectPr>
          <w:pgSz w:w="11900" w:h="16838" w:orient="portrait"/>
          <w:cols w:equalWidth="0" w:num="1">
            <w:col w:w="10764"/>
          </w:cols>
          <w:pgMar w:left="896" w:top="591" w:right="239" w:bottom="1440" w:gutter="0" w:footer="0" w:header="0"/>
        </w:sectPr>
      </w:pPr>
    </w:p>
    <w:bookmarkStart w:id="151" w:name="page152"/>
    <w:bookmarkEnd w:id="151"/>
    <w:p>
      <w:pPr>
        <w:ind w:left="1304"/>
        <w:spacing w:after="0" w:line="251" w:lineRule="auto"/>
        <w:rPr>
          <w:sz w:val="20"/>
          <w:szCs w:val="20"/>
          <w:color w:val="auto"/>
        </w:rPr>
      </w:pPr>
      <w:r>
        <w:rPr>
          <w:rFonts w:ascii="Arial" w:cs="Arial" w:eastAsia="Arial" w:hAnsi="Arial"/>
          <w:sz w:val="22"/>
          <w:szCs w:val="22"/>
          <w:color w:val="auto"/>
        </w:rPr>
        <w:t>foregoing clause, the sale of stock of a subsidiary of Black Knight (or the assets of such subsidiary) shall be treated as a sale of assets of Black Knight; or</w:t>
      </w:r>
    </w:p>
    <w:p>
      <w:pPr>
        <w:spacing w:after="0" w:line="2" w:lineRule="exact"/>
        <w:rPr>
          <w:sz w:val="20"/>
          <w:szCs w:val="20"/>
          <w:color w:val="auto"/>
        </w:rPr>
      </w:pPr>
    </w:p>
    <w:p>
      <w:pPr>
        <w:ind w:left="1304" w:hanging="655"/>
        <w:spacing w:after="0"/>
        <w:tabs>
          <w:tab w:leader="none" w:pos="1304" w:val="left"/>
        </w:tabs>
        <w:numPr>
          <w:ilvl w:val="1"/>
          <w:numId w:val="84"/>
        </w:numPr>
        <w:rPr>
          <w:rFonts w:ascii="Arial" w:cs="Arial" w:eastAsia="Arial" w:hAnsi="Arial"/>
          <w:sz w:val="16"/>
          <w:szCs w:val="16"/>
          <w:color w:val="auto"/>
        </w:rPr>
      </w:pPr>
      <w:r>
        <w:rPr>
          <w:rFonts w:ascii="Arial" w:cs="Arial" w:eastAsia="Arial" w:hAnsi="Arial"/>
          <w:sz w:val="19"/>
          <w:szCs w:val="19"/>
          <w:color w:val="auto"/>
        </w:rPr>
        <w:t>the approval by the stockholders of a plan or proposal for the liquidation or dissolution of Black Knight.</w:t>
      </w:r>
    </w:p>
    <w:p>
      <w:pPr>
        <w:spacing w:after="0" w:line="38" w:lineRule="exact"/>
        <w:rPr>
          <w:rFonts w:ascii="Arial" w:cs="Arial" w:eastAsia="Arial" w:hAnsi="Arial"/>
          <w:sz w:val="16"/>
          <w:szCs w:val="16"/>
          <w:color w:val="auto"/>
        </w:rPr>
      </w:pPr>
    </w:p>
    <w:p>
      <w:pPr>
        <w:jc w:val="both"/>
        <w:ind w:left="644" w:hanging="644"/>
        <w:spacing w:after="0" w:line="285" w:lineRule="auto"/>
        <w:tabs>
          <w:tab w:leader="none" w:pos="644" w:val="left"/>
        </w:tabs>
        <w:numPr>
          <w:ilvl w:val="0"/>
          <w:numId w:val="85"/>
        </w:numPr>
        <w:rPr>
          <w:rFonts w:ascii="Arial" w:cs="Arial" w:eastAsia="Arial" w:hAnsi="Arial"/>
          <w:sz w:val="16"/>
          <w:szCs w:val="16"/>
          <w:color w:val="auto"/>
        </w:rPr>
      </w:pPr>
      <w:r>
        <w:rPr>
          <w:rFonts w:ascii="Arial" w:cs="Arial" w:eastAsia="Arial" w:hAnsi="Arial"/>
          <w:sz w:val="19"/>
          <w:szCs w:val="19"/>
          <w:u w:val="single" w:color="auto"/>
          <w:color w:val="auto"/>
        </w:rPr>
        <w:t>Six-Month Delay</w:t>
      </w:r>
      <w:r>
        <w:rPr>
          <w:rFonts w:ascii="Arial" w:cs="Arial" w:eastAsia="Arial" w:hAnsi="Arial"/>
          <w:sz w:val="19"/>
          <w:szCs w:val="19"/>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 provided, however, that if the Employee dies following the Date of Termination and prior to the payment, distribution, settlement or provision of any payments, distributions or benefits delayed on account of Code Section 409A, such payments, distributions or benefits shall be paid or provided to the personal representative of the Employee’s estate within 30 days after the date of Employee’s death.</w:t>
      </w:r>
    </w:p>
    <w:p>
      <w:pPr>
        <w:spacing w:after="0" w:line="204" w:lineRule="exact"/>
        <w:rPr>
          <w:sz w:val="20"/>
          <w:szCs w:val="20"/>
          <w:color w:val="auto"/>
        </w:rPr>
      </w:pPr>
    </w:p>
    <w:p>
      <w:pPr>
        <w:jc w:val="both"/>
        <w:ind w:left="-656" w:firstLine="656"/>
        <w:spacing w:after="0" w:line="287" w:lineRule="auto"/>
        <w:tabs>
          <w:tab w:leader="none" w:pos="865" w:val="left"/>
        </w:tabs>
        <w:numPr>
          <w:ilvl w:val="0"/>
          <w:numId w:val="86"/>
        </w:numPr>
        <w:rPr>
          <w:rFonts w:ascii="Arial" w:cs="Arial" w:eastAsia="Arial" w:hAnsi="Arial"/>
          <w:sz w:val="16"/>
          <w:szCs w:val="16"/>
          <w:color w:val="auto"/>
        </w:rPr>
      </w:pPr>
      <w:r>
        <w:rPr>
          <w:rFonts w:ascii="Arial" w:cs="Arial" w:eastAsia="Arial" w:hAnsi="Arial"/>
          <w:sz w:val="19"/>
          <w:szCs w:val="19"/>
          <w:u w:val="single" w:color="auto"/>
          <w:color w:val="auto"/>
        </w:rPr>
        <w:t>Excise Tax</w:t>
      </w:r>
      <w:r>
        <w:rPr>
          <w:rFonts w:ascii="Arial" w:cs="Arial" w:eastAsia="Arial" w:hAnsi="Arial"/>
          <w:sz w:val="19"/>
          <w:szCs w:val="19"/>
          <w:color w:val="auto"/>
        </w:rPr>
        <w:t>. If any payments or benefits paid or provided or to be paid or provided to the Employee or for Employee’s benefit pursuant to the terms of this Agreement or otherwise (a "Payment" and, collectively, the "Payments") would be subject to the excise tax imposed by Section 4999 of the Code (the “Excise Tax”), then Employee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Employee does not elect to have Payments reduced to the Scaled Back Amount, Employee shall be responsible for payment of any Excise Tax resulting from the Payments and Employee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Employee shall be reduced first. Notwithstanding the order of priority of reduction set forth above, the Employee may include in the Employee’s election for a Scaled Back Amount a change to the order of such Payment reduction. The Company shall follow such revised reduction order, if and only if, the Company, in its sole judgment, determines such change does not violate the provisions of Code Section 409A.</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jc w:val="both"/>
        <w:ind w:left="-656" w:firstLine="656"/>
        <w:spacing w:after="0" w:line="260" w:lineRule="auto"/>
        <w:tabs>
          <w:tab w:leader="none" w:pos="859"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Non-Delegation of the Employee's Rights</w:t>
      </w:r>
      <w:r>
        <w:rPr>
          <w:rFonts w:ascii="Arial" w:cs="Arial" w:eastAsia="Arial" w:hAnsi="Arial"/>
          <w:sz w:val="22"/>
          <w:szCs w:val="22"/>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217" w:lineRule="exact"/>
        <w:rPr>
          <w:rFonts w:ascii="Arial" w:cs="Arial" w:eastAsia="Arial" w:hAnsi="Arial"/>
          <w:sz w:val="18"/>
          <w:szCs w:val="18"/>
          <w:color w:val="auto"/>
        </w:rPr>
      </w:pPr>
    </w:p>
    <w:p>
      <w:pPr>
        <w:jc w:val="both"/>
        <w:ind w:left="-656" w:firstLine="656"/>
        <w:spacing w:after="0" w:line="250" w:lineRule="auto"/>
        <w:tabs>
          <w:tab w:leader="none" w:pos="865"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w:t>
      </w:r>
    </w:p>
    <w:p>
      <w:pPr>
        <w:sectPr>
          <w:pgSz w:w="11900" w:h="16838" w:orient="portrait"/>
          <w:cols w:equalWidth="0" w:num="1">
            <w:col w:w="10764"/>
          </w:cols>
          <w:pgMar w:left="896" w:top="591" w:right="239" w:bottom="1440" w:gutter="0" w:footer="0" w:header="0"/>
        </w:sectPr>
      </w:pPr>
    </w:p>
    <w:bookmarkStart w:id="152" w:name="page153"/>
    <w:bookmarkEnd w:id="152"/>
    <w:p>
      <w:pPr>
        <w:jc w:val="both"/>
        <w:spacing w:after="0" w:line="259" w:lineRule="auto"/>
        <w:rPr>
          <w:sz w:val="20"/>
          <w:szCs w:val="20"/>
          <w:color w:val="auto"/>
        </w:rPr>
      </w:pPr>
      <w:r>
        <w:rPr>
          <w:rFonts w:ascii="Arial" w:cs="Arial" w:eastAsia="Arial" w:hAnsi="Arial"/>
          <w:sz w:val="21"/>
          <w:szCs w:val="21"/>
          <w:color w:val="auto"/>
        </w:rPr>
        <w:t>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25" w:lineRule="exact"/>
        <w:rPr>
          <w:sz w:val="20"/>
          <w:szCs w:val="20"/>
          <w:color w:val="auto"/>
        </w:rPr>
      </w:pPr>
    </w:p>
    <w:p>
      <w:pPr>
        <w:ind w:left="1520" w:hanging="864"/>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2" w:lineRule="exact"/>
        <w:rPr>
          <w:sz w:val="20"/>
          <w:szCs w:val="20"/>
          <w:color w:val="auto"/>
        </w:rPr>
      </w:pPr>
    </w:p>
    <w:p>
      <w:pPr>
        <w:jc w:val="both"/>
        <w:ind w:left="1300" w:hanging="644"/>
        <w:spacing w:after="0" w:line="283"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9"/>
          <w:szCs w:val="19"/>
          <w:u w:val="single" w:color="auto"/>
          <w:color w:val="auto"/>
        </w:rPr>
        <w:t>During Employment Term</w:t>
      </w:r>
      <w:r>
        <w:rPr>
          <w:rFonts w:ascii="Arial" w:cs="Arial" w:eastAsia="Arial" w:hAnsi="Arial"/>
          <w:sz w:val="19"/>
          <w:szCs w:val="19"/>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4" w:lineRule="exact"/>
        <w:rPr>
          <w:rFonts w:ascii="Arial" w:cs="Arial" w:eastAsia="Arial" w:hAnsi="Arial"/>
          <w:sz w:val="16"/>
          <w:szCs w:val="16"/>
          <w:color w:val="auto"/>
        </w:rPr>
      </w:pPr>
    </w:p>
    <w:p>
      <w:pPr>
        <w:jc w:val="both"/>
        <w:ind w:left="1300" w:hanging="644"/>
        <w:spacing w:after="0" w:line="281"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9"/>
          <w:szCs w:val="19"/>
          <w:u w:val="single" w:color="auto"/>
          <w:color w:val="auto"/>
        </w:rPr>
        <w:t>After Employment Term</w:t>
      </w:r>
      <w:r>
        <w:rPr>
          <w:rFonts w:ascii="Arial" w:cs="Arial" w:eastAsia="Arial" w:hAnsi="Arial"/>
          <w:sz w:val="19"/>
          <w:szCs w:val="19"/>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 (1) year after the Employee's employment terminates for any reason whatsoever, except as otherwise stated herein below, the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w:t>
      </w:r>
    </w:p>
    <w:p>
      <w:pPr>
        <w:spacing w:after="0" w:line="8" w:lineRule="exact"/>
        <w:rPr>
          <w:rFonts w:ascii="Arial" w:cs="Arial" w:eastAsia="Arial" w:hAnsi="Arial"/>
          <w:sz w:val="16"/>
          <w:szCs w:val="16"/>
          <w:color w:val="auto"/>
        </w:rPr>
      </w:pPr>
    </w:p>
    <w:p>
      <w:pPr>
        <w:jc w:val="both"/>
        <w:ind w:left="1300" w:hanging="644"/>
        <w:spacing w:after="0" w:line="248" w:lineRule="auto"/>
        <w:tabs>
          <w:tab w:leader="none" w:pos="1300" w:val="left"/>
        </w:tabs>
        <w:numPr>
          <w:ilvl w:val="0"/>
          <w:numId w:val="88"/>
        </w:numPr>
        <w:rPr>
          <w:rFonts w:ascii="Arial" w:cs="Arial" w:eastAsia="Arial" w:hAnsi="Arial"/>
          <w:sz w:val="18"/>
          <w:szCs w:val="18"/>
          <w:color w:val="auto"/>
        </w:rPr>
      </w:pPr>
      <w:r>
        <w:rPr>
          <w:rFonts w:ascii="Arial" w:cs="Arial" w:eastAsia="Arial" w:hAnsi="Arial"/>
          <w:sz w:val="22"/>
          <w:szCs w:val="22"/>
          <w:u w:val="single" w:color="auto"/>
          <w:color w:val="auto"/>
        </w:rPr>
        <w:t>Exclusion</w:t>
      </w:r>
      <w:r>
        <w:rPr>
          <w:rFonts w:ascii="Arial" w:cs="Arial" w:eastAsia="Arial" w:hAnsi="Arial"/>
          <w:sz w:val="22"/>
          <w:szCs w:val="22"/>
          <w:color w:val="auto"/>
        </w:rPr>
        <w:t>. Working, directly or indirectly, for any of the following entities shall not be considered competitive to the Company or its affiliates for the purpose of this Section 13: (i) Fidelity National Information Services, Inc., FNF, ServiceLink, their respective affiliates or their respective successors; or (ii) the Company, its affiliates or their successors.</w:t>
      </w:r>
    </w:p>
    <w:p>
      <w:pPr>
        <w:spacing w:after="0" w:line="233" w:lineRule="exact"/>
        <w:rPr>
          <w:sz w:val="20"/>
          <w:szCs w:val="20"/>
          <w:color w:val="auto"/>
        </w:rPr>
      </w:pPr>
    </w:p>
    <w:p>
      <w:pPr>
        <w:jc w:val="both"/>
        <w:ind w:firstLine="656"/>
        <w:spacing w:after="0" w:line="278" w:lineRule="auto"/>
        <w:tabs>
          <w:tab w:leader="none" w:pos="1521" w:val="left"/>
        </w:tabs>
        <w:numPr>
          <w:ilvl w:val="0"/>
          <w:numId w:val="89"/>
        </w:numPr>
        <w:rPr>
          <w:rFonts w:ascii="Arial" w:cs="Arial" w:eastAsia="Arial" w:hAnsi="Arial"/>
          <w:sz w:val="17"/>
          <w:szCs w:val="17"/>
          <w:color w:val="auto"/>
        </w:rPr>
      </w:pPr>
      <w:r>
        <w:rPr>
          <w:rFonts w:ascii="Arial" w:cs="Arial" w:eastAsia="Arial" w:hAnsi="Arial"/>
          <w:sz w:val="21"/>
          <w:szCs w:val="21"/>
          <w:u w:val="single" w:color="auto"/>
          <w:color w:val="auto"/>
        </w:rPr>
        <w:t>Return of Company Documents</w:t>
      </w:r>
      <w:r>
        <w:rPr>
          <w:rFonts w:ascii="Arial" w:cs="Arial" w:eastAsia="Arial" w:hAnsi="Arial"/>
          <w:sz w:val="21"/>
          <w:szCs w:val="21"/>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200" w:lineRule="exact"/>
        <w:rPr>
          <w:rFonts w:ascii="Arial" w:cs="Arial" w:eastAsia="Arial" w:hAnsi="Arial"/>
          <w:sz w:val="17"/>
          <w:szCs w:val="17"/>
          <w:color w:val="auto"/>
        </w:rPr>
      </w:pPr>
    </w:p>
    <w:p>
      <w:pPr>
        <w:jc w:val="both"/>
        <w:ind w:firstLine="656"/>
        <w:spacing w:after="0" w:line="260" w:lineRule="auto"/>
        <w:tabs>
          <w:tab w:leader="none" w:pos="1521" w:val="left"/>
        </w:tabs>
        <w:numPr>
          <w:ilvl w:val="0"/>
          <w:numId w:val="89"/>
        </w:numPr>
        <w:rPr>
          <w:rFonts w:ascii="Arial" w:cs="Arial" w:eastAsia="Arial" w:hAnsi="Arial"/>
          <w:sz w:val="18"/>
          <w:szCs w:val="18"/>
          <w:color w:val="auto"/>
        </w:rPr>
      </w:pPr>
      <w:r>
        <w:rPr>
          <w:rFonts w:ascii="Arial" w:cs="Arial" w:eastAsia="Arial" w:hAnsi="Arial"/>
          <w:sz w:val="22"/>
          <w:szCs w:val="22"/>
          <w:u w:val="single" w:color="auto"/>
          <w:color w:val="auto"/>
        </w:rPr>
        <w:t>Improvements and Inventions</w:t>
      </w:r>
      <w:r>
        <w:rPr>
          <w:rFonts w:ascii="Arial" w:cs="Arial" w:eastAsia="Arial" w:hAnsi="Arial"/>
          <w:sz w:val="22"/>
          <w:szCs w:val="22"/>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w:t>
      </w:r>
    </w:p>
    <w:p>
      <w:pPr>
        <w:sectPr>
          <w:pgSz w:w="11900" w:h="16838" w:orient="portrait"/>
          <w:cols w:equalWidth="0" w:num="1">
            <w:col w:w="11420"/>
          </w:cols>
          <w:pgMar w:left="240" w:top="591" w:right="239" w:bottom="1440" w:gutter="0" w:footer="0" w:header="0"/>
        </w:sectPr>
      </w:pPr>
    </w:p>
    <w:bookmarkStart w:id="153" w:name="page154"/>
    <w:bookmarkEnd w:id="153"/>
    <w:p>
      <w:pPr>
        <w:jc w:val="both"/>
        <w:spacing w:after="0" w:line="265" w:lineRule="auto"/>
        <w:rPr>
          <w:sz w:val="20"/>
          <w:szCs w:val="20"/>
          <w:color w:val="auto"/>
        </w:rPr>
      </w:pPr>
      <w:r>
        <w:rPr>
          <w:rFonts w:ascii="Arial" w:cs="Arial" w:eastAsia="Arial" w:hAnsi="Arial"/>
          <w:sz w:val="21"/>
          <w:szCs w:val="21"/>
          <w:color w:val="auto"/>
        </w:rPr>
        <w:t>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or an affiliate the sole and exclusive right, title and interest in and to such improvements, inventions, patents, copyrights or applications.</w:t>
      </w:r>
    </w:p>
    <w:p>
      <w:pPr>
        <w:spacing w:after="0" w:line="216" w:lineRule="exact"/>
        <w:rPr>
          <w:sz w:val="20"/>
          <w:szCs w:val="20"/>
          <w:color w:val="auto"/>
        </w:rPr>
      </w:pPr>
    </w:p>
    <w:p>
      <w:pPr>
        <w:jc w:val="both"/>
        <w:ind w:firstLine="656"/>
        <w:spacing w:after="0" w:line="291" w:lineRule="auto"/>
        <w:tabs>
          <w:tab w:leader="none" w:pos="1521" w:val="left"/>
        </w:tabs>
        <w:numPr>
          <w:ilvl w:val="0"/>
          <w:numId w:val="90"/>
        </w:numPr>
        <w:rPr>
          <w:rFonts w:ascii="Arial" w:cs="Arial" w:eastAsia="Arial" w:hAnsi="Arial"/>
          <w:sz w:val="16"/>
          <w:szCs w:val="16"/>
          <w:color w:val="auto"/>
        </w:rPr>
      </w:pPr>
      <w:r>
        <w:rPr>
          <w:rFonts w:ascii="Arial" w:cs="Arial" w:eastAsia="Arial" w:hAnsi="Arial"/>
          <w:sz w:val="19"/>
          <w:szCs w:val="19"/>
          <w:u w:val="single" w:color="auto"/>
          <w:color w:val="auto"/>
        </w:rPr>
        <w:t>Actions</w:t>
      </w:r>
      <w:r>
        <w:rPr>
          <w:rFonts w:ascii="Arial" w:cs="Arial" w:eastAsia="Arial" w:hAnsi="Arial"/>
          <w:sz w:val="19"/>
          <w:szCs w:val="19"/>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95" w:lineRule="exact"/>
        <w:rPr>
          <w:rFonts w:ascii="Arial" w:cs="Arial" w:eastAsia="Arial" w:hAnsi="Arial"/>
          <w:sz w:val="16"/>
          <w:szCs w:val="16"/>
          <w:color w:val="auto"/>
        </w:rPr>
      </w:pPr>
    </w:p>
    <w:p>
      <w:pPr>
        <w:jc w:val="both"/>
        <w:ind w:firstLine="656"/>
        <w:spacing w:after="0" w:line="261" w:lineRule="auto"/>
        <w:tabs>
          <w:tab w:leader="none" w:pos="1521" w:val="left"/>
        </w:tabs>
        <w:numPr>
          <w:ilvl w:val="0"/>
          <w:numId w:val="90"/>
        </w:numPr>
        <w:rPr>
          <w:rFonts w:ascii="Arial" w:cs="Arial" w:eastAsia="Arial" w:hAnsi="Arial"/>
          <w:sz w:val="17"/>
          <w:szCs w:val="17"/>
          <w:color w:val="auto"/>
        </w:rPr>
      </w:pP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Notwithstanding any provision herein to the contrary, the Company may require that, prior to payment of any amount or provision of any benefit under Section 9 (other than due to the Employee's death), the Employee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 the Employee and returned to the Company, unchanged, effective and irrevocable, no later than sixty (60) days after the Date of Termination.</w:t>
      </w:r>
    </w:p>
    <w:p>
      <w:pPr>
        <w:spacing w:after="0" w:line="222" w:lineRule="exact"/>
        <w:rPr>
          <w:rFonts w:ascii="Arial" w:cs="Arial" w:eastAsia="Arial" w:hAnsi="Arial"/>
          <w:sz w:val="17"/>
          <w:szCs w:val="17"/>
          <w:color w:val="auto"/>
        </w:rPr>
      </w:pPr>
    </w:p>
    <w:p>
      <w:pPr>
        <w:jc w:val="both"/>
        <w:ind w:firstLine="656"/>
        <w:spacing w:after="0" w:line="266" w:lineRule="auto"/>
        <w:tabs>
          <w:tab w:leader="none" w:pos="1521" w:val="left"/>
        </w:tabs>
        <w:numPr>
          <w:ilvl w:val="0"/>
          <w:numId w:val="90"/>
        </w:numPr>
        <w:rPr>
          <w:rFonts w:ascii="Arial" w:cs="Arial" w:eastAsia="Arial" w:hAnsi="Arial"/>
          <w:sz w:val="17"/>
          <w:szCs w:val="17"/>
          <w:color w:val="auto"/>
        </w:rPr>
      </w:pPr>
      <w:r>
        <w:rPr>
          <w:rFonts w:ascii="Arial" w:cs="Arial" w:eastAsia="Arial" w:hAnsi="Arial"/>
          <w:sz w:val="21"/>
          <w:szCs w:val="21"/>
          <w:u w:val="single" w:color="auto"/>
          <w:color w:val="auto"/>
        </w:rPr>
        <w:t>No Mitigation</w:t>
      </w:r>
      <w:r>
        <w:rPr>
          <w:rFonts w:ascii="Arial" w:cs="Arial" w:eastAsia="Arial" w:hAnsi="Arial"/>
          <w:sz w:val="21"/>
          <w:szCs w:val="21"/>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9(a)(v)(B) hereof) shall not be reduced by any compensation earned by the Employee as the result of employment by another employer, by retirement benefits or otherwise.</w:t>
      </w:r>
    </w:p>
    <w:p>
      <w:pPr>
        <w:spacing w:after="0" w:line="214" w:lineRule="exact"/>
        <w:rPr>
          <w:rFonts w:ascii="Arial" w:cs="Arial" w:eastAsia="Arial" w:hAnsi="Arial"/>
          <w:sz w:val="17"/>
          <w:szCs w:val="17"/>
          <w:color w:val="auto"/>
        </w:rPr>
      </w:pPr>
    </w:p>
    <w:p>
      <w:pPr>
        <w:jc w:val="both"/>
        <w:ind w:firstLine="656"/>
        <w:spacing w:after="0" w:line="250" w:lineRule="auto"/>
        <w:tabs>
          <w:tab w:leader="none" w:pos="1521"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Entire Agreement and Amendment</w:t>
      </w:r>
      <w:r>
        <w:rPr>
          <w:rFonts w:ascii="Arial" w:cs="Arial" w:eastAsia="Arial" w:hAnsi="Arial"/>
          <w:sz w:val="22"/>
          <w:szCs w:val="22"/>
          <w:color w:val="auto"/>
        </w:rPr>
        <w:t>. This Agreement embodies the entire agreement and understanding of the parties hereto in respect of the subject matter of this Agreement, and supersedes and replaces all prior agreements, understandings and commitments with respect to such subject matter. Without limiting the foregoing, the Employee and the Company hereby acknowledge and agree that, as of the Effective Date, the Prior Agreement shall be null and void and neither party shall have any rights or obligations thereunder. This Agreement may be amended only by a written document signed by both parties to this Agreement.</w:t>
      </w:r>
    </w:p>
    <w:p>
      <w:pPr>
        <w:spacing w:after="0" w:line="228" w:lineRule="exact"/>
        <w:rPr>
          <w:rFonts w:ascii="Arial" w:cs="Arial" w:eastAsia="Arial" w:hAnsi="Arial"/>
          <w:sz w:val="18"/>
          <w:szCs w:val="18"/>
          <w:color w:val="auto"/>
        </w:rPr>
      </w:pPr>
    </w:p>
    <w:p>
      <w:pPr>
        <w:jc w:val="both"/>
        <w:ind w:firstLine="656"/>
        <w:spacing w:after="0" w:line="254" w:lineRule="auto"/>
        <w:tabs>
          <w:tab w:leader="none" w:pos="1521" w:val="left"/>
        </w:tabs>
        <w:numPr>
          <w:ilvl w:val="0"/>
          <w:numId w:val="90"/>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ectPr>
          <w:pgSz w:w="11900" w:h="16838" w:orient="portrait"/>
          <w:cols w:equalWidth="0" w:num="1">
            <w:col w:w="11420"/>
          </w:cols>
          <w:pgMar w:left="240" w:top="591" w:right="239" w:bottom="1440" w:gutter="0" w:footer="0" w:header="0"/>
        </w:sectPr>
      </w:pPr>
    </w:p>
    <w:bookmarkStart w:id="154" w:name="page155"/>
    <w:bookmarkEnd w:id="154"/>
    <w:p>
      <w:pPr>
        <w:jc w:val="both"/>
        <w:ind w:left="-656" w:firstLine="656"/>
        <w:spacing w:after="0" w:line="290" w:lineRule="auto"/>
        <w:tabs>
          <w:tab w:leader="none" w:pos="865" w:val="left"/>
        </w:tabs>
        <w:numPr>
          <w:ilvl w:val="0"/>
          <w:numId w:val="91"/>
        </w:numPr>
        <w:rPr>
          <w:rFonts w:ascii="Arial" w:cs="Arial" w:eastAsia="Arial" w:hAnsi="Arial"/>
          <w:sz w:val="16"/>
          <w:szCs w:val="16"/>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96" w:lineRule="exact"/>
        <w:rPr>
          <w:rFonts w:ascii="Arial" w:cs="Arial" w:eastAsia="Arial" w:hAnsi="Arial"/>
          <w:sz w:val="16"/>
          <w:szCs w:val="16"/>
          <w:color w:val="auto"/>
        </w:rPr>
      </w:pPr>
    </w:p>
    <w:p>
      <w:pPr>
        <w:ind w:left="-656" w:firstLine="656"/>
        <w:spacing w:after="0" w:line="276" w:lineRule="auto"/>
        <w:tabs>
          <w:tab w:leader="none" w:pos="865" w:val="left"/>
        </w:tabs>
        <w:numPr>
          <w:ilvl w:val="0"/>
          <w:numId w:val="91"/>
        </w:numPr>
        <w:rPr>
          <w:rFonts w:ascii="Arial" w:cs="Arial" w:eastAsia="Arial" w:hAnsi="Arial"/>
          <w:sz w:val="18"/>
          <w:szCs w:val="18"/>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201" w:lineRule="exact"/>
        <w:rPr>
          <w:rFonts w:ascii="Arial" w:cs="Arial" w:eastAsia="Arial" w:hAnsi="Arial"/>
          <w:sz w:val="18"/>
          <w:szCs w:val="18"/>
          <w:color w:val="auto"/>
        </w:rPr>
      </w:pPr>
    </w:p>
    <w:p>
      <w:pPr>
        <w:jc w:val="both"/>
        <w:ind w:left="-656" w:firstLine="656"/>
        <w:spacing w:after="0" w:line="286" w:lineRule="auto"/>
        <w:tabs>
          <w:tab w:leader="none" w:pos="865" w:val="left"/>
        </w:tabs>
        <w:numPr>
          <w:ilvl w:val="0"/>
          <w:numId w:val="91"/>
        </w:numPr>
        <w:rPr>
          <w:rFonts w:ascii="Arial" w:cs="Arial" w:eastAsia="Arial" w:hAnsi="Arial"/>
          <w:sz w:val="16"/>
          <w:szCs w:val="16"/>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656" w:firstLine="656"/>
        <w:spacing w:after="0" w:line="260" w:lineRule="auto"/>
        <w:tabs>
          <w:tab w:leader="none" w:pos="865" w:val="left"/>
        </w:tabs>
        <w:numPr>
          <w:ilvl w:val="0"/>
          <w:numId w:val="91"/>
        </w:numPr>
        <w:rPr>
          <w:rFonts w:ascii="Arial" w:cs="Arial" w:eastAsia="Arial" w:hAnsi="Arial"/>
          <w:sz w:val="17"/>
          <w:szCs w:val="17"/>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 against the Company, whether predicated on this Agreement or otherwise, shall not constitute a defense to the enforcement by the Company of the covenants in this Agreement.</w:t>
      </w:r>
    </w:p>
    <w:p>
      <w:pPr>
        <w:sectPr>
          <w:pgSz w:w="11900" w:h="16838" w:orient="portrait"/>
          <w:cols w:equalWidth="0" w:num="1">
            <w:col w:w="10764"/>
          </w:cols>
          <w:pgMar w:left="896" w:top="591" w:right="239" w:bottom="1440" w:gutter="0" w:footer="0" w:header="0"/>
        </w:sectPr>
      </w:pPr>
    </w:p>
    <w:bookmarkStart w:id="155" w:name="page156"/>
    <w:bookmarkEnd w:id="155"/>
    <w:p>
      <w:pPr>
        <w:jc w:val="both"/>
        <w:ind w:left="-656" w:firstLine="656"/>
        <w:spacing w:after="0" w:line="260" w:lineRule="auto"/>
        <w:tabs>
          <w:tab w:leader="none" w:pos="865" w:val="left"/>
        </w:tabs>
        <w:numPr>
          <w:ilvl w:val="0"/>
          <w:numId w:val="92"/>
        </w:numPr>
        <w:rPr>
          <w:rFonts w:ascii="Arial" w:cs="Arial" w:eastAsia="Arial" w:hAnsi="Arial"/>
          <w:sz w:val="18"/>
          <w:szCs w:val="18"/>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22"/>
          <w:szCs w:val="22"/>
          <w:color w:val="auto"/>
        </w:rPr>
        <w:t>To the Company:</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BKFS I Management, Inc.</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To the Employee:</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William P. Foley, II</w:t>
      </w:r>
    </w:p>
    <w:p>
      <w:pPr>
        <w:spacing w:after="0" w:line="2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644"/>
        <w:spacing w:after="0"/>
        <w:rPr>
          <w:sz w:val="20"/>
          <w:szCs w:val="20"/>
          <w:color w:val="auto"/>
        </w:rPr>
      </w:pPr>
      <w:r>
        <w:rPr>
          <w:rFonts w:ascii="Arial" w:cs="Arial" w:eastAsia="Arial" w:hAnsi="Arial"/>
          <w:sz w:val="22"/>
          <w:szCs w:val="22"/>
          <w:color w:val="auto"/>
        </w:rPr>
        <w:t>Jacksonville, FL 32204</w:t>
      </w:r>
    </w:p>
    <w:p>
      <w:pPr>
        <w:spacing w:after="0" w:line="202" w:lineRule="exact"/>
        <w:rPr>
          <w:sz w:val="20"/>
          <w:szCs w:val="20"/>
          <w:color w:val="auto"/>
        </w:rPr>
      </w:pPr>
    </w:p>
    <w:p>
      <w:pPr>
        <w:ind w:left="-656" w:firstLine="656"/>
        <w:spacing w:after="0" w:line="276" w:lineRule="auto"/>
        <w:tabs>
          <w:tab w:leader="none" w:pos="865" w:val="left"/>
        </w:tabs>
        <w:numPr>
          <w:ilvl w:val="0"/>
          <w:numId w:val="93"/>
        </w:numPr>
        <w:rPr>
          <w:rFonts w:ascii="Arial" w:cs="Arial" w:eastAsia="Arial" w:hAnsi="Arial"/>
          <w:sz w:val="18"/>
          <w:szCs w:val="18"/>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201" w:lineRule="exact"/>
        <w:rPr>
          <w:rFonts w:ascii="Arial" w:cs="Arial" w:eastAsia="Arial" w:hAnsi="Arial"/>
          <w:sz w:val="18"/>
          <w:szCs w:val="18"/>
          <w:color w:val="auto"/>
        </w:rPr>
      </w:pPr>
    </w:p>
    <w:p>
      <w:pPr>
        <w:ind w:left="-656" w:firstLine="656"/>
        <w:spacing w:after="0" w:line="301" w:lineRule="auto"/>
        <w:tabs>
          <w:tab w:leader="none" w:pos="865" w:val="left"/>
        </w:tabs>
        <w:numPr>
          <w:ilvl w:val="0"/>
          <w:numId w:val="93"/>
        </w:numPr>
        <w:rPr>
          <w:rFonts w:ascii="Arial" w:cs="Arial" w:eastAsia="Arial" w:hAnsi="Arial"/>
          <w:sz w:val="17"/>
          <w:szCs w:val="17"/>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or an affiliate may deduct from all compensation and benefits payable under this Agreement any taxes or withholdings the Company is required to deduct pursuant to state, federal or local laws.</w:t>
      </w:r>
    </w:p>
    <w:p>
      <w:pPr>
        <w:sectPr>
          <w:pgSz w:w="11900" w:h="16838" w:orient="portrait"/>
          <w:cols w:equalWidth="0" w:num="1">
            <w:col w:w="10764"/>
          </w:cols>
          <w:pgMar w:left="896" w:top="591" w:right="239" w:bottom="1440" w:gutter="0" w:footer="0" w:header="0"/>
        </w:sectPr>
      </w:pPr>
    </w:p>
    <w:bookmarkStart w:id="156" w:name="page157"/>
    <w:bookmarkEnd w:id="156"/>
    <w:p>
      <w:pPr>
        <w:jc w:val="both"/>
        <w:ind w:left="-656" w:firstLine="656"/>
        <w:spacing w:after="0" w:line="281" w:lineRule="auto"/>
        <w:tabs>
          <w:tab w:leader="none" w:pos="442"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Each payment under this Agreement shall be treated as a separate payment for purposes of Code Section 409A. In no event may Employee, directly or indirectly, designate the calendar year of any payment to be made under this Agreement. All reimbursements and in-kind benefits provided under this Agreement shall be made or provided in accordance with the requirements of Code Section 409A, including, without limitation, that (i) in no event shall reimbursements by the Company under this Agreement be made later than the end of the calendar year next following the calendar year in which the applicable fees and expenses were incurred; (ii) the amount of in-kind benefits that the Company is obligated to pay or provide in any given calendar year shall not affect the in-kind benefits that the Company is obligated to pay or provide in any other calendar year; (iii) the Employee’s right to have the Company pay or provide such reimbursements and in-kind benefits may not be liquidated or exchanged for any other benefit; and (iv) in no event shall the Company’s obligations to make such reimbursements or to provide such in-kind benefits apply later than the Employee’s remaining lifetime. Notwithstanding anything contained herein to the contrary, (x) in no event shall the Date of Termination occur until the Employee experiences a “separation of service” within the meaning of Code Section 409A, and the date on which such separation from service takes place shall be the “Date of Termination,” and all references herein to a “termination of employment” (or words of similar meaning) shall mean a “separation of service” within the meaning of Code Section 409A and (y) to the extent the payment of any amount pursuant to Section 9 of this Agreement constitutes deferred compensation (within the meaning of Treasury Regulation Section 1.409A-1(b)) and such amount is payable within a number of days (</w:t>
      </w:r>
      <w:r>
        <w:rPr>
          <w:rFonts w:ascii="Arial" w:cs="Arial" w:eastAsia="Arial" w:hAnsi="Arial"/>
          <w:sz w:val="19"/>
          <w:szCs w:val="19"/>
          <w:i w:val="1"/>
          <w:iCs w:val="1"/>
          <w:color w:val="auto"/>
        </w:rPr>
        <w:t>e.g.,</w:t>
      </w:r>
      <w:r>
        <w:rPr>
          <w:rFonts w:ascii="Arial" w:cs="Arial" w:eastAsia="Arial" w:hAnsi="Arial"/>
          <w:sz w:val="19"/>
          <w:szCs w:val="19"/>
          <w:color w:val="auto"/>
        </w:rPr>
        <w:t xml:space="preserve"> no later than the sixty-fifth (65</w:t>
      </w:r>
      <w:r>
        <w:rPr>
          <w:rFonts w:ascii="Arial" w:cs="Arial" w:eastAsia="Arial" w:hAnsi="Arial"/>
          <w:sz w:val="25"/>
          <w:szCs w:val="25"/>
          <w:color w:val="auto"/>
          <w:vertAlign w:val="superscript"/>
        </w:rPr>
        <w:t>th</w:t>
      </w:r>
      <w:r>
        <w:rPr>
          <w:rFonts w:ascii="Arial" w:cs="Arial" w:eastAsia="Arial" w:hAnsi="Arial"/>
          <w:sz w:val="19"/>
          <w:szCs w:val="19"/>
          <w:color w:val="auto"/>
        </w:rPr>
        <w:t>) calendar day after the Date of Termination) that begins in one calendar year and ends in a subsequent calendar year, such amount shall be paid in the subsequent calendar year. The Employee acknowledges that he has been advised to consult with an attorney and any other advisors of Employee’s choice prior to executing this Agreement, and the Employee further acknowledges that, in entering into this Agreement, he has not relied upon any representation or statement made by any agent or representative of Company or its affiliates that is not expressly set forth in this Agreement, including, without limitation, any representation with respect to the consequences or characterization (including for purpose of tax withholding and reporting) of the payment of any compensation or benefits hereunder under Section 409A of the Code and any similar sections of state tax law.</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084"/>
        <w:spacing w:after="0"/>
        <w:rPr>
          <w:sz w:val="20"/>
          <w:szCs w:val="20"/>
          <w:color w:val="auto"/>
        </w:rPr>
      </w:pPr>
      <w:r>
        <w:rPr>
          <w:rFonts w:ascii="Arial" w:cs="Arial" w:eastAsia="Arial" w:hAnsi="Arial"/>
          <w:sz w:val="22"/>
          <w:szCs w:val="22"/>
          <w:color w:val="auto"/>
        </w:rPr>
        <w:t>BKFS I MANAGEMENT, INC.</w:t>
      </w:r>
    </w:p>
    <w:p>
      <w:pPr>
        <w:spacing w:after="0" w:line="200" w:lineRule="exact"/>
        <w:rPr>
          <w:sz w:val="20"/>
          <w:szCs w:val="20"/>
          <w:color w:val="auto"/>
        </w:rPr>
      </w:pPr>
    </w:p>
    <w:p>
      <w:pPr>
        <w:spacing w:after="0" w:line="222" w:lineRule="exact"/>
        <w:rPr>
          <w:sz w:val="20"/>
          <w:szCs w:val="20"/>
          <w:color w:val="auto"/>
        </w:rPr>
      </w:pPr>
    </w:p>
    <w:p>
      <w:pPr>
        <w:ind w:left="5084"/>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084"/>
        <w:spacing w:after="0"/>
        <w:rPr>
          <w:sz w:val="20"/>
          <w:szCs w:val="20"/>
          <w:color w:val="auto"/>
        </w:rPr>
      </w:pPr>
      <w:r>
        <w:rPr>
          <w:rFonts w:ascii="Arial" w:cs="Arial" w:eastAsia="Arial" w:hAnsi="Arial"/>
          <w:sz w:val="22"/>
          <w:szCs w:val="22"/>
          <w:color w:val="auto"/>
        </w:rPr>
        <w:t>Its:________________________________</w:t>
      </w:r>
    </w:p>
    <w:p>
      <w:pPr>
        <w:spacing w:after="0" w:line="200" w:lineRule="exact"/>
        <w:rPr>
          <w:sz w:val="20"/>
          <w:szCs w:val="20"/>
          <w:color w:val="auto"/>
        </w:rPr>
      </w:pPr>
    </w:p>
    <w:p>
      <w:pPr>
        <w:spacing w:after="0" w:line="310" w:lineRule="exact"/>
        <w:rPr>
          <w:sz w:val="20"/>
          <w:szCs w:val="20"/>
          <w:color w:val="auto"/>
        </w:rPr>
      </w:pPr>
    </w:p>
    <w:p>
      <w:pPr>
        <w:ind w:left="5084"/>
        <w:spacing w:after="0"/>
        <w:rPr>
          <w:sz w:val="20"/>
          <w:szCs w:val="20"/>
          <w:color w:val="auto"/>
        </w:rPr>
      </w:pPr>
      <w:r>
        <w:rPr>
          <w:rFonts w:ascii="Arial" w:cs="Arial" w:eastAsia="Arial" w:hAnsi="Arial"/>
          <w:sz w:val="18"/>
          <w:szCs w:val="18"/>
          <w:color w:val="auto"/>
        </w:rPr>
        <w:t>WILLIAM P. FOLEY, II</w:t>
      </w:r>
    </w:p>
    <w:p>
      <w:pPr>
        <w:sectPr>
          <w:pgSz w:w="11900" w:h="16838" w:orient="portrait"/>
          <w:cols w:equalWidth="0" w:num="1">
            <w:col w:w="10764"/>
          </w:cols>
          <w:pgMar w:left="896" w:top="591" w:right="239" w:bottom="1440" w:gutter="0" w:footer="0" w:header="0"/>
        </w:sectPr>
      </w:pPr>
    </w:p>
    <w:bookmarkStart w:id="157" w:name="page158"/>
    <w:bookmarkEnd w:id="157"/>
    <w:p>
      <w:pPr>
        <w:ind w:left="5060"/>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Position Title: Chairman of the Board</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DUTIES AND RESPONSIBILITIES: Reporting to the Board, the Employee's duties and responsibilities include:</w:t>
      </w:r>
    </w:p>
    <w:p>
      <w:pPr>
        <w:spacing w:after="0" w:line="231"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Chairman of the Board of Directors of Black Knight Financial Services, Inc.;</w:t>
      </w:r>
    </w:p>
    <w:p>
      <w:pPr>
        <w:spacing w:after="0" w:line="21" w:lineRule="exact"/>
        <w:rPr>
          <w:rFonts w:ascii="Arial" w:cs="Arial" w:eastAsia="Arial" w:hAnsi="Arial"/>
          <w:sz w:val="18"/>
          <w:szCs w:val="18"/>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strategic planning and initiatives;</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mergers and acquisitions;</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business development;</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budget and long range planning advice;</w:t>
      </w:r>
    </w:p>
    <w:p>
      <w:pPr>
        <w:spacing w:after="0" w:line="3" w:lineRule="exact"/>
        <w:rPr>
          <w:rFonts w:ascii="Arial" w:cs="Arial" w:eastAsia="Arial" w:hAnsi="Arial"/>
          <w:sz w:val="18"/>
          <w:szCs w:val="18"/>
          <w:color w:val="auto"/>
        </w:rPr>
      </w:pPr>
    </w:p>
    <w:p>
      <w:pPr>
        <w:ind w:left="1300" w:hanging="644"/>
        <w:spacing w:after="0" w:line="243"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presiding over meetings of the Board of Directors of Black Knight Financial Services, Inc. and members as Chairman;</w:t>
      </w:r>
    </w:p>
    <w:p>
      <w:pPr>
        <w:ind w:left="1300" w:hanging="644"/>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21"/>
          <w:szCs w:val="21"/>
          <w:color w:val="auto"/>
        </w:rPr>
        <w:t>planning the contents and agenda of such meetings with the assistance of Company management;</w:t>
      </w:r>
    </w:p>
    <w:p>
      <w:pPr>
        <w:spacing w:after="0" w:line="15" w:lineRule="exact"/>
        <w:rPr>
          <w:rFonts w:ascii="Arial" w:cs="Arial" w:eastAsia="Arial" w:hAnsi="Arial"/>
          <w:sz w:val="17"/>
          <w:szCs w:val="17"/>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supervising the Company's communications with its shareholders;</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22"/>
          <w:szCs w:val="22"/>
          <w:color w:val="auto"/>
        </w:rPr>
        <w:t>participating in customer relations and public relations.</w:t>
      </w:r>
    </w:p>
    <w:p>
      <w:pPr>
        <w:sectPr>
          <w:pgSz w:w="11900" w:h="16838" w:orient="portrait"/>
          <w:cols w:equalWidth="0" w:num="1">
            <w:col w:w="10580"/>
          </w:cols>
          <w:pgMar w:left="240" w:top="1017" w:right="107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 SERVICES AGREEMENT</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THIS DIRECTOR SERVICES AGREEMENT (the “Agreement”) is effective as of January 8, 2016 (the “Effective Date”), by and between </w:t>
      </w:r>
      <w:r>
        <w:rPr>
          <w:rFonts w:ascii="Arial" w:cs="Arial" w:eastAsia="Arial" w:hAnsi="Arial"/>
          <w:sz w:val="19"/>
          <w:szCs w:val="19"/>
          <w:b w:val="1"/>
          <w:bCs w:val="1"/>
          <w:color w:val="auto"/>
        </w:rPr>
        <w:t>FIDELITY NATIONAL FINANCIAL, INC.</w:t>
      </w:r>
      <w:r>
        <w:rPr>
          <w:rFonts w:ascii="Arial" w:cs="Arial" w:eastAsia="Arial" w:hAnsi="Arial"/>
          <w:sz w:val="19"/>
          <w:szCs w:val="19"/>
          <w:color w:val="auto"/>
        </w:rPr>
        <w:t xml:space="preserve">, a Delaware corporation (the “Company”), and </w:t>
      </w:r>
      <w:r>
        <w:rPr>
          <w:rFonts w:ascii="Arial" w:cs="Arial" w:eastAsia="Arial" w:hAnsi="Arial"/>
          <w:sz w:val="19"/>
          <w:szCs w:val="19"/>
          <w:b w:val="1"/>
          <w:bCs w:val="1"/>
          <w:color w:val="auto"/>
        </w:rPr>
        <w:t>WILLIAM P.</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FOLEY, II </w:t>
      </w:r>
      <w:r>
        <w:rPr>
          <w:rFonts w:ascii="Arial" w:cs="Arial" w:eastAsia="Arial" w:hAnsi="Arial"/>
          <w:sz w:val="19"/>
          <w:szCs w:val="19"/>
          <w:color w:val="auto"/>
        </w:rPr>
        <w:t>(the “Foley”). In consideration of the mutual covenants and agreements set forth herein, the parties agree as follows:</w:t>
      </w:r>
    </w:p>
    <w:p>
      <w:pPr>
        <w:spacing w:after="0" w:line="134" w:lineRule="exact"/>
        <w:rPr>
          <w:sz w:val="20"/>
          <w:szCs w:val="20"/>
          <w:color w:val="auto"/>
        </w:rPr>
      </w:pPr>
    </w:p>
    <w:p>
      <w:pPr>
        <w:jc w:val="both"/>
        <w:ind w:firstLine="656"/>
        <w:spacing w:after="0" w:line="254" w:lineRule="auto"/>
        <w:tabs>
          <w:tab w:leader="none" w:pos="1431" w:val="left"/>
        </w:tabs>
        <w:numPr>
          <w:ilvl w:val="0"/>
          <w:numId w:val="96"/>
        </w:numPr>
        <w:rPr>
          <w:rFonts w:ascii="Arial" w:cs="Arial" w:eastAsia="Arial" w:hAnsi="Arial"/>
          <w:sz w:val="18"/>
          <w:szCs w:val="18"/>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Agreement is to provide a single, integrated document which shall provide the basis for Foley’s continued services to the Company. This Agreement supersedes, in its entirety, the employment agreement between the Company and Foley, dated as of July 2, 2008, as amended as of February 4, 2010, August 1, 2012, August 27, 2013, and January 10, 2014 (the “Prior Agreement”).</w:t>
      </w:r>
    </w:p>
    <w:p>
      <w:pPr>
        <w:spacing w:after="0" w:line="225" w:lineRule="exact"/>
        <w:rPr>
          <w:rFonts w:ascii="Arial" w:cs="Arial" w:eastAsia="Arial" w:hAnsi="Arial"/>
          <w:sz w:val="18"/>
          <w:szCs w:val="18"/>
          <w:color w:val="auto"/>
        </w:rPr>
      </w:pPr>
    </w:p>
    <w:p>
      <w:pPr>
        <w:jc w:val="both"/>
        <w:ind w:firstLine="656"/>
        <w:spacing w:after="0" w:line="290" w:lineRule="auto"/>
        <w:tabs>
          <w:tab w:leader="none" w:pos="1431" w:val="left"/>
        </w:tabs>
        <w:numPr>
          <w:ilvl w:val="0"/>
          <w:numId w:val="96"/>
        </w:numPr>
        <w:rPr>
          <w:rFonts w:ascii="Arial" w:cs="Arial" w:eastAsia="Arial" w:hAnsi="Arial"/>
          <w:sz w:val="16"/>
          <w:szCs w:val="16"/>
          <w:color w:val="auto"/>
        </w:rPr>
      </w:pPr>
      <w:r>
        <w:rPr>
          <w:rFonts w:ascii="Arial" w:cs="Arial" w:eastAsia="Arial" w:hAnsi="Arial"/>
          <w:sz w:val="19"/>
          <w:szCs w:val="19"/>
          <w:u w:val="single" w:color="auto"/>
          <w:color w:val="auto"/>
        </w:rPr>
        <w:t>Services and Duties</w:t>
      </w:r>
      <w:r>
        <w:rPr>
          <w:rFonts w:ascii="Arial" w:cs="Arial" w:eastAsia="Arial" w:hAnsi="Arial"/>
          <w:sz w:val="19"/>
          <w:szCs w:val="19"/>
          <w:color w:val="auto"/>
        </w:rPr>
        <w:t xml:space="preserve">. Subject to the terms and conditions of this Agreement, the Company engages Foley to serve in a non-executive capacity as Chairman of the Board of Directors of the Company (the “Board”) commencing as of the Effective Date. Foley accepts such engagement and agrees to undertake and discharge the duties, functions and responsibilities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In addition to the duties and responsibilities specifically assigned to Foley pursuant to </w:t>
      </w:r>
      <w:r>
        <w:rPr>
          <w:rFonts w:ascii="Arial" w:cs="Arial" w:eastAsia="Arial" w:hAnsi="Arial"/>
          <w:sz w:val="19"/>
          <w:szCs w:val="19"/>
          <w:u w:val="single" w:color="auto"/>
          <w:color w:val="auto"/>
        </w:rPr>
        <w:t>Appendix A</w:t>
      </w:r>
      <w:r>
        <w:rPr>
          <w:rFonts w:ascii="Arial" w:cs="Arial" w:eastAsia="Arial" w:hAnsi="Arial"/>
          <w:sz w:val="19"/>
          <w:szCs w:val="19"/>
          <w:color w:val="auto"/>
        </w:rPr>
        <w:t>, Foley will perform such other duties and responsibilities as are from time to time assigned to Foley by a majority of the Board in writing, consistent with the terms and provisions of this Agreement. The Company acknowledges and agrees that Foley is now and may continue to serve as Chairman of Black Knight Financial Services, Inc. (“Black Knight”) and ServiceLink Holdings, LLC (“ServiceLink”), Vice Chairman of Fidelity National Information Services, Inc. and as an owner and officer of several personal real estate, winery and restaurant investments. Foley acknowledges that the changes described in this Agreement do not give rise to a right to terminate services for Good Reason.</w:t>
      </w:r>
    </w:p>
    <w:p>
      <w:pPr>
        <w:spacing w:after="0" w:line="196" w:lineRule="exact"/>
        <w:rPr>
          <w:rFonts w:ascii="Arial" w:cs="Arial" w:eastAsia="Arial" w:hAnsi="Arial"/>
          <w:sz w:val="16"/>
          <w:szCs w:val="16"/>
          <w:color w:val="auto"/>
        </w:rPr>
      </w:pPr>
    </w:p>
    <w:p>
      <w:pPr>
        <w:jc w:val="both"/>
        <w:ind w:firstLine="656"/>
        <w:spacing w:after="0" w:line="320" w:lineRule="auto"/>
        <w:tabs>
          <w:tab w:leader="none" w:pos="1431" w:val="left"/>
        </w:tabs>
        <w:numPr>
          <w:ilvl w:val="0"/>
          <w:numId w:val="96"/>
        </w:numPr>
        <w:rPr>
          <w:rFonts w:ascii="Arial" w:cs="Arial" w:eastAsia="Arial" w:hAnsi="Arial"/>
          <w:sz w:val="16"/>
          <w:szCs w:val="16"/>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Effective Date and shall continue for so long as Foley serves as Chairman of the Board (the “Term”). Notwithstanding any termination of the Term or Foley’s services, Foley and the Company agree that Sections 7 through 9 shall remain in effect until all parties’ obligations are satisfied thereunder.</w:t>
      </w:r>
    </w:p>
    <w:p>
      <w:pPr>
        <w:spacing w:after="0" w:line="165" w:lineRule="exact"/>
        <w:rPr>
          <w:rFonts w:ascii="Arial" w:cs="Arial" w:eastAsia="Arial" w:hAnsi="Arial"/>
          <w:sz w:val="16"/>
          <w:szCs w:val="16"/>
          <w:color w:val="auto"/>
        </w:rPr>
      </w:pPr>
    </w:p>
    <w:p>
      <w:pPr>
        <w:jc w:val="both"/>
        <w:ind w:firstLine="656"/>
        <w:spacing w:after="0" w:line="262" w:lineRule="auto"/>
        <w:tabs>
          <w:tab w:leader="none" w:pos="1431" w:val="left"/>
        </w:tabs>
        <w:numPr>
          <w:ilvl w:val="0"/>
          <w:numId w:val="96"/>
        </w:numPr>
        <w:rPr>
          <w:rFonts w:ascii="Arial" w:cs="Arial" w:eastAsia="Arial" w:hAnsi="Arial"/>
          <w:sz w:val="17"/>
          <w:szCs w:val="17"/>
          <w:color w:val="auto"/>
        </w:rPr>
      </w:pPr>
      <w:r>
        <w:rPr>
          <w:rFonts w:ascii="Arial" w:cs="Arial" w:eastAsia="Arial" w:hAnsi="Arial"/>
          <w:sz w:val="21"/>
          <w:szCs w:val="21"/>
          <w:u w:val="single" w:color="auto"/>
          <w:color w:val="auto"/>
        </w:rPr>
        <w:t>Board Retainer and Meeting Fees</w:t>
      </w:r>
      <w:r>
        <w:rPr>
          <w:rFonts w:ascii="Arial" w:cs="Arial" w:eastAsia="Arial" w:hAnsi="Arial"/>
          <w:sz w:val="21"/>
          <w:szCs w:val="21"/>
          <w:color w:val="auto"/>
        </w:rPr>
        <w:t>. During the Term, the Company shall pay Foley an annual Board Retainer, before deducting any applicable withholdings, of no less than $780,000 ($390,000 of which shall be for Foley’s services on the Board relating to the Company and $390,000 of which shall be for Foley’s services on the Board relating to Fidelity National Financial Ventures, LLC and its related businesses) (collectively, the “Annual Retainer”), plus standard per meeting Board fees, in each case payable at the time and in the manner dictated by the Company’s standard payroll policies. Such minimum Annual Retainer may be periodically reviewed and increased (but not decreased without Foley’s express written consent) at the discretion of the Board or the Compensation Committee of the Board (the “Committee”).</w:t>
      </w:r>
    </w:p>
    <w:p>
      <w:pPr>
        <w:spacing w:after="0" w:line="220" w:lineRule="exact"/>
        <w:rPr>
          <w:rFonts w:ascii="Arial" w:cs="Arial" w:eastAsia="Arial" w:hAnsi="Arial"/>
          <w:sz w:val="17"/>
          <w:szCs w:val="17"/>
          <w:color w:val="auto"/>
        </w:rPr>
      </w:pPr>
    </w:p>
    <w:p>
      <w:pPr>
        <w:jc w:val="both"/>
        <w:ind w:firstLine="656"/>
        <w:spacing w:after="0" w:line="297" w:lineRule="auto"/>
        <w:tabs>
          <w:tab w:leader="none" w:pos="1431" w:val="left"/>
        </w:tabs>
        <w:numPr>
          <w:ilvl w:val="0"/>
          <w:numId w:val="96"/>
        </w:numPr>
        <w:rPr>
          <w:rFonts w:ascii="Arial" w:cs="Arial" w:eastAsia="Arial" w:hAnsi="Arial"/>
          <w:sz w:val="16"/>
          <w:szCs w:val="16"/>
          <w:color w:val="auto"/>
        </w:rPr>
      </w:pPr>
      <w:r>
        <w:rPr>
          <w:rFonts w:ascii="Arial" w:cs="Arial" w:eastAsia="Arial" w:hAnsi="Arial"/>
          <w:sz w:val="19"/>
          <w:szCs w:val="19"/>
          <w:u w:val="single" w:color="auto"/>
          <w:color w:val="auto"/>
        </w:rPr>
        <w:t>Other Compensation and Benefits</w:t>
      </w:r>
      <w:r>
        <w:rPr>
          <w:rFonts w:ascii="Arial" w:cs="Arial" w:eastAsia="Arial" w:hAnsi="Arial"/>
          <w:sz w:val="19"/>
          <w:szCs w:val="19"/>
          <w:color w:val="auto"/>
        </w:rPr>
        <w:t>. During the Term, Foley, through Black Knight Financial Services, Inc., shall be eligible to continue to participate in the Company’s Executive Medical Plan, as from time to time constituted, participate in the Company’s equity incentive plans (provided that the aggregate grant date fair value of Foley’s annual FNF Group and/or FNFV Group equity grants shall be at least $600,000), as determined by the Compensation Committee of the Board (the “Committee”), and to continued use of the corporate aircraft in the same manner as Foley had access prior to the Effective Date, and, subject to changes in applicable law, in accordance with the same general cost allocations. Foley shall not be entitled</w:t>
      </w:r>
    </w:p>
    <w:p>
      <w:pPr>
        <w:sectPr>
          <w:pgSz w:w="11900" w:h="16838" w:orient="portrait"/>
          <w:cols w:equalWidth="0" w:num="1">
            <w:col w:w="11420"/>
          </w:cols>
          <w:pgMar w:left="240" w:top="797" w:right="239" w:bottom="1440" w:gutter="0" w:footer="0" w:header="0"/>
        </w:sectPr>
      </w:pPr>
    </w:p>
    <w:bookmarkStart w:id="159" w:name="page160"/>
    <w:bookmarkEnd w:id="159"/>
    <w:p>
      <w:pPr>
        <w:jc w:val="both"/>
        <w:spacing w:after="0" w:line="292" w:lineRule="auto"/>
        <w:rPr>
          <w:sz w:val="20"/>
          <w:szCs w:val="20"/>
          <w:color w:val="auto"/>
        </w:rPr>
      </w:pPr>
      <w:r>
        <w:rPr>
          <w:rFonts w:ascii="Arial" w:cs="Arial" w:eastAsia="Arial" w:hAnsi="Arial"/>
          <w:sz w:val="19"/>
          <w:szCs w:val="19"/>
          <w:color w:val="auto"/>
        </w:rPr>
        <w:t>to an annual cash incentive or annual cash bonus for his services as non-executive Chairman of the Company; provided, however, that Foley shall retain his right to any annual bonus earned with respect to calendar year 2015 and his rights under the terms of the Fidelity National Financial Ventures Long-Term Investment Success Performance Award (subject to the terms thereof) that was previously awarded pursuant to the Amended and Restated Fidelity National Financial, Inc. 2005 Omnibus Incentive Plan (the “LTIP Award”). The change in Foley’s position from executive Chairman to non-executive Chairman shall not affect any of Foley’s cash or equity incentive awards (including, without limitation, his FNF Group or FNFV Group stock options or restricted stock awards, his Black Knight restricted stock awards, his Service Link profits interest or his LTIP Award).</w:t>
      </w:r>
    </w:p>
    <w:p>
      <w:pPr>
        <w:spacing w:after="0" w:line="192" w:lineRule="exact"/>
        <w:rPr>
          <w:sz w:val="20"/>
          <w:szCs w:val="20"/>
          <w:color w:val="auto"/>
        </w:rPr>
      </w:pPr>
    </w:p>
    <w:p>
      <w:pPr>
        <w:jc w:val="both"/>
        <w:ind w:firstLine="656"/>
        <w:spacing w:after="0" w:line="278" w:lineRule="auto"/>
        <w:tabs>
          <w:tab w:leader="none" w:pos="1431" w:val="left"/>
        </w:tabs>
        <w:numPr>
          <w:ilvl w:val="0"/>
          <w:numId w:val="97"/>
        </w:numPr>
        <w:rPr>
          <w:rFonts w:ascii="Arial" w:cs="Arial" w:eastAsia="Arial" w:hAnsi="Arial"/>
          <w:sz w:val="17"/>
          <w:szCs w:val="17"/>
          <w:color w:val="auto"/>
        </w:rPr>
      </w:pPr>
      <w:r>
        <w:rPr>
          <w:rFonts w:ascii="Arial" w:cs="Arial" w:eastAsia="Arial" w:hAnsi="Arial"/>
          <w:sz w:val="21"/>
          <w:szCs w:val="21"/>
          <w:u w:val="single" w:color="auto"/>
          <w:color w:val="auto"/>
        </w:rPr>
        <w:t>Expense Reimbursement</w:t>
      </w:r>
      <w:r>
        <w:rPr>
          <w:rFonts w:ascii="Arial" w:cs="Arial" w:eastAsia="Arial" w:hAnsi="Arial"/>
          <w:sz w:val="21"/>
          <w:szCs w:val="21"/>
          <w:color w:val="auto"/>
        </w:rPr>
        <w:t>. The Company shall, upon receipt of appropriate documentation, reimburse Foley each month for his reasonable travel, lodging, entertainment, promotion and other ordinary and necessary business expenses to the extent such reimbursement is permitted under the Company’s expense reimbursement policy.</w:t>
      </w:r>
    </w:p>
    <w:p>
      <w:pPr>
        <w:spacing w:after="0" w:line="200" w:lineRule="exact"/>
        <w:rPr>
          <w:rFonts w:ascii="Arial" w:cs="Arial" w:eastAsia="Arial" w:hAnsi="Arial"/>
          <w:sz w:val="17"/>
          <w:szCs w:val="17"/>
          <w:color w:val="auto"/>
        </w:rPr>
      </w:pPr>
    </w:p>
    <w:p>
      <w:pPr>
        <w:jc w:val="both"/>
        <w:ind w:firstLine="656"/>
        <w:spacing w:after="0" w:line="253" w:lineRule="auto"/>
        <w:tabs>
          <w:tab w:leader="none" w:pos="1431" w:val="left"/>
        </w:tabs>
        <w:numPr>
          <w:ilvl w:val="0"/>
          <w:numId w:val="97"/>
        </w:numPr>
        <w:rPr>
          <w:rFonts w:ascii="Arial" w:cs="Arial" w:eastAsia="Arial" w:hAnsi="Arial"/>
          <w:sz w:val="18"/>
          <w:szCs w:val="18"/>
          <w:color w:val="auto"/>
        </w:rPr>
      </w:pPr>
      <w:r>
        <w:rPr>
          <w:rFonts w:ascii="Arial" w:cs="Arial" w:eastAsia="Arial" w:hAnsi="Arial"/>
          <w:sz w:val="22"/>
          <w:szCs w:val="22"/>
          <w:u w:val="single" w:color="auto"/>
          <w:color w:val="auto"/>
        </w:rPr>
        <w:t>Termination of Services</w:t>
      </w:r>
      <w:r>
        <w:rPr>
          <w:rFonts w:ascii="Arial" w:cs="Arial" w:eastAsia="Arial" w:hAnsi="Arial"/>
          <w:sz w:val="22"/>
          <w:szCs w:val="22"/>
          <w:color w:val="auto"/>
        </w:rPr>
        <w:t>. The Company or Foley may terminate Foley’s services hereunder at any time and for any reason in accordance with Subsection 7(a) below. The Term shall be deemed to have ended on the last day of Foley’s services. The Term shall terminate automatically upon Foley’s death.</w:t>
      </w:r>
    </w:p>
    <w:p>
      <w:pPr>
        <w:spacing w:after="0" w:line="1" w:lineRule="exact"/>
        <w:rPr>
          <w:sz w:val="20"/>
          <w:szCs w:val="20"/>
          <w:color w:val="auto"/>
        </w:rPr>
      </w:pPr>
    </w:p>
    <w:p>
      <w:pPr>
        <w:jc w:val="both"/>
        <w:ind w:left="1300" w:hanging="644"/>
        <w:spacing w:after="0" w:line="281" w:lineRule="auto"/>
        <w:tabs>
          <w:tab w:leader="none" w:pos="1300" w:val="left"/>
        </w:tabs>
        <w:numPr>
          <w:ilvl w:val="0"/>
          <w:numId w:val="98"/>
        </w:numPr>
        <w:rPr>
          <w:rFonts w:ascii="Arial" w:cs="Arial" w:eastAsia="Arial" w:hAnsi="Arial"/>
          <w:sz w:val="16"/>
          <w:szCs w:val="16"/>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purported termination of Foley’s services (other than by reason of death) shall be communicated by written Notice of Termination (as defined herein) from one party to the other in accordance with the notice provisions contained in Section 24. For purposes of this Agreement, a “Notice of Termination” shall mean a notice that indicates the Date of Termination (as that term is defined in Subsection 7(b)) and, with respect to a termination due to Disability (as that term is defined in Subsection 7(e)), Cause (as that term is defined in Subsection 7(d)), or Good Reason (as that term is defined in Subsection 7(f)), sets forth in reasonable detail the facts and circumstances that are alleged to provide a basis for such termination. A Notice of Termination from the Company shall specify whether the termination is with or without Cause or due to Foley’s Disability. A Notice of Termination from Foley shall specify whether the termination is with or without Good Reason.</w:t>
      </w:r>
    </w:p>
    <w:p>
      <w:pPr>
        <w:spacing w:after="0" w:line="7" w:lineRule="exact"/>
        <w:rPr>
          <w:rFonts w:ascii="Arial" w:cs="Arial" w:eastAsia="Arial" w:hAnsi="Arial"/>
          <w:sz w:val="16"/>
          <w:szCs w:val="16"/>
          <w:color w:val="auto"/>
        </w:rPr>
      </w:pPr>
    </w:p>
    <w:p>
      <w:pPr>
        <w:jc w:val="both"/>
        <w:ind w:left="1300" w:hanging="644"/>
        <w:spacing w:after="0" w:line="223"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For purposes of this Agreement, “Date of Termination” shall mean the date specified in the Notice of Termination (but in no event shall such date be earlier than the thirtieth (30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date the Notice of Termination is given) or the date of Foley’s death.</w:t>
      </w:r>
    </w:p>
    <w:p>
      <w:pPr>
        <w:spacing w:after="0" w:line="198"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88" w:lineRule="exact"/>
        <w:rPr>
          <w:rFonts w:ascii="Arial" w:cs="Arial" w:eastAsia="Arial" w:hAnsi="Arial"/>
          <w:sz w:val="22"/>
          <w:szCs w:val="22"/>
          <w:color w:val="auto"/>
        </w:rPr>
      </w:pPr>
    </w:p>
    <w:p>
      <w:pPr>
        <w:jc w:val="both"/>
        <w:ind w:left="1300" w:hanging="644"/>
        <w:spacing w:after="0" w:line="246" w:lineRule="auto"/>
        <w:tabs>
          <w:tab w:leader="none" w:pos="130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For purposes of this Agreement, a termination for “Cause” means a termination by the Company based upon Foley’s: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failure to materially cooperate with or impeding an investigation authorized by the Board. Foley’s termination for Cause shall be effective when and if a resolution is duly adopted by an affirmative vote</w:t>
      </w:r>
    </w:p>
    <w:p>
      <w:pPr>
        <w:sectPr>
          <w:pgSz w:w="11900" w:h="16838" w:orient="portrait"/>
          <w:cols w:equalWidth="0" w:num="1">
            <w:col w:w="11420"/>
          </w:cols>
          <w:pgMar w:left="240" w:top="591" w:right="239" w:bottom="1440" w:gutter="0" w:footer="0" w:header="0"/>
        </w:sectPr>
      </w:pPr>
    </w:p>
    <w:bookmarkStart w:id="160" w:name="page161"/>
    <w:bookmarkEnd w:id="160"/>
    <w:p>
      <w:pPr>
        <w:jc w:val="both"/>
        <w:ind w:left="644"/>
        <w:spacing w:after="0" w:line="297" w:lineRule="auto"/>
        <w:rPr>
          <w:sz w:val="20"/>
          <w:szCs w:val="20"/>
          <w:color w:val="auto"/>
        </w:rPr>
      </w:pPr>
      <w:r>
        <w:rPr>
          <w:rFonts w:ascii="Arial" w:cs="Arial" w:eastAsia="Arial" w:hAnsi="Arial"/>
          <w:sz w:val="19"/>
          <w:szCs w:val="19"/>
          <w:color w:val="auto"/>
        </w:rPr>
        <w:t xml:space="preserve">of at least ¾ of the Board (less Foley), stating that, in the good faith opinion of the Board, Foley is guilty of the conduct described in the Notice of Termination and such conduct constitutes Cause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Foley shall have been given reasonable opportunity (A) to cure any act or omission that constitutes Cause if capable of cure and (B), together with counsel, during the thirty (30) day period following the receipt by Foley of the Notice of Termination and prior to the adoption of the Board’s resolution, to be heard by the Board.</w:t>
      </w:r>
    </w:p>
    <w:p>
      <w:pPr>
        <w:spacing w:after="0" w:line="147" w:lineRule="exact"/>
        <w:rPr>
          <w:sz w:val="20"/>
          <w:szCs w:val="20"/>
          <w:color w:val="auto"/>
        </w:rPr>
      </w:pPr>
    </w:p>
    <w:p>
      <w:pPr>
        <w:jc w:val="both"/>
        <w:ind w:left="644" w:hanging="644"/>
        <w:spacing w:after="0" w:line="253" w:lineRule="auto"/>
        <w:tabs>
          <w:tab w:leader="none" w:pos="64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a termination based upon “Disability” means a termination by the Company based upon Foley’s entitlement to long-term disability benefits under the Company’s long-term disability plan or policy, as the case may be, as in effect on the Date of Termination.</w:t>
      </w:r>
    </w:p>
    <w:p>
      <w:pPr>
        <w:spacing w:after="0" w:line="186" w:lineRule="exact"/>
        <w:rPr>
          <w:sz w:val="20"/>
          <w:szCs w:val="20"/>
          <w:color w:val="auto"/>
        </w:rPr>
      </w:pPr>
    </w:p>
    <w:p>
      <w:pPr>
        <w:ind w:left="644" w:hanging="644"/>
        <w:spacing w:after="0" w:line="251" w:lineRule="auto"/>
        <w:tabs>
          <w:tab w:leader="none" w:pos="644" w:val="left"/>
        </w:tabs>
        <w:numPr>
          <w:ilvl w:val="0"/>
          <w:numId w:val="100"/>
        </w:numPr>
        <w:rPr>
          <w:rFonts w:ascii="Arial" w:cs="Arial" w:eastAsia="Arial" w:hAnsi="Arial"/>
          <w:sz w:val="18"/>
          <w:szCs w:val="18"/>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For purposes of this Agreement, a termination for “Good Reason” means a termination by Foley based upon the occurrence (without Foley’s express written consent) of any of the following:</w:t>
      </w:r>
    </w:p>
    <w:p>
      <w:pPr>
        <w:spacing w:after="0" w:line="2" w:lineRule="exact"/>
        <w:rPr>
          <w:rFonts w:ascii="Arial" w:cs="Arial" w:eastAsia="Arial" w:hAnsi="Arial"/>
          <w:sz w:val="18"/>
          <w:szCs w:val="18"/>
          <w:color w:val="auto"/>
        </w:rPr>
      </w:pPr>
    </w:p>
    <w:p>
      <w:pPr>
        <w:ind w:left="1304" w:hanging="655"/>
        <w:spacing w:after="0" w:line="243" w:lineRule="auto"/>
        <w:tabs>
          <w:tab w:leader="none" w:pos="1304" w:val="left"/>
        </w:tabs>
        <w:numPr>
          <w:ilvl w:val="1"/>
          <w:numId w:val="100"/>
        </w:numPr>
        <w:rPr>
          <w:rFonts w:ascii="Arial" w:cs="Arial" w:eastAsia="Arial" w:hAnsi="Arial"/>
          <w:sz w:val="18"/>
          <w:szCs w:val="18"/>
          <w:color w:val="auto"/>
        </w:rPr>
      </w:pPr>
      <w:r>
        <w:rPr>
          <w:rFonts w:ascii="Arial" w:cs="Arial" w:eastAsia="Arial" w:hAnsi="Arial"/>
          <w:sz w:val="22"/>
          <w:szCs w:val="22"/>
          <w:color w:val="auto"/>
        </w:rPr>
        <w:t>a material diminution in Foley’s position or title, or the assignment of duties to Foley that are materially inconsistent with Foley’s position or title as described in this Agreement;</w:t>
      </w:r>
    </w:p>
    <w:p>
      <w:pPr>
        <w:ind w:left="1304" w:hanging="655"/>
        <w:spacing w:after="0"/>
        <w:tabs>
          <w:tab w:leader="none" w:pos="1304" w:val="left"/>
        </w:tabs>
        <w:numPr>
          <w:ilvl w:val="1"/>
          <w:numId w:val="100"/>
        </w:numPr>
        <w:rPr>
          <w:rFonts w:ascii="Arial" w:cs="Arial" w:eastAsia="Arial" w:hAnsi="Arial"/>
          <w:sz w:val="18"/>
          <w:szCs w:val="18"/>
          <w:color w:val="auto"/>
        </w:rPr>
      </w:pPr>
      <w:r>
        <w:rPr>
          <w:rFonts w:ascii="Arial" w:cs="Arial" w:eastAsia="Arial" w:hAnsi="Arial"/>
          <w:sz w:val="22"/>
          <w:szCs w:val="22"/>
          <w:color w:val="auto"/>
        </w:rPr>
        <w:t>a material diminution in the Annual Retainer;</w:t>
      </w:r>
    </w:p>
    <w:p>
      <w:pPr>
        <w:spacing w:after="0" w:line="3"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100"/>
        </w:numPr>
        <w:rPr>
          <w:rFonts w:ascii="Arial" w:cs="Arial" w:eastAsia="Arial" w:hAnsi="Arial"/>
          <w:sz w:val="18"/>
          <w:szCs w:val="18"/>
          <w:color w:val="auto"/>
        </w:rPr>
      </w:pPr>
      <w:r>
        <w:rPr>
          <w:rFonts w:ascii="Arial" w:cs="Arial" w:eastAsia="Arial" w:hAnsi="Arial"/>
          <w:sz w:val="22"/>
          <w:szCs w:val="22"/>
          <w:color w:val="auto"/>
        </w:rPr>
        <w:t>within six (6) months immediately preceding or within two (2) years immediately following a Change in Control: (A) a material adverse change in Foley’s status, authority or responsibility (</w:t>
      </w:r>
      <w:r>
        <w:rPr>
          <w:rFonts w:ascii="Arial" w:cs="Arial" w:eastAsia="Arial" w:hAnsi="Arial"/>
          <w:sz w:val="22"/>
          <w:szCs w:val="22"/>
          <w:i w:val="1"/>
          <w:iCs w:val="1"/>
          <w:color w:val="auto"/>
        </w:rPr>
        <w:t>e.g.</w:t>
      </w:r>
      <w:r>
        <w:rPr>
          <w:rFonts w:ascii="Arial" w:cs="Arial" w:eastAsia="Arial" w:hAnsi="Arial"/>
          <w:sz w:val="22"/>
          <w:szCs w:val="22"/>
          <w:color w:val="auto"/>
        </w:rPr>
        <w:t>, Foley no longer serving as non-executive Chairman of the Board would constitute such a material adverse change); or (B) a material adverse change in the position to whom Foley reports (including any requirement that Foley report to a corporate officer or employee instead of reporting directly to the Board) or to Foley’s service relationship (or the conditions under which Foley performs his duties) as a result of such reporting structure change, or a material diminution in the authority, duties or responsibilities of the position to whom Foley reports;</w:t>
      </w:r>
    </w:p>
    <w:p>
      <w:pPr>
        <w:spacing w:after="0" w:line="3" w:lineRule="exact"/>
        <w:rPr>
          <w:rFonts w:ascii="Arial" w:cs="Arial" w:eastAsia="Arial" w:hAnsi="Arial"/>
          <w:sz w:val="18"/>
          <w:szCs w:val="18"/>
          <w:color w:val="auto"/>
        </w:rPr>
      </w:pPr>
    </w:p>
    <w:p>
      <w:pPr>
        <w:ind w:left="1304" w:hanging="655"/>
        <w:spacing w:after="0"/>
        <w:tabs>
          <w:tab w:leader="none" w:pos="1304" w:val="left"/>
        </w:tabs>
        <w:numPr>
          <w:ilvl w:val="1"/>
          <w:numId w:val="100"/>
        </w:numPr>
        <w:rPr>
          <w:rFonts w:ascii="Arial" w:cs="Arial" w:eastAsia="Arial" w:hAnsi="Arial"/>
          <w:sz w:val="18"/>
          <w:szCs w:val="18"/>
          <w:color w:val="auto"/>
        </w:rPr>
      </w:pPr>
      <w:r>
        <w:rPr>
          <w:rFonts w:ascii="Arial" w:cs="Arial" w:eastAsia="Arial" w:hAnsi="Arial"/>
          <w:sz w:val="22"/>
          <w:szCs w:val="22"/>
          <w:color w:val="auto"/>
        </w:rPr>
        <w:t>a material breach by the Company of any of its obligations under this Agreement; or</w:t>
      </w:r>
    </w:p>
    <w:p>
      <w:pPr>
        <w:spacing w:after="0" w:line="3" w:lineRule="exact"/>
        <w:rPr>
          <w:rFonts w:ascii="Arial" w:cs="Arial" w:eastAsia="Arial" w:hAnsi="Arial"/>
          <w:sz w:val="18"/>
          <w:szCs w:val="18"/>
          <w:color w:val="auto"/>
        </w:rPr>
      </w:pPr>
    </w:p>
    <w:p>
      <w:pPr>
        <w:ind w:left="644" w:firstLine="5"/>
        <w:spacing w:after="0" w:line="285" w:lineRule="auto"/>
        <w:tabs>
          <w:tab w:leader="none" w:pos="1292" w:val="left"/>
        </w:tabs>
        <w:numPr>
          <w:ilvl w:val="1"/>
          <w:numId w:val="100"/>
        </w:numPr>
        <w:rPr>
          <w:rFonts w:ascii="Arial" w:cs="Arial" w:eastAsia="Arial" w:hAnsi="Arial"/>
          <w:sz w:val="16"/>
          <w:szCs w:val="16"/>
          <w:color w:val="auto"/>
        </w:rPr>
      </w:pPr>
      <w:r>
        <w:rPr>
          <w:rFonts w:ascii="Arial" w:cs="Arial" w:eastAsia="Arial" w:hAnsi="Arial"/>
          <w:sz w:val="19"/>
          <w:szCs w:val="19"/>
          <w:color w:val="auto"/>
        </w:rPr>
        <w:t xml:space="preserve">election of a new director to the Company’s Board who Foley did not consent to or vote for. Notwithstanding the foregoing, Foley being placed on a paid leave for up to sixty (60) days pending a determination of whether there is a basis to terminate Foley for Cause shall not constitute Good Reason. Foley’s continued services shall not constitute consent to, or a waiver of rights with respect to, any act or failure to act constituting Good Reason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event described above shall constitute Good Reason unless: (1) Foley gives Notice of Termination to the Company specifying the condition or event relied upon for such termination either: (x) within ninety (90) days of the initial existence of such event; or (y) in the case of an event predating a Change in Control, within ninety (90) days of the Change in Control; and (2) the Company fails to cure the condition or event constituting Good Reason within thirty (30) days following receipt of Foley’s Notice of Termination. Foley and the Company hereby acknowledge and agree that none of the changes made to the Prior Agreement or the Amended and Restated Employment Agreement between Foley and BKFS I Management, Inc. or the termination of the Amended and Restated Employment Agreement between ServiceLink Management, Inc. (and none of the related changes to Foley’s titles, authority, duties, positions, responsibilities, compensation or benefits) shall constitute Good Reason under this Agreement or any of Foley’s other agreements.</w:t>
      </w:r>
    </w:p>
    <w:p>
      <w:pPr>
        <w:sectPr>
          <w:pgSz w:w="11900" w:h="16838" w:orient="portrait"/>
          <w:cols w:equalWidth="0" w:num="1">
            <w:col w:w="10764"/>
          </w:cols>
          <w:pgMar w:left="896" w:top="591" w:right="239" w:bottom="1440" w:gutter="0" w:footer="0" w:header="0"/>
        </w:sectPr>
      </w:pPr>
    </w:p>
    <w:bookmarkStart w:id="161" w:name="page162"/>
    <w:bookmarkEnd w:id="161"/>
    <w:p>
      <w:pPr>
        <w:jc w:val="both"/>
        <w:ind w:left="644" w:hanging="644"/>
        <w:spacing w:after="0" w:line="259" w:lineRule="auto"/>
        <w:tabs>
          <w:tab w:leader="none" w:pos="644" w:val="left"/>
        </w:tabs>
        <w:numPr>
          <w:ilvl w:val="0"/>
          <w:numId w:val="101"/>
        </w:numPr>
        <w:rPr>
          <w:rFonts w:ascii="Arial" w:cs="Arial" w:eastAsia="Arial" w:hAnsi="Arial"/>
          <w:sz w:val="17"/>
          <w:szCs w:val="17"/>
          <w:color w:val="auto"/>
        </w:rPr>
      </w:pPr>
      <w:r>
        <w:rPr>
          <w:rFonts w:ascii="Arial" w:cs="Arial" w:eastAsia="Arial" w:hAnsi="Arial"/>
          <w:sz w:val="21"/>
          <w:szCs w:val="21"/>
          <w:u w:val="single" w:color="auto"/>
          <w:color w:val="auto"/>
        </w:rPr>
        <w:t>Cross-Termination</w:t>
      </w:r>
      <w:r>
        <w:rPr>
          <w:rFonts w:ascii="Arial" w:cs="Arial" w:eastAsia="Arial" w:hAnsi="Arial"/>
          <w:sz w:val="21"/>
          <w:szCs w:val="21"/>
          <w:color w:val="auto"/>
        </w:rPr>
        <w:t>. A termination of Foley’s services by BKFS I Management, Inc. or Foley for any reason under that certain Amended and Restated Employment Agreement between BKFS I Management, Inc. and Foley (as may be amended from time to time) shall constitute a termination for the same reason under this Agreement and Foley shall be entitled to the appropriate termination benefits under this Agreement.</w:t>
      </w:r>
    </w:p>
    <w:p>
      <w:pPr>
        <w:spacing w:after="0" w:line="2" w:lineRule="exact"/>
        <w:rPr>
          <w:sz w:val="20"/>
          <w:szCs w:val="20"/>
          <w:color w:val="auto"/>
        </w:rPr>
      </w:pPr>
    </w:p>
    <w:p>
      <w:pPr>
        <w:ind w:left="784" w:hanging="784"/>
        <w:spacing w:after="0"/>
        <w:tabs>
          <w:tab w:leader="none" w:pos="784" w:val="left"/>
        </w:tabs>
        <w:numPr>
          <w:ilvl w:val="0"/>
          <w:numId w:val="102"/>
        </w:numPr>
        <w:rPr>
          <w:rFonts w:ascii="Arial" w:cs="Arial" w:eastAsia="Arial" w:hAnsi="Arial"/>
          <w:sz w:val="18"/>
          <w:szCs w:val="18"/>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56" w:lineRule="exact"/>
        <w:rPr>
          <w:sz w:val="20"/>
          <w:szCs w:val="20"/>
          <w:color w:val="auto"/>
        </w:rPr>
      </w:pPr>
    </w:p>
    <w:p>
      <w:pPr>
        <w:jc w:val="both"/>
        <w:ind w:left="644" w:hanging="644"/>
        <w:spacing w:after="0" w:line="246"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22"/>
          <w:szCs w:val="22"/>
          <w:u w:val="single" w:color="auto"/>
          <w:color w:val="auto"/>
        </w:rPr>
        <w:t>Termination by Foley for Good Reason, Not Re-Elected to the Board or Removed from the Board</w:t>
      </w:r>
      <w:r>
        <w:rPr>
          <w:rFonts w:ascii="Arial" w:cs="Arial" w:eastAsia="Arial" w:hAnsi="Arial"/>
          <w:sz w:val="22"/>
          <w:szCs w:val="22"/>
          <w:color w:val="auto"/>
        </w:rPr>
        <w:t>. If Foley’s service as a director is terminated: (1) by the Company for any reason other than Cause, Death or Disability; (2) by Foley for Good Reason; or (3) because Foley is not nominated to run for re-election to the Board as Chairman, is nominated, but does not receive enough votes to be re-elected to the Board, or is removed from the position of Chairman of the Board for reasons other than Cause:</w:t>
      </w:r>
    </w:p>
    <w:p>
      <w:pPr>
        <w:spacing w:after="0" w:line="4"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103"/>
        </w:numPr>
        <w:rPr>
          <w:rFonts w:ascii="Arial" w:cs="Arial" w:eastAsia="Arial" w:hAnsi="Arial"/>
          <w:sz w:val="18"/>
          <w:szCs w:val="18"/>
          <w:color w:val="auto"/>
        </w:rPr>
      </w:pPr>
      <w:r>
        <w:rPr>
          <w:rFonts w:ascii="Arial" w:cs="Arial" w:eastAsia="Arial" w:hAnsi="Arial"/>
          <w:sz w:val="22"/>
          <w:szCs w:val="22"/>
          <w:color w:val="auto"/>
        </w:rPr>
        <w:t>the Company shall pay Foley the following (collectively, the “Accrued Obligations”): (A) within five (5) business days after the Date of Termination, any earned but unpaid retainer; (B) within a reasonable time following submission of all applicable documentation, any expense reimbursement payments owed to Foley for expenses incurred prior to the Date of Termination; and (C) if the termination occurs on or before March 15, 2016, no later than March 15, 2016, any earned but unpaid annual bonus payments relating to calendar year 2015; and</w:t>
      </w:r>
    </w:p>
    <w:p>
      <w:pPr>
        <w:spacing w:after="0" w:line="2" w:lineRule="exact"/>
        <w:rPr>
          <w:rFonts w:ascii="Arial" w:cs="Arial" w:eastAsia="Arial" w:hAnsi="Arial"/>
          <w:sz w:val="18"/>
          <w:szCs w:val="18"/>
          <w:color w:val="auto"/>
        </w:rPr>
      </w:pPr>
    </w:p>
    <w:p>
      <w:pPr>
        <w:jc w:val="both"/>
        <w:ind w:left="1304" w:hanging="655"/>
        <w:spacing w:after="0" w:line="281" w:lineRule="auto"/>
        <w:tabs>
          <w:tab w:leader="none" w:pos="1304" w:val="left"/>
        </w:tabs>
        <w:numPr>
          <w:ilvl w:val="1"/>
          <w:numId w:val="103"/>
        </w:numPr>
        <w:rPr>
          <w:rFonts w:ascii="Arial" w:cs="Arial" w:eastAsia="Arial" w:hAnsi="Arial"/>
          <w:sz w:val="16"/>
          <w:szCs w:val="16"/>
          <w:color w:val="auto"/>
        </w:rPr>
      </w:pPr>
      <w:r>
        <w:rPr>
          <w:rFonts w:ascii="Arial" w:cs="Arial" w:eastAsia="Arial" w:hAnsi="Arial"/>
          <w:sz w:val="19"/>
          <w:szCs w:val="19"/>
          <w:color w:val="auto"/>
        </w:rPr>
        <w:t>all stock option, restricted stock, profits interest and other equity-based incentive awards granted by the Company (including awards relating both to FNF and FNFV Group common stock), Black Knight , and ServiceLink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provided, however, that any such equity awards that are vested pursuant to this provision and that constitute a non-qualified deferred compensation arrangement within the meaning of Code Section 409A shall be paid or settled on the earliest date coinciding with or following the Date of Termination that does not result in a violation of or penalties under Section 409A.</w:t>
      </w:r>
    </w:p>
    <w:p>
      <w:pPr>
        <w:spacing w:after="0" w:line="7" w:lineRule="exact"/>
        <w:rPr>
          <w:rFonts w:ascii="Arial" w:cs="Arial" w:eastAsia="Arial" w:hAnsi="Arial"/>
          <w:sz w:val="16"/>
          <w:szCs w:val="16"/>
          <w:color w:val="auto"/>
        </w:rPr>
      </w:pPr>
    </w:p>
    <w:p>
      <w:pPr>
        <w:jc w:val="both"/>
        <w:ind w:left="644" w:hanging="644"/>
        <w:spacing w:after="0" w:line="243"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22"/>
          <w:szCs w:val="22"/>
          <w:u w:val="single" w:color="auto"/>
          <w:color w:val="auto"/>
        </w:rPr>
        <w:t>Termination by the Company for Cause and by Foley without Good Reason</w:t>
      </w:r>
      <w:r>
        <w:rPr>
          <w:rFonts w:ascii="Arial" w:cs="Arial" w:eastAsia="Arial" w:hAnsi="Arial"/>
          <w:sz w:val="22"/>
          <w:szCs w:val="22"/>
          <w:color w:val="auto"/>
        </w:rPr>
        <w:t>. If Foley’s services are terminated (i) by the Company for Cause or (ii) by Foley without Good Reason, the Company’s only obligation under this Agreement shall be payment of any Accrued Obligations.</w:t>
      </w:r>
    </w:p>
    <w:p>
      <w:pPr>
        <w:spacing w:after="0" w:line="1" w:lineRule="exact"/>
        <w:rPr>
          <w:rFonts w:ascii="Arial" w:cs="Arial" w:eastAsia="Arial" w:hAnsi="Arial"/>
          <w:sz w:val="18"/>
          <w:szCs w:val="18"/>
          <w:color w:val="auto"/>
        </w:rPr>
      </w:pPr>
    </w:p>
    <w:p>
      <w:pPr>
        <w:jc w:val="both"/>
        <w:ind w:left="644" w:hanging="644"/>
        <w:spacing w:after="0" w:line="243"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22"/>
          <w:szCs w:val="22"/>
          <w:u w:val="single" w:color="auto"/>
          <w:color w:val="auto"/>
        </w:rPr>
        <w:t>Termination due to Death or Disability</w:t>
      </w:r>
      <w:r>
        <w:rPr>
          <w:rFonts w:ascii="Arial" w:cs="Arial" w:eastAsia="Arial" w:hAnsi="Arial"/>
          <w:sz w:val="22"/>
          <w:szCs w:val="22"/>
          <w:color w:val="auto"/>
        </w:rPr>
        <w:t>. If Foley’s services are terminated due to death or Disability, the Company shall pay Foley (or to Foley’s estate or personal representative in the case of death), within thirty (30) business days after the Date of Termination, any Accrued Obligations.</w:t>
      </w:r>
    </w:p>
    <w:p>
      <w:pPr>
        <w:spacing w:after="0" w:line="1" w:lineRule="exact"/>
        <w:rPr>
          <w:rFonts w:ascii="Arial" w:cs="Arial" w:eastAsia="Arial" w:hAnsi="Arial"/>
          <w:sz w:val="18"/>
          <w:szCs w:val="18"/>
          <w:color w:val="auto"/>
        </w:rPr>
      </w:pPr>
    </w:p>
    <w:p>
      <w:pPr>
        <w:ind w:left="644" w:hanging="644"/>
        <w:spacing w:after="0" w:line="243"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22"/>
          <w:szCs w:val="22"/>
          <w:u w:val="single" w:color="auto"/>
          <w:color w:val="auto"/>
        </w:rPr>
        <w:t>Definition of Change in Control</w:t>
      </w:r>
      <w:r>
        <w:rPr>
          <w:rFonts w:ascii="Arial" w:cs="Arial" w:eastAsia="Arial" w:hAnsi="Arial"/>
          <w:sz w:val="22"/>
          <w:szCs w:val="22"/>
          <w:color w:val="auto"/>
        </w:rPr>
        <w:t>. For purposes of this Agreement, the term “Change in Control” shall mean that the conditions set forth in any one of the following subsections shall have been satisfied:</w:t>
      </w:r>
    </w:p>
    <w:p>
      <w:pPr>
        <w:jc w:val="both"/>
        <w:ind w:left="1304" w:hanging="655"/>
        <w:spacing w:after="0" w:line="244" w:lineRule="auto"/>
        <w:tabs>
          <w:tab w:leader="none" w:pos="1304" w:val="left"/>
        </w:tabs>
        <w:numPr>
          <w:ilvl w:val="1"/>
          <w:numId w:val="103"/>
        </w:numPr>
        <w:rPr>
          <w:rFonts w:ascii="Arial" w:cs="Arial" w:eastAsia="Arial" w:hAnsi="Arial"/>
          <w:sz w:val="18"/>
          <w:szCs w:val="18"/>
          <w:color w:val="auto"/>
        </w:rPr>
      </w:pPr>
      <w:r>
        <w:rPr>
          <w:rFonts w:ascii="Arial" w:cs="Arial" w:eastAsia="Arial" w:hAnsi="Arial"/>
          <w:sz w:val="22"/>
          <w:szCs w:val="22"/>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ectPr>
          <w:pgSz w:w="11900" w:h="16838" w:orient="portrait"/>
          <w:cols w:equalWidth="0" w:num="1">
            <w:col w:w="10764"/>
          </w:cols>
          <w:pgMar w:left="896" w:top="591" w:right="239" w:bottom="1440" w:gutter="0" w:footer="0" w:header="0"/>
        </w:sectPr>
      </w:pPr>
    </w:p>
    <w:bookmarkStart w:id="162" w:name="page163"/>
    <w:bookmarkEnd w:id="162"/>
    <w:p>
      <w:pPr>
        <w:jc w:val="both"/>
        <w:ind w:left="1304" w:hanging="655"/>
        <w:spacing w:after="0" w:line="246" w:lineRule="auto"/>
        <w:tabs>
          <w:tab w:leader="none" w:pos="1304" w:val="left"/>
        </w:tabs>
        <w:numPr>
          <w:ilvl w:val="1"/>
          <w:numId w:val="104"/>
        </w:numPr>
        <w:rPr>
          <w:rFonts w:ascii="Arial" w:cs="Arial" w:eastAsia="Arial" w:hAnsi="Arial"/>
          <w:sz w:val="18"/>
          <w:szCs w:val="18"/>
          <w:color w:val="auto"/>
        </w:rPr>
      </w:pPr>
      <w:r>
        <w:rPr>
          <w:rFonts w:ascii="Arial" w:cs="Arial" w:eastAsia="Arial" w:hAnsi="Arial"/>
          <w:sz w:val="22"/>
          <w:szCs w:val="22"/>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 combined voting power of all outstanding voting securities of the surviving entity immediately after such merger or consolidation;</w:t>
      </w:r>
    </w:p>
    <w:p>
      <w:pPr>
        <w:spacing w:after="0" w:line="4"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104"/>
        </w:numPr>
        <w:rPr>
          <w:rFonts w:ascii="Arial" w:cs="Arial" w:eastAsia="Arial" w:hAnsi="Arial"/>
          <w:sz w:val="18"/>
          <w:szCs w:val="18"/>
          <w:color w:val="auto"/>
        </w:rPr>
      </w:pPr>
      <w:r>
        <w:rPr>
          <w:rFonts w:ascii="Arial" w:cs="Arial" w:eastAsia="Arial" w:hAnsi="Arial"/>
          <w:sz w:val="22"/>
          <w:szCs w:val="22"/>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1" w:lineRule="exact"/>
        <w:rPr>
          <w:rFonts w:ascii="Arial" w:cs="Arial" w:eastAsia="Arial" w:hAnsi="Arial"/>
          <w:sz w:val="18"/>
          <w:szCs w:val="18"/>
          <w:color w:val="auto"/>
        </w:rPr>
      </w:pPr>
    </w:p>
    <w:p>
      <w:pPr>
        <w:jc w:val="both"/>
        <w:ind w:left="1304" w:hanging="655"/>
        <w:spacing w:after="0" w:line="243" w:lineRule="auto"/>
        <w:tabs>
          <w:tab w:leader="none" w:pos="1304" w:val="left"/>
        </w:tabs>
        <w:numPr>
          <w:ilvl w:val="1"/>
          <w:numId w:val="104"/>
        </w:numPr>
        <w:rPr>
          <w:rFonts w:ascii="Arial" w:cs="Arial" w:eastAsia="Arial" w:hAnsi="Arial"/>
          <w:sz w:val="18"/>
          <w:szCs w:val="18"/>
          <w:color w:val="auto"/>
        </w:rPr>
      </w:pPr>
      <w:r>
        <w:rPr>
          <w:rFonts w:ascii="Arial" w:cs="Arial" w:eastAsia="Arial" w:hAnsi="Arial"/>
          <w:sz w:val="22"/>
          <w:szCs w:val="22"/>
          <w:color w:val="auto"/>
        </w:rPr>
        <w:t>during any period of two (2) consecutive years during the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2" w:lineRule="exact"/>
        <w:rPr>
          <w:rFonts w:ascii="Arial" w:cs="Arial" w:eastAsia="Arial" w:hAnsi="Arial"/>
          <w:sz w:val="18"/>
          <w:szCs w:val="18"/>
          <w:color w:val="auto"/>
        </w:rPr>
      </w:pPr>
    </w:p>
    <w:p>
      <w:pPr>
        <w:jc w:val="both"/>
        <w:ind w:left="1304" w:hanging="655"/>
        <w:spacing w:after="0" w:line="281" w:lineRule="auto"/>
        <w:tabs>
          <w:tab w:leader="none" w:pos="1304" w:val="left"/>
        </w:tabs>
        <w:numPr>
          <w:ilvl w:val="1"/>
          <w:numId w:val="104"/>
        </w:numPr>
        <w:rPr>
          <w:rFonts w:ascii="Arial" w:cs="Arial" w:eastAsia="Arial" w:hAnsi="Arial"/>
          <w:sz w:val="16"/>
          <w:szCs w:val="16"/>
          <w:color w:val="auto"/>
        </w:rPr>
      </w:pPr>
      <w:r>
        <w:rPr>
          <w:rFonts w:ascii="Arial" w:cs="Arial" w:eastAsia="Arial" w:hAnsi="Arial"/>
          <w:sz w:val="19"/>
          <w:szCs w:val="19"/>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7" w:lineRule="exact"/>
        <w:rPr>
          <w:rFonts w:ascii="Arial" w:cs="Arial" w:eastAsia="Arial" w:hAnsi="Arial"/>
          <w:sz w:val="16"/>
          <w:szCs w:val="16"/>
          <w:color w:val="auto"/>
        </w:rPr>
      </w:pPr>
    </w:p>
    <w:p>
      <w:pPr>
        <w:ind w:left="1304" w:hanging="655"/>
        <w:spacing w:after="0"/>
        <w:tabs>
          <w:tab w:leader="none" w:pos="1304" w:val="left"/>
        </w:tabs>
        <w:numPr>
          <w:ilvl w:val="1"/>
          <w:numId w:val="104"/>
        </w:numPr>
        <w:rPr>
          <w:rFonts w:ascii="Arial" w:cs="Arial" w:eastAsia="Arial" w:hAnsi="Arial"/>
          <w:sz w:val="16"/>
          <w:szCs w:val="16"/>
          <w:color w:val="auto"/>
        </w:rPr>
      </w:pPr>
      <w:r>
        <w:rPr>
          <w:rFonts w:ascii="Arial" w:cs="Arial" w:eastAsia="Arial" w:hAnsi="Arial"/>
          <w:sz w:val="19"/>
          <w:szCs w:val="19"/>
          <w:color w:val="auto"/>
        </w:rPr>
        <w:t>the approval by the stockholders of a plan or proposal for the liquidation or dissolution of the Company.</w:t>
      </w:r>
    </w:p>
    <w:p>
      <w:pPr>
        <w:spacing w:after="0" w:line="38" w:lineRule="exact"/>
        <w:rPr>
          <w:rFonts w:ascii="Arial" w:cs="Arial" w:eastAsia="Arial" w:hAnsi="Arial"/>
          <w:sz w:val="16"/>
          <w:szCs w:val="16"/>
          <w:color w:val="auto"/>
        </w:rPr>
      </w:pPr>
    </w:p>
    <w:p>
      <w:pPr>
        <w:jc w:val="both"/>
        <w:ind w:left="644" w:hanging="644"/>
        <w:spacing w:after="0" w:line="286" w:lineRule="auto"/>
        <w:tabs>
          <w:tab w:leader="none" w:pos="644" w:val="left"/>
        </w:tabs>
        <w:numPr>
          <w:ilvl w:val="0"/>
          <w:numId w:val="105"/>
        </w:numPr>
        <w:rPr>
          <w:rFonts w:ascii="Arial" w:cs="Arial" w:eastAsia="Arial" w:hAnsi="Arial"/>
          <w:sz w:val="16"/>
          <w:szCs w:val="16"/>
          <w:color w:val="auto"/>
        </w:rPr>
      </w:pPr>
      <w:r>
        <w:rPr>
          <w:rFonts w:ascii="Arial" w:cs="Arial" w:eastAsia="Arial" w:hAnsi="Arial"/>
          <w:sz w:val="19"/>
          <w:szCs w:val="19"/>
          <w:u w:val="single" w:color="auto"/>
          <w:color w:val="auto"/>
        </w:rPr>
        <w:t>Six-Month Delay</w:t>
      </w:r>
      <w:r>
        <w:rPr>
          <w:rFonts w:ascii="Arial" w:cs="Arial" w:eastAsia="Arial" w:hAnsi="Arial"/>
          <w:sz w:val="19"/>
          <w:szCs w:val="19"/>
          <w:color w:val="auto"/>
        </w:rPr>
        <w:t>. To the extent Foley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 provided, however, that if Foley dies following the Date of Termination and prior to the payment, distribution, settlement or provision of any payments, distributions or benefits delayed on account of Code Section 409A, such payments, distributions or benefits shall be paid or provided to the personal representative of Foley’s estate within 30 days after the date of Foley’s death.</w:t>
      </w:r>
    </w:p>
    <w:p>
      <w:pPr>
        <w:spacing w:after="0" w:line="200" w:lineRule="exact"/>
        <w:rPr>
          <w:sz w:val="20"/>
          <w:szCs w:val="20"/>
          <w:color w:val="auto"/>
        </w:rPr>
      </w:pPr>
    </w:p>
    <w:p>
      <w:pPr>
        <w:spacing w:after="0" w:line="254" w:lineRule="exact"/>
        <w:rPr>
          <w:sz w:val="20"/>
          <w:szCs w:val="20"/>
          <w:color w:val="auto"/>
        </w:rPr>
      </w:pPr>
    </w:p>
    <w:p>
      <w:pPr>
        <w:jc w:val="both"/>
        <w:ind w:left="-656" w:firstLine="656"/>
        <w:spacing w:after="0" w:line="260" w:lineRule="auto"/>
        <w:tabs>
          <w:tab w:leader="none" w:pos="775" w:val="left"/>
        </w:tabs>
        <w:numPr>
          <w:ilvl w:val="0"/>
          <w:numId w:val="106"/>
        </w:numPr>
        <w:rPr>
          <w:rFonts w:ascii="Arial" w:cs="Arial" w:eastAsia="Arial" w:hAnsi="Arial"/>
          <w:sz w:val="18"/>
          <w:szCs w:val="18"/>
          <w:color w:val="auto"/>
        </w:rPr>
      </w:pPr>
      <w:r>
        <w:rPr>
          <w:rFonts w:ascii="Arial" w:cs="Arial" w:eastAsia="Arial" w:hAnsi="Arial"/>
          <w:sz w:val="22"/>
          <w:szCs w:val="22"/>
          <w:u w:val="single" w:color="auto"/>
          <w:color w:val="auto"/>
        </w:rPr>
        <w:t>Excise Tax</w:t>
      </w:r>
      <w:r>
        <w:rPr>
          <w:rFonts w:ascii="Arial" w:cs="Arial" w:eastAsia="Arial" w:hAnsi="Arial"/>
          <w:sz w:val="22"/>
          <w:szCs w:val="22"/>
          <w:color w:val="auto"/>
        </w:rPr>
        <w:t>. If any payments or benefits paid or provided or to be paid or provided to Foley or for Foley’s benefit pursuant to the terms of this Agreement or otherwise (a “Payment” and, collectively, the “Payments”) would be subject to the excise tax imposed by Section 4999 of the Code (the “Excise Tax”),</w:t>
      </w:r>
    </w:p>
    <w:p>
      <w:pPr>
        <w:sectPr>
          <w:pgSz w:w="11900" w:h="16838" w:orient="portrait"/>
          <w:cols w:equalWidth="0" w:num="1">
            <w:col w:w="10764"/>
          </w:cols>
          <w:pgMar w:left="896" w:top="591" w:right="239" w:bottom="1440" w:gutter="0" w:footer="0" w:header="0"/>
        </w:sectPr>
      </w:pPr>
    </w:p>
    <w:bookmarkStart w:id="163" w:name="page164"/>
    <w:bookmarkEnd w:id="163"/>
    <w:p>
      <w:pPr>
        <w:jc w:val="both"/>
        <w:spacing w:after="0" w:line="287" w:lineRule="auto"/>
        <w:rPr>
          <w:sz w:val="20"/>
          <w:szCs w:val="20"/>
          <w:color w:val="auto"/>
        </w:rPr>
      </w:pPr>
      <w:r>
        <w:rPr>
          <w:rFonts w:ascii="Arial" w:cs="Arial" w:eastAsia="Arial" w:hAnsi="Arial"/>
          <w:sz w:val="19"/>
          <w:szCs w:val="19"/>
          <w:color w:val="auto"/>
        </w:rPr>
        <w:t>then Foley may elect for such Payments to be reduced to one dollar less than the amount that would constitute a “parachute payment” under Section 280G of the Code (the “Scaled Back Amount”). Any such election must be in writing and delivered to the Company within thirty (30) days after the Date of Termination. If Foley does not elect to have Payments reduced to the Scaled Back Amount, Foley shall be responsible for payment of any Excise Tax resulting from the Payments and Foley shall not be entitled to a gross-up payment under this Agreement or any other for such Excise Tax. If the Payments are to be reduced, they shall be reduced in the following order of priority: (i) first from cash compensation, (ii) next from equity compensation, then (iii) pro-rata among all remaining Payments and benefits. To the extent there is a question as to which Payments within any of the foregoing categories are to be reduced first, the Payments that will produce the greatest present value reduction in the Payments with the least reduction in economic value provided to Foley shall be reduced first. Notwithstanding the order of priority of reduction set forth above, Foley may include in Foley’s election for a Scaled Back Amount a change to the order of such Payment reduction. The Company shall follow such revised reduction order, if and only if, the Company, in its sole judgment, determines such change does not violate the provisions of Code Section 409A.</w:t>
      </w:r>
    </w:p>
    <w:p>
      <w:pPr>
        <w:spacing w:after="0" w:line="200" w:lineRule="exact"/>
        <w:rPr>
          <w:sz w:val="20"/>
          <w:szCs w:val="20"/>
          <w:color w:val="auto"/>
        </w:rPr>
      </w:pPr>
    </w:p>
    <w:p>
      <w:pPr>
        <w:spacing w:after="0" w:line="262" w:lineRule="exact"/>
        <w:rPr>
          <w:sz w:val="20"/>
          <w:szCs w:val="20"/>
          <w:color w:val="auto"/>
        </w:rPr>
      </w:pPr>
    </w:p>
    <w:p>
      <w:pPr>
        <w:jc w:val="both"/>
        <w:ind w:firstLine="656"/>
        <w:spacing w:after="0" w:line="260" w:lineRule="auto"/>
        <w:tabs>
          <w:tab w:leader="none" w:pos="1521" w:val="left"/>
        </w:tabs>
        <w:numPr>
          <w:ilvl w:val="0"/>
          <w:numId w:val="107"/>
        </w:numPr>
        <w:rPr>
          <w:rFonts w:ascii="Arial" w:cs="Arial" w:eastAsia="Arial" w:hAnsi="Arial"/>
          <w:sz w:val="18"/>
          <w:szCs w:val="18"/>
          <w:color w:val="auto"/>
        </w:rPr>
      </w:pPr>
      <w:r>
        <w:rPr>
          <w:rFonts w:ascii="Arial" w:cs="Arial" w:eastAsia="Arial" w:hAnsi="Arial"/>
          <w:sz w:val="22"/>
          <w:szCs w:val="22"/>
          <w:u w:val="single" w:color="auto"/>
          <w:color w:val="auto"/>
        </w:rPr>
        <w:t>Non-Delegation of Foley’s Rights</w:t>
      </w:r>
      <w:r>
        <w:rPr>
          <w:rFonts w:ascii="Arial" w:cs="Arial" w:eastAsia="Arial" w:hAnsi="Arial"/>
          <w:sz w:val="22"/>
          <w:szCs w:val="22"/>
          <w:color w:val="auto"/>
        </w:rPr>
        <w:t>. The obligations, rights and benefits of Foley hereunder are personal and may not be delegated, assigned or transferred in any manner whatsoever, nor are such obligations, rights or benefits subject to involuntary alienation, assignment or transfer.</w:t>
      </w:r>
    </w:p>
    <w:p>
      <w:pPr>
        <w:spacing w:after="0" w:line="217" w:lineRule="exact"/>
        <w:rPr>
          <w:rFonts w:ascii="Arial" w:cs="Arial" w:eastAsia="Arial" w:hAnsi="Arial"/>
          <w:sz w:val="18"/>
          <w:szCs w:val="18"/>
          <w:color w:val="auto"/>
        </w:rPr>
      </w:pPr>
    </w:p>
    <w:p>
      <w:pPr>
        <w:jc w:val="both"/>
        <w:ind w:firstLine="656"/>
        <w:spacing w:after="0" w:line="258" w:lineRule="auto"/>
        <w:tabs>
          <w:tab w:leader="none" w:pos="1515" w:val="left"/>
        </w:tabs>
        <w:numPr>
          <w:ilvl w:val="0"/>
          <w:numId w:val="107"/>
        </w:numPr>
        <w:rPr>
          <w:rFonts w:ascii="Arial" w:cs="Arial" w:eastAsia="Arial" w:hAnsi="Arial"/>
          <w:sz w:val="17"/>
          <w:szCs w:val="17"/>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Foley acknowledges that he has and will continue to occupy a position of trust and confidence and has and will continue to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Foley agrees that all such information is proprietary or confidential, or constitutes trade secrets and is the sole property of the Company and/or its affiliates, as the case may be. Foley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Foley advise, discuss with or in any way assist any other person, firm or entity in obtaining or learning about any of the items described in this Section 11. Accordingly, Foley agrees that during the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spacing w:after="0" w:line="231" w:lineRule="exact"/>
        <w:rPr>
          <w:rFonts w:ascii="Arial" w:cs="Arial" w:eastAsia="Arial" w:hAnsi="Arial"/>
          <w:sz w:val="17"/>
          <w:szCs w:val="17"/>
          <w:color w:val="auto"/>
        </w:rPr>
      </w:pPr>
    </w:p>
    <w:p>
      <w:pPr>
        <w:ind w:left="1520" w:hanging="864"/>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74" w:lineRule="exact"/>
        <w:rPr>
          <w:sz w:val="20"/>
          <w:szCs w:val="20"/>
          <w:color w:val="auto"/>
        </w:rPr>
      </w:pPr>
    </w:p>
    <w:p>
      <w:pPr>
        <w:jc w:val="both"/>
        <w:ind w:left="1300" w:hanging="644"/>
        <w:spacing w:after="0" w:line="290" w:lineRule="auto"/>
        <w:tabs>
          <w:tab w:leader="none" w:pos="1300" w:val="left"/>
        </w:tabs>
        <w:numPr>
          <w:ilvl w:val="0"/>
          <w:numId w:val="108"/>
        </w:numPr>
        <w:rPr>
          <w:rFonts w:ascii="Arial" w:cs="Arial" w:eastAsia="Arial" w:hAnsi="Arial"/>
          <w:sz w:val="16"/>
          <w:szCs w:val="16"/>
          <w:color w:val="auto"/>
        </w:rPr>
      </w:pPr>
      <w:r>
        <w:rPr>
          <w:rFonts w:ascii="Arial" w:cs="Arial" w:eastAsia="Arial" w:hAnsi="Arial"/>
          <w:sz w:val="19"/>
          <w:szCs w:val="19"/>
          <w:u w:val="single" w:color="auto"/>
          <w:color w:val="auto"/>
        </w:rPr>
        <w:t>During Term</w:t>
      </w:r>
      <w:r>
        <w:rPr>
          <w:rFonts w:ascii="Arial" w:cs="Arial" w:eastAsia="Arial" w:hAnsi="Arial"/>
          <w:sz w:val="19"/>
          <w:szCs w:val="19"/>
          <w:color w:val="auto"/>
        </w:rPr>
        <w:t>. Foley agrees that, during the Term, he will devote such business time, attention and energies reasonably necessary to the diligent and faithful performance of the services to the Company and its affiliates, and he will not engage in any way whatsoever, directly or indirectly, in any business that is a direct competitor with the Company’s or its affiliates’ principal business, nor solicit customers, suppliers or employees of the Company or its affiliates on behalf of, or in any other manner work for or assist any business which is a direct competitor with the Company’s or its affiliates’ principal business. In addition, during the Term, Foley will undertake no planning for or organization of any business activity competitive with the work he performs as a director of the Company, and Foley will not combine or conspire with any employee of the Company or any other person for the purpose of organizing any such competitive business activity.</w:t>
      </w:r>
    </w:p>
    <w:p>
      <w:pPr>
        <w:sectPr>
          <w:pgSz w:w="11900" w:h="16838" w:orient="portrait"/>
          <w:cols w:equalWidth="0" w:num="1">
            <w:col w:w="11420"/>
          </w:cols>
          <w:pgMar w:left="240" w:top="591" w:right="239" w:bottom="1440" w:gutter="0" w:footer="0" w:header="0"/>
        </w:sectPr>
      </w:pPr>
    </w:p>
    <w:bookmarkStart w:id="164" w:name="page165"/>
    <w:bookmarkEnd w:id="164"/>
    <w:p>
      <w:pPr>
        <w:jc w:val="both"/>
        <w:ind w:left="644" w:hanging="644"/>
        <w:spacing w:after="0" w:line="288" w:lineRule="auto"/>
        <w:tabs>
          <w:tab w:leader="none" w:pos="644" w:val="left"/>
        </w:tabs>
        <w:numPr>
          <w:ilvl w:val="0"/>
          <w:numId w:val="109"/>
        </w:numPr>
        <w:rPr>
          <w:rFonts w:ascii="Arial" w:cs="Arial" w:eastAsia="Arial" w:hAnsi="Arial"/>
          <w:sz w:val="16"/>
          <w:szCs w:val="16"/>
          <w:color w:val="auto"/>
        </w:rPr>
      </w:pPr>
      <w:r>
        <w:rPr>
          <w:rFonts w:ascii="Arial" w:cs="Arial" w:eastAsia="Arial" w:hAnsi="Arial"/>
          <w:sz w:val="19"/>
          <w:szCs w:val="19"/>
          <w:u w:val="single" w:color="auto"/>
          <w:color w:val="auto"/>
        </w:rPr>
        <w:t>After Term</w:t>
      </w:r>
      <w:r>
        <w:rPr>
          <w:rFonts w:ascii="Arial" w:cs="Arial" w:eastAsia="Arial" w:hAnsi="Arial"/>
          <w:sz w:val="19"/>
          <w:szCs w:val="19"/>
          <w:color w:val="auto"/>
        </w:rPr>
        <w:t>. The parties acknowledge that Foley will acquire substantial knowledge and information concerning the business of the Company and its affiliates as a result of his services. The parties further acknowledge that the scope of business in which the Company and its affiliates are engaged as of the Effective Date is national and very competitive and one in which few companies can successfully compete. Competition by Foley in that business after the Term would severely injure the Company and its affiliates. Accordingly, for a period of one (1) year after Foley’s services terminates for any reason whatsoever, except as otherwise stated herein below, Foley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w:t>
      </w:r>
    </w:p>
    <w:p>
      <w:pPr>
        <w:spacing w:after="0" w:line="218" w:lineRule="exact"/>
        <w:rPr>
          <w:rFonts w:ascii="Arial" w:cs="Arial" w:eastAsia="Arial" w:hAnsi="Arial"/>
          <w:sz w:val="16"/>
          <w:szCs w:val="16"/>
          <w:color w:val="auto"/>
        </w:rPr>
      </w:pPr>
    </w:p>
    <w:p>
      <w:pPr>
        <w:jc w:val="both"/>
        <w:ind w:left="644" w:hanging="644"/>
        <w:spacing w:after="0" w:line="248" w:lineRule="auto"/>
        <w:tabs>
          <w:tab w:leader="none" w:pos="644" w:val="left"/>
        </w:tabs>
        <w:numPr>
          <w:ilvl w:val="0"/>
          <w:numId w:val="109"/>
        </w:numPr>
        <w:rPr>
          <w:rFonts w:ascii="Arial" w:cs="Arial" w:eastAsia="Arial" w:hAnsi="Arial"/>
          <w:sz w:val="18"/>
          <w:szCs w:val="18"/>
          <w:color w:val="auto"/>
        </w:rPr>
      </w:pPr>
      <w:r>
        <w:rPr>
          <w:rFonts w:ascii="Arial" w:cs="Arial" w:eastAsia="Arial" w:hAnsi="Arial"/>
          <w:sz w:val="22"/>
          <w:szCs w:val="22"/>
          <w:u w:val="single" w:color="auto"/>
          <w:color w:val="auto"/>
        </w:rPr>
        <w:t>Exclusion</w:t>
      </w:r>
      <w:r>
        <w:rPr>
          <w:rFonts w:ascii="Arial" w:cs="Arial" w:eastAsia="Arial" w:hAnsi="Arial"/>
          <w:sz w:val="22"/>
          <w:szCs w:val="22"/>
          <w:color w:val="auto"/>
        </w:rPr>
        <w:t>. Working, directly or indirectly, for any of the following entities shall not be considered competitive to the Company or its affiliates for the purpose of this Section 12: (i) Fidelity National Information Services, Inc., Black Knight, ServiceLink, or their respective affiliates or successors; or (ii) the Company, its affiliates or their successors.</w:t>
      </w:r>
    </w:p>
    <w:p>
      <w:pPr>
        <w:spacing w:after="0" w:line="233" w:lineRule="exact"/>
        <w:rPr>
          <w:sz w:val="20"/>
          <w:szCs w:val="20"/>
          <w:color w:val="auto"/>
        </w:rPr>
      </w:pPr>
    </w:p>
    <w:p>
      <w:pPr>
        <w:jc w:val="both"/>
        <w:ind w:left="-656" w:firstLine="656"/>
        <w:spacing w:after="0" w:line="260" w:lineRule="auto"/>
        <w:tabs>
          <w:tab w:leader="none" w:pos="865" w:val="left"/>
        </w:tabs>
        <w:numPr>
          <w:ilvl w:val="0"/>
          <w:numId w:val="110"/>
        </w:numPr>
        <w:rPr>
          <w:rFonts w:ascii="Arial" w:cs="Arial" w:eastAsia="Arial" w:hAnsi="Arial"/>
          <w:sz w:val="18"/>
          <w:szCs w:val="18"/>
          <w:color w:val="auto"/>
        </w:rPr>
      </w:pPr>
      <w:r>
        <w:rPr>
          <w:rFonts w:ascii="Arial" w:cs="Arial" w:eastAsia="Arial" w:hAnsi="Arial"/>
          <w:sz w:val="22"/>
          <w:szCs w:val="22"/>
          <w:u w:val="single" w:color="auto"/>
          <w:color w:val="auto"/>
        </w:rPr>
        <w:t>Return of Company Documents</w:t>
      </w:r>
      <w:r>
        <w:rPr>
          <w:rFonts w:ascii="Arial" w:cs="Arial" w:eastAsia="Arial" w:hAnsi="Arial"/>
          <w:sz w:val="22"/>
          <w:szCs w:val="22"/>
          <w:color w:val="auto"/>
        </w:rPr>
        <w:t>. Upon termination of the Term, Foley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217" w:lineRule="exact"/>
        <w:rPr>
          <w:rFonts w:ascii="Arial" w:cs="Arial" w:eastAsia="Arial" w:hAnsi="Arial"/>
          <w:sz w:val="18"/>
          <w:szCs w:val="18"/>
          <w:color w:val="auto"/>
        </w:rPr>
      </w:pPr>
    </w:p>
    <w:p>
      <w:pPr>
        <w:jc w:val="both"/>
        <w:ind w:left="-656" w:firstLine="656"/>
        <w:spacing w:after="0" w:line="297" w:lineRule="auto"/>
        <w:tabs>
          <w:tab w:leader="none" w:pos="865" w:val="left"/>
        </w:tabs>
        <w:numPr>
          <w:ilvl w:val="0"/>
          <w:numId w:val="110"/>
        </w:numPr>
        <w:rPr>
          <w:rFonts w:ascii="Arial" w:cs="Arial" w:eastAsia="Arial" w:hAnsi="Arial"/>
          <w:sz w:val="16"/>
          <w:szCs w:val="16"/>
          <w:color w:val="auto"/>
        </w:rPr>
      </w:pPr>
      <w:r>
        <w:rPr>
          <w:rFonts w:ascii="Arial" w:cs="Arial" w:eastAsia="Arial" w:hAnsi="Arial"/>
          <w:sz w:val="19"/>
          <w:szCs w:val="19"/>
          <w:u w:val="single" w:color="auto"/>
          <w:color w:val="auto"/>
        </w:rPr>
        <w:t>Improvements and Inventions</w:t>
      </w:r>
      <w:r>
        <w:rPr>
          <w:rFonts w:ascii="Arial" w:cs="Arial" w:eastAsia="Arial" w:hAnsi="Arial"/>
          <w:sz w:val="19"/>
          <w:szCs w:val="19"/>
          <w:color w:val="auto"/>
        </w:rPr>
        <w:t>. Any and all improvements or inventions that Foley may make or participate in during the Term, unless wholly unrelated to the business of the Company and its affiliates and not produced within the scope of Foley’s services hereunder, shall be the sole and exclusive property of the Company. Foley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187" w:lineRule="exact"/>
        <w:rPr>
          <w:rFonts w:ascii="Arial" w:cs="Arial" w:eastAsia="Arial" w:hAnsi="Arial"/>
          <w:sz w:val="16"/>
          <w:szCs w:val="16"/>
          <w:color w:val="auto"/>
        </w:rPr>
      </w:pPr>
    </w:p>
    <w:p>
      <w:pPr>
        <w:jc w:val="both"/>
        <w:ind w:left="-656" w:firstLine="656"/>
        <w:spacing w:after="0" w:line="291" w:lineRule="auto"/>
        <w:tabs>
          <w:tab w:leader="none" w:pos="865" w:val="left"/>
        </w:tabs>
        <w:numPr>
          <w:ilvl w:val="0"/>
          <w:numId w:val="110"/>
        </w:numPr>
        <w:rPr>
          <w:rFonts w:ascii="Arial" w:cs="Arial" w:eastAsia="Arial" w:hAnsi="Arial"/>
          <w:sz w:val="16"/>
          <w:szCs w:val="16"/>
          <w:color w:val="auto"/>
        </w:rPr>
      </w:pPr>
      <w:r>
        <w:rPr>
          <w:rFonts w:ascii="Arial" w:cs="Arial" w:eastAsia="Arial" w:hAnsi="Arial"/>
          <w:sz w:val="19"/>
          <w:szCs w:val="19"/>
          <w:u w:val="single" w:color="auto"/>
          <w:color w:val="auto"/>
        </w:rPr>
        <w:t>Actions</w:t>
      </w:r>
      <w:r>
        <w:rPr>
          <w:rFonts w:ascii="Arial" w:cs="Arial" w:eastAsia="Arial" w:hAnsi="Arial"/>
          <w:sz w:val="19"/>
          <w:szCs w:val="19"/>
          <w:color w:val="auto"/>
        </w:rPr>
        <w:t>. The parties agree and acknowledge that the rights conveyed by this Agreement are of a unique and special nature and that the Company will not have an adequate remedy at law in the event of a failure by Foley to abide by its terms and conditions, nor will money damages adequately compensate for such injury. Therefore, it is agreed between and hereby acknowledged by the parties that, in the event of a breach by Foley of any of the obligations of this Agreement, the Company shall have the right, among other rights, to damages sustained thereby and to obtain an injunction or decree of specific performance from any court of competent jurisdiction to restrain or compel Foley to perform as agreed herein. Foley hereby acknowledges that obligations under Sections and Subsections 11, 12(b), 13, 14, 15, 16 and 17 shall survive the termination of services and be binding by their terms at all times subsequent to the termination of services for the periods specified therein. Nothing herein shall in any way limit or exclude any other right granted by law or equity to the Company.</w:t>
      </w:r>
    </w:p>
    <w:p>
      <w:pPr>
        <w:spacing w:after="0" w:line="195" w:lineRule="exact"/>
        <w:rPr>
          <w:rFonts w:ascii="Arial" w:cs="Arial" w:eastAsia="Arial" w:hAnsi="Arial"/>
          <w:sz w:val="16"/>
          <w:szCs w:val="16"/>
          <w:color w:val="auto"/>
        </w:rPr>
      </w:pPr>
    </w:p>
    <w:p>
      <w:pPr>
        <w:jc w:val="both"/>
        <w:ind w:left="-656" w:firstLine="656"/>
        <w:spacing w:after="0" w:line="300" w:lineRule="auto"/>
        <w:tabs>
          <w:tab w:leader="none" w:pos="865" w:val="left"/>
        </w:tabs>
        <w:numPr>
          <w:ilvl w:val="0"/>
          <w:numId w:val="110"/>
        </w:numPr>
        <w:rPr>
          <w:rFonts w:ascii="Arial" w:cs="Arial" w:eastAsia="Arial" w:hAnsi="Arial"/>
          <w:sz w:val="16"/>
          <w:szCs w:val="16"/>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Notwithstanding any provision herein to the contrary, the Company may require that, prior to payment of any amount or provision of any benefit under Section 8 (other than due to Foley’s death), Foley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release relates only to Foley’s service relationship with the Company. With respect to any release required to receive payments owed pursuant to Section 8, the Company</w:t>
      </w:r>
    </w:p>
    <w:p>
      <w:pPr>
        <w:sectPr>
          <w:pgSz w:w="11900" w:h="16838" w:orient="portrait"/>
          <w:cols w:equalWidth="0" w:num="1">
            <w:col w:w="10764"/>
          </w:cols>
          <w:pgMar w:left="896" w:top="591" w:right="239" w:bottom="1440" w:gutter="0" w:footer="0" w:header="0"/>
        </w:sectPr>
      </w:pPr>
    </w:p>
    <w:bookmarkStart w:id="165" w:name="page166"/>
    <w:bookmarkEnd w:id="165"/>
    <w:p>
      <w:pPr>
        <w:jc w:val="both"/>
        <w:spacing w:after="0" w:line="253" w:lineRule="auto"/>
        <w:rPr>
          <w:sz w:val="20"/>
          <w:szCs w:val="20"/>
          <w:color w:val="auto"/>
        </w:rPr>
      </w:pPr>
      <w:r>
        <w:rPr>
          <w:rFonts w:ascii="Arial" w:cs="Arial" w:eastAsia="Arial" w:hAnsi="Arial"/>
          <w:sz w:val="22"/>
          <w:szCs w:val="22"/>
          <w:color w:val="auto"/>
        </w:rPr>
        <w:t>must provide Foley with the form of release no later than seven (7) days after the Date of Termination and the release must be signed by Foley and returned to the Company, unchanged, effective and irrevocable, no later than sixty (60) days after the Date of Termination.</w:t>
      </w:r>
    </w:p>
    <w:p>
      <w:pPr>
        <w:spacing w:after="0" w:line="226" w:lineRule="exact"/>
        <w:rPr>
          <w:sz w:val="20"/>
          <w:szCs w:val="20"/>
          <w:color w:val="auto"/>
        </w:rPr>
      </w:pPr>
    </w:p>
    <w:p>
      <w:pPr>
        <w:jc w:val="both"/>
        <w:ind w:firstLine="656"/>
        <w:spacing w:after="0" w:line="254" w:lineRule="auto"/>
        <w:tabs>
          <w:tab w:leader="none" w:pos="1521" w:val="left"/>
        </w:tabs>
        <w:numPr>
          <w:ilvl w:val="0"/>
          <w:numId w:val="111"/>
        </w:numPr>
        <w:rPr>
          <w:rFonts w:ascii="Arial" w:cs="Arial" w:eastAsia="Arial" w:hAnsi="Arial"/>
          <w:sz w:val="18"/>
          <w:szCs w:val="18"/>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The Company agrees that, if Foley’s services hereunder are terminated during the Term, Foley is not required to attempt in any way to reduce any amounts payable to Foley by the Company hereunder. Further, the amount of any payment or benefit provided for hereunder shall not be reduced by any compensation earned by Foley as the result of employment by another entity, by retirement benefits or otherwise.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521" w:val="left"/>
        </w:tabs>
        <w:numPr>
          <w:ilvl w:val="0"/>
          <w:numId w:val="111"/>
        </w:numPr>
        <w:rPr>
          <w:rFonts w:ascii="Arial" w:cs="Arial" w:eastAsia="Arial" w:hAnsi="Arial"/>
          <w:sz w:val="17"/>
          <w:szCs w:val="17"/>
          <w:color w:val="auto"/>
        </w:rPr>
      </w:pPr>
      <w:r>
        <w:rPr>
          <w:rFonts w:ascii="Arial" w:cs="Arial" w:eastAsia="Arial" w:hAnsi="Arial"/>
          <w:sz w:val="21"/>
          <w:szCs w:val="21"/>
          <w:u w:val="single" w:color="auto"/>
          <w:color w:val="auto"/>
        </w:rPr>
        <w:t>Entire Agreement; Prior Agreement and Amendment</w:t>
      </w:r>
      <w:r>
        <w:rPr>
          <w:rFonts w:ascii="Arial" w:cs="Arial" w:eastAsia="Arial" w:hAnsi="Arial"/>
          <w:sz w:val="21"/>
          <w:szCs w:val="21"/>
          <w:color w:val="auto"/>
        </w:rPr>
        <w:t>. This Agreement embodies the entire agreement and understanding of the parties hereto in respect of the subject matter of this Agreement, and supersedes and replaces all prior agreements, understandings and commitments with respect to such subject matter, including, without limitation, the Prior Agreement. Without limiting the foregoing, Foley and the Company hereby acknowledge and agree that, as of the Effective Date, the Prior Agreement shall be null and void and neither party shall have any rights or obligations thereunder. This Agreement may be amended only by a written document signed by both parties to this Agreement.</w:t>
      </w:r>
    </w:p>
    <w:p>
      <w:pPr>
        <w:spacing w:after="0" w:line="215" w:lineRule="exact"/>
        <w:rPr>
          <w:rFonts w:ascii="Arial" w:cs="Arial" w:eastAsia="Arial" w:hAnsi="Arial"/>
          <w:sz w:val="17"/>
          <w:szCs w:val="17"/>
          <w:color w:val="auto"/>
        </w:rPr>
      </w:pPr>
    </w:p>
    <w:p>
      <w:pPr>
        <w:jc w:val="both"/>
        <w:ind w:firstLine="656"/>
        <w:spacing w:after="0" w:line="254" w:lineRule="auto"/>
        <w:tabs>
          <w:tab w:leader="none" w:pos="1521" w:val="left"/>
        </w:tabs>
        <w:numPr>
          <w:ilvl w:val="0"/>
          <w:numId w:val="111"/>
        </w:numPr>
        <w:rPr>
          <w:rFonts w:ascii="Arial" w:cs="Arial" w:eastAsia="Arial" w:hAnsi="Arial"/>
          <w:sz w:val="18"/>
          <w:szCs w:val="18"/>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225" w:lineRule="exact"/>
        <w:rPr>
          <w:rFonts w:ascii="Arial" w:cs="Arial" w:eastAsia="Arial" w:hAnsi="Arial"/>
          <w:sz w:val="18"/>
          <w:szCs w:val="18"/>
          <w:color w:val="auto"/>
        </w:rPr>
      </w:pPr>
    </w:p>
    <w:p>
      <w:pPr>
        <w:jc w:val="both"/>
        <w:ind w:firstLine="656"/>
        <w:spacing w:after="0" w:line="260" w:lineRule="auto"/>
        <w:tabs>
          <w:tab w:leader="none" w:pos="1521" w:val="left"/>
        </w:tabs>
        <w:numPr>
          <w:ilvl w:val="0"/>
          <w:numId w:val="111"/>
        </w:numPr>
        <w:rPr>
          <w:rFonts w:ascii="Arial" w:cs="Arial" w:eastAsia="Arial" w:hAnsi="Arial"/>
          <w:sz w:val="17"/>
          <w:szCs w:val="17"/>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This Agreement may not be assigned by Foley.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Foley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220" w:lineRule="exact"/>
        <w:rPr>
          <w:rFonts w:ascii="Arial" w:cs="Arial" w:eastAsia="Arial" w:hAnsi="Arial"/>
          <w:sz w:val="17"/>
          <w:szCs w:val="17"/>
          <w:color w:val="auto"/>
        </w:rPr>
      </w:pPr>
    </w:p>
    <w:p>
      <w:pPr>
        <w:ind w:firstLine="656"/>
        <w:spacing w:after="0" w:line="276" w:lineRule="auto"/>
        <w:tabs>
          <w:tab w:leader="none" w:pos="1521" w:val="left"/>
        </w:tabs>
        <w:numPr>
          <w:ilvl w:val="0"/>
          <w:numId w:val="111"/>
        </w:numPr>
        <w:rPr>
          <w:rFonts w:ascii="Arial" w:cs="Arial" w:eastAsia="Arial" w:hAnsi="Arial"/>
          <w:sz w:val="18"/>
          <w:szCs w:val="18"/>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201" w:lineRule="exact"/>
        <w:rPr>
          <w:rFonts w:ascii="Arial" w:cs="Arial" w:eastAsia="Arial" w:hAnsi="Arial"/>
          <w:sz w:val="18"/>
          <w:szCs w:val="18"/>
          <w:color w:val="auto"/>
        </w:rPr>
      </w:pPr>
    </w:p>
    <w:p>
      <w:pPr>
        <w:jc w:val="both"/>
        <w:ind w:firstLine="656"/>
        <w:spacing w:after="0" w:line="260" w:lineRule="auto"/>
        <w:tabs>
          <w:tab w:leader="none" w:pos="1521" w:val="left"/>
        </w:tabs>
        <w:numPr>
          <w:ilvl w:val="0"/>
          <w:numId w:val="111"/>
        </w:numPr>
        <w:rPr>
          <w:rFonts w:ascii="Arial" w:cs="Arial" w:eastAsia="Arial" w:hAnsi="Arial"/>
          <w:sz w:val="17"/>
          <w:szCs w:val="17"/>
          <w:color w:val="auto"/>
        </w:rPr>
      </w:pPr>
      <w:r>
        <w:rPr>
          <w:rFonts w:ascii="Arial" w:cs="Arial" w:eastAsia="Arial" w:hAnsi="Arial"/>
          <w:sz w:val="21"/>
          <w:szCs w:val="21"/>
          <w:u w:val="single" w:color="auto"/>
          <w:color w:val="auto"/>
        </w:rPr>
        <w:t>Attorneys’ Fees</w:t>
      </w:r>
      <w:r>
        <w:rPr>
          <w:rFonts w:ascii="Arial" w:cs="Arial" w:eastAsia="Arial" w:hAnsi="Arial"/>
          <w:sz w:val="21"/>
          <w:szCs w:val="21"/>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Foley’s tax year following Foley’s tax year in which the payment amount becomes known and payable;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 or after a Change in Control, and following Foley’s termination of services with the Company, if any party finds it necessary to employ legal counsel or to bring an action at law or other proceedings against the other party to interpret or enforce any of the terms hereof, the Company shall pay (on an ongoing basis) to Foley to the fullest extent permitted by law, all legal fees, court costs and litigation expenses reasonably incurred by Foley or others on his behalf (such amounts collectively referred to as the “Reimbursed Amounts”); provided, further, that</w:t>
      </w:r>
    </w:p>
    <w:p>
      <w:pPr>
        <w:sectPr>
          <w:pgSz w:w="11900" w:h="16838" w:orient="portrait"/>
          <w:cols w:equalWidth="0" w:num="1">
            <w:col w:w="11420"/>
          </w:cols>
          <w:pgMar w:left="240" w:top="591" w:right="239" w:bottom="1440" w:gutter="0" w:footer="0" w:header="0"/>
        </w:sectPr>
      </w:pPr>
    </w:p>
    <w:bookmarkStart w:id="166" w:name="page167"/>
    <w:bookmarkEnd w:id="166"/>
    <w:p>
      <w:pPr>
        <w:jc w:val="both"/>
        <w:spacing w:after="0" w:line="260" w:lineRule="auto"/>
        <w:rPr>
          <w:sz w:val="20"/>
          <w:szCs w:val="20"/>
          <w:color w:val="auto"/>
        </w:rPr>
      </w:pPr>
      <w:r>
        <w:rPr>
          <w:rFonts w:ascii="Arial" w:cs="Arial" w:eastAsia="Arial" w:hAnsi="Arial"/>
          <w:sz w:val="21"/>
          <w:szCs w:val="21"/>
          <w:color w:val="auto"/>
        </w:rPr>
        <w:t>Foley shall reimburse the Company for the Reimbursed Amounts if it is determined that a majority of Foley’s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Foley. The payment of Reimbursed Amounts during Foley’s tax year will not impact the Reimbursed Amounts for any other taxable year. The rights under this Section 22 shall survive the termination of services and this Agreement until the expiration of the applicable statute of limitations.</w:t>
      </w:r>
    </w:p>
    <w:p>
      <w:pPr>
        <w:spacing w:after="0" w:line="222" w:lineRule="exact"/>
        <w:rPr>
          <w:sz w:val="20"/>
          <w:szCs w:val="20"/>
          <w:color w:val="auto"/>
        </w:rPr>
      </w:pPr>
    </w:p>
    <w:p>
      <w:pPr>
        <w:jc w:val="both"/>
        <w:ind w:firstLine="656"/>
        <w:spacing w:after="0" w:line="260" w:lineRule="auto"/>
        <w:tabs>
          <w:tab w:leader="none" w:pos="1521" w:val="left"/>
        </w:tabs>
        <w:numPr>
          <w:ilvl w:val="0"/>
          <w:numId w:val="112"/>
        </w:numPr>
        <w:rPr>
          <w:rFonts w:ascii="Arial" w:cs="Arial" w:eastAsia="Arial" w:hAnsi="Arial"/>
          <w:sz w:val="17"/>
          <w:szCs w:val="17"/>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Foley in this Agreement shall each be construed as an agreement independent of any other provision in this Agreement, and the existence of any claim or cause of action of Foley against the Company, whether predicated on this Agreement or otherwise, shall not constitute a defense to the enforcement by the Company of the covenants in this Agreement.</w:t>
      </w:r>
    </w:p>
    <w:p>
      <w:pPr>
        <w:spacing w:after="0" w:line="225" w:lineRule="exact"/>
        <w:rPr>
          <w:rFonts w:ascii="Arial" w:cs="Arial" w:eastAsia="Arial" w:hAnsi="Arial"/>
          <w:sz w:val="17"/>
          <w:szCs w:val="17"/>
          <w:color w:val="auto"/>
        </w:rPr>
      </w:pPr>
    </w:p>
    <w:p>
      <w:pPr>
        <w:jc w:val="both"/>
        <w:ind w:firstLine="656"/>
        <w:spacing w:after="0" w:line="253" w:lineRule="auto"/>
        <w:tabs>
          <w:tab w:leader="none" w:pos="1521" w:val="left"/>
        </w:tabs>
        <w:numPr>
          <w:ilvl w:val="0"/>
          <w:numId w:val="112"/>
        </w:numPr>
        <w:rPr>
          <w:rFonts w:ascii="Arial" w:cs="Arial" w:eastAsia="Arial" w:hAnsi="Arial"/>
          <w:sz w:val="18"/>
          <w:szCs w:val="18"/>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To the Company: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Fidelity National Financial,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Jacksonville, FL 32204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Foley: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William P. Foley, II</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601 Riverside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Jacksonville, FL 32204</w:t>
      </w:r>
    </w:p>
    <w:p>
      <w:pPr>
        <w:spacing w:after="0" w:line="202" w:lineRule="exact"/>
        <w:rPr>
          <w:sz w:val="20"/>
          <w:szCs w:val="20"/>
          <w:color w:val="auto"/>
        </w:rPr>
      </w:pPr>
    </w:p>
    <w:p>
      <w:pPr>
        <w:ind w:firstLine="656"/>
        <w:spacing w:after="0" w:line="276" w:lineRule="auto"/>
        <w:tabs>
          <w:tab w:leader="none" w:pos="1521" w:val="left"/>
        </w:tabs>
        <w:numPr>
          <w:ilvl w:val="0"/>
          <w:numId w:val="113"/>
        </w:numPr>
        <w:rPr>
          <w:rFonts w:ascii="Arial" w:cs="Arial" w:eastAsia="Arial" w:hAnsi="Arial"/>
          <w:sz w:val="18"/>
          <w:szCs w:val="18"/>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any party of any provisions of this Agreement shall not operate or be construed as a waiver of any prior or subsequent breach by the other party.</w:t>
      </w:r>
    </w:p>
    <w:p>
      <w:pPr>
        <w:spacing w:after="0" w:line="201" w:lineRule="exact"/>
        <w:rPr>
          <w:rFonts w:ascii="Arial" w:cs="Arial" w:eastAsia="Arial" w:hAnsi="Arial"/>
          <w:sz w:val="18"/>
          <w:szCs w:val="18"/>
          <w:color w:val="auto"/>
        </w:rPr>
      </w:pPr>
    </w:p>
    <w:p>
      <w:pPr>
        <w:ind w:firstLine="656"/>
        <w:spacing w:after="0" w:line="301" w:lineRule="auto"/>
        <w:tabs>
          <w:tab w:leader="none" w:pos="1521" w:val="left"/>
        </w:tabs>
        <w:numPr>
          <w:ilvl w:val="0"/>
          <w:numId w:val="113"/>
        </w:numPr>
        <w:rPr>
          <w:rFonts w:ascii="Arial" w:cs="Arial" w:eastAsia="Arial" w:hAnsi="Arial"/>
          <w:sz w:val="17"/>
          <w:szCs w:val="17"/>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The Company or an affiliate may deduct from all compensation and benefits payable under this Agreement any taxes or withholdings the Company is required to deduct pursuant to state, federal or local laws.</w:t>
      </w:r>
    </w:p>
    <w:p>
      <w:pPr>
        <w:sectPr>
          <w:pgSz w:w="11900" w:h="16838" w:orient="portrait"/>
          <w:cols w:equalWidth="0" w:num="1">
            <w:col w:w="11420"/>
          </w:cols>
          <w:pgMar w:left="240" w:top="591" w:right="239" w:bottom="1440" w:gutter="0" w:footer="0" w:header="0"/>
        </w:sectPr>
      </w:pPr>
    </w:p>
    <w:bookmarkStart w:id="167" w:name="page168"/>
    <w:bookmarkEnd w:id="167"/>
    <w:p>
      <w:pPr>
        <w:jc w:val="both"/>
        <w:ind w:firstLine="656"/>
        <w:spacing w:after="0" w:line="284" w:lineRule="auto"/>
        <w:tabs>
          <w:tab w:leader="none" w:pos="109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Each payment under this Agreement shall be treated as a separate payment for purposes of Code Section 409A. In no event may Foley, directly or indirectly, designate the calendar year of any payment to be made under this Agreement. All reimbursements and in-kind benefits provided under this Agreement shall be made or provided in accordance with the requirements of Code Section 409A, including, without limitation, that (i) in no event shall reimbursements by the Company under this Agreement be made later than the end of the calendar year next following the calendar year in which the applicable fees and expenses were incurred; (ii) the amount of in-kind benefits that the Company is obligated to pay or provide in any given calendar year shall not affect the in-kind benefits that the Company is obligated to pay or provide in any other calendar year; (iii) Foley’s right to have the Company pay or provide such reimbursements and in-kind benefits may not be liquidated or exchanged for any other benefit; and (iv) in no event shall the Company’s obligations to make such reimbursements or to provide such in-kind benefits apply later than Foley’s remaining lifetime. Notwithstanding anything contained herein to the contrary, with respect to any amounts that may be provided pursuant to this Agreement that constitute deferred compensation (within the meaning of Treasury Regulation Section 1.409A-1(b)), (x) in no event shall the Date of Termination occur until Foley experiences a “separation of service” within the meaning of Code Section 409A, and the date on which such separation from service takes place shall be the “Date of Termination,” and all references herein to a “termination of services” (or words of similar meaning) shall mean a “separation of service” within the meaning of Code Section 409A and (y) to the extent the payment of any amount pursuant to Section 8 of this Agreement constitutes deferred compensation (within the meaning of Treasury Regulation Section 1.409A-1(b)) and such amount is payable within a number of days that begins in one calendar year and ends in a subsequent calendar year, such amount shall be paid in the subsequent calendar year. Foley acknowledges that he has been advised to consult with an attorney and any other advisors of Foley’s choice prior to executing this Agreement, and Foley further acknowledges that, in entering into this Agreement, he has not relied upon any representation or statement made by any agent or representative of Company or its affiliates that is not expressly set forth in this Agreement, including, without limitation, any representation with respect to the consequences or characterization (including for purpose of tax withholding and reporting) of the payment of any compensation or benefits hereunder under Section 409A of the Code and any similar sections of state tax law.</w:t>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executed this Agreement to be effective as of the date first set forth above.</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FIDELITY NATIONAL FINANCIAL, INC.</w:t>
      </w:r>
    </w:p>
    <w:p>
      <w:pPr>
        <w:spacing w:after="0" w:line="200" w:lineRule="exact"/>
        <w:rPr>
          <w:sz w:val="20"/>
          <w:szCs w:val="20"/>
          <w:color w:val="auto"/>
        </w:rPr>
      </w:pPr>
    </w:p>
    <w:p>
      <w:pPr>
        <w:spacing w:after="0" w:line="222"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6" w:lineRule="exact"/>
        <w:rPr>
          <w:sz w:val="20"/>
          <w:szCs w:val="20"/>
          <w:color w:val="auto"/>
        </w:rPr>
      </w:pPr>
    </w:p>
    <w:p>
      <w:pPr>
        <w:ind w:left="5740"/>
        <w:spacing w:after="0"/>
        <w:tabs>
          <w:tab w:leader="none" w:pos="6200" w:val="left"/>
          <w:tab w:leader="none" w:pos="7240" w:val="left"/>
          <w:tab w:leader="none" w:pos="7840" w:val="left"/>
          <w:tab w:leader="none" w:pos="8880" w:val="left"/>
          <w:tab w:leader="none" w:pos="9760" w:val="left"/>
          <w:tab w:leader="none" w:pos="10660" w:val="left"/>
        </w:tabs>
        <w:rPr>
          <w:sz w:val="20"/>
          <w:szCs w:val="20"/>
          <w:color w:val="auto"/>
        </w:rPr>
      </w:pPr>
      <w:r>
        <w:rPr>
          <w:rFonts w:ascii="Arial" w:cs="Arial" w:eastAsia="Arial" w:hAnsi="Arial"/>
          <w:sz w:val="22"/>
          <w:szCs w:val="22"/>
          <w:color w:val="auto"/>
        </w:rPr>
        <w:t>Its:</w:t>
        <w:tab/>
        <w:t>Executive</w:t>
        <w:tab/>
        <w:t>Vice</w:t>
        <w:tab/>
        <w:t>President,</w:t>
        <w:tab/>
        <w:t>General</w:t>
        <w:tab/>
        <w:t>Counsel</w:t>
      </w:r>
      <w:r>
        <w:rPr>
          <w:sz w:val="20"/>
          <w:szCs w:val="20"/>
          <w:color w:val="auto"/>
        </w:rPr>
        <w:tab/>
      </w:r>
      <w:r>
        <w:rPr>
          <w:rFonts w:ascii="Arial" w:cs="Arial" w:eastAsia="Arial" w:hAnsi="Arial"/>
          <w:sz w:val="19"/>
          <w:szCs w:val="19"/>
          <w:color w:val="auto"/>
        </w:rPr>
        <w:t>and</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9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P. FOLEY, II</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168" w:name="page169"/>
    <w:bookmarkEnd w:id="168"/>
    <w:p>
      <w:pPr>
        <w:ind w:left="5060"/>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Position Title: Chairman of the Board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DUTIES AND RESPONSIBILITIES: Reporting to the Board, Foley’s duties and responsibilities include:</w:t>
      </w:r>
    </w:p>
    <w:p>
      <w:pPr>
        <w:spacing w:after="0" w:line="220" w:lineRule="exact"/>
        <w:rPr>
          <w:sz w:val="20"/>
          <w:szCs w:val="20"/>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member of the Board as Chairman;</w:t>
      </w:r>
    </w:p>
    <w:p>
      <w:pPr>
        <w:spacing w:after="0" w:line="21" w:lineRule="exact"/>
        <w:rPr>
          <w:rFonts w:ascii="Arial" w:cs="Arial" w:eastAsia="Arial" w:hAnsi="Arial"/>
          <w:sz w:val="18"/>
          <w:szCs w:val="18"/>
          <w:color w:val="auto"/>
        </w:rPr>
      </w:pPr>
    </w:p>
    <w:p>
      <w:pPr>
        <w:ind w:left="1300" w:right="480" w:hanging="644"/>
        <w:spacing w:after="0" w:line="281" w:lineRule="auto"/>
        <w:tabs>
          <w:tab w:leader="none" w:pos="1300" w:val="left"/>
        </w:tabs>
        <w:numPr>
          <w:ilvl w:val="0"/>
          <w:numId w:val="115"/>
        </w:numPr>
        <w:rPr>
          <w:rFonts w:ascii="Arial" w:cs="Arial" w:eastAsia="Arial" w:hAnsi="Arial"/>
          <w:sz w:val="16"/>
          <w:szCs w:val="16"/>
          <w:color w:val="auto"/>
        </w:rPr>
      </w:pPr>
      <w:r>
        <w:rPr>
          <w:rFonts w:ascii="Arial" w:cs="Arial" w:eastAsia="Arial" w:hAnsi="Arial"/>
          <w:sz w:val="19"/>
          <w:szCs w:val="19"/>
          <w:color w:val="auto"/>
        </w:rPr>
        <w:t>monitoring and approving the Company’s strategic and financial plans and initiatives, budget and long-range planning, strategies, objectives and initiatives, including mergers, acquisitions and business development;</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presiding over meetings of the Board and the shareholders as Chairman of the Board;</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planning the contents and agenda of such meetings with the assistance of applicable management;</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monitoring and approving the Company’s communications with its shareholders; and</w:t>
      </w:r>
    </w:p>
    <w:p>
      <w:pPr>
        <w:spacing w:after="0" w:line="3"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22"/>
          <w:szCs w:val="22"/>
          <w:color w:val="auto"/>
        </w:rPr>
        <w:t>participating in earnings call, and, as appropriate, in customer relations and public relations.</w:t>
      </w:r>
    </w:p>
    <w:p>
      <w:pPr>
        <w:spacing w:after="0" w:line="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For purposes of clarity, during the Term of the Agreement, Foley will not serve in an executive officer capacity, and will not have the authorities or duties of an executive officer. Specifically, and without limiting the generality of the foregoing, although Foley will continue to have a role (as Chairman of the Board) in monitoring and approving the Company’s strategic and financial plans and initiatives, budget, long-range planning, strategies, objectives and initiatives (including mergers, acquisitions and business development), and corporate policy generally, Foley will neither make nor implement (or serve as a member of any CEO or executive officer-appointed committee or group whose purpose is to evaluate, discuss, make or implement) such policies, plans, objectives or initiatives, nor will Foley have the authority to do so (instead, such authority and duties shall be reserved for and exercised by the CEOs and executive officers of the Company).</w:t>
      </w:r>
    </w:p>
    <w:p>
      <w:pPr>
        <w:sectPr>
          <w:pgSz w:w="11900" w:h="16838" w:orient="portrait"/>
          <w:cols w:equalWidth="0" w:num="1">
            <w:col w:w="11200"/>
          </w:cols>
          <w:pgMar w:left="240" w:top="801" w:right="45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Knight Financial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You (the “Grantee”) have been granted the following award of restricted Shares of Class A common stock (the “Restricted Stock”), par value $0.0001 per share (the “Shares”), by Black Knight Financial Services, Inc. (the “Company”), pursuant to the Black Knight Financial Services, Inc. 2015 Omnibus Incentive Plan (the “Plan”) and the terms set forth in the attached Restricted Stock Award Agreement:</w:t>
      </w:r>
    </w:p>
    <w:p>
      <w:pPr>
        <w:spacing w:after="0" w:line="295"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February 3, 2016</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Award Agreement, with respect to one-third of the shares on each anniversary of</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Effective Date of Grant and satisfaction of the Performance Restriction as set</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forth on Exhibit A of the Restricted Stock Award Agreement, attached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ectPr>
          <w:pgSz w:w="11900" w:h="16838" w:orient="portrait"/>
          <w:cols w:equalWidth="0" w:num="1">
            <w:col w:w="11420"/>
          </w:cols>
          <w:pgMar w:left="240" w:top="580"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Black Knight Financial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Time-Based Restriction and Performance Restriction)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right="20" w:firstLine="8"/>
        <w:spacing w:after="0" w:line="313" w:lineRule="auto"/>
        <w:tabs>
          <w:tab w:leader="none" w:pos="893"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(the “Notice”) and this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“Agreement”), the Company grants to the Grantee on the Effective Date of Grant the Shares of Restricted Stock (the “Restricted Stock”) set forth in the Notice.</w:t>
      </w:r>
    </w:p>
    <w:p>
      <w:pPr>
        <w:spacing w:after="0" w:line="176" w:lineRule="exact"/>
        <w:rPr>
          <w:rFonts w:ascii="Arial" w:cs="Arial" w:eastAsia="Arial" w:hAnsi="Arial"/>
          <w:sz w:val="18"/>
          <w:szCs w:val="18"/>
          <w:color w:val="auto"/>
        </w:rPr>
      </w:pPr>
    </w:p>
    <w:p>
      <w:pPr>
        <w:jc w:val="both"/>
        <w:ind w:firstLine="8"/>
        <w:spacing w:after="0" w:line="356" w:lineRule="auto"/>
        <w:tabs>
          <w:tab w:leader="none" w:pos="903"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Plan and Defined Terms</w:t>
      </w:r>
      <w:r>
        <w:rPr>
          <w:rFonts w:ascii="Arial" w:cs="Arial" w:eastAsia="Arial" w:hAnsi="Arial"/>
          <w:sz w:val="16"/>
          <w:szCs w:val="16"/>
          <w:color w:val="auto"/>
        </w:rPr>
        <w:t>. The Restricted Stock is granted pursuant to the Black Knight Financial Services, Inc. 2015 Omnibus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All terms, provisions, and conditions 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or this Agreement and not otherwise defined therein or herein shall have the meanings ascribed to them in the Plan.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right="20" w:firstLine="8"/>
        <w:spacing w:after="0" w:line="329" w:lineRule="auto"/>
        <w:tabs>
          <w:tab w:leader="none" w:pos="933"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65"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firstLine="656"/>
        <w:spacing w:after="0" w:line="354" w:lineRule="auto"/>
        <w:tabs>
          <w:tab w:leader="none" w:pos="156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56" w:lineRule="exact"/>
        <w:rPr>
          <w:rFonts w:ascii="Arial" w:cs="Arial" w:eastAsia="Arial" w:hAnsi="Arial"/>
          <w:sz w:val="16"/>
          <w:szCs w:val="16"/>
          <w:color w:val="auto"/>
        </w:rPr>
      </w:pPr>
    </w:p>
    <w:p>
      <w:pPr>
        <w:ind w:firstLine="656"/>
        <w:spacing w:after="0" w:line="324" w:lineRule="auto"/>
        <w:tabs>
          <w:tab w:leader="none" w:pos="155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66" w:lineRule="exact"/>
        <w:rPr>
          <w:rFonts w:ascii="Arial" w:cs="Arial" w:eastAsia="Arial" w:hAnsi="Arial"/>
          <w:sz w:val="18"/>
          <w:szCs w:val="18"/>
          <w:color w:val="auto"/>
        </w:rPr>
      </w:pPr>
    </w:p>
    <w:p>
      <w:pPr>
        <w:ind w:firstLine="8"/>
        <w:spacing w:after="0" w:line="329" w:lineRule="auto"/>
        <w:tabs>
          <w:tab w:leader="none" w:pos="916"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spacing w:after="0" w:line="161" w:lineRule="exact"/>
        <w:rPr>
          <w:rFonts w:ascii="Arial" w:cs="Arial" w:eastAsia="Arial" w:hAnsi="Arial"/>
          <w:sz w:val="18"/>
          <w:szCs w:val="18"/>
          <w:color w:val="auto"/>
        </w:rPr>
      </w:pPr>
    </w:p>
    <w:p>
      <w:pPr>
        <w:jc w:val="both"/>
        <w:ind w:firstLine="8"/>
        <w:spacing w:after="0" w:line="313" w:lineRule="auto"/>
        <w:tabs>
          <w:tab w:leader="none" w:pos="893"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Holding Period</w:t>
      </w:r>
      <w:r>
        <w:rPr>
          <w:rFonts w:ascii="Arial" w:cs="Arial" w:eastAsia="Arial" w:hAnsi="Arial"/>
          <w:sz w:val="18"/>
          <w:szCs w:val="18"/>
          <w:color w:val="auto"/>
        </w:rPr>
        <w:t>. If and when (i) the Grantee is an Officer (as defined in Rule 16a-1(f) of the Exchange Act) or holds the title of President of Data</w:t>
      </w:r>
      <w:r>
        <w:rPr>
          <w:rFonts w:ascii="Arial" w:cs="Arial" w:eastAsia="Arial" w:hAnsi="Arial"/>
          <w:sz w:val="18"/>
          <w:szCs w:val="18"/>
          <w:b w:val="1"/>
          <w:bCs w:val="1"/>
          <w:color w:val="auto"/>
        </w:rPr>
        <w:t xml:space="preserve"> </w:t>
      </w:r>
      <w:r>
        <w:rPr>
          <w:rFonts w:ascii="Arial" w:cs="Arial" w:eastAsia="Arial" w:hAnsi="Arial"/>
          <w:sz w:val="18"/>
          <w:szCs w:val="18"/>
          <w:color w:val="auto"/>
        </w:rPr>
        <w:t>and Analytics, President of Loan Technology, President of Servicing Technology or President of RealEC Technologies, and (ii) Grantee does not hold Shares with a value sufficient to satisfy the applicable stock ownership</w:t>
      </w:r>
    </w:p>
    <w:p>
      <w:pPr>
        <w:sectPr>
          <w:pgSz w:w="11900" w:h="16838" w:orient="portrait"/>
          <w:cols w:equalWidth="0" w:num="1">
            <w:col w:w="11420"/>
          </w:cols>
          <w:pgMar w:left="240" w:top="797" w:right="239" w:bottom="1440" w:gutter="0" w:footer="0" w:header="0"/>
        </w:sectPr>
      </w:pPr>
    </w:p>
    <w:bookmarkStart w:id="171" w:name="page172"/>
    <w:bookmarkEnd w:id="171"/>
    <w:p>
      <w:pPr>
        <w:jc w:val="both"/>
        <w:spacing w:after="0" w:line="301" w:lineRule="auto"/>
        <w:rPr>
          <w:sz w:val="20"/>
          <w:szCs w:val="20"/>
          <w:color w:val="auto"/>
        </w:rPr>
      </w:pPr>
      <w:r>
        <w:rPr>
          <w:rFonts w:ascii="Arial" w:cs="Arial" w:eastAsia="Arial" w:hAnsi="Arial"/>
          <w:sz w:val="18"/>
          <w:szCs w:val="18"/>
          <w:color w:val="auto"/>
        </w:rPr>
        <w:t>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88" w:lineRule="exact"/>
        <w:rPr>
          <w:sz w:val="20"/>
          <w:szCs w:val="20"/>
          <w:color w:val="auto"/>
        </w:rPr>
      </w:pPr>
    </w:p>
    <w:p>
      <w:pPr>
        <w:jc w:val="both"/>
        <w:ind w:firstLine="8"/>
        <w:spacing w:after="0" w:line="303" w:lineRule="auto"/>
        <w:tabs>
          <w:tab w:leader="none" w:pos="916"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and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rFonts w:ascii="Arial" w:cs="Arial" w:eastAsia="Arial" w:hAnsi="Arial"/>
          <w:sz w:val="16"/>
          <w:szCs w:val="16"/>
          <w:color w:val="auto"/>
        </w:rPr>
      </w:pPr>
    </w:p>
    <w:p>
      <w:pPr>
        <w:ind w:left="920" w:hanging="912"/>
        <w:spacing w:after="0"/>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265" w:lineRule="exact"/>
        <w:rPr>
          <w:rFonts w:ascii="Arial" w:cs="Arial" w:eastAsia="Arial" w:hAnsi="Arial"/>
          <w:sz w:val="18"/>
          <w:szCs w:val="18"/>
          <w:color w:val="auto"/>
        </w:rPr>
      </w:pPr>
    </w:p>
    <w:p>
      <w:pPr>
        <w:ind w:firstLine="8"/>
        <w:spacing w:after="0" w:line="324" w:lineRule="auto"/>
        <w:tabs>
          <w:tab w:leader="none" w:pos="8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23" w:lineRule="auto"/>
        <w:tabs>
          <w:tab w:leader="none" w:pos="893"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 Pursuant to Article 20 of the Plan, the Committee shall have the power and right to deduct or withhold, or require the Grantee</w:t>
      </w:r>
      <w:r>
        <w:rPr>
          <w:rFonts w:ascii="Arial" w:cs="Arial" w:eastAsia="Arial" w:hAnsi="Arial"/>
          <w:sz w:val="17"/>
          <w:szCs w:val="17"/>
          <w:b w:val="1"/>
          <w:bCs w:val="1"/>
          <w:color w:val="auto"/>
        </w:rPr>
        <w:t xml:space="preserve"> </w:t>
      </w:r>
      <w:r>
        <w:rPr>
          <w:rFonts w:ascii="Arial" w:cs="Arial" w:eastAsia="Arial" w:hAnsi="Arial"/>
          <w:sz w:val="17"/>
          <w:szCs w:val="17"/>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w:t>
      </w:r>
    </w:p>
    <w:p>
      <w:pPr>
        <w:sectPr>
          <w:pgSz w:w="11900" w:h="16838" w:orient="portrait"/>
          <w:cols w:equalWidth="0" w:num="1">
            <w:col w:w="11420"/>
          </w:cols>
          <w:pgMar w:left="240" w:top="611" w:right="239" w:bottom="1440" w:gutter="0" w:footer="0" w:header="0"/>
        </w:sectPr>
      </w:pPr>
    </w:p>
    <w:bookmarkStart w:id="172" w:name="page173"/>
    <w:bookmarkEnd w:id="172"/>
    <w:p>
      <w:pPr>
        <w:spacing w:after="0" w:line="324" w:lineRule="auto"/>
        <w:rPr>
          <w:sz w:val="20"/>
          <w:szCs w:val="20"/>
          <w:color w:val="auto"/>
        </w:rPr>
      </w:pPr>
      <w:r>
        <w:rPr>
          <w:rFonts w:ascii="Arial" w:cs="Arial" w:eastAsia="Arial" w:hAnsi="Arial"/>
          <w:sz w:val="18"/>
          <w:szCs w:val="18"/>
          <w:color w:val="auto"/>
        </w:rPr>
        <w:t>Such election shall be irrevocable, made in writing, signed by the Grantee, and shall be subject to any restrictions or limitations that the Committee, in its sole discretion, deems appropriate.</w:t>
      </w:r>
    </w:p>
    <w:p>
      <w:pPr>
        <w:spacing w:after="0" w:line="166" w:lineRule="exact"/>
        <w:rPr>
          <w:sz w:val="20"/>
          <w:szCs w:val="20"/>
          <w:color w:val="auto"/>
        </w:rPr>
      </w:pPr>
    </w:p>
    <w:p>
      <w:pPr>
        <w:jc w:val="both"/>
        <w:ind w:firstLine="8"/>
        <w:spacing w:after="0" w:line="313" w:lineRule="auto"/>
        <w:tabs>
          <w:tab w:leader="none" w:pos="90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by the Company, the Board or the Committee.</w:t>
      </w:r>
    </w:p>
    <w:p>
      <w:pPr>
        <w:spacing w:after="0" w:line="176" w:lineRule="exact"/>
        <w:rPr>
          <w:rFonts w:ascii="Arial" w:cs="Arial" w:eastAsia="Arial" w:hAnsi="Arial"/>
          <w:sz w:val="18"/>
          <w:szCs w:val="18"/>
          <w:color w:val="auto"/>
        </w:rPr>
      </w:pPr>
    </w:p>
    <w:p>
      <w:pPr>
        <w:jc w:val="both"/>
        <w:ind w:firstLine="8"/>
        <w:spacing w:after="0" w:line="338" w:lineRule="auto"/>
        <w:tabs>
          <w:tab w:leader="none" w:pos="906"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0" w:lineRule="exact"/>
        <w:rPr>
          <w:rFonts w:ascii="Arial" w:cs="Arial" w:eastAsia="Arial" w:hAnsi="Arial"/>
          <w:sz w:val="17"/>
          <w:szCs w:val="17"/>
          <w:color w:val="auto"/>
        </w:rPr>
      </w:pPr>
    </w:p>
    <w:p>
      <w:pPr>
        <w:jc w:val="both"/>
        <w:ind w:firstLine="8"/>
        <w:spacing w:after="0" w:line="313" w:lineRule="auto"/>
        <w:tabs>
          <w:tab w:leader="none" w:pos="90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shall be governed by, and construed in accordance with, the laws of Florida,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conflicts of law or choice of law rule or principle that might otherwise cause the Plan, this Agreement or the Notice to be governed by or construed in accordance with the substantive law of another jurisdiction.</w:t>
      </w:r>
    </w:p>
    <w:p>
      <w:pPr>
        <w:spacing w:after="0" w:line="176" w:lineRule="exact"/>
        <w:rPr>
          <w:rFonts w:ascii="Arial" w:cs="Arial" w:eastAsia="Arial" w:hAnsi="Arial"/>
          <w:sz w:val="18"/>
          <w:szCs w:val="18"/>
          <w:color w:val="auto"/>
        </w:rPr>
      </w:pPr>
    </w:p>
    <w:p>
      <w:pPr>
        <w:jc w:val="both"/>
        <w:ind w:firstLine="8"/>
        <w:spacing w:after="0" w:line="326" w:lineRule="auto"/>
        <w:tabs>
          <w:tab w:leader="none" w:pos="893"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Subject to, and in accordance with the provisions of Article 3 of the Plan, any dispute or claim arising out of or relating 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the Notice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provided that all substantive questions of law shall be determined in accordance with the state and federal laws applicable in Florida, without regard to internal principles relating to conflict of laws.</w:t>
      </w:r>
    </w:p>
    <w:p>
      <w:pPr>
        <w:spacing w:after="0" w:line="171" w:lineRule="exact"/>
        <w:rPr>
          <w:rFonts w:ascii="Arial" w:cs="Arial" w:eastAsia="Arial" w:hAnsi="Arial"/>
          <w:sz w:val="17"/>
          <w:szCs w:val="17"/>
          <w:color w:val="auto"/>
        </w:rPr>
      </w:pPr>
    </w:p>
    <w:p>
      <w:pPr>
        <w:ind w:firstLine="8"/>
        <w:spacing w:after="0" w:line="329" w:lineRule="auto"/>
        <w:tabs>
          <w:tab w:leader="none" w:pos="873"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color w:val="auto"/>
        </w:rPr>
      </w:pPr>
    </w:p>
    <w:p>
      <w:pPr>
        <w:jc w:val="both"/>
        <w:ind w:firstLine="8"/>
        <w:spacing w:after="0" w:line="313" w:lineRule="auto"/>
        <w:tabs>
          <w:tab w:leader="none" w:pos="916"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left="920" w:hanging="912"/>
        <w:spacing w:after="0"/>
        <w:tabs>
          <w:tab w:leader="none" w:pos="92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for the Restricted Stock to vest, the Compensation Committee of the Board of Directors of the Company (the “Committee”) must determine that the Company has achieved Adjusted EBITDA of $413 million (the “Performance Restriction”) for the period of January 1, 2016 to December 31, 2016 (the “Measurement Period”). Adjusted EBITDA shall be defined as operating income before depreciation and amortization, with further adjustments to reflect the addition or elimination of certain income statement items including, but not limited to, (i) the deferred revenue purchase accounting adjustment recorded in accordance with GAAP; (ii) equity-based compensation; (iii) acquisition or IPO-related costs; (iv) non-recurring costs associated with the achievement of synergies; (v) charges associated with material legal matters; (vi) member management fees paid to FNF and THL; (vii) exit costs, impairments, and other charges; (viii) other significant, non-recurring items. The Committee will evaluate whether the Performance Restriction has been achieved following the completion of the Measurement Period.</w:t>
      </w:r>
    </w:p>
    <w:p>
      <w:pPr>
        <w:sectPr>
          <w:pgSz w:w="11900" w:h="16838" w:orient="portrait"/>
          <w:cols w:equalWidth="0" w:num="1">
            <w:col w:w="11420"/>
          </w:cols>
          <w:pgMar w:left="240" w:top="612" w:right="239" w:bottom="1440" w:gutter="0" w:footer="0" w:header="0"/>
        </w:sectPr>
      </w:pPr>
    </w:p>
    <w:bookmarkStart w:id="173" w:name="page174"/>
    <w:bookmarkEnd w:id="173"/>
    <w:tbl>
      <w:tblPr>
        <w:tblLayout w:type="fixed"/>
        <w:tblInd w:w="23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33.33%</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30"/>
              <w:spacing w:after="0"/>
              <w:rPr>
                <w:sz w:val="20"/>
                <w:szCs w:val="20"/>
                <w:color w:val="auto"/>
              </w:rPr>
            </w:pPr>
            <w:r>
              <w:rPr>
                <w:rFonts w:ascii="Arial" w:cs="Arial" w:eastAsia="Arial" w:hAnsi="Arial"/>
                <w:sz w:val="18"/>
                <w:szCs w:val="18"/>
                <w:color w:val="auto"/>
                <w:w w:val="88"/>
              </w:rPr>
              <w:t>33.34%</w:t>
            </w:r>
          </w:p>
        </w:tc>
      </w:tr>
      <w:tr>
        <w:trPr>
          <w:trHeight w:val="426"/>
        </w:trPr>
        <w:tc>
          <w:tcPr>
            <w:tcW w:w="4280" w:type="dxa"/>
            <w:vAlign w:val="bottom"/>
          </w:tcPr>
          <w:p>
            <w:pPr>
              <w:spacing w:after="0"/>
              <w:rPr>
                <w:sz w:val="24"/>
                <w:szCs w:val="24"/>
                <w:color w:val="auto"/>
              </w:rPr>
            </w:pPr>
          </w:p>
        </w:tc>
        <w:tc>
          <w:tcPr>
            <w:tcW w:w="6760" w:type="dxa"/>
            <w:vAlign w:val="bottom"/>
            <w:gridSpan w:val="2"/>
          </w:tcPr>
          <w:p>
            <w:pPr>
              <w:jc w:val="right"/>
              <w:ind w:right="5170"/>
              <w:spacing w:after="0"/>
              <w:rPr>
                <w:sz w:val="20"/>
                <w:szCs w:val="20"/>
                <w:color w:val="auto"/>
              </w:rPr>
            </w:pPr>
            <w:r>
              <w:rPr>
                <w:rFonts w:ascii="Arial" w:cs="Arial" w:eastAsia="Arial" w:hAnsi="Arial"/>
                <w:sz w:val="18"/>
                <w:szCs w:val="18"/>
                <w:b w:val="1"/>
                <w:bCs w:val="1"/>
                <w:color w:val="auto"/>
              </w:rPr>
              <w:t>Vesting</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10.46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 Knight Financial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You (the “Grantee”) have been granted the following award of restricted Shares of Class A common stock (the “Restricted Stock”), par value $0.0001 per share (the “Shares”), by Black Knight Financial Services, Inc. (the “Company”), pursuant to the Black Knight Financial Services, Inc. 2015 Omnibus Incentive Plan (the “Plan”) and the terms set forth in the attached Restricted Stock Award Agreement:</w:t>
      </w:r>
    </w:p>
    <w:p>
      <w:pPr>
        <w:spacing w:after="0" w:line="295"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February 3, 2016</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Award Agreement, with respect to one-fourth of the shares on each anniversary</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of the Effective Date of Grant and satisfaction of the Performance Restriction as</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set forth on Exhibit A of the Restricted Stock Award Agreement, attached</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ectPr>
          <w:pgSz w:w="11900" w:h="16838" w:orient="portrait"/>
          <w:cols w:equalWidth="0" w:num="1">
            <w:col w:w="11420"/>
          </w:cols>
          <w:pgMar w:left="240" w:top="797"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Black Knight Financial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Time-Based Restriction and Performance Restriction)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right="20" w:firstLine="8"/>
        <w:spacing w:after="0" w:line="313" w:lineRule="auto"/>
        <w:tabs>
          <w:tab w:leader="none" w:pos="893"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(the “Notice”) and this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“Agreement”), the Company grants to the Grantee on the Effective Date of Grant the Shares of Restricted Stock (the “Restricted Stock”) set forth in the Notice.</w:t>
      </w:r>
    </w:p>
    <w:p>
      <w:pPr>
        <w:spacing w:after="0" w:line="176" w:lineRule="exact"/>
        <w:rPr>
          <w:rFonts w:ascii="Arial" w:cs="Arial" w:eastAsia="Arial" w:hAnsi="Arial"/>
          <w:sz w:val="18"/>
          <w:szCs w:val="18"/>
          <w:color w:val="auto"/>
        </w:rPr>
      </w:pPr>
    </w:p>
    <w:p>
      <w:pPr>
        <w:jc w:val="both"/>
        <w:ind w:firstLine="8"/>
        <w:spacing w:after="0" w:line="356" w:lineRule="auto"/>
        <w:tabs>
          <w:tab w:leader="none" w:pos="903"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Plan and Defined Terms</w:t>
      </w:r>
      <w:r>
        <w:rPr>
          <w:rFonts w:ascii="Arial" w:cs="Arial" w:eastAsia="Arial" w:hAnsi="Arial"/>
          <w:sz w:val="16"/>
          <w:szCs w:val="16"/>
          <w:color w:val="auto"/>
        </w:rPr>
        <w:t>. The Restricted Stock is granted pursuant to the Black Knight Financial Services, Inc. 2015 Omnibus Incentive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All terms, provisions, and conditions applicable to 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or this Agreement and not otherwise defined therein or herein shall have the meanings ascribed to them in the Plan.</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right="20" w:firstLine="8"/>
        <w:spacing w:after="0" w:line="329" w:lineRule="auto"/>
        <w:tabs>
          <w:tab w:leader="none" w:pos="933"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65" w:lineRule="exact"/>
        <w:rPr>
          <w:rFonts w:ascii="Arial" w:cs="Arial" w:eastAsia="Arial" w:hAnsi="Arial"/>
          <w:sz w:val="18"/>
          <w:szCs w:val="18"/>
          <w:color w:val="auto"/>
        </w:rPr>
      </w:pPr>
    </w:p>
    <w:p>
      <w:pPr>
        <w:jc w:val="both"/>
        <w:ind w:firstLine="656"/>
        <w:spacing w:after="0" w:line="311" w:lineRule="auto"/>
        <w:tabs>
          <w:tab w:leader="none" w:pos="14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8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48,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firstLine="656"/>
        <w:spacing w:after="0" w:line="354" w:lineRule="auto"/>
        <w:tabs>
          <w:tab w:leader="none" w:pos="1566"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56" w:lineRule="exact"/>
        <w:rPr>
          <w:rFonts w:ascii="Arial" w:cs="Arial" w:eastAsia="Arial" w:hAnsi="Arial"/>
          <w:sz w:val="16"/>
          <w:szCs w:val="16"/>
          <w:color w:val="auto"/>
        </w:rPr>
      </w:pPr>
    </w:p>
    <w:p>
      <w:pPr>
        <w:ind w:firstLine="656"/>
        <w:spacing w:after="0" w:line="324" w:lineRule="auto"/>
        <w:tabs>
          <w:tab w:leader="none" w:pos="155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66" w:lineRule="exact"/>
        <w:rPr>
          <w:rFonts w:ascii="Arial" w:cs="Arial" w:eastAsia="Arial" w:hAnsi="Arial"/>
          <w:sz w:val="18"/>
          <w:szCs w:val="18"/>
          <w:color w:val="auto"/>
        </w:rPr>
      </w:pPr>
    </w:p>
    <w:p>
      <w:pPr>
        <w:ind w:firstLine="8"/>
        <w:spacing w:after="0" w:line="329" w:lineRule="auto"/>
        <w:tabs>
          <w:tab w:leader="none" w:pos="91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spacing w:after="0" w:line="161" w:lineRule="exact"/>
        <w:rPr>
          <w:rFonts w:ascii="Arial" w:cs="Arial" w:eastAsia="Arial" w:hAnsi="Arial"/>
          <w:sz w:val="18"/>
          <w:szCs w:val="18"/>
          <w:color w:val="auto"/>
        </w:rPr>
      </w:pPr>
    </w:p>
    <w:p>
      <w:pPr>
        <w:ind w:right="20" w:firstLine="8"/>
        <w:spacing w:after="0" w:line="329" w:lineRule="auto"/>
        <w:tabs>
          <w:tab w:leader="none" w:pos="893"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Holding Period</w:t>
      </w:r>
      <w:r>
        <w:rPr>
          <w:rFonts w:ascii="Arial" w:cs="Arial" w:eastAsia="Arial" w:hAnsi="Arial"/>
          <w:sz w:val="18"/>
          <w:szCs w:val="18"/>
          <w:color w:val="auto"/>
        </w:rPr>
        <w:t>. If and when (i) the Grantee is an Officer (as defined in Rule 16a-1(f) of the Exchange Act) or holds the title of President of Data</w:t>
      </w:r>
      <w:r>
        <w:rPr>
          <w:rFonts w:ascii="Arial" w:cs="Arial" w:eastAsia="Arial" w:hAnsi="Arial"/>
          <w:sz w:val="18"/>
          <w:szCs w:val="18"/>
          <w:b w:val="1"/>
          <w:bCs w:val="1"/>
          <w:color w:val="auto"/>
        </w:rPr>
        <w:t xml:space="preserve"> </w:t>
      </w:r>
      <w:r>
        <w:rPr>
          <w:rFonts w:ascii="Arial" w:cs="Arial" w:eastAsia="Arial" w:hAnsi="Arial"/>
          <w:sz w:val="18"/>
          <w:szCs w:val="18"/>
          <w:color w:val="auto"/>
        </w:rPr>
        <w:t>and Analytics, President of Loan Technology, President of Servicing Technology or President of</w:t>
      </w:r>
    </w:p>
    <w:p>
      <w:pPr>
        <w:sectPr>
          <w:pgSz w:w="11900" w:h="16838" w:orient="portrait"/>
          <w:cols w:equalWidth="0" w:num="1">
            <w:col w:w="11420"/>
          </w:cols>
          <w:pgMar w:left="240" w:top="796" w:right="239" w:bottom="1440" w:gutter="0" w:footer="0" w:header="0"/>
        </w:sectPr>
      </w:pPr>
    </w:p>
    <w:bookmarkStart w:id="176" w:name="page177"/>
    <w:bookmarkEnd w:id="176"/>
    <w:p>
      <w:pPr>
        <w:jc w:val="both"/>
        <w:spacing w:after="0" w:line="343" w:lineRule="auto"/>
        <w:rPr>
          <w:sz w:val="20"/>
          <w:szCs w:val="20"/>
          <w:color w:val="auto"/>
        </w:rPr>
      </w:pPr>
      <w:r>
        <w:rPr>
          <w:rFonts w:ascii="Arial" w:cs="Arial" w:eastAsia="Arial" w:hAnsi="Arial"/>
          <w:sz w:val="16"/>
          <w:szCs w:val="16"/>
          <w:color w:val="auto"/>
        </w:rPr>
        <w:t>RealEC Technologies, and (ii) Grantee does not hold Shares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61" w:lineRule="exact"/>
        <w:rPr>
          <w:sz w:val="20"/>
          <w:szCs w:val="20"/>
          <w:color w:val="auto"/>
        </w:rPr>
      </w:pPr>
    </w:p>
    <w:p>
      <w:pPr>
        <w:jc w:val="both"/>
        <w:ind w:firstLine="8"/>
        <w:spacing w:after="0" w:line="303" w:lineRule="auto"/>
        <w:tabs>
          <w:tab w:leader="none" w:pos="916"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and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5" w:lineRule="exact"/>
        <w:rPr>
          <w:rFonts w:ascii="Arial" w:cs="Arial" w:eastAsia="Arial" w:hAnsi="Arial"/>
          <w:sz w:val="16"/>
          <w:szCs w:val="16"/>
          <w:color w:val="auto"/>
        </w:rPr>
      </w:pPr>
    </w:p>
    <w:p>
      <w:pPr>
        <w:ind w:left="920" w:hanging="912"/>
        <w:spacing w:after="0"/>
        <w:tabs>
          <w:tab w:leader="none" w:pos="9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265" w:lineRule="exact"/>
        <w:rPr>
          <w:rFonts w:ascii="Arial" w:cs="Arial" w:eastAsia="Arial" w:hAnsi="Arial"/>
          <w:sz w:val="18"/>
          <w:szCs w:val="18"/>
          <w:color w:val="auto"/>
        </w:rPr>
      </w:pPr>
    </w:p>
    <w:p>
      <w:pPr>
        <w:ind w:firstLine="8"/>
        <w:spacing w:after="0" w:line="324" w:lineRule="auto"/>
        <w:tabs>
          <w:tab w:leader="none" w:pos="89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spacing w:after="0" w:line="170" w:lineRule="exact"/>
        <w:rPr>
          <w:rFonts w:ascii="Arial" w:cs="Arial" w:eastAsia="Arial" w:hAnsi="Arial"/>
          <w:sz w:val="18"/>
          <w:szCs w:val="18"/>
          <w:color w:val="auto"/>
        </w:rPr>
      </w:pPr>
    </w:p>
    <w:p>
      <w:pPr>
        <w:ind w:left="920" w:hanging="912"/>
        <w:spacing w:after="0"/>
        <w:tabs>
          <w:tab w:leader="none" w:pos="9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47" w:lineRule="auto"/>
        <w:tabs>
          <w:tab w:leader="none" w:pos="893"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w:t>
      </w:r>
    </w:p>
    <w:p>
      <w:pPr>
        <w:sectPr>
          <w:pgSz w:w="11900" w:h="16838" w:orient="portrait"/>
          <w:cols w:equalWidth="0" w:num="1">
            <w:col w:w="11420"/>
          </w:cols>
          <w:pgMar w:left="240" w:top="611" w:right="239" w:bottom="1440" w:gutter="0" w:footer="0" w:header="0"/>
        </w:sectPr>
      </w:pPr>
    </w:p>
    <w:bookmarkStart w:id="177" w:name="page178"/>
    <w:bookmarkEnd w:id="177"/>
    <w:p>
      <w:pPr>
        <w:jc w:val="both"/>
        <w:ind w:right="20"/>
        <w:spacing w:after="0" w:line="311" w:lineRule="auto"/>
        <w:rPr>
          <w:sz w:val="20"/>
          <w:szCs w:val="20"/>
          <w:color w:val="auto"/>
        </w:rPr>
      </w:pPr>
      <w:r>
        <w:rPr>
          <w:rFonts w:ascii="Arial" w:cs="Arial" w:eastAsia="Arial" w:hAnsi="Arial"/>
          <w:sz w:val="18"/>
          <w:szCs w:val="18"/>
          <w:color w:val="auto"/>
        </w:rPr>
        <w:t>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77" w:lineRule="exact"/>
        <w:rPr>
          <w:sz w:val="20"/>
          <w:szCs w:val="20"/>
          <w:color w:val="auto"/>
        </w:rPr>
      </w:pPr>
    </w:p>
    <w:p>
      <w:pPr>
        <w:jc w:val="both"/>
        <w:ind w:firstLine="8"/>
        <w:spacing w:after="0" w:line="313" w:lineRule="auto"/>
        <w:tabs>
          <w:tab w:leader="none" w:pos="903"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by the Company, the Board or the Committee.</w:t>
      </w:r>
    </w:p>
    <w:p>
      <w:pPr>
        <w:spacing w:after="0" w:line="176" w:lineRule="exact"/>
        <w:rPr>
          <w:rFonts w:ascii="Arial" w:cs="Arial" w:eastAsia="Arial" w:hAnsi="Arial"/>
          <w:sz w:val="18"/>
          <w:szCs w:val="18"/>
          <w:color w:val="auto"/>
        </w:rPr>
      </w:pPr>
    </w:p>
    <w:p>
      <w:pPr>
        <w:jc w:val="both"/>
        <w:ind w:firstLine="8"/>
        <w:spacing w:after="0" w:line="338" w:lineRule="auto"/>
        <w:tabs>
          <w:tab w:leader="none" w:pos="906"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0" w:lineRule="exact"/>
        <w:rPr>
          <w:rFonts w:ascii="Arial" w:cs="Arial" w:eastAsia="Arial" w:hAnsi="Arial"/>
          <w:sz w:val="17"/>
          <w:szCs w:val="17"/>
          <w:color w:val="auto"/>
        </w:rPr>
      </w:pPr>
    </w:p>
    <w:p>
      <w:pPr>
        <w:jc w:val="both"/>
        <w:ind w:firstLine="8"/>
        <w:spacing w:after="0" w:line="313" w:lineRule="auto"/>
        <w:tabs>
          <w:tab w:leader="none" w:pos="903"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shall be governed by, and construed in accordance with, the laws of Florida,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conflicts of law or choice of law rule or principle that might otherwise cause the Plan, this Agreement or the Notice to be governed by or construed in accordance with the substantive law of another jurisdiction.</w:t>
      </w:r>
    </w:p>
    <w:p>
      <w:pPr>
        <w:spacing w:after="0" w:line="176" w:lineRule="exact"/>
        <w:rPr>
          <w:rFonts w:ascii="Arial" w:cs="Arial" w:eastAsia="Arial" w:hAnsi="Arial"/>
          <w:sz w:val="18"/>
          <w:szCs w:val="18"/>
          <w:color w:val="auto"/>
        </w:rPr>
      </w:pPr>
    </w:p>
    <w:p>
      <w:pPr>
        <w:jc w:val="both"/>
        <w:ind w:firstLine="8"/>
        <w:spacing w:after="0" w:line="326" w:lineRule="auto"/>
        <w:tabs>
          <w:tab w:leader="none" w:pos="893"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Arbitration</w:t>
      </w:r>
      <w:r>
        <w:rPr>
          <w:rFonts w:ascii="Arial" w:cs="Arial" w:eastAsia="Arial" w:hAnsi="Arial"/>
          <w:sz w:val="17"/>
          <w:szCs w:val="17"/>
          <w:color w:val="auto"/>
        </w:rPr>
        <w:t>. Subject to, and in accordance with the provisions of Article 3 of the Plan, any dispute or claim arising out of or relating to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the Notice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provided that all substantive questions of law shall be determined in accordance with the state and federal laws applicable in Florida, without regard to internal principles relating to conflict of laws.</w:t>
      </w:r>
    </w:p>
    <w:p>
      <w:pPr>
        <w:spacing w:after="0" w:line="171" w:lineRule="exact"/>
        <w:rPr>
          <w:rFonts w:ascii="Arial" w:cs="Arial" w:eastAsia="Arial" w:hAnsi="Arial"/>
          <w:sz w:val="17"/>
          <w:szCs w:val="17"/>
          <w:color w:val="auto"/>
        </w:rPr>
      </w:pPr>
    </w:p>
    <w:p>
      <w:pPr>
        <w:ind w:firstLine="8"/>
        <w:spacing w:after="0" w:line="329" w:lineRule="auto"/>
        <w:tabs>
          <w:tab w:leader="none" w:pos="873"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color w:val="auto"/>
        </w:rPr>
      </w:pPr>
    </w:p>
    <w:p>
      <w:pPr>
        <w:jc w:val="both"/>
        <w:ind w:firstLine="8"/>
        <w:spacing w:after="0" w:line="313" w:lineRule="auto"/>
        <w:tabs>
          <w:tab w:leader="none" w:pos="916"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left="920" w:hanging="912"/>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for the Restricted Stock to vest, the Compensation Committee of the Board of Directors of the Company (the “Committee”) must determine that the Company has achieved Adjusted EBITDA of $413 million (the “Performance Restriction”) for the period of January 1, 2016 to December 31, 2016 (the “Measurement Period”). Adjusted EBITDA shall be defined as operating income before depreciation and amortization, with further adjustments to reflect the addition or elimination of certain income statement items including, but not limited to, (i) the deferred revenue purchase accounting adjustment recorded in accordance with GAAP; (ii) equity-based compensation; (iii) acquisition or IPO-related costs; (iv) non-recurring costs associated with the achievement of synergies; (v) charges associated with material legal matters; (vi) member management fees paid to FNF and THL; (vii) exit costs, impairments, and other charges; (viii) other significant, non-recurring items. The Committee will evaluate whether the Performance Restriction has been achieved following the completion of the Measurement Period.</w:t>
      </w:r>
    </w:p>
    <w:p>
      <w:pPr>
        <w:sectPr>
          <w:pgSz w:w="11900" w:h="16838" w:orient="portrait"/>
          <w:cols w:equalWidth="0" w:num="1">
            <w:col w:w="11420"/>
          </w:cols>
          <w:pgMar w:left="240" w:top="612" w:right="239" w:bottom="1440" w:gutter="0" w:footer="0" w:header="0"/>
        </w:sectPr>
      </w:pPr>
    </w:p>
    <w:bookmarkStart w:id="178" w:name="page179"/>
    <w:bookmarkEnd w:id="178"/>
    <w:tbl>
      <w:tblPr>
        <w:tblLayout w:type="fixed"/>
        <w:tblInd w:w="23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760" w:type="dxa"/>
            <w:vAlign w:val="bottom"/>
            <w:gridSpan w:val="2"/>
          </w:tcPr>
          <w:p>
            <w:pPr>
              <w:jc w:val="right"/>
              <w:ind w:right="4510"/>
              <w:spacing w:after="0"/>
              <w:rPr>
                <w:sz w:val="20"/>
                <w:szCs w:val="20"/>
                <w:color w:val="auto"/>
              </w:rPr>
            </w:pPr>
            <w:r>
              <w:rPr>
                <w:rFonts w:ascii="Arial" w:cs="Arial" w:eastAsia="Arial" w:hAnsi="Arial"/>
                <w:sz w:val="18"/>
                <w:szCs w:val="18"/>
                <w:b w:val="1"/>
                <w:bCs w:val="1"/>
                <w:color w:val="auto"/>
              </w:rPr>
              <w:t>Time-Based Restrictions</w:t>
            </w:r>
          </w:p>
        </w:tc>
      </w:tr>
      <w:tr>
        <w:trPr>
          <w:trHeight w:val="351"/>
        </w:trPr>
        <w:tc>
          <w:tcPr>
            <w:tcW w:w="4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37"/>
        </w:trPr>
        <w:tc>
          <w:tcPr>
            <w:tcW w:w="4280" w:type="dxa"/>
            <w:vAlign w:val="bottom"/>
            <w:tcBorders>
              <w:left w:val="single" w:sz="8" w:color="auto"/>
            </w:tcBorders>
          </w:tcPr>
          <w:p>
            <w:pPr>
              <w:ind w:left="2240"/>
              <w:spacing w:after="0"/>
              <w:rPr>
                <w:sz w:val="20"/>
                <w:szCs w:val="20"/>
                <w:color w:val="auto"/>
              </w:rPr>
            </w:pPr>
            <w:r>
              <w:rPr>
                <w:rFonts w:ascii="Arial" w:cs="Arial" w:eastAsia="Arial" w:hAnsi="Arial"/>
                <w:sz w:val="18"/>
                <w:szCs w:val="18"/>
                <w:b w:val="1"/>
                <w:bCs w:val="1"/>
                <w:color w:val="auto"/>
              </w:rPr>
              <w:t>Anniversary Date</w:t>
            </w:r>
          </w:p>
        </w:tc>
        <w:tc>
          <w:tcPr>
            <w:tcW w:w="158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jc w:val="right"/>
              <w:ind w:right="1690"/>
              <w:spacing w:after="0"/>
              <w:rPr>
                <w:sz w:val="20"/>
                <w:szCs w:val="20"/>
                <w:color w:val="auto"/>
              </w:rPr>
            </w:pPr>
            <w:r>
              <w:rPr>
                <w:rFonts w:ascii="Arial" w:cs="Arial" w:eastAsia="Arial" w:hAnsi="Arial"/>
                <w:sz w:val="18"/>
                <w:szCs w:val="18"/>
                <w:b w:val="1"/>
                <w:bCs w:val="1"/>
                <w:color w:val="auto"/>
              </w:rPr>
              <w:t>% of Restricted Stock</w:t>
            </w:r>
          </w:p>
        </w:tc>
      </w:tr>
      <w:tr>
        <w:trPr>
          <w:trHeight w:val="27"/>
        </w:trPr>
        <w:tc>
          <w:tcPr>
            <w:tcW w:w="428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r>
        <w:trPr>
          <w:trHeight w:val="264"/>
        </w:trPr>
        <w:tc>
          <w:tcPr>
            <w:tcW w:w="428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9"/>
              </w:rPr>
              <w:t>Fourth (4</w:t>
            </w:r>
            <w:r>
              <w:rPr>
                <w:rFonts w:ascii="Arial" w:cs="Arial" w:eastAsia="Arial" w:hAnsi="Arial"/>
                <w:sz w:val="25"/>
                <w:szCs w:val="25"/>
                <w:color w:val="auto"/>
                <w:w w:val="99"/>
                <w:vertAlign w:val="superscript"/>
              </w:rPr>
              <w:t>th</w:t>
            </w:r>
            <w:r>
              <w:rPr>
                <w:rFonts w:ascii="Arial" w:cs="Arial" w:eastAsia="Arial" w:hAnsi="Arial"/>
                <w:sz w:val="18"/>
                <w:szCs w:val="18"/>
                <w:color w:val="auto"/>
                <w:w w:val="99"/>
              </w:rPr>
              <w:t>) anniversary of the Effective Date of Grant</w:t>
            </w:r>
          </w:p>
        </w:tc>
        <w:tc>
          <w:tcPr>
            <w:tcW w:w="158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750"/>
              <w:spacing w:after="0"/>
              <w:rPr>
                <w:sz w:val="20"/>
                <w:szCs w:val="20"/>
                <w:color w:val="auto"/>
              </w:rPr>
            </w:pPr>
            <w:r>
              <w:rPr>
                <w:rFonts w:ascii="Arial" w:cs="Arial" w:eastAsia="Arial" w:hAnsi="Arial"/>
                <w:sz w:val="18"/>
                <w:szCs w:val="18"/>
                <w:color w:val="auto"/>
                <w:w w:val="88"/>
              </w:rPr>
              <w:t>25%</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7820" w:type="dxa"/>
            <w:vAlign w:val="bottom"/>
            <w:gridSpan w:val="3"/>
          </w:tcPr>
          <w:p>
            <w:pPr>
              <w:jc w:val="center"/>
              <w:ind w:right="345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540" w:type="dxa"/>
            <w:vAlign w:val="bottom"/>
          </w:tcPr>
          <w:p>
            <w:pPr>
              <w:spacing w:after="0"/>
              <w:rPr>
                <w:sz w:val="18"/>
                <w:szCs w:val="18"/>
                <w:color w:val="auto"/>
              </w:rPr>
            </w:pPr>
          </w:p>
        </w:tc>
        <w:tc>
          <w:tcPr>
            <w:tcW w:w="7820" w:type="dxa"/>
            <w:vAlign w:val="bottom"/>
            <w:gridSpan w:val="3"/>
          </w:tcPr>
          <w:p>
            <w:pPr>
              <w:jc w:val="center"/>
              <w:ind w:right="3470"/>
              <w:spacing w:after="0"/>
              <w:rPr>
                <w:sz w:val="20"/>
                <w:szCs w:val="20"/>
                <w:color w:val="auto"/>
              </w:rPr>
            </w:pPr>
            <w:r>
              <w:rPr>
                <w:rFonts w:ascii="Arial" w:cs="Arial" w:eastAsia="Arial" w:hAnsi="Arial"/>
                <w:sz w:val="18"/>
                <w:szCs w:val="18"/>
                <w:b w:val="1"/>
                <w:bCs w:val="1"/>
                <w:color w:val="auto"/>
                <w:w w:val="89"/>
              </w:rPr>
              <w:t>List of Subsidiaries December 31, 2015</w:t>
            </w:r>
          </w:p>
        </w:tc>
      </w:tr>
      <w:tr>
        <w:trPr>
          <w:trHeight w:val="234"/>
        </w:trPr>
        <w:tc>
          <w:tcPr>
            <w:tcW w:w="3540" w:type="dxa"/>
            <w:vAlign w:val="bottom"/>
          </w:tcPr>
          <w:p>
            <w:pPr>
              <w:spacing w:after="0"/>
              <w:rPr>
                <w:sz w:val="20"/>
                <w:szCs w:val="20"/>
                <w:color w:val="auto"/>
              </w:rPr>
            </w:pPr>
          </w:p>
        </w:tc>
        <w:tc>
          <w:tcPr>
            <w:tcW w:w="7820" w:type="dxa"/>
            <w:vAlign w:val="bottom"/>
            <w:gridSpan w:val="3"/>
          </w:tcPr>
          <w:p>
            <w:pPr>
              <w:jc w:val="center"/>
              <w:ind w:right="3470"/>
              <w:spacing w:after="0"/>
              <w:rPr>
                <w:sz w:val="20"/>
                <w:szCs w:val="20"/>
                <w:color w:val="auto"/>
              </w:rPr>
            </w:pPr>
            <w:r>
              <w:rPr>
                <w:rFonts w:ascii="Arial" w:cs="Arial" w:eastAsia="Arial" w:hAnsi="Arial"/>
                <w:sz w:val="18"/>
                <w:szCs w:val="18"/>
                <w:b w:val="1"/>
                <w:bCs w:val="1"/>
                <w:color w:val="auto"/>
                <w:w w:val="89"/>
              </w:rPr>
              <w:t>Significant Subsidiaries</w:t>
            </w:r>
          </w:p>
        </w:tc>
      </w:tr>
      <w:tr>
        <w:trPr>
          <w:trHeight w:val="648"/>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LLC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Black Knight Financial Services, LLC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Black Knight Holdings, Inc.</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 Knight Technology Solutions, LLC</w:t>
            </w:r>
          </w:p>
        </w:tc>
        <w:tc>
          <w:tcPr>
            <w:tcW w:w="3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5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r>
    </w:tbl>
    <w:p>
      <w:pPr>
        <w:sectPr>
          <w:pgSz w:w="11900" w:h="16838" w:orient="portrait"/>
          <w:cols w:equalWidth="0" w:num="1">
            <w:col w:w="11380"/>
          </w:cols>
          <w:pgMar w:left="28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(Nos. 333-198187, 333-197249, 333-197124, 333-193825, 333-190527, 333-157643, 333-132843, 333-138254, 333-129886, 333-129016 and 333-176395) on Form S-8, Registration Statements (Nos. 333-157123, 333-147391, and 333-174650) on Form S-3, and Registration Statements (Nos. 333-194938 and 333-190902) on Form S-4 of Fidelity National Financial, Inc. of our reports dated February 23, 2016, with respect to the Consolidated Balance Sheets of Fidelity National Financial, Inc. as of December 31, 2015 and 2014, and the related Consolidated Statements of Earnings, Comprehensive Earnings, Equity, and Cash Flows for each of the years in the three-year period ended December 31, 2015, and all related financial statement schedules, and the effectiveness of internal control over financial reporting as of December 31, 2015, which reports appear in the December 31, 2015 annual report on Form 10-K of Fidelity National Financial,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225" w:lineRule="exact"/>
        <w:rPr>
          <w:sz w:val="20"/>
          <w:szCs w:val="20"/>
          <w:color w:val="auto"/>
        </w:rPr>
      </w:pPr>
    </w:p>
    <w:p>
      <w:pPr>
        <w:ind w:left="180" w:hanging="172"/>
        <w:spacing w:after="0"/>
        <w:tabs>
          <w:tab w:leader="none" w:pos="1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1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85" w:name="page186"/>
    <w:bookmarkEnd w:id="185"/>
    <w:p>
      <w:pPr>
        <w:ind w:left="1028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revenues, expenses and cash flows that are attributed to our FNF core business, known as FNF Core Operations (“we,” “our,” or "FNF Group"). The financial information in this Exhibit should be read in conjunction with our consolidated financial statements for the period ended December 31, 2015 included in this Annual Report on Form 10-K.</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Core Operations is comprised of three operating segments as follows: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Lender Processing Services, Inc. ("LPS"), now combined with our ServiceLink business. Transaction services include other title related services used in production and management of mortgage loans, including mortgage loans that experience default.</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Black Knight</w:t>
      </w:r>
    </w:p>
    <w:p>
      <w:pPr>
        <w:spacing w:after="0" w:line="9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This segment consists of the operations of Black Knight, which, through leading software systems and information solutions, provides mission critical technology and data and analytics services that facilitate and automate many of the business processes across the life cycle of a mortgage.</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1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Core Operations and the FNFV Group (see Exhibit 99.2).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Notwithstanding the following attribution of assets, liabilities, revenue, expenses and cash flows to FNF Group,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 Group common stock are subject to risks associated with an investment in FNF, Inc. and all of its businesses, assets and liabilities.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Risks Relating to the Ownership of Our FNFV Group Common Stock due to our Tracking Stock Capitalization" for further discussion of risks associated with our tracking stock structure.</w:t>
      </w:r>
    </w:p>
    <w:p>
      <w:pPr>
        <w:sectPr>
          <w:pgSz w:w="11900" w:h="16838" w:orient="portrait"/>
          <w:cols w:equalWidth="0" w:num="1">
            <w:col w:w="11420"/>
          </w:cols>
          <w:pgMar w:left="240" w:top="121"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580" w:type="dxa"/>
            <w:vAlign w:val="bottom"/>
          </w:tcPr>
          <w:p>
            <w:pPr>
              <w:ind w:left="47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180"/>
              <w:spacing w:after="0" w:line="157" w:lineRule="exact"/>
              <w:rPr>
                <w:sz w:val="20"/>
                <w:szCs w:val="20"/>
                <w:color w:val="auto"/>
              </w:rPr>
            </w:pPr>
            <w:r>
              <w:rPr>
                <w:rFonts w:ascii="Arial" w:cs="Arial" w:eastAsia="Arial" w:hAnsi="Arial"/>
                <w:sz w:val="14"/>
                <w:szCs w:val="14"/>
                <w:color w:val="auto"/>
              </w:rPr>
              <w:t>Fixed maturities available for sale, at fair value, at December 31, 2015 and 2014, includes pledged fixed maturities of $342 and $353,</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180"/>
              <w:spacing w:after="0"/>
              <w:rPr>
                <w:sz w:val="20"/>
                <w:szCs w:val="20"/>
                <w:color w:val="auto"/>
              </w:rPr>
            </w:pPr>
            <w:r>
              <w:rPr>
                <w:rFonts w:ascii="Arial" w:cs="Arial" w:eastAsia="Arial" w:hAnsi="Arial"/>
                <w:sz w:val="14"/>
                <w:szCs w:val="14"/>
                <w:color w:val="auto"/>
              </w:rPr>
              <w:t>respectively, related to secured trust deposits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Other long-term investments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Short-term investments, includes pledged short term investments of $266 and $146 at December 31, 2015 and 2014, respectively, related to</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1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investments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3,699</w:t>
            </w:r>
          </w:p>
        </w:tc>
        <w:tc>
          <w:tcPr>
            <w:tcW w:w="0" w:type="dxa"/>
            <w:vAlign w:val="bottom"/>
          </w:tcPr>
          <w:p>
            <w:pPr>
              <w:spacing w:after="0"/>
              <w:rPr>
                <w:sz w:val="1"/>
                <w:szCs w:val="1"/>
                <w:color w:val="auto"/>
              </w:rPr>
            </w:pPr>
          </w:p>
        </w:tc>
      </w:tr>
      <w:tr>
        <w:trPr>
          <w:trHeight w:val="197"/>
        </w:trPr>
        <w:tc>
          <w:tcPr>
            <w:tcW w:w="85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92"/>
              </w:rPr>
              <w:t>Cash and cash equivalents, at December 31, 2015 and 2014, includes pledged cash of $108 and $136, respectively, related to secured trust deposits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80"/>
        </w:trPr>
        <w:tc>
          <w:tcPr>
            <w:tcW w:w="8580" w:type="dxa"/>
            <w:vAlign w:val="bottom"/>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 and notes receivables, net of allowance of $31 and $32 at December 31, 2015 and December 31, 2014, respectively</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Due from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4,515</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Capitalized software, net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plant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11,926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6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title claim losses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Due to affiliates</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50"/>
        </w:trPr>
        <w:tc>
          <w:tcPr>
            <w:tcW w:w="858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6,654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rPr>
              <w:t>Redeemable non-controlling interest by 21% minority holder of ServiceLink Holdings, LLC as of December 31, 2015 and 33% minority</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holder of Black Knight Financial Services, LLC and 35% minority holder of ServiceLink Holdings, LLC as of December 31, 2014</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580" w:type="dxa"/>
            <w:vAlign w:val="bottom"/>
          </w:tcPr>
          <w:p>
            <w:pPr>
              <w:ind w:left="280"/>
              <w:spacing w:after="0" w:line="157" w:lineRule="exact"/>
              <w:rPr>
                <w:sz w:val="20"/>
                <w:szCs w:val="20"/>
                <w:color w:val="auto"/>
              </w:rPr>
            </w:pPr>
            <w:r>
              <w:rPr>
                <w:rFonts w:ascii="Arial" w:cs="Arial" w:eastAsia="Arial" w:hAnsi="Arial"/>
                <w:sz w:val="14"/>
                <w:szCs w:val="14"/>
                <w:color w:val="auto"/>
                <w:w w:val="93"/>
              </w:rPr>
              <w:t>FNF Group common stock, $0.0001 par value; authorized 487,000,000 shares as of December 31, 2015 and 2014; outstanding of 275,781,160</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580" w:type="dxa"/>
            <w:vAlign w:val="bottom"/>
          </w:tcPr>
          <w:p>
            <w:pPr>
              <w:ind w:left="280"/>
              <w:spacing w:after="0" w:line="149" w:lineRule="exact"/>
              <w:rPr>
                <w:sz w:val="20"/>
                <w:szCs w:val="20"/>
                <w:color w:val="auto"/>
              </w:rPr>
            </w:pPr>
            <w:r>
              <w:rPr>
                <w:rFonts w:ascii="Arial" w:cs="Arial" w:eastAsia="Arial" w:hAnsi="Arial"/>
                <w:sz w:val="14"/>
                <w:szCs w:val="14"/>
                <w:color w:val="auto"/>
                <w:w w:val="94"/>
              </w:rPr>
              <w:t>and 279,443,239 as of December 31, 2015 and 2014, respectively; and issued of 282,394,970 and 279,824,125 as of December 31, 2015 and</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280"/>
              <w:spacing w:after="0"/>
              <w:rPr>
                <w:sz w:val="20"/>
                <w:szCs w:val="20"/>
                <w:color w:val="auto"/>
              </w:rPr>
            </w:pPr>
            <w:r>
              <w:rPr>
                <w:rFonts w:ascii="Arial" w:cs="Arial" w:eastAsia="Arial" w:hAnsi="Arial"/>
                <w:sz w:val="14"/>
                <w:szCs w:val="14"/>
                <w:color w:val="auto"/>
              </w:rPr>
              <w:t>2014, respectively</w:t>
            </w:r>
          </w:p>
        </w:tc>
        <w:tc>
          <w:tcPr>
            <w:tcW w:w="16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3,514</w:t>
            </w:r>
          </w:p>
        </w:tc>
        <w:tc>
          <w:tcPr>
            <w:tcW w:w="0" w:type="dxa"/>
            <w:vAlign w:val="bottom"/>
          </w:tcPr>
          <w:p>
            <w:pPr>
              <w:spacing w:after="0"/>
              <w:rPr>
                <w:sz w:val="1"/>
                <w:szCs w:val="1"/>
                <w:color w:val="auto"/>
              </w:rPr>
            </w:pPr>
          </w:p>
        </w:tc>
      </w:tr>
      <w:tr>
        <w:trPr>
          <w:trHeight w:val="264"/>
        </w:trPr>
        <w:tc>
          <w:tcPr>
            <w:tcW w:w="85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6,613,810 and 375,662 shares as of December 31, 2015 and December 31, 2014, respectively</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6"/>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Group shareholders’ equity</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43"/>
        </w:trPr>
        <w:tc>
          <w:tcPr>
            <w:tcW w:w="858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12,502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11,926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1440" w:gutter="0" w:footer="0" w:header="0"/>
          <w:type w:val="continuous"/>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Earnings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5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980" w:type="dxa"/>
            <w:vAlign w:val="bottom"/>
          </w:tcPr>
          <w:p>
            <w:pPr>
              <w:ind w:left="600"/>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(Unaudited)</w:t>
            </w:r>
          </w:p>
        </w:tc>
        <w:tc>
          <w:tcPr>
            <w:tcW w:w="520" w:type="dxa"/>
            <w:vAlign w:val="bottom"/>
          </w:tcPr>
          <w:p>
            <w:pPr>
              <w:spacing w:after="0"/>
              <w:rPr>
                <w:sz w:val="18"/>
                <w:szCs w:val="18"/>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6"/>
                <w:szCs w:val="16"/>
                <w:color w:val="auto"/>
              </w:rPr>
              <w:t>Revenues:</w:t>
            </w: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Direct title insurance premiums</w:t>
            </w:r>
          </w:p>
        </w:tc>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1,727</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Agency title insurance premiums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2,277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1,944</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 related and other fees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3,121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2,694</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Interest and investment income</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Realized gains and losses,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7,534</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6,490</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Personnel costs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2,514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2,370</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Agent commissions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1,471</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1,714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1,557</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Claim loss expense</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expenses</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6,672</w:t>
            </w: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6,084</w:t>
            </w:r>
          </w:p>
        </w:tc>
      </w:tr>
      <w:tr>
        <w:trPr>
          <w:trHeight w:val="33"/>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losses of unconsolidated affiliates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9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Net earnings (loss) attributable to non-controlling interests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33"/>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22"/>
        </w:trPr>
        <w:tc>
          <w:tcPr>
            <w:tcW w:w="8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i w:val="1"/>
                <w:iCs w:val="1"/>
                <w:color w:val="auto"/>
              </w:rPr>
              <w:t>Basic</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Diluted</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304"/>
        </w:trPr>
        <w:tc>
          <w:tcPr>
            <w:tcW w:w="8340" w:type="dxa"/>
            <w:vAlign w:val="bottom"/>
          </w:tcPr>
          <w:p>
            <w:pPr>
              <w:ind w:left="4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0.37</w:t>
            </w:r>
          </w:p>
        </w:tc>
      </w:tr>
      <w:tr>
        <w:trPr>
          <w:trHeight w:val="23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9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0.75</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1"/>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shares outstanding Old FNF common stock, basic basis (1)</w:t>
            </w:r>
          </w:p>
        </w:tc>
        <w:tc>
          <w:tcPr>
            <w:tcW w:w="9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Old FNF common stock, diluted basis (1)</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9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33"/>
        </w:trPr>
        <w:tc>
          <w:tcPr>
            <w:tcW w:w="8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ind w:left="980" w:hanging="972"/>
        <w:spacing w:after="0" w:line="261" w:lineRule="auto"/>
        <w:tabs>
          <w:tab w:leader="none" w:pos="9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recapitalization of our stock took place on July 1, 2014. Accordingly, the outstanding shares of Old FNF common stock are presented and used to calculate earnings per share for the first six months of the twelve months ended December 31, 2014.</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 Group Tracking Stock</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FIDELITY NATIONAL FINANCIAL GROUP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194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Year Ended December 31,</w:t>
            </w:r>
          </w:p>
        </w:tc>
      </w:tr>
      <w:tr>
        <w:trPr>
          <w:trHeight w:val="270"/>
        </w:trPr>
        <w:tc>
          <w:tcPr>
            <w:tcW w:w="9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r>
      <w:tr>
        <w:trPr>
          <w:trHeight w:val="33"/>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r>
      <w:tr>
        <w:trPr>
          <w:trHeight w:val="217"/>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Gain on sales of investments and other assets,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Stock-based compensation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in pledged cash, pledged investments, and secured trust deposits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trade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(increase) decrease in prepaid expenses and other assets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increase (decrease) in accounts payable, accrued liabilities, deferred revenue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decrease in reserve for title claim losses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948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calls and maturities of investment securities available for sale</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458</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purchases of short-term investment securities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other 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Lender Processing Services, Inc., net of cash acquired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Acquisition of BPG Holdings, LLC, net of cash acquired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(2,416)</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1,504</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Additional investment in non-controlling interest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investment in consolidated subsidiary</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Proceeds from sale of 35% of Black Knight Financial Services, LLC and ServiceLink, LLC to minority interest holder</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BKFS IPO</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Tax benefit associated with the exercise of stock options</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by BKFS to member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48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to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991</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 excluding pledged cash related to secured trust deposits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r>
      <w:tr>
        <w:trPr>
          <w:trHeight w:val="237"/>
        </w:trPr>
        <w:tc>
          <w:tcPr>
            <w:tcW w:w="9480" w:type="dxa"/>
            <w:vAlign w:val="bottom"/>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beginning of period</w:t>
            </w:r>
          </w:p>
        </w:tc>
        <w:tc>
          <w:tcPr>
            <w:tcW w:w="2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1,475</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excluding pledged cash related to secured trust deposits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65" w:right="239" w:bottom="54" w:gutter="0" w:footer="0" w:header="0"/>
        </w:sectPr>
      </w:pPr>
    </w:p>
    <w:p>
      <w:pPr>
        <w:jc w:val="center"/>
        <w:spacing w:after="0"/>
        <w:rPr>
          <w:sz w:val="20"/>
          <w:szCs w:val="20"/>
          <w:color w:val="auto"/>
        </w:rPr>
      </w:pPr>
      <w:r>
        <w:rPr>
          <w:rFonts w:ascii="Arial" w:cs="Arial" w:eastAsia="Arial" w:hAnsi="Arial"/>
          <w:sz w:val="16"/>
          <w:szCs w:val="16"/>
          <w:color w:val="auto"/>
        </w:rPr>
        <w:t>See Notes to Unaudited Attributed Financial Information for FNF Group Tracking Stock</w:t>
      </w:r>
    </w:p>
    <w:p>
      <w:pPr>
        <w:sectPr>
          <w:pgSz w:w="11900" w:h="16838" w:orient="portrait"/>
          <w:cols w:equalWidth="0" w:num="1">
            <w:col w:w="11420"/>
          </w:cols>
          <w:pgMar w:left="240" w:top="365" w:right="239" w:bottom="54" w:gutter="0" w:footer="0" w:header="0"/>
          <w:type w:val="continuous"/>
        </w:sectPr>
      </w:pPr>
    </w:p>
    <w:bookmarkStart w:id="189" w:name="page190"/>
    <w:bookmarkEnd w:id="189"/>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25" w:right="1440"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Group Tracking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right"/>
        <w:ind w:right="9040"/>
        <w:spacing w:after="0"/>
        <w:tabs>
          <w:tab w:leader="none" w:pos="106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03" w:lineRule="exact"/>
        <w:rPr>
          <w:sz w:val="20"/>
          <w:szCs w:val="20"/>
          <w:color w:val="auto"/>
        </w:rPr>
      </w:pPr>
    </w:p>
    <w:p>
      <w:pPr>
        <w:jc w:val="right"/>
        <w:ind w:right="90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FNF Group is a leading provider of (i) title insurance, escrow and other title related services, including collection and trust activities, trustee sales guarantees, recordings and reconveyances and home warranty insurance and (ii) technology and transaction services to the real estate and mortgage industries. FNF is the nation’s largest title insurance company operating through its title insurance underwriters - Fidelity National Title Insurance Company, Chicago Title Insurance Company, Commonwealth Land Title Insurance Company, Alamo Title Insurance and National Title Insurance of New York Inc. - that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FNF also provides industry-leading mortgage technology solutions, including MSP®, the leading residential mortgage servicing technology platform in the U.S., through its majority-owned subsidiary, Black Knight Financial Services, Inc. ("Black Knight").</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20, 2016, we entered into two interest rate swap agreements to hedge forecasted monthly interest rate payments on $400.0 million of our floating rate debt ($200.0 million notional value each) (the “Swap Agreements”). The Swap Agreements have been designated as cash flow hedging instruments. Under the terms of the Swap Agreements, we receive payments based on the 1-month LIBOR rate and pay a weighted average fixed rate of 1.01%. The effective term for the Swap Agreements is February 1, 2016 through January 31, 2019.</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20, 2015, we completed the recapitalization of ServiceLink Holdings, LLC through a conversion (the "ServiceLink Conversion") of $505 million of the $566 million aggregate preference amount associated with its Class A1 participating preferred units into slightly more than 67.3 million Class A common units. As a result of the ServiceLink Conversion, our ownership percentage in ServiceLink Holdings, LLC increased from 65% to 79%.</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July 20, 2015, our Board of Directors approved a new FNF Group three-year stock repurchase program, effective August 1, 2015, under which we may repurchase up to 25 million shares of FNF Group common stock. Purchases may be made from time to time by us in the open market at prevailing market prices or in privately negotiated transactions through July 31, 2018.</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29, 2015, Black Knight completed a redemption (the "Redemption") of $205 million in aggregate principal of its senior notes ("Black Knight Senior Notes") at a price of 105.750%. Black Knight incurred a charge on the Redemption of $12 million and also reduced the bond premium by $7 million for the portion of the premium that relates to the redeemed Black Knight Senior Notes, resulting in a net charge on the Redemption of $5 million. Following the Redemption, $390 million in aggregate principal of Black Knight Senior Notes remained outstanding.</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27, 2015, Black Knight InfoServ, LLC (“BKIS”), a subsidiary of Black Knight, entered into a credit and guaranty agreement (the “BKIS Credit Agreement”) with an aggregate borrowing capacity of $1.6 billion, dated as of May 27, 2015, with JPMorgan Chase Bank, N.A. as administrative agent, the guarantors party thereto, the other agents party thereto and the lenders party thereto. FNF is not a party to and does not provide any guaranty or stock pledge under the BKIS Credit Agreement.</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27, 2015, we entered into an amendment to our existing $800 million third amended and restated credit agreement (as previously amended, the “Existing Revolving Credit Agreement”), dated as of June 25, 2013, with Bank of America, N.A., as administrative agent, the other agents party thereto and the financial institutions party thereto as lenders (the “FNF Amended Revolving Credit Agreement”). Among other changes, the FNF Amended Revolving Credit Agreement amends the Existing Revolving Credit Agreement to permit FNF and its subsidiaries to incur the indebtedness and liens in connection with the BKIS Credit Agreement.</w:t>
      </w:r>
    </w:p>
    <w:p>
      <w:pPr>
        <w:spacing w:after="0" w:line="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May 26, 2015, Black Knight closed its initial public offering ("IPO") of 20,700,000 shares of Class A common stock at a price to the public of $24.50 per share, which included 2,700,000 shares of Class A common stock issued upon the exercise in full of the underwriters' option to purchase additional shares. Black Knight received net proceeds of $475 million from the offering, after deduction of underwriter discount and expenses. In connection with the IPO, Black Knight amended and restated its certificate of incorporation to authorize the issuance of two classes of common stock, Class A common stock and Class B common stock, which will generally vote together as a single class on all matters submitted for a vote to stockholders. As a result, Black Knight issued shares of Class B common stock to us, and certain Thomas H. Lee Partners affiliates, as the holders of membership interests in Black Knight Financial Services, LLC ("BKFS Operating, LLC") prior to the IPO. Class B common stock is not publicly traded and does not entitle the holders thereof to any of the economic rights, including rights to dividends and distributions upon liquidation that would be provided to holders of Class A common stock. Prior to the IPO, we owned 67% of the membership interests in BKFS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91" w:name="page192"/>
    <w:bookmarkEnd w:id="191"/>
    <w:p>
      <w:pPr>
        <w:jc w:val="both"/>
        <w:spacing w:after="0" w:line="277" w:lineRule="auto"/>
        <w:rPr>
          <w:sz w:val="20"/>
          <w:szCs w:val="20"/>
          <w:color w:val="auto"/>
        </w:rPr>
      </w:pPr>
      <w:r>
        <w:rPr>
          <w:rFonts w:ascii="Arial" w:cs="Arial" w:eastAsia="Arial" w:hAnsi="Arial"/>
          <w:sz w:val="18"/>
          <w:szCs w:val="18"/>
          <w:color w:val="auto"/>
        </w:rPr>
        <w:t>Operating, LLC. Following the IPO, we owned 55% of the outstanding shares of Black Knight in the form of Class B common stock, with a corresponding ownership interest in BKFS Operating, LLC.</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 for Fidelity National Financial Ventures Group Tracking Stock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our assets, liabilities, revenue, expenses and cash flows that are attributed to our Fidelity National Financial Ventures business (“we,” “our,” "FNFV Group," or “FNFV”). The financial information in this Exhibit should be read in conjunction with our consolidated financial statements for the period ended December 31, 2015 included in this Annual Report on Form 10-K.</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Group common stock is intended to reflect the separate performance of our FNFV Group. We own majority and minority equity investment stakes in a number of entities, including American Blue Ribbon Holdings, LLC ("ABRH"), Ceridian HCM, Inc. ("Ceridian") and Digital Insurance, Inc. ("Digital Insurance").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Group is comprised of two operating segments as follows:</w:t>
      </w:r>
    </w:p>
    <w:p>
      <w:pPr>
        <w:spacing w:after="0" w:line="117" w:lineRule="exact"/>
        <w:rPr>
          <w:sz w:val="20"/>
          <w:szCs w:val="20"/>
          <w:color w:val="auto"/>
        </w:rPr>
      </w:pPr>
    </w:p>
    <w:p>
      <w:pPr>
        <w:jc w:val="both"/>
        <w:ind w:left="660" w:hanging="409"/>
        <w:spacing w:after="0" w:line="276" w:lineRule="auto"/>
        <w:tabs>
          <w:tab w:leader="none" w:pos="66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ABRH, in which we have a 55% ownership interest. ABRH and its affiliates are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owners and operators of the O'Charley's, Ninety Nine Restaurants, Max &amp; Erma's, Village Inn, Bakers Square, and Legendary Baking concepts. The segment also includes the results of J. Alexander's, Inc. ("J. Alexander's") through September 28, 2015, the date it was distributed to FNFV shareholders. See the Recent Developments section below for further discussion of the distribution of J. Alexander's. On January 25, 2016, substantially all of the assets of the Max &amp; Erma's restaurant concept were sold pursuant to an Asset Purchase Agreement.</w:t>
      </w:r>
    </w:p>
    <w:p>
      <w:pPr>
        <w:spacing w:after="0" w:line="118" w:lineRule="exact"/>
        <w:rPr>
          <w:rFonts w:ascii="Arial" w:cs="Arial" w:eastAsia="Arial" w:hAnsi="Arial"/>
          <w:sz w:val="17"/>
          <w:szCs w:val="17"/>
          <w:i w:val="1"/>
          <w:iCs w:val="1"/>
          <w:color w:val="auto"/>
        </w:rPr>
      </w:pPr>
    </w:p>
    <w:p>
      <w:pPr>
        <w:ind w:left="660" w:right="20" w:hanging="409"/>
        <w:spacing w:after="0" w:line="308" w:lineRule="auto"/>
        <w:tabs>
          <w:tab w:leader="none" w:pos="66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FNFV Corporate and Other. </w:t>
      </w:r>
      <w:r>
        <w:rPr>
          <w:rFonts w:ascii="Arial" w:cs="Arial" w:eastAsia="Arial" w:hAnsi="Arial"/>
          <w:sz w:val="17"/>
          <w:szCs w:val="17"/>
          <w:color w:val="auto"/>
        </w:rPr>
        <w:t>This segment primarily consists of our share in the operations of certain equity investments, including Ceridian,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consolidated investments, including Digital Insurance in which we own 96%, and other smaller operations which are not title related.</w:t>
      </w:r>
    </w:p>
    <w:p>
      <w:pPr>
        <w:spacing w:after="0" w:line="2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2014, Fidelity National Financial ("FNF")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certain expense allocation policies, each of which are reflected in the attributed financial information of the FNF Group (see Exhibit 99.1) and the FNFV Group. In general, corporate overhead is allocated to each group based upon the use of services by that group where practicable. Corporate overhead primarily includes costs of personnel and employee benefits, legal, accounting and auditing, insurance, investor relations and stockholder services and services related to FNF’s board of directors. We allocate in a similar manner a portion of costs of administrative shared services, such as information technology services. Where determinations based on use alone are not practical, we use other methods and criteria that we believe are equitable and that provide a reasonable estimate of the cost attributable to each group.</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Notwithstanding the following attribution of assets, liabilities, revenue, expenses and cash flows to FNFV, Fidelity National Financial, Inc.'s ("FNF, Inc.") tracking stock structure does not affect the ownership or the respective legal title to FNF, Inc.'s assets or responsibility for FNF, Inc.'s liabilities. FNF, Inc. and its subsidiaries are each responsible for their respective liabilities. Holders of FNFV Group common stock are subject to risks associated with an investment in FNF, Inc. and all of its businesses, assets and liabilities. The issuance of FNFV Group common stock does not affect the rights of FNF, Inc.'s creditors or creditors of its subsidiaries. See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Risks Relating to the Ownership of Our FNFV Group Common Stock due to our Tracking Stock Capitalization" for further discussion of risks associated with our tracking stock structure.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(Unaudited)</w:t>
            </w:r>
          </w:p>
        </w:tc>
      </w:tr>
      <w:tr>
        <w:trPr>
          <w:trHeight w:val="270"/>
        </w:trPr>
        <w:tc>
          <w:tcPr>
            <w:tcW w:w="8580" w:type="dxa"/>
            <w:vAlign w:val="bottom"/>
          </w:tcPr>
          <w:p>
            <w:pPr>
              <w:ind w:left="468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Equity securities available for sale,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Other long-term investments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investments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Trade and notes receivables, net of allowance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from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Capitalized software,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858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1,919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6"/>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other 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Equity:</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FNFV Group common stock, $0.0001 par value; authorized 113,000,000 shares as of December 31, 2015 and 2014;</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outstanding of 72,217,882 and 92,828,470 as of December 31, 2015 and 2014, respectively; and issued of 80,581,466 and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92,946,545 as of December 31, 2015 and 2014, 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(deficit) earnings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treasury stock, 8,363,584 and 118,075 shares as of December 31, 2015 and December 31, 2014,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Fidelity National Financial Ventures shareholders’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1,378</w:t>
            </w:r>
          </w:p>
        </w:tc>
      </w:tr>
      <w:tr>
        <w:trPr>
          <w:trHeight w:val="33"/>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Total equity</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1,515</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5" w:right="23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20" w:type="dxa"/>
            <w:vAlign w:val="bottom"/>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Interest and investment income</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Realized gains and losses, net</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Personnel costs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operating expenses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Cost of restaurant revenue</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9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1,593</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losses of unconsolidated affiliates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(losses) earnings of unconsolidated affiliates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Net earnings from continuing operations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from discontinued operations, net of tax</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earnings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96"/>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earnings attributable to FNFV Group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51"/>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Per Share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i w:val="1"/>
                <w:iCs w:val="1"/>
                <w:color w:val="auto"/>
              </w:rPr>
              <w:t>Basic</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Old FNF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 per share attributable to Old FNF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Net loss per share from discontinued operations attributable to FNFV Group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43"/>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0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from continuing operations attributable to Old FNF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earnings per share from discontinued operations attributable to Old FNF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 per share attributable to Old FNF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020" w:type="dxa"/>
            <w:vAlign w:val="bottom"/>
          </w:tcPr>
          <w:p>
            <w:pPr>
              <w:ind w:left="40"/>
              <w:spacing w:after="0"/>
              <w:rPr>
                <w:sz w:val="20"/>
                <w:szCs w:val="20"/>
                <w:color w:val="auto"/>
              </w:rPr>
            </w:pPr>
            <w:r>
              <w:rPr>
                <w:rFonts w:ascii="Arial" w:cs="Arial" w:eastAsia="Arial" w:hAnsi="Arial"/>
                <w:sz w:val="14"/>
                <w:szCs w:val="14"/>
                <w:color w:val="auto"/>
              </w:rPr>
              <w:t>Net (loss) earnings per share from continuing operations attributable to FNFV Group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70"/>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 per share from discontinued operations attributable to FNFV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83"/>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per share attributable to FNFV Group common shareholders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24"/>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Old FNF common stock, basic basis (1)</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Weighted average shares outstanding Old FNF common stock, diluted basis (1)</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 FNFV Group common stock, basic basis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8"/>
        </w:trPr>
        <w:tc>
          <w:tcPr>
            <w:tcW w:w="9020" w:type="dxa"/>
            <w:vAlign w:val="bottom"/>
          </w:tcPr>
          <w:p>
            <w:pPr>
              <w:ind w:left="40"/>
              <w:spacing w:after="0"/>
              <w:rPr>
                <w:sz w:val="20"/>
                <w:szCs w:val="20"/>
                <w:color w:val="auto"/>
              </w:rPr>
            </w:pPr>
            <w:r>
              <w:rPr>
                <w:rFonts w:ascii="Arial" w:cs="Arial" w:eastAsia="Arial" w:hAnsi="Arial"/>
                <w:sz w:val="14"/>
                <w:szCs w:val="14"/>
                <w:color w:val="auto"/>
              </w:rPr>
              <w:t>Weighted average shares outstanding FNFV Group common stock, diluted basis</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ind w:left="980" w:hanging="972"/>
        <w:spacing w:after="0" w:line="275" w:lineRule="auto"/>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recapitalization of our stock took place on July 1, 2014. Accordingly, the outstanding shares of Old FNF common stock are presented and used to calculate earnings per share for the first six months of the twelve months ended December 31,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Attributed Financial Information for FNFV</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270"/>
        </w:trPr>
        <w:tc>
          <w:tcPr>
            <w:tcW w:w="9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earnings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Equity in losses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Loss on sales of investments and other assets, net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Cascade Timberlands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Stock-based compensation cost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(increase) decrease in trade receivables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decrease (increase) in 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(decrease) increase in accounts payable, accrued liabilities, deferred revenue and other</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change in amount due to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9360" w:type="dxa"/>
            <w:vAlign w:val="bottom"/>
          </w:tcPr>
          <w:p>
            <w:pPr>
              <w:ind w:left="540"/>
              <w:spacing w:after="0"/>
              <w:rPr>
                <w:sz w:val="20"/>
                <w:szCs w:val="20"/>
                <w:color w:val="auto"/>
              </w:rPr>
            </w:pPr>
            <w:r>
              <w:rPr>
                <w:rFonts w:ascii="Arial" w:cs="Arial" w:eastAsia="Arial" w:hAnsi="Arial"/>
                <w:sz w:val="16"/>
                <w:szCs w:val="16"/>
                <w:color w:val="auto"/>
              </w:rPr>
              <w:t>Net change in income taxes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cost method and other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Additions to property and equipment and capitalized software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investment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to investments in unconsolidated affiliates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purchases of short-term investment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purchases of other long-term investments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from 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Net other investing activities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USA Industries, Inc.,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Proceeds from sale of Cascade Timberlands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acquisitions/disposals of businesses, net of cash acquired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Borrowings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service payments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Cash transferred in Remy spin-off</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transferred in J. Alexander's spin-off</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Subsidiary dividends paid to non-controlling interest shareholders</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and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Purchases of treasury stock</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Dilution loss on equity 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360" w:type="dxa"/>
            <w:vAlign w:val="bottom"/>
          </w:tcPr>
          <w:p>
            <w:pPr>
              <w:ind w:left="280"/>
              <w:spacing w:after="0"/>
              <w:rPr>
                <w:sz w:val="20"/>
                <w:szCs w:val="20"/>
                <w:color w:val="auto"/>
              </w:rPr>
            </w:pPr>
            <w:r>
              <w:rPr>
                <w:rFonts w:ascii="Arial" w:cs="Arial" w:eastAsia="Arial" w:hAnsi="Arial"/>
                <w:sz w:val="16"/>
                <w:szCs w:val="16"/>
                <w:color w:val="auto"/>
              </w:rPr>
              <w:t>Contributions from Parent</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7"/>
        </w:trPr>
        <w:tc>
          <w:tcPr>
            <w:tcW w:w="936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44"/>
        </w:trPr>
        <w:tc>
          <w:tcPr>
            <w:tcW w:w="936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3280"/>
              <w:spacing w:after="0"/>
              <w:rPr>
                <w:sz w:val="20"/>
                <w:szCs w:val="20"/>
                <w:color w:val="auto"/>
              </w:rPr>
            </w:pPr>
            <w:r>
              <w:rPr>
                <w:rFonts w:ascii="Arial" w:cs="Arial" w:eastAsia="Arial" w:hAnsi="Arial"/>
                <w:sz w:val="18"/>
                <w:szCs w:val="18"/>
                <w:color w:val="auto"/>
              </w:rPr>
              <w:t>See Notes to Unaudited Attributed Financial Information for FNFV</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1440" w:gutter="0" w:footer="0" w:header="0"/>
          <w:type w:val="continuous"/>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Notes to Unaudited Attributed Financial Information for Fidelity National Financial Ventures Group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FNFV</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134" w:lineRule="exact"/>
        <w:rPr>
          <w:sz w:val="20"/>
          <w:szCs w:val="20"/>
          <w:color w:val="auto"/>
        </w:rPr>
      </w:pPr>
    </w:p>
    <w:p>
      <w:pPr>
        <w:ind w:left="340" w:right="260"/>
        <w:spacing w:after="0" w:line="360" w:lineRule="auto"/>
        <w:rPr>
          <w:sz w:val="20"/>
          <w:szCs w:val="20"/>
          <w:color w:val="auto"/>
        </w:rPr>
      </w:pPr>
      <w:r>
        <w:rPr>
          <w:rFonts w:ascii="Arial" w:cs="Arial" w:eastAsia="Arial" w:hAnsi="Arial"/>
          <w:sz w:val="18"/>
          <w:szCs w:val="18"/>
          <w:color w:val="auto"/>
        </w:rPr>
        <w:t xml:space="preserve">In our FNFV group, we own majority and minority equity investment stakes in a number of entities, including ABRH, Ceridian and Digital Insurance. </w:t>
      </w:r>
      <w:r>
        <w:rPr>
          <w:rFonts w:ascii="Arial" w:cs="Arial" w:eastAsia="Arial" w:hAnsi="Arial"/>
          <w:sz w:val="18"/>
          <w:szCs w:val="18"/>
          <w:b w:val="1"/>
          <w:bCs w:val="1"/>
          <w:i w:val="1"/>
          <w:iCs w:val="1"/>
          <w:color w:val="auto"/>
        </w:rPr>
        <w:t>Recent Developments</w:t>
      </w:r>
    </w:p>
    <w:p>
      <w:pPr>
        <w:jc w:val="both"/>
        <w:ind w:firstLine="324"/>
        <w:spacing w:after="0" w:line="264" w:lineRule="auto"/>
        <w:rPr>
          <w:sz w:val="20"/>
          <w:szCs w:val="20"/>
          <w:color w:val="auto"/>
        </w:rPr>
      </w:pPr>
      <w:r>
        <w:rPr>
          <w:rFonts w:ascii="Arial" w:cs="Arial" w:eastAsia="Arial" w:hAnsi="Arial"/>
          <w:sz w:val="18"/>
          <w:szCs w:val="18"/>
          <w:color w:val="auto"/>
        </w:rPr>
        <w:t>On February 18, 2016, our Board of Directors approved a new FNFV Group three-year stock repurchase program, effective March 1, 2016, under which we may repurchase up to 15 million shares of FNFV Group common stock. Purchases may be made from time to time by us in the open market at prevailing market prices or in privately negotiated transactions through February 28, 2019.</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11, 2016, we announced that we are considering alternatives to the spin-off of ABRH to FNFV shareholders previously announced on July 30, 2015.</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Beginning in October 2015 through December 31, 2015, we purchased approximately 2.2 million shares of Del Frisco Restaurant Group ("Del Frisco's", NASDAQ: DFRG) common stock for a total investment of $32 million. Subsequent to year-end through February 19, 2016, we purchased approximately 0.8 million shares of Del Frisco's common stock for $12 million. We currently own approximately 13% of the outstanding common stock of Del Frisco's.</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2015, J. Alexander's and FNF entered into a Separation and Distribution Agreement, pursuant to which FNF agreed to distribute one hundred percent (100%) of its shares of J. Alexander's common stock, on a pro rata basis, to the holders of FNFV common stock. Holders of FNFV common stock received, as a distribution from FNF, approximately 0.17272 shares of J. Alexander’s common stock for every one share of FNFV common stock held at the close of business on September 22, 2015, the record date for the distribution (the “Distribution”). The Distribution was made on September 28, 2015. As a result of the Distribution, J. Alexander's is now an independent public company and its common stock is listed under the symbol “JAX” on the New York Stock Exchange. The Distribution was generally tax-free to FNFV shareholders for U.S. federal income tax purposes, except to the extent of any cash received in lieu of J. Alexander's fractional shares.</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20, 2015, we completed our tender offer to purchase shares of FNFV stock. As a result of the offer, we accepted for purchase 12,333,333 shares of FNFV Group Common Stock for a purchase price of $15.00 per common share, for a total aggregate cost of $185 million, excluding fees and expenses related to the tender offer.</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February 18, 2015, we closed the sale of substantially all of the assets of Cascade Timberlands, LLC ("Cascade") which grows and sells timber and in which we owned a 70.2% interest, for $85 million less a replanting allowance of $1 million and an indemnity holdback of $1 million. The revenue from the sale was recorded in Escrow, title related and other fees and the cost of the land sold was in Other operating expenses in the Condensed Consolidated Statement of Operations in the six months ended June 30, 2015. The effect of the sale on FNFV's net earnings was income of approximately $12 million. There was no effect on net earnings attributable to FNFV Group common shareholders due to offsetting amounts attributable to noncontrolling interests.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EPS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the calculation of diluted earnings per share are convertible senior notes (the “Notes”) issued on August 2, 2011 by Fidelity National Financial, Inc. Under the terms of the indenture, if converted, a portion of the settlement may include shares of FNFV common stock. As the debt is the obligation of FNF Group, if FNF were to settle a portion of the Notes with FNFV common stock, FNF Group would reimburse FNFV Group for the shares issued upon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6"/>
          <w:szCs w:val="16"/>
          <w:b w:val="1"/>
          <w:bCs w:val="1"/>
          <w:color w:val="auto"/>
        </w:rPr>
        <w:t>Investments in Consolidated and Unconsolidated Affiliates</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provides information about our investments in consolidated and unconsolidated affiliates attributable to FNFV, including non-GAAP adjustments: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r>
      <w:tr>
        <w:trPr>
          <w:trHeight w:val="270"/>
        </w:trPr>
        <w:tc>
          <w:tcPr>
            <w:tcW w:w="8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Majority Owned Subsidiaries consolidated into the results of FNFV:</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American Blue Ribbon Holdings, LLC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159</w:t>
            </w: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 Alexander's, LLC</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Digital Insurance, LLC</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149</w:t>
            </w: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Minority Owned Subsidiaries or other ventures: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Ceridian (32% minority equity interest)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632</w:t>
            </w: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Cascade Timberlands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r>
      <w:tr>
        <w:trPr>
          <w:trHeight w:val="243"/>
        </w:trPr>
        <w:tc>
          <w:tcPr>
            <w:tcW w:w="8740" w:type="dxa"/>
            <w:vAlign w:val="bottom"/>
          </w:tcPr>
          <w:p>
            <w:pPr>
              <w:ind w:left="160"/>
              <w:spacing w:after="0"/>
              <w:rPr>
                <w:sz w:val="20"/>
                <w:szCs w:val="20"/>
                <w:color w:val="auto"/>
              </w:rPr>
            </w:pPr>
            <w:r>
              <w:rPr>
                <w:rFonts w:ascii="Arial" w:cs="Arial" w:eastAsia="Arial" w:hAnsi="Arial"/>
                <w:sz w:val="18"/>
                <w:szCs w:val="18"/>
                <w:color w:val="auto"/>
              </w:rPr>
              <w:t>Del Frisco's Restaurant Group</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Holding Company cash and short 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ventures</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111</w:t>
            </w:r>
          </w:p>
        </w:tc>
      </w:tr>
      <w:tr>
        <w:trPr>
          <w:trHeight w:val="27"/>
        </w:trPr>
        <w:tc>
          <w:tcPr>
            <w:tcW w:w="8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FNFV Book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1,378</w:t>
            </w:r>
          </w:p>
        </w:tc>
      </w:tr>
      <w:tr>
        <w:trPr>
          <w:trHeight w:val="20"/>
        </w:trPr>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FNFV Common Stock</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FNFV Group common stock has voting and redemption rights. Holders of FNFV Group common stock are entitled to one vote for each share of such stock held. Holders of FNFV Group common stock will vote as one class with holders of FNF Group common stock on all matters that are submitted to a vote of its stockholders unless a separate class vote is required by the terms of the current charter or Delaware law. In connection with certain dispositions of FNFV Group assets, the FNF board of directors may determine to seek approval of the holders of FNFV common stock, voting together as a separate class, to avoid effecting a mandatory dividend, redemption or conversion under the restated charter.</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FNF may not redeem outstanding shares of FNFV Group common stock for shares of common stock of a subsidiary that holds assets and liabilities attributed to the FNFV Group unless its board of directors seeks and receives the approval to such redemption of holders of FNFV common stock, voting together as a separate class, and, if such subsidiary also holds assets and liabilities of the FNF Group, the approval of holders of FNF Group common stock to the corresponding FNF Group common stock redemption, with each affected group voting as a separate class. FNF can convert each share of FNFV Group common stock into a number of shares of the FNF Group common stock at a ratio that provides FNFV stockholders with the applicable Conversion Premium to which they are entitled.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R"/>
      <w:numFmt w:val="bullet"/>
      <w:start w:val="1"/>
    </w:lvl>
  </w:abstractNum>
  <w:abstractNum w:abstractNumId="1">
    <w:nsid w:val="5F5E7FD0"/>
    <w:multiLevelType w:val="hybridMultilevel"/>
    <w:lvl w:ilvl="0">
      <w:lvlJc w:val="left"/>
      <w:lvlText w:val="o"/>
      <w:numFmt w:val="bullet"/>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
      <w:numFmt w:val="bullet"/>
      <w:start w:val="1"/>
    </w:lvl>
  </w:abstractNum>
  <w:abstractNum w:abstractNumId="11">
    <w:nsid w:val="7BD3EE7B"/>
    <w:multiLevelType w:val="hybridMultilevel"/>
    <w:lvl w:ilvl="0">
      <w:lvlJc w:val="left"/>
      <w:lvlText w:val="(%1)"/>
      <w:numFmt w:val="decimal"/>
      <w:start w:val="1"/>
    </w:lvl>
  </w:abstractNum>
  <w:abstractNum w:abstractNumId="12">
    <w:nsid w:val="51D9C564"/>
    <w:multiLevelType w:val="hybridMultilevel"/>
    <w:lvl w:ilvl="0">
      <w:lvlJc w:val="left"/>
      <w:lvlText w:val="(%1)"/>
      <w:numFmt w:val="decimal"/>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
      <w:numFmt w:val="bullet"/>
      <w:start w:val="1"/>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1)"/>
      <w:numFmt w:val="lowerRoman"/>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1"/>
      <w:numFmt w:val="upperLetter"/>
      <w:start w:val="35"/>
    </w:lvl>
  </w:abstractNum>
  <w:abstractNum w:abstractNumId="25">
    <w:nsid w:val="14330624"/>
    <w:multiLevelType w:val="hybridMultilevel"/>
    <w:lvl w:ilvl="0">
      <w:lvlJc w:val="left"/>
      <w:lvlText w:val="(%1)"/>
      <w:numFmt w:val="decimal"/>
      <w:start w:val="1"/>
    </w:lvl>
  </w:abstractNum>
  <w:abstractNum w:abstractNumId="26">
    <w:nsid w:val="7FFFCA11"/>
    <w:multiLevelType w:val="hybridMultilevel"/>
    <w:lvl w:ilvl="0">
      <w:lvlJc w:val="left"/>
      <w:lvlText w:val="(%1)"/>
      <w:numFmt w:val="decimal"/>
      <w:start w:val="1"/>
    </w:lvl>
  </w:abstractNum>
  <w:abstractNum w:abstractNumId="27">
    <w:nsid w:val="1A27709E"/>
    <w:multiLevelType w:val="hybridMultilevel"/>
    <w:lvl w:ilvl="0">
      <w:lvlJc w:val="left"/>
      <w:lvlText w:val="(%1)"/>
      <w:numFmt w:val="decimal"/>
      <w:start w:val="1"/>
    </w:lvl>
  </w:abstractNum>
  <w:abstractNum w:abstractNumId="28">
    <w:nsid w:val="71EA1109"/>
    <w:multiLevelType w:val="hybridMultilevel"/>
    <w:lvl w:ilvl="0">
      <w:lvlJc w:val="left"/>
      <w:lvlText w:val="(%1)"/>
      <w:numFmt w:val="decimal"/>
      <w:start w:val="1"/>
    </w:lvl>
  </w:abstractNum>
  <w:abstractNum w:abstractNumId="29">
    <w:nsid w:val="100F59DC"/>
    <w:multiLevelType w:val="hybridMultilevel"/>
    <w:lvl w:ilvl="0">
      <w:lvlJc w:val="left"/>
      <w:lvlText w:val="(%1)"/>
      <w:numFmt w:val="decimal"/>
      <w:start w:val="1"/>
    </w:lvl>
  </w:abstractNum>
  <w:abstractNum w:abstractNumId="30">
    <w:nsid w:val="7FB7E0AA"/>
    <w:multiLevelType w:val="hybridMultilevel"/>
    <w:lvl w:ilvl="0">
      <w:lvlJc w:val="left"/>
      <w:lvlText w:val="(%1)"/>
      <w:numFmt w:val="decimal"/>
      <w:start w:val="2"/>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1)"/>
      <w:numFmt w:val="decimal"/>
      <w:start w:val="1"/>
    </w:lvl>
  </w:abstractNum>
  <w:abstractNum w:abstractNumId="35">
    <w:nsid w:val="76272110"/>
    <w:multiLevelType w:val="hybridMultilevel"/>
    <w:lvl w:ilvl="0">
      <w:lvlJc w:val="left"/>
      <w:lvlText w:val="(%1)"/>
      <w:numFmt w:val="lowerRoman"/>
      <w:start w:val="3"/>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1)"/>
      <w:numFmt w:val="decimal"/>
      <w:start w:val="1"/>
    </w:lvl>
  </w:abstractNum>
  <w:abstractNum w:abstractNumId="44">
    <w:nsid w:val="4A2AC315"/>
    <w:multiLevelType w:val="hybridMultilevel"/>
    <w:lvl w:ilvl="0">
      <w:lvlJc w:val="left"/>
      <w:lvlText w:val="(%1)"/>
      <w:numFmt w:val="lowerRoman"/>
      <w:start w:val="2"/>
    </w:lvl>
  </w:abstractNum>
  <w:abstractNum w:abstractNumId="45">
    <w:nsid w:val="39EE015C"/>
    <w:multiLevelType w:val="hybridMultilevel"/>
    <w:lvl w:ilvl="0">
      <w:lvlJc w:val="left"/>
      <w:lvlText w:val="(%1)"/>
      <w:numFmt w:val="decimal"/>
      <w:start w:val="1"/>
    </w:lvl>
  </w:abstractNum>
  <w:abstractNum w:abstractNumId="46">
    <w:nsid w:val="57FC4FBB"/>
    <w:multiLevelType w:val="hybridMultilevel"/>
    <w:lvl w:ilvl="0">
      <w:lvlJc w:val="left"/>
      <w:lvlText w:val="(%1)"/>
      <w:numFmt w:val="lowerLetter"/>
      <w:start w:val="2"/>
    </w:lvl>
  </w:abstractNum>
  <w:abstractNum w:abstractNumId="47">
    <w:nsid w:val="CC1016F"/>
    <w:multiLevelType w:val="hybridMultilevel"/>
    <w:lvl w:ilvl="0">
      <w:lvlJc w:val="left"/>
      <w:lvlText w:val="(%1)"/>
      <w:numFmt w:val="lowerLetter"/>
      <w:start w:val="1"/>
    </w:lvl>
  </w:abstractNum>
  <w:abstractNum w:abstractNumId="48">
    <w:nsid w:val="43F18422"/>
    <w:multiLevelType w:val="hybridMultilevel"/>
    <w:lvl w:ilvl="0">
      <w:lvlJc w:val="left"/>
      <w:lvlText w:val="%1"/>
      <w:numFmt w:val="decimal"/>
      <w:start w:val="101"/>
    </w:lvl>
  </w:abstractNum>
  <w:abstractNum w:abstractNumId="49">
    <w:nsid w:val="60EF0119"/>
    <w:multiLevelType w:val="hybridMultilevel"/>
    <w:lvl w:ilvl="0">
      <w:lvlJc w:val="left"/>
      <w:lvlText w:val="(%1)"/>
      <w:numFmt w:val="decimal"/>
      <w:start w:val="1"/>
    </w:lvl>
  </w:abstractNum>
  <w:abstractNum w:abstractNumId="50">
    <w:nsid w:val="26F324BA"/>
    <w:multiLevelType w:val="hybridMultilevel"/>
    <w:lvl w:ilvl="0">
      <w:lvlJc w:val="left"/>
      <w:lvlText w:val="%1."/>
      <w:numFmt w:val="upperLetter"/>
      <w:start w:val="2"/>
    </w:lvl>
  </w:abstractNum>
  <w:abstractNum w:abstractNumId="51">
    <w:nsid w:val="7F01579B"/>
    <w:multiLevelType w:val="hybridMultilevel"/>
    <w:lvl w:ilvl="0">
      <w:lvlJc w:val="left"/>
      <w:lvlText w:val="%1."/>
      <w:numFmt w:val="upperLetter"/>
      <w:start w:val="3"/>
    </w:lvl>
  </w:abstractNum>
  <w:abstractNum w:abstractNumId="52">
    <w:nsid w:val="49DA307D"/>
    <w:multiLevelType w:val="hybridMultilevel"/>
    <w:lvl w:ilvl="0">
      <w:lvlJc w:val="left"/>
      <w:lvlText w:val="%1."/>
      <w:numFmt w:val="upperLetter"/>
      <w:start w:val="4"/>
    </w:lvl>
  </w:abstractNum>
  <w:abstractNum w:abstractNumId="53">
    <w:nsid w:val="7055A5F5"/>
    <w:multiLevelType w:val="hybridMultilevel"/>
    <w:lvl w:ilvl="0">
      <w:lvlJc w:val="left"/>
      <w:lvlText w:val="(%1)"/>
      <w:numFmt w:val="decimal"/>
      <w:start w:val="1"/>
    </w:lvl>
  </w:abstractNum>
  <w:abstractNum w:abstractNumId="54">
    <w:nsid w:val="5FB8370B"/>
    <w:multiLevelType w:val="hybridMultilevel"/>
    <w:lvl w:ilvl="0">
      <w:lvlJc w:val="left"/>
      <w:lvlText w:val="%1"/>
      <w:numFmt w:val="decimal"/>
      <w:start w:val="101"/>
    </w:lvl>
  </w:abstractNum>
  <w:abstractNum w:abstractNumId="55">
    <w:nsid w:val="50801EE1"/>
    <w:multiLevelType w:val="hybridMultilevel"/>
    <w:lvl w:ilvl="0">
      <w:lvlJc w:val="left"/>
      <w:lvlText w:val="(%1)"/>
      <w:numFmt w:val="decimal"/>
      <w:start w:val="1"/>
    </w:lvl>
  </w:abstractNum>
  <w:abstractNum w:abstractNumId="56">
    <w:nsid w:val="488AC1A"/>
    <w:multiLevelType w:val="hybridMultilevel"/>
    <w:lvl w:ilvl="0">
      <w:lvlJc w:val="left"/>
      <w:lvlText w:val="(%1)"/>
      <w:numFmt w:val="lowerLetter"/>
      <w:start w:val="1"/>
    </w:lvl>
  </w:abstractNum>
  <w:abstractNum w:abstractNumId="57">
    <w:nsid w:val="5FB8011C"/>
    <w:multiLevelType w:val="hybridMultilevel"/>
    <w:lvl w:ilvl="0">
      <w:lvlJc w:val="left"/>
      <w:lvlText w:val="(%1)"/>
      <w:numFmt w:val="lowerLetter"/>
      <w:start w:val="1"/>
    </w:lvl>
    <w:lvl w:ilvl="1">
      <w:lvlJc w:val="left"/>
      <w:lvlText w:val="(%2)"/>
      <w:numFmt w:val="lowerRoman"/>
      <w:start w:val="1"/>
    </w:lvl>
  </w:abstractNum>
  <w:abstractNum w:abstractNumId="58">
    <w:nsid w:val="6AA78F7F"/>
    <w:multiLevelType w:val="hybridMultilevel"/>
    <w:lvl w:ilvl="0">
      <w:lvlJc w:val="left"/>
      <w:lvlText w:val="%1"/>
      <w:numFmt w:val="lowerLetter"/>
      <w:start w:val="1"/>
    </w:lvl>
    <w:lvl w:ilvl="1">
      <w:lvlJc w:val="left"/>
      <w:lvlText w:val="(%2)"/>
      <w:numFmt w:val="lowerRoman"/>
      <w:start w:val="3"/>
    </w:lvl>
  </w:abstractNum>
  <w:abstractNum w:abstractNumId="59">
    <w:nsid w:val="7672BD23"/>
    <w:multiLevelType w:val="hybridMultilevel"/>
    <w:lvl w:ilvl="0">
      <w:lvlJc w:val="left"/>
      <w:lvlText w:val="(%1)"/>
      <w:numFmt w:val="lowerLetter"/>
      <w:start w:val="2"/>
    </w:lvl>
    <w:lvl w:ilvl="1">
      <w:lvlJc w:val="left"/>
      <w:lvlText w:val="%2"/>
      <w:numFmt w:val="lowerRoman"/>
      <w:start w:val="1"/>
    </w:lvl>
  </w:abstractNum>
  <w:abstractNum w:abstractNumId="60">
    <w:nsid w:val="6FC75AF8"/>
    <w:multiLevelType w:val="hybridMultilevel"/>
    <w:lvl w:ilvl="0">
      <w:lvlJc w:val="left"/>
      <w:lvlText w:val="(%1)"/>
      <w:numFmt w:val="lowerLetter"/>
      <w:start w:val="4"/>
    </w:lvl>
  </w:abstractNum>
  <w:abstractNum w:abstractNumId="61">
    <w:nsid w:val="6A5F7029"/>
    <w:multiLevelType w:val="hybridMultilevel"/>
    <w:lvl w:ilvl="0">
      <w:lvlJc w:val="left"/>
      <w:lvlText w:val="(%1)"/>
      <w:numFmt w:val="lowerLetter"/>
      <w:start w:val="1"/>
    </w:lvl>
  </w:abstractNum>
  <w:abstractNum w:abstractNumId="62">
    <w:nsid w:val="7D5E18F8"/>
    <w:multiLevelType w:val="hybridMultilevel"/>
    <w:lvl w:ilvl="0">
      <w:lvlJc w:val="left"/>
      <w:lvlText w:val="(%1)"/>
      <w:numFmt w:val="lowerLetter"/>
      <w:start w:val="1"/>
    </w:lvl>
  </w:abstractNum>
  <w:abstractNum w:abstractNumId="63">
    <w:nsid w:val="5F3534A4"/>
    <w:multiLevelType w:val="hybridMultilevel"/>
    <w:lvl w:ilvl="0">
      <w:lvlJc w:val="left"/>
      <w:lvlText w:val="(%1)"/>
      <w:numFmt w:val="lowerLetter"/>
      <w:start w:val="3"/>
    </w:lvl>
  </w:abstractNum>
  <w:abstractNum w:abstractNumId="64">
    <w:nsid w:val="73A1821B"/>
    <w:multiLevelType w:val="hybridMultilevel"/>
    <w:lvl w:ilvl="0">
      <w:lvlJc w:val="left"/>
      <w:lvlText w:val="(%1)"/>
      <w:numFmt w:val="lowerLetter"/>
      <w:start w:val="1"/>
    </w:lvl>
  </w:abstractNum>
  <w:abstractNum w:abstractNumId="65">
    <w:nsid w:val="7DE67713"/>
    <w:multiLevelType w:val="hybridMultilevel"/>
    <w:lvl w:ilvl="0">
      <w:lvlJc w:val="left"/>
      <w:lvlText w:val="(%1)"/>
      <w:numFmt w:val="lowerLetter"/>
      <w:start w:val="1"/>
    </w:lvl>
    <w:lvl w:ilvl="1">
      <w:lvlJc w:val="left"/>
      <w:lvlText w:val="(%2)"/>
      <w:numFmt w:val="lowerRoman"/>
      <w:start w:val="1"/>
    </w:lvl>
  </w:abstractNum>
  <w:abstractNum w:abstractNumId="66">
    <w:nsid w:val="555C55B5"/>
    <w:multiLevelType w:val="hybridMultilevel"/>
    <w:lvl w:ilvl="0">
      <w:lvlJc w:val="left"/>
      <w:lvlText w:val="(%1)"/>
      <w:numFmt w:val="lowerLetter"/>
      <w:start w:val="3"/>
    </w:lvl>
  </w:abstractNum>
  <w:abstractNum w:abstractNumId="67">
    <w:nsid w:val="3FA62ACA"/>
    <w:multiLevelType w:val="hybridMultilevel"/>
    <w:lvl w:ilvl="0">
      <w:lvlJc w:val="left"/>
      <w:lvlText w:val="(%1)"/>
      <w:numFmt w:val="lowerLetter"/>
      <w:start w:val="1"/>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lowerLetter"/>
      <w:start w:val="4"/>
    </w:lvl>
  </w:abstractNum>
  <w:abstractNum w:abstractNumId="70">
    <w:nsid w:val="71C91298"/>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71">
    <w:nsid w:val="9DAF632"/>
    <w:multiLevelType w:val="hybridMultilevel"/>
    <w:lvl w:ilvl="0">
      <w:lvlJc w:val="left"/>
      <w:lvlText w:val="(%1)"/>
      <w:numFmt w:val="decimal"/>
      <w:start w:val="3"/>
    </w:lvl>
    <w:lvl w:ilvl="1">
      <w:lvlJc w:val="left"/>
      <w:lvlText w:val="%2"/>
      <w:numFmt w:val="decimal"/>
      <w:start w:val="1"/>
    </w:lvl>
    <w:lvl w:ilvl="2">
      <w:lvlJc w:val="left"/>
      <w:lvlText w:val="%3."/>
      <w:numFmt w:val="decimal"/>
      <w:start w:val="4"/>
    </w:lvl>
  </w:abstractNum>
  <w:abstractNum w:abstractNumId="72">
    <w:nsid w:val="53299938"/>
    <w:multiLevelType w:val="hybridMultilevel"/>
    <w:lvl w:ilvl="0">
      <w:lvlJc w:val="left"/>
      <w:lvlText w:val="(%1)"/>
      <w:numFmt w:val="lowerLetter"/>
      <w:start w:val="1"/>
    </w:lvl>
  </w:abstractNum>
  <w:abstractNum w:abstractNumId="73">
    <w:nsid w:val="1FBFE8E0"/>
    <w:multiLevelType w:val="hybridMultilevel"/>
    <w:lvl w:ilvl="0">
      <w:lvlJc w:val="left"/>
      <w:lvlText w:val="%1."/>
      <w:numFmt w:val="decimal"/>
      <w:start w:val="6"/>
    </w:lvl>
  </w:abstractNum>
  <w:abstractNum w:abstractNumId="74">
    <w:nsid w:val="5092CA79"/>
    <w:multiLevelType w:val="hybridMultilevel"/>
    <w:lvl w:ilvl="0">
      <w:lvlJc w:val="left"/>
      <w:lvlText w:val="(%1)"/>
      <w:numFmt w:val="lowerLetter"/>
      <w:start w:val="1"/>
    </w:lvl>
  </w:abstractNum>
  <w:abstractNum w:abstractNumId="75">
    <w:nsid w:val="1D545C4D"/>
    <w:multiLevelType w:val="hybridMultilevel"/>
    <w:lvl w:ilvl="0">
      <w:lvlJc w:val="left"/>
      <w:lvlText w:val="(%1)"/>
      <w:numFmt w:val="lowerLetter"/>
      <w:start w:val="2"/>
    </w:lvl>
    <w:lvl w:ilvl="1">
      <w:lvlJc w:val="left"/>
      <w:lvlText w:val="(%2)"/>
      <w:numFmt w:val="lowerLetter"/>
      <w:start w:val="61"/>
    </w:lvl>
  </w:abstractNum>
  <w:abstractNum w:abstractNumId="76">
    <w:nsid w:val="59ADEA3D"/>
    <w:multiLevelType w:val="hybridMultilevel"/>
    <w:lvl w:ilvl="0">
      <w:lvlJc w:val="left"/>
      <w:lvlText w:val="(%1)"/>
      <w:numFmt w:val="lowerLetter"/>
      <w:start w:val="2"/>
    </w:lvl>
    <w:lvl w:ilvl="1">
      <w:lvlJc w:val="left"/>
      <w:lvlText w:val="(%2)"/>
      <w:numFmt w:val="lowerRoman"/>
      <w:start w:val="1"/>
    </w:lvl>
  </w:abstractNum>
  <w:abstractNum w:abstractNumId="77">
    <w:nsid w:val="288F1A34"/>
    <w:multiLevelType w:val="hybridMultilevel"/>
    <w:lvl w:ilvl="0">
      <w:lvlJc w:val="left"/>
      <w:lvlText w:val="(%1)"/>
      <w:numFmt w:val="lowerRoman"/>
      <w:start w:val="4"/>
    </w:lvl>
  </w:abstractNum>
  <w:abstractNum w:abstractNumId="78">
    <w:nsid w:val="2A155DBC"/>
    <w:multiLevelType w:val="hybridMultilevel"/>
    <w:lvl w:ilvl="0">
      <w:lvlJc w:val="left"/>
      <w:lvlText w:val="(%1)"/>
      <w:numFmt w:val="lowerLetter"/>
      <w:start w:val="3"/>
    </w:lvl>
  </w:abstractNum>
  <w:abstractNum w:abstractNumId="79">
    <w:nsid w:val="1D9F6E5F"/>
    <w:multiLevelType w:val="hybridMultilevel"/>
    <w:lvl w:ilvl="0">
      <w:lvlJc w:val="left"/>
      <w:lvlText w:val="%1."/>
      <w:numFmt w:val="decimal"/>
      <w:start w:val="9"/>
    </w:lvl>
  </w:abstractNum>
  <w:abstractNum w:abstractNumId="80">
    <w:nsid w:val="97E1B4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abstractNum>
  <w:abstractNum w:abstractNumId="81">
    <w:nsid w:val="51088277"/>
    <w:multiLevelType w:val="hybridMultilevel"/>
    <w:lvl w:ilvl="0">
      <w:lvlJc w:val="left"/>
      <w:lvlText w:val="(%1)"/>
      <w:numFmt w:val="lowerRoman"/>
      <w:start w:val="3"/>
    </w:lvl>
    <w:lvl w:ilvl="1">
      <w:lvlJc w:val="left"/>
      <w:lvlText w:val="(%2)"/>
      <w:numFmt w:val="upperLetter"/>
      <w:start w:val="1"/>
    </w:lvl>
  </w:abstractNum>
  <w:abstractNum w:abstractNumId="82">
    <w:nsid w:val="1CA0C5FA"/>
    <w:multiLevelType w:val="hybridMultilevel"/>
    <w:lvl w:ilvl="0">
      <w:lvlJc w:val="left"/>
      <w:lvlText w:val="(%1)"/>
      <w:numFmt w:val="lowerLetter"/>
      <w:start w:val="2"/>
    </w:lvl>
    <w:lvl w:ilvl="1">
      <w:lvlJc w:val="left"/>
      <w:lvlText w:val="(%2)"/>
      <w:numFmt w:val="lowerRoman"/>
      <w:start w:val="1"/>
    </w:lvl>
  </w:abstractNum>
  <w:abstractNum w:abstractNumId="83">
    <w:nsid w:val="53584BCB"/>
    <w:multiLevelType w:val="hybridMultilevel"/>
    <w:lvl w:ilvl="0">
      <w:lvlJc w:val="left"/>
      <w:lvlText w:val="%1"/>
      <w:numFmt w:val="lowerLetter"/>
      <w:start w:val="1"/>
    </w:lvl>
    <w:lvl w:ilvl="1">
      <w:lvlJc w:val="left"/>
      <w:lvlText w:val="(%2)"/>
      <w:numFmt w:val="lowerRoman"/>
      <w:start w:val="6"/>
    </w:lvl>
  </w:abstractNum>
  <w:abstractNum w:abstractNumId="84">
    <w:nsid w:val="415E286C"/>
    <w:multiLevelType w:val="hybridMultilevel"/>
    <w:lvl w:ilvl="0">
      <w:lvlJc w:val="left"/>
      <w:lvlText w:val="(%1)"/>
      <w:numFmt w:val="lowerLetter"/>
      <w:start w:val="5"/>
    </w:lvl>
    <w:lvl w:ilvl="1">
      <w:lvlJc w:val="left"/>
      <w:lvlText w:val="%2"/>
      <w:numFmt w:val="lowerRoman"/>
      <w:start w:val="1"/>
    </w:lvl>
  </w:abstractNum>
  <w:abstractNum w:abstractNumId="85">
    <w:nsid w:val="7C58FD05"/>
    <w:multiLevelType w:val="hybridMultilevel"/>
    <w:lvl w:ilvl="0">
      <w:lvlJc w:val="left"/>
      <w:lvlText w:val="%1."/>
      <w:numFmt w:val="decimal"/>
      <w:start w:val="10"/>
    </w:lvl>
  </w:abstractNum>
  <w:abstractNum w:abstractNumId="86">
    <w:nsid w:val="23D86AAC"/>
    <w:multiLevelType w:val="hybridMultilevel"/>
    <w:lvl w:ilvl="0">
      <w:lvlJc w:val="left"/>
      <w:lvlText w:val="%1."/>
      <w:numFmt w:val="decimal"/>
      <w:start w:val="13"/>
    </w:lvl>
  </w:abstractNum>
  <w:abstractNum w:abstractNumId="87">
    <w:nsid w:val="45E6D486"/>
    <w:multiLevelType w:val="hybridMultilevel"/>
    <w:lvl w:ilvl="0">
      <w:lvlJc w:val="left"/>
      <w:lvlText w:val="(%1)"/>
      <w:numFmt w:val="lowerLetter"/>
      <w:start w:val="1"/>
    </w:lvl>
  </w:abstractNum>
  <w:abstractNum w:abstractNumId="88">
    <w:nsid w:val="5C10FE21"/>
    <w:multiLevelType w:val="hybridMultilevel"/>
    <w:lvl w:ilvl="0">
      <w:lvlJc w:val="left"/>
      <w:lvlText w:val="%1."/>
      <w:numFmt w:val="decimal"/>
      <w:start w:val="14"/>
    </w:lvl>
  </w:abstractNum>
  <w:abstractNum w:abstractNumId="89">
    <w:nsid w:val="E7FFA2B"/>
    <w:multiLevelType w:val="hybridMultilevel"/>
    <w:lvl w:ilvl="0">
      <w:lvlJc w:val="left"/>
      <w:lvlText w:val="%1."/>
      <w:numFmt w:val="decimal"/>
      <w:start w:val="16"/>
    </w:lvl>
  </w:abstractNum>
  <w:abstractNum w:abstractNumId="90">
    <w:nsid w:val="3C5991AA"/>
    <w:multiLevelType w:val="hybridMultilevel"/>
    <w:lvl w:ilvl="0">
      <w:lvlJc w:val="left"/>
      <w:lvlText w:val="%1."/>
      <w:numFmt w:val="decimal"/>
      <w:start w:val="21"/>
    </w:lvl>
  </w:abstractNum>
  <w:abstractNum w:abstractNumId="91">
    <w:nsid w:val="4BD8591A"/>
    <w:multiLevelType w:val="hybridMultilevel"/>
    <w:lvl w:ilvl="0">
      <w:lvlJc w:val="left"/>
      <w:lvlText w:val="%1."/>
      <w:numFmt w:val="decimal"/>
      <w:start w:val="25"/>
    </w:lvl>
  </w:abstractNum>
  <w:abstractNum w:abstractNumId="92">
    <w:nsid w:val="78DF6A55"/>
    <w:multiLevelType w:val="hybridMultilevel"/>
    <w:lvl w:ilvl="0">
      <w:lvlJc w:val="left"/>
      <w:lvlText w:val="%1."/>
      <w:numFmt w:val="decimal"/>
      <w:start w:val="26"/>
    </w:lvl>
  </w:abstractNum>
  <w:abstractNum w:abstractNumId="93">
    <w:nsid w:val="39B7AAA2"/>
    <w:multiLevelType w:val="hybridMultilevel"/>
    <w:lvl w:ilvl="0">
      <w:lvlJc w:val="left"/>
      <w:lvlText w:val="%1."/>
      <w:numFmt w:val="decimal"/>
      <w:start w:val="28"/>
    </w:lvl>
  </w:abstractNum>
  <w:abstractNum w:abstractNumId="94">
    <w:nsid w:val="2B0D8DBE"/>
    <w:multiLevelType w:val="hybridMultilevel"/>
    <w:lvl w:ilvl="0">
      <w:lvlJc w:val="left"/>
      <w:lvlText w:val="%1."/>
      <w:numFmt w:val="decimal"/>
      <w:start w:val="1"/>
    </w:lvl>
  </w:abstractNum>
  <w:abstractNum w:abstractNumId="95">
    <w:nsid w:val="6C80EC70"/>
    <w:multiLevelType w:val="hybridMultilevel"/>
    <w:lvl w:ilvl="0">
      <w:lvlJc w:val="left"/>
      <w:lvlText w:val="%1."/>
      <w:numFmt w:val="decimal"/>
      <w:start w:val="1"/>
    </w:lvl>
  </w:abstractNum>
  <w:abstractNum w:abstractNumId="96">
    <w:nsid w:val="379E21B5"/>
    <w:multiLevelType w:val="hybridMultilevel"/>
    <w:lvl w:ilvl="0">
      <w:lvlJc w:val="left"/>
      <w:lvlText w:val="%1."/>
      <w:numFmt w:val="decimal"/>
      <w:start w:val="6"/>
    </w:lvl>
  </w:abstractNum>
  <w:abstractNum w:abstractNumId="97">
    <w:nsid w:val="69E373"/>
    <w:multiLevelType w:val="hybridMultilevel"/>
    <w:lvl w:ilvl="0">
      <w:lvlJc w:val="left"/>
      <w:lvlText w:val="(%1)"/>
      <w:numFmt w:val="lowerLetter"/>
      <w:start w:val="1"/>
    </w:lvl>
  </w:abstractNum>
  <w:abstractNum w:abstractNumId="98">
    <w:nsid w:val="2C27173B"/>
    <w:multiLevelType w:val="hybridMultilevel"/>
    <w:lvl w:ilvl="0">
      <w:lvlJc w:val="left"/>
      <w:lvlText w:val="(%1)"/>
      <w:numFmt w:val="lowerLetter"/>
      <w:start w:val="5"/>
    </w:lvl>
  </w:abstractNum>
  <w:abstractNum w:abstractNumId="99">
    <w:nsid w:val="4C9B0904"/>
    <w:multiLevelType w:val="hybridMultilevel"/>
    <w:lvl w:ilvl="0">
      <w:lvlJc w:val="left"/>
      <w:lvlText w:val="(%1)"/>
      <w:numFmt w:val="lowerLetter"/>
      <w:start w:val="2"/>
    </w:lvl>
    <w:lvl w:ilvl="1">
      <w:lvlJc w:val="left"/>
      <w:lvlText w:val="(%2)"/>
      <w:numFmt w:val="lowerRoman"/>
      <w:start w:val="1"/>
    </w:lvl>
  </w:abstractNum>
  <w:abstractNum w:abstractNumId="100">
    <w:nsid w:val="6AA7B75C"/>
    <w:multiLevelType w:val="hybridMultilevel"/>
    <w:lvl w:ilvl="0">
      <w:lvlJc w:val="left"/>
      <w:lvlText w:val="(%1)"/>
      <w:numFmt w:val="lowerLetter"/>
      <w:start w:val="3"/>
    </w:lvl>
  </w:abstractNum>
  <w:abstractNum w:abstractNumId="101">
    <w:nsid w:val="1DF029D3"/>
    <w:multiLevelType w:val="hybridMultilevel"/>
    <w:lvl w:ilvl="0">
      <w:lvlJc w:val="left"/>
      <w:lvlText w:val="%1."/>
      <w:numFmt w:val="decimal"/>
      <w:start w:val="8"/>
    </w:lvl>
  </w:abstractNum>
  <w:abstractNum w:abstractNumId="102">
    <w:nsid w:val="5675FF36"/>
    <w:multiLevelType w:val="hybridMultilevel"/>
    <w:lvl w:ilvl="0">
      <w:lvlJc w:val="left"/>
      <w:lvlText w:val="(%1)"/>
      <w:numFmt w:val="lowerLetter"/>
      <w:start w:val="1"/>
    </w:lvl>
    <w:lvl w:ilvl="1">
      <w:lvlJc w:val="left"/>
      <w:lvlText w:val="(%2)"/>
      <w:numFmt w:val="lowerRoman"/>
      <w:start w:val="1"/>
    </w:lvl>
  </w:abstractNum>
  <w:abstractNum w:abstractNumId="103">
    <w:nsid w:val="3DD15094"/>
    <w:multiLevelType w:val="hybridMultilevel"/>
    <w:lvl w:ilvl="0">
      <w:lvlJc w:val="left"/>
      <w:lvlText w:val="%1"/>
      <w:numFmt w:val="lowerLetter"/>
      <w:start w:val="1"/>
    </w:lvl>
    <w:lvl w:ilvl="1">
      <w:lvlJc w:val="left"/>
      <w:lvlText w:val="(%2)"/>
      <w:numFmt w:val="lowerRoman"/>
      <w:start w:val="2"/>
    </w:lvl>
  </w:abstractNum>
  <w:abstractNum w:abstractNumId="104">
    <w:nsid w:val="3DB012B3"/>
    <w:multiLevelType w:val="hybridMultilevel"/>
    <w:lvl w:ilvl="0">
      <w:lvlJc w:val="left"/>
      <w:lvlText w:val="(%1)"/>
      <w:numFmt w:val="lowerLetter"/>
      <w:start w:val="5"/>
    </w:lvl>
    <w:lvl w:ilvl="1">
      <w:lvlJc w:val="left"/>
      <w:lvlText w:val="%2"/>
      <w:numFmt w:val="lowerRoman"/>
      <w:start w:val="1"/>
    </w:lvl>
  </w:abstractNum>
  <w:abstractNum w:abstractNumId="105">
    <w:nsid w:val="2708C9AF"/>
    <w:multiLevelType w:val="hybridMultilevel"/>
    <w:lvl w:ilvl="0">
      <w:lvlJc w:val="left"/>
      <w:lvlText w:val="%1."/>
      <w:numFmt w:val="decimal"/>
      <w:start w:val="9"/>
    </w:lvl>
  </w:abstractNum>
  <w:abstractNum w:abstractNumId="106">
    <w:nsid w:val="5B25ACE2"/>
    <w:multiLevelType w:val="hybridMultilevel"/>
    <w:lvl w:ilvl="0">
      <w:lvlJc w:val="left"/>
      <w:lvlText w:val="%1."/>
      <w:numFmt w:val="decimal"/>
      <w:start w:val="10"/>
    </w:lvl>
  </w:abstractNum>
  <w:abstractNum w:abstractNumId="107">
    <w:nsid w:val="175DFCF0"/>
    <w:multiLevelType w:val="hybridMultilevel"/>
    <w:lvl w:ilvl="0">
      <w:lvlJc w:val="left"/>
      <w:lvlText w:val="(%1)"/>
      <w:numFmt w:val="lowerLetter"/>
      <w:start w:val="1"/>
    </w:lvl>
  </w:abstractNum>
  <w:abstractNum w:abstractNumId="108">
    <w:nsid w:val="4F97E3E4"/>
    <w:multiLevelType w:val="hybridMultilevel"/>
    <w:lvl w:ilvl="0">
      <w:lvlJc w:val="left"/>
      <w:lvlText w:val="(%1)"/>
      <w:numFmt w:val="lowerLetter"/>
      <w:start w:val="2"/>
    </w:lvl>
  </w:abstractNum>
  <w:abstractNum w:abstractNumId="109">
    <w:nsid w:val="53B0A9E"/>
    <w:multiLevelType w:val="hybridMultilevel"/>
    <w:lvl w:ilvl="0">
      <w:lvlJc w:val="left"/>
      <w:lvlText w:val="%1."/>
      <w:numFmt w:val="decimal"/>
      <w:start w:val="13"/>
    </w:lvl>
  </w:abstractNum>
  <w:abstractNum w:abstractNumId="110">
    <w:nsid w:val="34FD6B4F"/>
    <w:multiLevelType w:val="hybridMultilevel"/>
    <w:lvl w:ilvl="0">
      <w:lvlJc w:val="left"/>
      <w:lvlText w:val="%1."/>
      <w:numFmt w:val="decimal"/>
      <w:start w:val="17"/>
    </w:lvl>
  </w:abstractNum>
  <w:abstractNum w:abstractNumId="111">
    <w:nsid w:val="5915FF32"/>
    <w:multiLevelType w:val="hybridMultilevel"/>
    <w:lvl w:ilvl="0">
      <w:lvlJc w:val="left"/>
      <w:lvlText w:val="%1."/>
      <w:numFmt w:val="decimal"/>
      <w:start w:val="23"/>
    </w:lvl>
  </w:abstractNum>
  <w:abstractNum w:abstractNumId="112">
    <w:nsid w:val="56438D15"/>
    <w:multiLevelType w:val="hybridMultilevel"/>
    <w:lvl w:ilvl="0">
      <w:lvlJc w:val="left"/>
      <w:lvlText w:val="%1."/>
      <w:numFmt w:val="decimal"/>
      <w:start w:val="25"/>
    </w:lvl>
  </w:abstractNum>
  <w:abstractNum w:abstractNumId="113">
    <w:nsid w:val="519E3149"/>
    <w:multiLevelType w:val="hybridMultilevel"/>
    <w:lvl w:ilvl="0">
      <w:lvlJc w:val="left"/>
      <w:lvlText w:val="%1."/>
      <w:numFmt w:val="decimal"/>
      <w:start w:val="27"/>
    </w:lvl>
  </w:abstractNum>
  <w:abstractNum w:abstractNumId="114">
    <w:nsid w:val="2C6E4AFD"/>
    <w:multiLevelType w:val="hybridMultilevel"/>
    <w:lvl w:ilvl="0">
      <w:lvlJc w:val="left"/>
      <w:lvlText w:val="%1."/>
      <w:numFmt w:val="decimal"/>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lowerLetter"/>
      <w:start w:val="1"/>
    </w:lvl>
    <w:lvl w:ilvl="1">
      <w:lvlJc w:val="left"/>
      <w:lvlText w:val="(%2)"/>
      <w:numFmt w:val="lowerRoman"/>
      <w:start w:val="1"/>
    </w:lvl>
  </w:abstractNum>
  <w:abstractNum w:abstractNumId="117">
    <w:nsid w:val="5046B5A9"/>
    <w:multiLevelType w:val="hybridMultilevel"/>
    <w:lvl w:ilvl="0">
      <w:lvlJc w:val="left"/>
      <w:lvlText w:val="%1"/>
      <w:numFmt w:val="lowerLetter"/>
      <w:start w:val="1"/>
    </w:lvl>
    <w:lvl w:ilvl="1">
      <w:lvlJc w:val="left"/>
      <w:lvlText w:val="(%2)"/>
      <w:numFmt w:val="lowerRoman"/>
      <w:start w:val="3"/>
    </w:lvl>
  </w:abstractNum>
  <w:abstractNum w:abstractNumId="118">
    <w:nsid w:val="5D888A08"/>
    <w:multiLevelType w:val="hybridMultilevel"/>
    <w:lvl w:ilvl="0">
      <w:lvlJc w:val="left"/>
      <w:lvlText w:val="(%1)"/>
      <w:numFmt w:val="lowerLetter"/>
      <w:start w:val="2"/>
    </w:lvl>
    <w:lvl w:ilvl="1">
      <w:lvlJc w:val="left"/>
      <w:lvlText w:val="%2"/>
      <w:numFmt w:val="lowerRoman"/>
      <w:start w:val="1"/>
    </w:lvl>
  </w:abstractNum>
  <w:abstractNum w:abstractNumId="119">
    <w:nsid w:val="2A082C70"/>
    <w:multiLevelType w:val="hybridMultilevel"/>
    <w:lvl w:ilvl="0">
      <w:lvlJc w:val="left"/>
      <w:lvlText w:val="(%1)"/>
      <w:numFmt w:val="lowerLetter"/>
      <w:start w:val="4"/>
    </w:lvl>
  </w:abstractNum>
  <w:abstractNum w:abstractNumId="120">
    <w:nsid w:val="5EC6AFD4"/>
    <w:multiLevelType w:val="hybridMultilevel"/>
    <w:lvl w:ilvl="0">
      <w:lvlJc w:val="left"/>
      <w:lvlText w:val="(%1)"/>
      <w:numFmt w:val="lowerLetter"/>
      <w:start w:val="1"/>
    </w:lvl>
  </w:abstractNum>
  <w:abstractNum w:abstractNumId="121">
    <w:nsid w:val="19E21BB2"/>
    <w:multiLevelType w:val="hybridMultilevel"/>
    <w:lvl w:ilvl="0">
      <w:lvlJc w:val="left"/>
      <w:lvlText w:val="(%1)"/>
      <w:numFmt w:val="lowerLetter"/>
      <w:start w:val="1"/>
    </w:lvl>
  </w:abstractNum>
  <w:abstractNum w:abstractNumId="122">
    <w:nsid w:val="75E0858A"/>
    <w:multiLevelType w:val="hybridMultilevel"/>
    <w:lvl w:ilvl="0">
      <w:lvlJc w:val="left"/>
      <w:lvlText w:val="(%1)"/>
      <w:numFmt w:val="lowerLetter"/>
      <w:start w:val="2"/>
    </w:lvl>
  </w:abstractNum>
  <w:abstractNum w:abstractNumId="123">
    <w:nsid w:val="57A61A29"/>
    <w:multiLevelType w:val="hybridMultilevel"/>
    <w:lvl w:ilvl="0">
      <w:lvlJc w:val="left"/>
      <w:lvlText w:val="(%1)"/>
      <w:numFmt w:val="lowerLetter"/>
      <w:start w:val="1"/>
    </w:lvl>
  </w:abstractNum>
  <w:abstractNum w:abstractNumId="124">
    <w:nsid w:val="5399C654"/>
    <w:multiLevelType w:val="hybridMultilevel"/>
    <w:lvl w:ilvl="0">
      <w:lvlJc w:val="left"/>
      <w:lvlText w:val="(%1)"/>
      <w:numFmt w:val="lowerLetter"/>
      <w:start w:val="1"/>
    </w:lvl>
    <w:lvl w:ilvl="1">
      <w:lvlJc w:val="left"/>
      <w:lvlText w:val="(%2)"/>
      <w:numFmt w:val="lowerRoman"/>
      <w:start w:val="1"/>
    </w:lvl>
  </w:abstractNum>
  <w:abstractNum w:abstractNumId="125">
    <w:nsid w:val="20EE1348"/>
    <w:multiLevelType w:val="hybridMultilevel"/>
    <w:lvl w:ilvl="0">
      <w:lvlJc w:val="left"/>
      <w:lvlText w:val="%1"/>
      <w:numFmt w:val="lowerLetter"/>
      <w:start w:val="1"/>
    </w:lvl>
    <w:lvl w:ilvl="1">
      <w:lvlJc w:val="left"/>
      <w:lvlText w:val="(%2)"/>
      <w:numFmt w:val="lowerRoman"/>
      <w:start w:val="3"/>
    </w:lvl>
  </w:abstractNum>
  <w:abstractNum w:abstractNumId="126">
    <w:nsid w:val="4427069A"/>
    <w:multiLevelType w:val="hybridMultilevel"/>
    <w:lvl w:ilvl="0">
      <w:lvlJc w:val="left"/>
      <w:lvlText w:val="(%1)"/>
      <w:numFmt w:val="lowerLetter"/>
      <w:start w:val="2"/>
    </w:lvl>
    <w:lvl w:ilvl="1">
      <w:lvlJc w:val="left"/>
      <w:lvlText w:val="%2"/>
      <w:numFmt w:val="lowerRoman"/>
      <w:start w:val="1"/>
    </w:lvl>
  </w:abstractNum>
  <w:abstractNum w:abstractNumId="127">
    <w:nsid w:val="B37E80A"/>
    <w:multiLevelType w:val="hybridMultilevel"/>
    <w:lvl w:ilvl="0">
      <w:lvlJc w:val="left"/>
      <w:lvlText w:val="(%1)"/>
      <w:numFmt w:val="lowerLetter"/>
      <w:start w:val="4"/>
    </w:lvl>
  </w:abstractNum>
  <w:abstractNum w:abstractNumId="128">
    <w:nsid w:val="2157F6BC"/>
    <w:multiLevelType w:val="hybridMultilevel"/>
    <w:lvl w:ilvl="0">
      <w:lvlJc w:val="left"/>
      <w:lvlText w:val="(%1)"/>
      <w:numFmt w:val="lowerLetter"/>
      <w:start w:val="1"/>
    </w:lvl>
  </w:abstractNum>
  <w:abstractNum w:abstractNumId="129">
    <w:nsid w:val="704E1DD5"/>
    <w:multiLevelType w:val="hybridMultilevel"/>
    <w:lvl w:ilvl="0">
      <w:lvlJc w:val="left"/>
      <w:lvlText w:val="(%1)"/>
      <w:numFmt w:val="lowerLetter"/>
      <w:start w:val="1"/>
    </w:lvl>
  </w:abstractNum>
  <w:abstractNum w:abstractNumId="130">
    <w:nsid w:val="57D2F10E"/>
    <w:multiLevelType w:val="hybridMultilevel"/>
    <w:lvl w:ilvl="0">
      <w:lvlJc w:val="left"/>
      <w:lvlText w:val="(%1)"/>
      <w:numFmt w:val="lowerLetter"/>
      <w:start w:val="2"/>
    </w:lvl>
  </w:abstractNum>
  <w:abstractNum w:abstractNumId="131">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2">
    <w:nsid w:val="E3E47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33">
    <w:nsid w:val="2E48F044"/>
    <w:multiLevelType w:val="hybridMultilevel"/>
    <w:lvl w:ilvl="0">
      <w:lvlJc w:val="left"/>
      <w:lvlText w:val="%1."/>
      <w:numFmt w:val="decimal"/>
      <w:start w:val="1"/>
    </w:lvl>
  </w:abstractNum>
  <w:abstractNum w:abstractNumId="134">
    <w:nsid w:val="49D0FEAC"/>
    <w:multiLevelType w:val="hybridMultilevel"/>
    <w:lvl w:ilvl="0">
      <w:lvlJc w:val="left"/>
      <w:lvlText w:val="%1."/>
      <w:numFmt w:val="decimal"/>
      <w:start w:val="1"/>
    </w:lvl>
  </w:abstractNum>
  <w:abstractNum w:abstractNumId="135">
    <w:nsid w:val="4BEE5A5B"/>
    <w:multiLevelType w:val="hybridMultilevel"/>
    <w:lvl w:ilvl="0">
      <w:lvlJc w:val="left"/>
      <w:lvlText w:val="(%1)"/>
      <w:numFmt w:val="decimal"/>
      <w:start w:val="1"/>
    </w:lvl>
  </w:abstractNum>
  <w:abstractNum w:abstractNumId="136">
    <w:nsid w:val="5551B9F3"/>
    <w:multiLevelType w:val="hybridMultilevel"/>
    <w:lvl w:ilvl="0">
      <w:lvlJc w:val="left"/>
      <w:lvlText w:val="•"/>
      <w:numFmt w:val="bullet"/>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2019-12-29T13:48:38Z</dcterms:created>
  <dcterms:modified xsi:type="dcterms:W3CDTF">2019-12-29T13:48:38Z</dcterms:modified>
</cp:coreProperties>
</file>