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 Ended September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FIDELITY NATIONAL FINANCIAL,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Borders>
              <w:bottom w:val="single" w:sz="8" w:color="auto"/>
            </w:tcBorders>
          </w:tcPr>
          <w:p>
            <w:pPr>
              <w:jc w:val="center"/>
              <w:ind w:right="2210"/>
              <w:spacing w:after="0"/>
              <w:rPr>
                <w:sz w:val="20"/>
                <w:szCs w:val="20"/>
                <w:color w:val="auto"/>
              </w:rPr>
            </w:pPr>
            <w:r>
              <w:rPr>
                <w:rFonts w:ascii="Arial" w:cs="Arial" w:eastAsia="Arial" w:hAnsi="Arial"/>
                <w:sz w:val="18"/>
                <w:szCs w:val="18"/>
                <w:color w:val="auto"/>
                <w:w w:val="89"/>
              </w:rPr>
              <w:t>Delaware</w:t>
            </w:r>
          </w:p>
        </w:tc>
        <w:tc>
          <w:tcPr>
            <w:tcW w:w="368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16-1725106</w:t>
            </w:r>
          </w:p>
        </w:tc>
      </w:tr>
      <w:tr>
        <w:trPr>
          <w:trHeight w:val="209"/>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2"/>
              </w:rPr>
              <w:t>(I.R.S. Employer</w:t>
            </w:r>
          </w:p>
        </w:tc>
      </w:tr>
      <w:tr>
        <w:trPr>
          <w:trHeight w:val="230"/>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7740" w:type="dxa"/>
            <w:vAlign w:val="bottom"/>
            <w:tcBorders>
              <w:bottom w:val="single" w:sz="8" w:color="auto"/>
            </w:tcBorders>
          </w:tcPr>
          <w:p>
            <w:pPr>
              <w:jc w:val="center"/>
              <w:ind w:right="2230"/>
              <w:spacing w:after="0"/>
              <w:rPr>
                <w:sz w:val="20"/>
                <w:szCs w:val="20"/>
                <w:color w:val="auto"/>
              </w:rPr>
            </w:pPr>
            <w:r>
              <w:rPr>
                <w:rFonts w:ascii="Arial" w:cs="Arial" w:eastAsia="Arial" w:hAnsi="Arial"/>
                <w:sz w:val="18"/>
                <w:szCs w:val="18"/>
                <w:color w:val="auto"/>
                <w:w w:val="91"/>
              </w:rPr>
              <w:t>601 Riverside Avenue, Jacksonville, Florida</w:t>
            </w:r>
          </w:p>
        </w:tc>
        <w:tc>
          <w:tcPr>
            <w:tcW w:w="368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32204</w:t>
            </w:r>
          </w:p>
        </w:tc>
      </w:tr>
      <w:tr>
        <w:trPr>
          <w:trHeight w:val="224"/>
        </w:trPr>
        <w:tc>
          <w:tcPr>
            <w:tcW w:w="7740" w:type="dxa"/>
            <w:vAlign w:val="bottom"/>
          </w:tcPr>
          <w:p>
            <w:pPr>
              <w:jc w:val="center"/>
              <w:ind w:right="22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r>
        <w:trPr>
          <w:trHeight w:val="438"/>
        </w:trPr>
        <w:tc>
          <w:tcPr>
            <w:tcW w:w="774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(904) 854-8100</w:t>
            </w:r>
          </w:p>
        </w:tc>
        <w:tc>
          <w:tcPr>
            <w:tcW w:w="3680" w:type="dxa"/>
            <w:vAlign w:val="bottom"/>
            <w:tcBorders>
              <w:bottom w:val="single" w:sz="8" w:color="auto"/>
            </w:tcBorders>
          </w:tcPr>
          <w:p>
            <w:pPr>
              <w:spacing w:after="0"/>
              <w:rPr>
                <w:sz w:val="24"/>
                <w:szCs w:val="24"/>
                <w:color w:val="auto"/>
              </w:rPr>
            </w:pPr>
          </w:p>
        </w:tc>
      </w:tr>
      <w:tr>
        <w:trPr>
          <w:trHeight w:val="230"/>
        </w:trPr>
        <w:tc>
          <w:tcPr>
            <w:tcW w:w="7740" w:type="dxa"/>
            <w:vAlign w:val="bottom"/>
          </w:tcPr>
          <w:p>
            <w:pPr>
              <w:jc w:val="center"/>
              <w:ind w:left="3590"/>
              <w:spacing w:after="0"/>
              <w:rPr>
                <w:sz w:val="20"/>
                <w:szCs w:val="20"/>
                <w:color w:val="auto"/>
              </w:rPr>
            </w:pPr>
            <w:r>
              <w:rPr>
                <w:rFonts w:ascii="Arial" w:cs="Arial" w:eastAsia="Arial" w:hAnsi="Arial"/>
                <w:sz w:val="18"/>
                <w:szCs w:val="18"/>
                <w:color w:val="auto"/>
                <w:w w:val="90"/>
              </w:rPr>
              <w:t>(Registrant’s telephone number, including area code)</w:t>
            </w:r>
          </w:p>
        </w:tc>
        <w:tc>
          <w:tcPr>
            <w:tcW w:w="3680" w:type="dxa"/>
            <w:vAlign w:val="bottom"/>
          </w:tcPr>
          <w:p>
            <w:pPr>
              <w:spacing w:after="0"/>
              <w:rPr>
                <w:sz w:val="20"/>
                <w:szCs w:val="20"/>
                <w:color w:val="auto"/>
              </w:rPr>
            </w:pPr>
          </w:p>
        </w:tc>
      </w:tr>
    </w:tbl>
    <w:p>
      <w:pPr>
        <w:spacing w:after="0" w:line="79"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920"/>
        <w:spacing w:after="0" w:line="207" w:lineRule="exact"/>
        <w:tabs>
          <w:tab w:leader="none" w:pos="5080" w:val="left"/>
          <w:tab w:leader="none" w:pos="6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75" w:lineRule="exact"/>
        <w:rPr>
          <w:sz w:val="20"/>
          <w:szCs w:val="20"/>
          <w:color w:val="auto"/>
        </w:rPr>
      </w:pPr>
    </w:p>
    <w:p>
      <w:pPr>
        <w:ind w:left="240"/>
        <w:spacing w:after="0" w:line="196" w:lineRule="exact"/>
        <w:tabs>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September 30, 2007, there were 215,688,726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 Ended September 30, 2007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gridSpan w:val="10"/>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260" w:type="dxa"/>
            <w:vAlign w:val="bottom"/>
            <w:gridSpan w:val="10"/>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2760" w:type="dxa"/>
            <w:vAlign w:val="bottom"/>
            <w:tcBorders>
              <w:bottom w:val="single" w:sz="8" w:color="0000EE"/>
            </w:tcBorders>
            <w:gridSpan w:val="10"/>
            <w:vMerge w:val="continue"/>
          </w:tcPr>
          <w:p>
            <w:pPr>
              <w:spacing w:after="0"/>
              <w:rPr>
                <w:sz w:val="14"/>
                <w:szCs w:val="14"/>
                <w:color w:val="auto"/>
              </w:rPr>
            </w:pPr>
          </w:p>
        </w:tc>
        <w:tc>
          <w:tcPr>
            <w:tcW w:w="8260" w:type="dxa"/>
            <w:vAlign w:val="bottom"/>
            <w:gridSpan w:val="10"/>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Condensed Consolidated Financial Statements</w:t>
              </w:r>
            </w:hyperlink>
          </w:p>
        </w:tc>
        <w:tc>
          <w:tcPr>
            <w:tcW w:w="690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 Condensed Consolidated Balance Sheets as of September 30, 2007 and December 31, 2006</w:t>
              </w:r>
            </w:hyperlink>
          </w:p>
        </w:tc>
        <w:tc>
          <w:tcPr>
            <w:tcW w:w="3800" w:type="dxa"/>
            <w:vAlign w:val="bottom"/>
            <w:gridSpan w:val="5"/>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B. Condensed Consolidated Statements of Earnings for the three and nine month periods ended September 30, 2007 and 2006</w:t>
              </w:r>
            </w:hyperlink>
          </w:p>
        </w:tc>
        <w:tc>
          <w:tcPr>
            <w:tcW w:w="1540" w:type="dxa"/>
            <w:vAlign w:val="bottom"/>
            <w:gridSpan w:val="2"/>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 Condensed Consolidated Statements of Comprehensive Earnings for the three and nine month periods ended September 30, 2007 and 2006</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D. Condensed Consolidated Statement of Stockholders’ Equity for the nine months ended September 30, 2007</w:t>
              </w:r>
            </w:hyperlink>
          </w:p>
        </w:tc>
        <w:tc>
          <w:tcPr>
            <w:tcW w:w="226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E. Condensed Consolidated Statements of Cash Flows for the nine months ended September 30, 2007 and 2006</w:t>
              </w:r>
            </w:hyperlink>
          </w:p>
        </w:tc>
        <w:tc>
          <w:tcPr>
            <w:tcW w:w="2560" w:type="dxa"/>
            <w:vAlign w:val="bottom"/>
            <w:gridSpan w:val="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 Notes to Condensed Consolidated Financial Statements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3. Quantitative and Qualitative Disclosure About Market Risk</w:t>
              </w:r>
            </w:hyperlink>
          </w:p>
        </w:tc>
        <w:tc>
          <w:tcPr>
            <w:tcW w:w="2160" w:type="dxa"/>
            <w:vAlign w:val="bottom"/>
            <w:tcBorders>
              <w:top w:val="single" w:sz="8" w:color="0000EE"/>
            </w:tcBorders>
            <w:gridSpan w:val="2"/>
          </w:tcPr>
          <w:p>
            <w:pPr>
              <w:spacing w:after="0"/>
              <w:rPr>
                <w:sz w:val="17"/>
                <w:szCs w:val="17"/>
                <w:color w:val="auto"/>
              </w:rPr>
            </w:pPr>
          </w:p>
        </w:tc>
        <w:tc>
          <w:tcPr>
            <w:tcW w:w="3800" w:type="dxa"/>
            <w:vAlign w:val="bottom"/>
            <w:gridSpan w:val="5"/>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Item 4. Controls and Procedures</w:t>
              </w:r>
            </w:hyperlink>
          </w:p>
        </w:tc>
        <w:tc>
          <w:tcPr>
            <w:tcW w:w="8480" w:type="dxa"/>
            <w:vAlign w:val="bottom"/>
            <w:gridSpan w:val="11"/>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Item 1. Legal Proceedings</w:t>
              </w:r>
            </w:hyperlink>
          </w:p>
        </w:tc>
        <w:tc>
          <w:tcPr>
            <w:tcW w:w="340" w:type="dxa"/>
            <w:vAlign w:val="bottom"/>
            <w:tcBorders>
              <w:top w:val="single" w:sz="8" w:color="0000EE"/>
            </w:tcBorders>
          </w:tcPr>
          <w:p>
            <w:pPr>
              <w:spacing w:after="0"/>
              <w:rPr>
                <w:sz w:val="17"/>
                <w:szCs w:val="17"/>
                <w:color w:val="auto"/>
              </w:rPr>
            </w:pPr>
          </w:p>
        </w:tc>
        <w:tc>
          <w:tcPr>
            <w:tcW w:w="8580" w:type="dxa"/>
            <w:vAlign w:val="bottom"/>
            <w:gridSpan w:val="12"/>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2. Unregistered Sales of Equity Securities and Use of Proceeds</w:t>
              </w:r>
            </w:hyperlink>
          </w:p>
        </w:tc>
        <w:tc>
          <w:tcPr>
            <w:tcW w:w="5900" w:type="dxa"/>
            <w:vAlign w:val="bottom"/>
            <w:gridSpan w:val="6"/>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0" w:type="dxa"/>
            <w:vAlign w:val="bottom"/>
            <w:gridSpan w:val="1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6. Exhibits</w:t>
              </w:r>
            </w:hyperlink>
          </w:p>
        </w:tc>
        <w:tc>
          <w:tcPr>
            <w:tcW w:w="4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6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96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992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96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992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960" w:type="dxa"/>
            <w:vAlign w:val="bottom"/>
            <w:gridSpan w:val="19"/>
          </w:tcPr>
          <w:p>
            <w:pPr>
              <w:spacing w:after="0" w:line="196" w:lineRule="exact"/>
              <w:rPr>
                <w:sz w:val="20"/>
                <w:szCs w:val="20"/>
                <w:color w:val="auto"/>
              </w:rPr>
            </w:pPr>
            <w:r>
              <w:rPr>
                <w:rFonts w:ascii="Arial" w:cs="Arial" w:eastAsia="Arial" w:hAnsi="Arial"/>
                <w:sz w:val="18"/>
                <w:szCs w:val="18"/>
                <w:color w:val="0000EE"/>
              </w:rPr>
              <w:t>EXHIBIT 32.1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992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960" w:type="dxa"/>
            <w:vAlign w:val="bottom"/>
            <w:gridSpan w:val="19"/>
          </w:tcPr>
          <w:p>
            <w:pPr>
              <w:spacing w:after="0" w:line="196" w:lineRule="exact"/>
              <w:rPr>
                <w:sz w:val="20"/>
                <w:szCs w:val="20"/>
                <w:color w:val="auto"/>
              </w:rPr>
            </w:pPr>
            <w:r>
              <w:rPr>
                <w:rFonts w:ascii="Arial" w:cs="Arial" w:eastAsia="Arial" w:hAnsi="Arial"/>
                <w:sz w:val="18"/>
                <w:szCs w:val="18"/>
                <w:color w:val="0000EE"/>
              </w:rPr>
              <w:t>EXHIBIT 32.2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680" w:type="dxa"/>
            <w:vAlign w:val="bottom"/>
            <w:tcBorders>
              <w:top w:val="single" w:sz="8" w:color="0000EE"/>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8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Fixed maturities available for sale, at fair value, at September 30, 2007, includes $357,628 and $277,467 of</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pledged fixed maturities related to secured trust deposits and the securities lending program, respectively, and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at December 31, 2006, includes $288,420 and $305,313 of pledged fixed maturity securities related to</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secured trust deposits and the securities lending program, respectively</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3,113,254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2,901,964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Equity securities, at fair value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111,460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investments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200"/>
              <w:spacing w:after="0" w:line="201" w:lineRule="exact"/>
              <w:rPr>
                <w:sz w:val="20"/>
                <w:szCs w:val="20"/>
                <w:color w:val="auto"/>
              </w:rPr>
            </w:pPr>
            <w:r>
              <w:rPr>
                <w:rFonts w:ascii="Arial" w:cs="Arial" w:eastAsia="Arial" w:hAnsi="Arial"/>
                <w:sz w:val="18"/>
                <w:szCs w:val="18"/>
                <w:color w:val="auto"/>
                <w:w w:val="92"/>
              </w:rPr>
              <w:t>Short-term investments at September 30, 2007, includes $219,683 and at December 31, 2006, includes $408,363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of pledged short-term investments related to secured trust deposits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374,979</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3,780,444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4,121,751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spacing w:after="0" w:line="201" w:lineRule="exact"/>
              <w:rPr>
                <w:sz w:val="20"/>
                <w:szCs w:val="20"/>
                <w:color w:val="auto"/>
              </w:rPr>
            </w:pPr>
            <w:r>
              <w:rPr>
                <w:rFonts w:ascii="Arial" w:cs="Arial" w:eastAsia="Arial" w:hAnsi="Arial"/>
                <w:sz w:val="18"/>
                <w:szCs w:val="18"/>
                <w:color w:val="auto"/>
                <w:w w:val="95"/>
              </w:rPr>
              <w:t>Cash and cash equivalents, at September 30, 2007, includes $146,064 and $284,429 of pledged cash related to</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w w:val="97"/>
              </w:rPr>
              <w:t>secured trust deposits and the securities lending program, respectively, and at December 31, 2006, includes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w w:val="96"/>
              </w:rPr>
              <w:t>$228,458 and $316,019 of pledged cash related to secured trust deposits and the securities lending program,</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553,820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676,444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Trade and notes receivables, net of allowance of $13,077 at September 30, 2007, and $12,674 at December 31,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233,796</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1,360,565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1,154,298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90,094</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111,754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Title plants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331,688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275,382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21,148</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25,960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7,226,471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7,259,559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2300"/>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200"/>
              <w:spacing w:after="0" w:line="201" w:lineRule="exact"/>
              <w:rPr>
                <w:sz w:val="20"/>
                <w:szCs w:val="20"/>
                <w:color w:val="auto"/>
              </w:rPr>
            </w:pPr>
            <w:r>
              <w:rPr>
                <w:rFonts w:ascii="Arial" w:cs="Arial" w:eastAsia="Arial" w:hAnsi="Arial"/>
                <w:sz w:val="18"/>
                <w:szCs w:val="18"/>
                <w:color w:val="auto"/>
                <w:w w:val="95"/>
              </w:rPr>
              <w:t>Accounts payable and accrued liabilities, at September 30, 2007, and December 31, 2006, includes $284,429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and $316,019, respectively, of security loans related to the securities lending program</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842,707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to FIS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32,618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126,543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130,543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Reserve for claim losses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1,296,691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1,220,636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Secured trust deposits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711,430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94,999</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3,748,825</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3,729,147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Minority interests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53,587</w:t>
            </w: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200"/>
              <w:spacing w:after="0" w:line="201" w:lineRule="exact"/>
              <w:rPr>
                <w:sz w:val="20"/>
                <w:szCs w:val="20"/>
                <w:color w:val="auto"/>
              </w:rPr>
            </w:pPr>
            <w:r>
              <w:rPr>
                <w:rFonts w:ascii="Arial" w:cs="Arial" w:eastAsia="Arial" w:hAnsi="Arial"/>
                <w:sz w:val="18"/>
                <w:szCs w:val="18"/>
                <w:color w:val="auto"/>
                <w:w w:val="92"/>
              </w:rPr>
              <w:t>Common stock, $0.0001 par value; authorized, 600,000,000 shares as of September 30, 2007, and December 31,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2006; issued, 222,458,507 as of September 30, 2007, and 221,507,939 as of December 31, 2006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3,230,481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3,193,904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322,216</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3,552,719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3,539,442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Treasury stock, 6,769,781 shares as of September 30, 2007, and 94,781 shares as of December 31, 2006, at cost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(139,691)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3,424,059</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3,474,368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7,226,471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7,259,559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7"/>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bottom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391,065</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485,043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1,258,166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1,479,415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537,598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701,533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1,677,606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1,998,117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262,222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267,744</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790,336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processing</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1,013,372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2,832,638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Specialty insurance premiums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102,844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99,619</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297,573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50,470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54,744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145,634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2,168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14,577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46,144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1,364,169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2,634,822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4,227,908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7,634,090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427,683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863,163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1,315,695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2,632,935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283,928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610,732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814,590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1,706,137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415,307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538,700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1,298,340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1,537,489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32,348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142,170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92,894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189,426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118,643</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413,495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65,931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37,194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1,361,474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2,339,339</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3,972,208</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6,822,077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295,483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255,700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(4,075)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109,920</w:t>
            </w:r>
          </w:p>
        </w:tc>
        <w:tc>
          <w:tcPr>
            <w:tcW w:w="100" w:type="dxa"/>
            <w:vAlign w:val="bottom"/>
          </w:tcPr>
          <w:p>
            <w:pPr>
              <w:spacing w:after="0"/>
              <w:rPr>
                <w:sz w:val="18"/>
                <w:szCs w:val="18"/>
                <w:color w:val="auto"/>
              </w:rPr>
            </w:pPr>
          </w:p>
        </w:tc>
        <w:tc>
          <w:tcPr>
            <w:tcW w:w="1380" w:type="dxa"/>
            <w:vAlign w:val="bottom"/>
            <w:gridSpan w:val="2"/>
          </w:tcPr>
          <w:p>
            <w:pPr>
              <w:jc w:val="right"/>
              <w:ind w:right="568"/>
              <w:spacing w:after="0"/>
              <w:rPr>
                <w:sz w:val="20"/>
                <w:szCs w:val="20"/>
                <w:color w:val="auto"/>
              </w:rPr>
            </w:pPr>
            <w:r>
              <w:rPr>
                <w:rFonts w:ascii="Arial" w:cs="Arial" w:eastAsia="Arial" w:hAnsi="Arial"/>
                <w:sz w:val="18"/>
                <w:szCs w:val="18"/>
                <w:color w:val="auto"/>
              </w:rPr>
              <w:t>81,441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302,069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185,563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174,259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57,992</w:t>
            </w:r>
          </w:p>
        </w:tc>
        <w:tc>
          <w:tcPr>
            <w:tcW w:w="100" w:type="dxa"/>
            <w:vAlign w:val="bottom"/>
          </w:tcPr>
          <w:p>
            <w:pPr>
              <w:spacing w:after="0"/>
              <w:rPr>
                <w:sz w:val="18"/>
                <w:szCs w:val="18"/>
                <w:color w:val="auto"/>
              </w:rPr>
            </w:pPr>
          </w:p>
        </w:tc>
        <w:tc>
          <w:tcPr>
            <w:tcW w:w="1380" w:type="dxa"/>
            <w:vAlign w:val="bottom"/>
            <w:gridSpan w:val="2"/>
          </w:tcPr>
          <w:p>
            <w:pPr>
              <w:jc w:val="right"/>
              <w:ind w:right="508"/>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143,381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127,571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174,706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366,563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173,475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218,006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173,475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173,643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221,797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173,648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FIDELITY NATIONAL FINANCIAL, INC. AND SUBSIDIARIES CONDENSED CONSOLIDATED STATEMENTS OF COMPREHENSIVE EARNINGS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7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$ 127,571</w:t>
            </w:r>
          </w:p>
        </w:tc>
        <w:tc>
          <w:tcPr>
            <w:tcW w:w="3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$ 174,706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investments and other financial instruments, net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23,406</w:t>
            </w: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44,676</w:t>
            </w:r>
          </w:p>
        </w:tc>
        <w:tc>
          <w:tcPr>
            <w:tcW w:w="13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80,229</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Unrealized (loss) gain on foreign currency translation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(5,043)</w:t>
            </w:r>
          </w:p>
        </w:tc>
        <w:tc>
          <w:tcPr>
            <w:tcW w:w="1380" w:type="dxa"/>
            <w:vAlign w:val="bottom"/>
            <w:gridSpan w:val="3"/>
          </w:tcPr>
          <w:p>
            <w:pPr>
              <w:jc w:val="right"/>
              <w:ind w:right="228"/>
              <w:spacing w:after="0"/>
              <w:rPr>
                <w:sz w:val="20"/>
                <w:szCs w:val="20"/>
                <w:color w:val="auto"/>
              </w:rPr>
            </w:pPr>
            <w:r>
              <w:rPr>
                <w:rFonts w:ascii="Arial" w:cs="Arial" w:eastAsia="Arial" w:hAnsi="Arial"/>
                <w:sz w:val="18"/>
                <w:szCs w:val="18"/>
                <w:color w:val="auto"/>
              </w:rPr>
              <w:t>(159)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adjustments for (gains) losses included in net earnings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(542)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w:t>
            </w:r>
          </w:p>
        </w:tc>
        <w:tc>
          <w:tcPr>
            <w:tcW w:w="13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(5,993)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Reclassification adjustments relating to minority 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(6,818)</w:t>
            </w:r>
          </w:p>
        </w:tc>
        <w:tc>
          <w:tcPr>
            <w:tcW w:w="30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22,864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33,267</w:t>
            </w:r>
          </w:p>
        </w:tc>
        <w:tc>
          <w:tcPr>
            <w:tcW w:w="13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74,077</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Comprehensive earnings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29,336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$ 160,838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$ 248,783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$ 383,079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$13.5 million, $19.6 million, $46.5 million, and $9.4 million for the three months and nine months ended September 30, 2007 and 2006, respectively.</w:t>
      </w:r>
    </w:p>
    <w:p>
      <w:pPr>
        <w:spacing w:after="0" w:line="2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$(3.0) million for the three months ended September 30, 2006 and of $(0.1) million and $0.8 million for the nine months ended September 30, 2007 and 2006, respectively.</w:t>
      </w:r>
    </w:p>
    <w:p>
      <w:pPr>
        <w:spacing w:after="0" w:line="21" w:lineRule="exact"/>
        <w:rPr>
          <w:rFonts w:ascii="Arial" w:cs="Arial" w:eastAsia="Arial" w:hAnsi="Arial"/>
          <w:sz w:val="18"/>
          <w:szCs w:val="18"/>
          <w:color w:val="auto"/>
        </w:rPr>
      </w:pPr>
    </w:p>
    <w:p>
      <w:pPr>
        <w:ind w:left="460" w:right="7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$0.3 million, $(0.1) million, $3.4 million, and $7.6 million for the three months and nine months ended September 30, 2007 and 2006,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60" w:type="dxa"/>
            <w:vAlign w:val="bottom"/>
            <w:gridSpan w:val="3"/>
            <w:vMerge w:val="restart"/>
          </w:tcPr>
          <w:p>
            <w:pPr>
              <w:jc w:val="right"/>
              <w:ind w:right="4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Other</w:t>
            </w:r>
          </w:p>
        </w:tc>
        <w:tc>
          <w:tcPr>
            <w:tcW w:w="224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Paid – in</w:t>
            </w:r>
          </w:p>
        </w:tc>
        <w:tc>
          <w:tcPr>
            <w:tcW w:w="200" w:type="dxa"/>
            <w:vAlign w:val="bottom"/>
          </w:tcPr>
          <w:p>
            <w:pPr>
              <w:spacing w:after="0"/>
              <w:rPr>
                <w:sz w:val="13"/>
                <w:szCs w:val="13"/>
                <w:color w:val="auto"/>
              </w:rPr>
            </w:pPr>
          </w:p>
        </w:tc>
        <w:tc>
          <w:tcPr>
            <w:tcW w:w="116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Retained</w:t>
            </w:r>
          </w:p>
        </w:tc>
        <w:tc>
          <w:tcPr>
            <w:tcW w:w="134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2240" w:type="dxa"/>
            <w:vAlign w:val="bottom"/>
            <w:gridSpan w:val="5"/>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Earnings</w:t>
            </w:r>
          </w:p>
        </w:tc>
        <w:tc>
          <w:tcPr>
            <w:tcW w:w="1340" w:type="dxa"/>
            <w:vAlign w:val="bottom"/>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0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221,508</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$ 3,193,904</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$ 345,516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(63,046)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$ 3,474,368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7,136</w:t>
            </w: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associated with</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exercise of stock</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5,743</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Treasury Stock repurchased</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(137,663)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(137,663)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 unrealized</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investments and</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financial</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 and foreign</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74,077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23,698</w:t>
            </w: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23,698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($0.90 per</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(198,006)</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174,706</w:t>
            </w:r>
          </w:p>
        </w:tc>
        <w:tc>
          <w:tcPr>
            <w:tcW w:w="1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174,706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September 30,</w:t>
            </w: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222,458</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$ 3,230,481</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$ 322,216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11,031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(139,691)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$ 3,424,059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Nine months ended</w:t>
      </w:r>
    </w:p>
    <w:p>
      <w:pPr>
        <w:jc w:val="center"/>
        <w:ind w:left="87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174,706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366,563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earnings to net cash provided by operating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92,894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in reserve for claim losses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76,055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Gain on sales of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cost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23,698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assets and liabilities, net of effects from acquisitions: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Net decrease (increase) in secured trust deposits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 trade receivables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Net increase in prepaid expenses and other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(31,762)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 accounts payable, accrued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(56,473)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Net increase (decrease) in income taxes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15,137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304,533</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 available for sale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4,037,792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2,106,901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 available for sale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344,931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Cash (paid) received as collateral on loaned securities,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of notes receivable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Additions to title plants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(67,241)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Additions to capitalized software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(21,121)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 available for sale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1"/>
              </w:rPr>
              <w:t>(4,556,360)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(2,279,794)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Net proceeds of short-term investment activities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473,393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notes receivable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(245,464)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(172,955)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(37,884)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21,671</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20,099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Debt service payments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(198,004)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Subsidiary dividends paid to minority interest shareholders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exercised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Tax benefit associated with the exercise of stock options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subsidiary stock options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Purchases of treasury stock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(137,663)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Subsidiary purchases of treasury stock</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(103,837)</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(306,879)</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3"/>
              </w:rPr>
              <w:t>Net (decrease) increase in cash and cash equivalents, excluding pledged cash related to secured trust deposits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(40,230)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7"/>
              </w:rPr>
              <w:t>Cash and cash equivalents, excluding pledged cash related to secured trust deposits at beginning of period</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447,986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end of period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566,736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200"/>
              <w:spacing w:after="0"/>
              <w:rPr>
                <w:sz w:val="20"/>
                <w:szCs w:val="20"/>
                <w:color w:val="auto"/>
              </w:rPr>
            </w:pPr>
            <w:r>
              <w:rPr>
                <w:rFonts w:ascii="Arial" w:cs="Arial" w:eastAsia="Arial" w:hAnsi="Arial"/>
                <w:sz w:val="18"/>
                <w:szCs w:val="18"/>
                <w:color w:val="auto"/>
              </w:rPr>
              <w:t>Interest paid</w:t>
            </w:r>
          </w:p>
        </w:tc>
        <w:tc>
          <w:tcPr>
            <w:tcW w:w="6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44,098</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 transactions of FIS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unaudited financial information included in this report includes the accounts of Fidelity National Financial, Inc. and its subsidiaries (collectively, the “Company” or “FNF”) prepared in accordance with generally accepted accounting principles and the instructions to Form 10-Q and Article 10 of Regulation S-X. All adjustments considered necessary for a fair presentation have been included. This report should be read in conjunction with the Company’s Annual Report on Form 10-K for the year ended December 31, 2006.</w:t>
      </w:r>
    </w:p>
    <w:p>
      <w:pPr>
        <w:spacing w:after="0" w:line="79"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the course of an internal review of its treatment of certain costs relating to insurance policies issued by its specialty insurance group, the Company determined that certain costs should be deferred and amortized over the life of the policy consistent with the recognition of the premiums. The Company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accompanying unaudited condensed consolidated financial statements and is not material to the Company’s financial position or results of operations for any previously reported annual periods.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Certain other reclassifications have been made in the 2006 Condensed Consolidated Financial Statements to conform to classifications used in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FNF is a holding company that is a provider of title insurance, specialty insurance, and claims management services. The Company is one of the nation’s largest title insurance companies through its title insurance underwriters, with an approximately 27.7% national market share in 2006. FNF also provides flood insurance, personal lines insurance, and home warranty insurance through its specialty insurance subsidiaries and is a leading provider of outsourced claims management services to large corporate and public sector entities through its minority-owned subsidiary, Sedgwick CMS Holdings, Inc. (“Sedgwick”).</w:t>
      </w:r>
    </w:p>
    <w:p>
      <w:pPr>
        <w:spacing w:after="0" w:line="4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Prior to October 24, 2006, the Company was known as Fidelity National Title Group, Inc. (“FNT”) and was a majority-owned subsidiary of another publicly traded company, also called Fidelity National Financial, Inc. (“Old FNF”). On October 24, 2006, Old FNF transferred certain assets to FNT in return for the issuance of 45,265,956 shares of FNT common stock to Old FNF (the “Asset Contribution”). Old FNF then distributed to its shareholders all of its shares of FNT common stock, making FNT a stand alone publicly traded company (the “Distribution”). Old FNF was then merged with and into another of its subsidiaries, Fidelity National Information Services, Inc. (“FIS”), after which FNT’s name was changed to Fidelity National Financial, Inc. Under applicable accounting principles, following these transactions, Old FNF’s historical financial statements, with the exception of equity and earnings per share, became FNF’s historical financial statements, including the results of FIS through the date of the Company’s spin-off from Old FNF. The Company’s historical equity has been derived from FNT’s historical equity and the Company’s historical basic and diluted earnings per share have been calculated using FNT’s basic and diluted weighted average shares outstanding.</w:t>
      </w:r>
    </w:p>
    <w:p>
      <w:pPr>
        <w:spacing w:after="0" w:line="74" w:lineRule="exact"/>
        <w:rPr>
          <w:sz w:val="20"/>
          <w:szCs w:val="20"/>
          <w:color w:val="auto"/>
        </w:rPr>
      </w:pPr>
    </w:p>
    <w:p>
      <w:pPr>
        <w:ind w:right="40" w:firstLine="215"/>
        <w:spacing w:after="0" w:line="270" w:lineRule="auto"/>
        <w:rPr>
          <w:sz w:val="20"/>
          <w:szCs w:val="20"/>
          <w:color w:val="auto"/>
        </w:rPr>
      </w:pPr>
      <w:r>
        <w:rPr>
          <w:rFonts w:ascii="Arial" w:cs="Arial" w:eastAsia="Arial" w:hAnsi="Arial"/>
          <w:sz w:val="17"/>
          <w:szCs w:val="17"/>
          <w:color w:val="auto"/>
        </w:rPr>
        <w:t>Acquisitions among entities under common control such as the Asset Contribution are not considered business combinations and are to be accounted for at historical cost in accordance with Emerging Issues Task Force (“EITF”) 90-5, “Exchanges of Ownership Interests between Enterprises under Common Control.” Furthermore, the substance of the Asset Contribution and the Distribution and the Old FNF-FIS merger is effectively a reverse spin-off of FIS by Old FNF in accordance with EITF 02-11, “Accounting for Reverse Spinoffs.” Accordingly, the historical financial statements of Old FNF became those of FNF; however, the criteria to account for FIS as discontinued operations as prescribed by Financial Accounting Standards Board (“FASB”) Statement of Financial Accounting Standards (“SFAS”) No. 144, “Accounting for the Impairment or Disposal of Long-Lived Assets” were not met. This is primarily due to FNF’s continuing involvement with and significant influence over FIS subsequent to the merger of Old FNF and FIS through common board members, common senior management and continuing business relationships. As a result, for periods prior to October 24, 2006, FIS continues to be included in the Company’s consolidated financial statements.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Beginning on October 24, 2006, the Company’s financial statements reflect transactions with FIS, which is a related party. Prior to October 24, 2006, these transactions were eliminated because FIS’ results of operations were included in the Company’s consolidated results.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detail of related party items included in revenues and expenses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Nine months ended</w:t>
            </w:r>
          </w:p>
        </w:tc>
      </w:tr>
      <w:tr>
        <w:trPr>
          <w:trHeight w:val="17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0"/>
              </w:rPr>
              <w:t>September 30, 2007</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2007</w:t>
            </w: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Interest revenue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8"/>
                <w:szCs w:val="18"/>
                <w:color w:val="auto"/>
              </w:rPr>
            </w:pPr>
          </w:p>
        </w:tc>
      </w:tr>
      <w:tr>
        <w:trPr>
          <w:trHeight w:val="439"/>
        </w:trPr>
        <w:tc>
          <w:tcPr>
            <w:tcW w:w="8220" w:type="dxa"/>
            <w:vAlign w:val="bottom"/>
            <w:gridSpan w:val="2"/>
          </w:tcPr>
          <w:p>
            <w:pPr>
              <w:spacing w:after="0"/>
              <w:rPr>
                <w:sz w:val="20"/>
                <w:szCs w:val="20"/>
                <w:color w:val="auto"/>
              </w:rPr>
            </w:pPr>
            <w:r>
              <w:rPr>
                <w:rFonts w:ascii="Arial" w:cs="Arial" w:eastAsia="Arial" w:hAnsi="Arial"/>
                <w:sz w:val="18"/>
                <w:szCs w:val="18"/>
                <w:color w:val="auto"/>
              </w:rPr>
              <w:t>Agency title commissions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Corporate services allocated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information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Other real-estate related information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Software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Rental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License and cost sharing agreements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These FIS operations generated revenues for the Company of $39.3 million and $116.6 million for the three and nine month periods ended September 30, 2007, respectively, which the Company records as agency title premiums. The Company paid FIS commissions at the rate of approximately 88% of premiums generated, equal to $34.6 million and $103.0 million for the three and nine month periods ended September 30, 2007, respectively.</w:t>
      </w:r>
    </w:p>
    <w:p>
      <w:pPr>
        <w:spacing w:after="0" w:line="85"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FIS provides information technology infrastructure support, data center management and related IT support services to the Company. The Company’s expenses include amounts paid to FIS for these services of $11.1 million and $55.0 million for the three and nine month periods ended September 30, 2007, respectively. In addition, the Company incurred software expenses relating to an agreement with a subsidiary of FIS that amounted to expenses of $14.1 million and $21.0 million for the three and nine month periods ended September 30, 2007, respectively.</w:t>
      </w:r>
    </w:p>
    <w:p>
      <w:pPr>
        <w:spacing w:after="0" w:line="63"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Historically, the Company has provided corporate services to FIS. These corporate services include accounting, treasury, payroll, human resources, tax, legal, purchasing, risk management, mergers and acquisitions and general management. For the three and nine month periods ended September 30, 2007, the Company’s expenses were reduced by $0.5 million and $2.1 million, respectively, related to the provision of corporate services to FIS by the Company.</w:t>
      </w:r>
    </w:p>
    <w:p>
      <w:pPr>
        <w:spacing w:after="0" w:line="3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On August 31, 2007, the Company completed the acquisition of Property Insight, LLC (“Property Insight”), a former FIS subsidiary, from FIS for $95 million in cash. Property Insight is a leading provider of title plant services for the Company, as well as various national and regional underwriters. Property Insight primarily manages, maintains and updates the title insurance plants that are owned by the Company. Additionally, Property Insight manages potential title plant construction for the Company.</w:t>
      </w:r>
    </w:p>
    <w:p>
      <w:pPr>
        <w:spacing w:after="0" w:line="79"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Through August 31, 2007, the title plant assets of several of the Company’s title insurance subsidiaries were managed or maintained by Property Insight, as a subsidiary of FIS. The underlying title plant information and software were owned by each of the Company’s title insurance underwriters, but FIS managed and updated the information in return for either (i) a cash management fee or (ii) the right to sell that information to title insurers, including title insurance underwriters that the Company owns and other third party customers. In most cases, FIS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was responsible for keeping the title plant assets current and fully functioning, for which the Company paid a fee to FIS based on the Company’s use of, or access to, the title plant. The Company’s payments to FIS under these arrangements were $3.2 million and $15.2 million for the three and nine month periods ended September 30, 2007, respectively. In addition, each applicable title insurance underwriter owned by the Company in turn received a royalty on sales of access to its title plant assets. The revenues from these title plant royalties were $0.3 million and $1.4 million for the three and nine month periods ended September 30, 2007, respectively. The Company was also a party 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to or use of its starters and back plant databases by FIS.</w:t>
      </w:r>
    </w:p>
    <w:p>
      <w:pPr>
        <w:spacing w:after="0" w:line="58" w:lineRule="exact"/>
        <w:rPr>
          <w:sz w:val="20"/>
          <w:szCs w:val="20"/>
          <w:color w:val="auto"/>
        </w:rPr>
      </w:pPr>
    </w:p>
    <w:p>
      <w:pPr>
        <w:ind w:right="120" w:firstLine="222"/>
        <w:spacing w:after="0" w:line="308" w:lineRule="auto"/>
        <w:rPr>
          <w:sz w:val="20"/>
          <w:szCs w:val="20"/>
          <w:color w:val="auto"/>
        </w:rPr>
      </w:pPr>
      <w:r>
        <w:rPr>
          <w:rFonts w:ascii="Arial" w:cs="Arial" w:eastAsia="Arial" w:hAnsi="Arial"/>
          <w:sz w:val="17"/>
          <w:szCs w:val="17"/>
          <w:color w:val="auto"/>
        </w:rPr>
        <w:t>The Company also does business with additional entities of FIS that provide real estate information to the Company’s operations, for which the Company recorded expenses of $3.2 million and $10.5 million for the three and nine month periods ended September 30, 2007, respectively.</w:t>
      </w:r>
    </w:p>
    <w:p>
      <w:pPr>
        <w:spacing w:after="0" w:line="38"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Company also has certain license and cost sharing agreements with FIS. The Company recorded expense relating to these agreements of $1.8 million and $8.7 million for the three and nine month periods ended September 30, 2007, respectively.</w:t>
      </w:r>
    </w:p>
    <w:p>
      <w:pPr>
        <w:spacing w:after="0" w:line="62"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color w:val="auto"/>
        </w:rPr>
        <w:t>For the three and nine month periods ended September 30, 2007, the Company’s expenses included expenses for a lease of office space and equipment to the Company from FIS for the Company’s corporate headquarters and business operations in the amounts of $0.8 million and $3.2 million, respectively, and were reduced by $2.5 million and $6.1 million, respectively, for leases of office space, furniture and equipment to FIS by the Company.</w:t>
      </w:r>
    </w:p>
    <w:p>
      <w:pPr>
        <w:spacing w:after="0" w:line="3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the Company earned or was charged under these arrangements were not negotiated at arm’s-length, and may not represent the terms that the Company might have obtained from an unrelated third party.</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from/ (to) FIS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20" w:type="dxa"/>
            <w:vAlign w:val="bottom"/>
          </w:tcPr>
          <w:p>
            <w:pPr>
              <w:spacing w:after="0"/>
              <w:rPr>
                <w:sz w:val="14"/>
                <w:szCs w:val="14"/>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7"/>
              </w:rPr>
              <w:t>September 30, 2007</w:t>
            </w:r>
          </w:p>
        </w:tc>
      </w:tr>
      <w:tr>
        <w:trPr>
          <w:trHeight w:val="128"/>
        </w:trPr>
        <w:tc>
          <w:tcPr>
            <w:tcW w:w="10020" w:type="dxa"/>
            <w:vAlign w:val="bottom"/>
          </w:tcPr>
          <w:p>
            <w:pPr>
              <w:spacing w:after="0"/>
              <w:rPr>
                <w:sz w:val="11"/>
                <w:szCs w:val="11"/>
                <w:color w:val="auto"/>
              </w:rPr>
            </w:pPr>
          </w:p>
        </w:tc>
        <w:tc>
          <w:tcPr>
            <w:tcW w:w="1400" w:type="dxa"/>
            <w:vAlign w:val="bottom"/>
          </w:tcPr>
          <w:p>
            <w:pPr>
              <w:jc w:val="right"/>
              <w:ind w:right="239"/>
              <w:spacing w:after="0" w:line="128"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Note payable to FIS</w:t>
            </w:r>
          </w:p>
        </w:tc>
        <w:tc>
          <w:tcPr>
            <w:tcW w:w="1400" w:type="dxa"/>
            <w:vAlign w:val="bottom"/>
          </w:tcPr>
          <w:p>
            <w:pPr>
              <w:jc w:val="right"/>
              <w:ind w:right="379"/>
              <w:spacing w:after="0"/>
              <w:rPr>
                <w:sz w:val="20"/>
                <w:szCs w:val="20"/>
                <w:color w:val="auto"/>
              </w:rPr>
            </w:pPr>
            <w:r>
              <w:rPr>
                <w:rFonts w:ascii="Arial" w:cs="Arial" w:eastAsia="Arial" w:hAnsi="Arial"/>
                <w:sz w:val="18"/>
                <w:szCs w:val="18"/>
                <w:color w:val="auto"/>
              </w:rPr>
              <w:t>$ (7.3)</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Due to FIS</w:t>
            </w:r>
          </w:p>
        </w:tc>
        <w:tc>
          <w:tcPr>
            <w:tcW w:w="1400" w:type="dxa"/>
            <w:vAlign w:val="bottom"/>
          </w:tcPr>
          <w:p>
            <w:pPr>
              <w:jc w:val="right"/>
              <w:ind w:right="379"/>
              <w:spacing w:after="0"/>
              <w:rPr>
                <w:sz w:val="20"/>
                <w:szCs w:val="20"/>
                <w:color w:val="auto"/>
              </w:rPr>
            </w:pPr>
            <w:r>
              <w:rPr>
                <w:rFonts w:ascii="Arial" w:cs="Arial" w:eastAsia="Arial" w:hAnsi="Arial"/>
                <w:sz w:val="18"/>
                <w:szCs w:val="18"/>
                <w:color w:val="auto"/>
              </w:rPr>
              <w:t>(32.6)</w:t>
            </w:r>
          </w:p>
        </w:tc>
      </w:tr>
    </w:tbl>
    <w:p>
      <w:pPr>
        <w:spacing w:after="0" w:line="9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Prior to September 30, 2007, the Company had a note receivable balance of $12.5 million due from a subsidiary of FIS. The Company earned interest revenue of $0.2 million and $0.6 million on this note for the three and nine month periods ended September 30, 2007, respectively. On September 30, 2007, the Company acquired certain leasing assets from FIS for $15 million. As part of this acquisition, the $12.5 million note was forgiven, and the Company entered into an unsecured note payable to FIS in the amount of $7.3 million. Also in connection with this transaction, the Company assumed a $135.7 million non-recourse note payable (see note G).</w:t>
      </w:r>
    </w:p>
    <w:p>
      <w:pPr>
        <w:spacing w:after="0" w:line="80" w:lineRule="exact"/>
        <w:rPr>
          <w:sz w:val="20"/>
          <w:szCs w:val="20"/>
          <w:color w:val="auto"/>
        </w:rPr>
      </w:pPr>
    </w:p>
    <w:p>
      <w:pPr>
        <w:jc w:val="both"/>
        <w:ind w:right="380" w:firstLine="222"/>
        <w:spacing w:after="0" w:line="259" w:lineRule="auto"/>
        <w:rPr>
          <w:sz w:val="20"/>
          <w:szCs w:val="20"/>
          <w:color w:val="auto"/>
        </w:rPr>
      </w:pPr>
      <w:r>
        <w:rPr>
          <w:rFonts w:ascii="Arial" w:cs="Arial" w:eastAsia="Arial" w:hAnsi="Arial"/>
          <w:sz w:val="18"/>
          <w:szCs w:val="18"/>
          <w:color w:val="auto"/>
        </w:rPr>
        <w:t>Through August 31, 2007, the Company paid amounts to Property Insight for capitalized software development and for title plant construction. These amounts included capitalized software development costs of $1.2 million and $5.0 million during the three and nine month periods ended September 30, 2007, respectively. Amounts paid to FIS for capitalized title plant construction costs were $3.8 million and $13.5 million during the three and nine month periods ended September 30, 2007,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On August 8, 2007, the Company purchased 1,000,000 shares of the Company’s common stock from its Chairman of the Board, William P. Foley, II, for $22.1 million, or $22.09 per share, the market price at the time of the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 xml:space="preserve">In June 2007, the American Institute of Certified Public Accountants (“AICPA”) issued Statement of Position 07-1, “Clarification of the Scope of the Audit and Accounting Guide Investment Companies and Accounting by Parent Companies and Equity Method Investors for Investments in Investment Companies” (“SOP 07-1”). SOP 07-1 provides guidance for determining whether an entity is within the scope of the AICPA Audit and Accounting Guide </w:t>
      </w:r>
      <w:r>
        <w:rPr>
          <w:rFonts w:ascii="Arial" w:cs="Arial" w:eastAsia="Arial" w:hAnsi="Arial"/>
          <w:sz w:val="16"/>
          <w:szCs w:val="16"/>
          <w:i w:val="1"/>
          <w:iCs w:val="1"/>
          <w:color w:val="auto"/>
        </w:rPr>
        <w:t>Investment Companies</w:t>
      </w:r>
      <w:r>
        <w:rPr>
          <w:rFonts w:ascii="Arial" w:cs="Arial" w:eastAsia="Arial" w:hAnsi="Arial"/>
          <w:sz w:val="16"/>
          <w:szCs w:val="16"/>
          <w:color w:val="auto"/>
        </w:rPr>
        <w:t>. For those entities that are investment companies under SOP 07-1, SOP 07-1 also addresses whether specialized industry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and disclosure requirements should be retained by a parent company in consolidation or by an investor that has the ability to exercise significant influence over the investment company and applies the equity method of accounting to its investment in the entity. The effective date for SOP 07-1 has been delayed indefinitely. Management is currently evaluating the impact of this statement on the Company’s statements of financial position and operations.</w:t>
      </w:r>
    </w:p>
    <w:p>
      <w:pPr>
        <w:spacing w:after="0" w:line="59" w:lineRule="exact"/>
        <w:rPr>
          <w:sz w:val="20"/>
          <w:szCs w:val="20"/>
          <w:color w:val="auto"/>
        </w:rPr>
      </w:pPr>
    </w:p>
    <w:p>
      <w:pPr>
        <w:ind w:right="120" w:firstLine="225"/>
        <w:spacing w:after="0" w:line="28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159”), which permits entities to choose to measure financial instruments and certain other items at fair value that are not currently required to be measured at fair value. SFAS 159 mandates certain financial statement presentation and disclosure requirements when a company elects to report assets and liabilities at fair value under SFAS</w:t>
      </w:r>
    </w:p>
    <w:p>
      <w:pPr>
        <w:ind w:firstLine="8"/>
        <w:spacing w:after="0" w:line="26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SFAS 159 is effective as of January 1, 2008 for calendar year entities. Management is currently evaluating the impact of this statement on the Company’s statements of financial position and operations.</w:t>
      </w:r>
    </w:p>
    <w:p>
      <w:pPr>
        <w:spacing w:after="0" w:line="76"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September 2006, the FASB issued SFAS No. 157, “Fair Value Measurements” (“SFAS 157”). SFAS 157 defines fair value, establishes a framework for measuring fair value, and expands disclosures about fair value measurements. SFAS 157 does not require any new fair value measurements, but applies under other accounting pronouncements that require or permit fair value measurements. SFAS 157 is effective for financial statements for fiscal years beginning after November 15, 2007. Management is currently evaluating the need for expanded disclosures under SFAS 157.</w:t>
      </w:r>
    </w:p>
    <w:p>
      <w:pPr>
        <w:spacing w:after="0" w:line="46"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In June 2006, the FASB issued Interpretation No. 48, “Accounting for Uncertainty in Income Taxes — an interpretation of FASB Statement No. 109” (“FIN 48”). FIN 48 requires an evaluation to determine the likelihood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reversed as of the first financial reporting period during which the more-likely-than-not recognition threshold is not met. FIN 48 is effective for fiscal years beginning after December 15, 2006. The Company adopted FIN 48 effective January 1, 2007 (see Note 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21"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results of operations and financial position of the entities acquired during any year are included in the Consolidated Financial Statements from and after the date of acquisition. The Company employs an outside third party valuation firm to value the identifiable intangible and tangible assets and liabilities of each of its significant acquisitions. Based on this valuation any differences between the fair value of the identifiable assets and liabilities and the purchase price paid are recorded as goodwill. There were no individually significant acquisitions during the nine months ended September 30,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Expected Acquisition of Equity Interest in Ceridian Corporation</w:t>
      </w:r>
    </w:p>
    <w:p>
      <w:pPr>
        <w:spacing w:after="0" w:line="117"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On May 30, 2007, FNF and Thomas H. Lee Partners, L.P. (“THL”) announced the execution of a definitive merger agreement to jointly acquire Ceridian Corporation (“Ceridian”) for $36 in cash per share of common stock. On September 12, 2007, Ceridian announced that its shareholders had approved the acquisition at the Ceridian annual stockholders meeting and, on October 10, 2007, Ceridian announced that regulatory approvals required to complete the sale had been received.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5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FNF and an equity fund of THL are each committed under equity commitment letters delivered in connection with the definitive merger agreement to invest $900 million in connection with the purchase of Ceridian. FNF and THL have announced that they intend to bring co-investors into the transaction. Based on equity co-investment commitments received from third party investors and higher than expected cash on hand at Ceridian, FNF currently expects to invest approximately $550 million in the Ceridian acquisition, resulting in an ownership share of approximately 33% of Ceridian. The Company expects to account for this investment using the equity method of accounting for financial statement purposes. This transaction is expected to close on November 9, 2007.</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Insight, LLC</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August 31, 2007, the Company completed the acquisition of Property Insight, a former FIS subsidiary, from FIS for $95 million in cash. Property Insight is a leading provider of title plant services for the Company, as well as various national and regional underwriters. Property Insight primarily manages, maintains, and updates the title insurance plants that are owned by the Company. Additionally, Property Insight manages potential title plant construction activities for the Company. (See Note A).</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ATM Holdings, Inc.</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August 13, 2007, the Company completed the acquisition of ATM Holdings, Inc. (“ATM”), a provider of nationwide mortgage vendor management services to the loan 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Cascade Timberlands, LLC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2006, the Company purchased equity interests in Cascade Timberlands LLC (“Cascade Timberlands”) totaling 71% of Cascade Timberlands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$89.2 million. As of September 30, 2007, the Company owned approximately 70% of the outstanding interests of Cascade Timberlands which was 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$88.5 million. The primary assets of Cascade Timberlands are approximately 293,000 acres of productive timberlands located on the eastern side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Cascade mountain range extending from Bend, Oregon south on State Highway 20 toward the California border. Cascade Timberlands was created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secured creditors of Crown Pacific LP upon the conclusion of the bankruptcy case of Crown Pacific LP in December 2004.</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Equity Interest in Sedgwick CMS Holdings, Inc.</w:t>
      </w:r>
    </w:p>
    <w:p>
      <w:pPr>
        <w:spacing w:after="0" w:line="11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On January 31, 2006, the Company, along with our equity partners, THL and Evercore Capital Partners, completed an acquisition of Sedgwick CMS Holdings, Inc. (“Sedgwick”), which resulted in the Company obtaining a 40% interest in Sedgwick for approximately $126 million. Sedgwick, headquartered in Memphis, Tennessee, is a leading provider of outsourced insurance claims management services to large corporate and public sector entities. In September 2006, the Company invested an additional $6.8 million in Sedgwick, maintaining its 40% interest.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Certegy, Inc.</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On February 1, 2006, a subsidiary of Old FNF formerly known as Fidelity National Information Services, Inc. merged with Certegy, Inc. (“Certegy”) to form FIS, a single publicly traded company. Certegy was a payment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processing company headquartered in St. Petersburg, Florida. Its results of operations are not included in the Company’s financial statements for periods after October 23, 2006, but were included for the three and nine month periods ended September 30, 2006.</w:t>
      </w:r>
    </w:p>
    <w:p>
      <w:pPr>
        <w:spacing w:after="0" w:line="62"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Generally accepted accounting principles in the U.S. require that one of the two companies in the transaction be designated as the acquirer for accounting purposes. FIS was designated as the accounting acquirer because immediately after the merger its shareholders held more than 50% of the common stock of the combined company. As a result, the merger was accounted for as a reverse acquisition under the purchase method of accounting. Under this accounting treatment, FIS was considered the acquiring entity and Certegy was considered the acquired entity for financial reporting purposes.</w:t>
      </w:r>
    </w:p>
    <w:p>
      <w:pPr>
        <w:spacing w:after="0" w:line="46" w:lineRule="exact"/>
        <w:rPr>
          <w:sz w:val="20"/>
          <w:szCs w:val="20"/>
          <w:color w:val="auto"/>
        </w:rPr>
      </w:pPr>
    </w:p>
    <w:p>
      <w:pPr>
        <w:ind w:right="260" w:firstLine="222"/>
        <w:spacing w:after="0" w:line="279" w:lineRule="auto"/>
        <w:rPr>
          <w:sz w:val="20"/>
          <w:szCs w:val="20"/>
          <w:color w:val="auto"/>
        </w:rPr>
      </w:pPr>
      <w:r>
        <w:rPr>
          <w:rFonts w:ascii="Arial" w:cs="Arial" w:eastAsia="Arial" w:hAnsi="Arial"/>
          <w:sz w:val="17"/>
          <w:szCs w:val="17"/>
          <w:color w:val="auto"/>
        </w:rPr>
        <w:t>The purchase price was based on the number of outstanding shares of common stock of Certegy on February 1, 2006, the date of consummation of the merger, valued at $33.38 per share (which was the average of the trading price of Certegy common stock two days before and two days after the announcement of the merger on September 15, 2005 of $37.13, less the $3.75 per share special dividend declared prior to closing). The purchase price also included the estimated fair value of Certegy’s stock options and restricted stock units outstanding at the transaction date.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purchase price was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Value of Certegy’s common stock</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$ 2,121.0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Value of Certegy’s stock options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FIS’s estimated transaction costs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$ 2,181.1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Earnings Per Share</w:t>
      </w:r>
    </w:p>
    <w:p>
      <w:pPr>
        <w:spacing w:after="0" w:line="121"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The Company presents “basic” earnings per share, representing net earnings divided by the weighted average shares outstanding (excluding all common stock equivalents), and “diluted” earnings per share, representing basic earnings per share adjusted for the dilutive effect of all common stock equivalents. The following table illustrates the computation of basic and diluted earnings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thousands,</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9"/>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9"/>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vMerge w:val="continue"/>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2"/>
              </w:rPr>
              <w:t>per share amounts)</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per share amounts)</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basic and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127,571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9"/>
              </w:rPr>
              <w:t>174,706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366,563</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 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216,325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173,475</w:t>
            </w:r>
          </w:p>
        </w:tc>
        <w:tc>
          <w:tcPr>
            <w:tcW w:w="100" w:type="dxa"/>
            <w:vAlign w:val="bottom"/>
          </w:tcPr>
          <w:p>
            <w:pPr>
              <w:spacing w:after="0"/>
              <w:rPr>
                <w:sz w:val="18"/>
                <w:szCs w:val="18"/>
                <w:color w:val="auto"/>
              </w:rPr>
            </w:pP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w w:val="89"/>
              </w:rPr>
              <w:t>218,006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173,475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Plus: Common stock equivalent shares assumed from conversion of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3,791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219,548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173,643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221,797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0.80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Options to purchase 4,384,594 shares and 3,580,712 shares of the Company’s stock for the three and nine month periods ended September 30, 2007, respectively, and 2,246,500 shares for the three and nine month periods ended September 30, 2006 were not included in the computation of diluted earnings per share because they were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right="260" w:firstLine="222"/>
        <w:spacing w:after="0" w:line="312" w:lineRule="auto"/>
        <w:rPr>
          <w:sz w:val="20"/>
          <w:szCs w:val="20"/>
          <w:color w:val="auto"/>
        </w:rPr>
      </w:pPr>
      <w:r>
        <w:rPr>
          <w:rFonts w:ascii="Arial" w:cs="Arial" w:eastAsia="Arial" w:hAnsi="Arial"/>
          <w:sz w:val="16"/>
          <w:szCs w:val="16"/>
          <w:color w:val="auto"/>
        </w:rPr>
        <w:t>The Company lends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September 30, 2007 and December 31, 2006, the Company had security loans outstanding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with fair values of $284.4 million and $316.0 million included in accounts payable and accrued liabilities, respectively, and the Company held cash in the same amounts as collateral for the loaned securities.</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Gross unrealized losses on investment securities and the fair value of the related securities, aggregated by investment category and length of time that individual securities have been in a continuous unrealized loss position at September 30, 2007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Less than 12 Months</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12 Months or Longer</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60" w:type="dxa"/>
            <w:vAlign w:val="bottom"/>
            <w:gridSpan w:val="2"/>
            <w:vMerge w:val="restart"/>
          </w:tcPr>
          <w:p>
            <w:pPr>
              <w:jc w:val="right"/>
              <w:ind w:right="113"/>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0"/>
                <w:szCs w:val="10"/>
                <w:color w:val="auto"/>
              </w:rPr>
            </w:pPr>
          </w:p>
        </w:tc>
        <w:tc>
          <w:tcPr>
            <w:tcW w:w="11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Unrealized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1060" w:type="dxa"/>
            <w:vAlign w:val="bottom"/>
            <w:gridSpan w:val="2"/>
          </w:tcPr>
          <w:p>
            <w:pPr>
              <w:jc w:val="right"/>
              <w:ind w:right="113"/>
              <w:spacing w:after="0" w:line="119" w:lineRule="exact"/>
              <w:rPr>
                <w:sz w:val="20"/>
                <w:szCs w:val="20"/>
                <w:color w:val="auto"/>
              </w:rPr>
            </w:pPr>
            <w:r>
              <w:rPr>
                <w:rFonts w:ascii="Arial" w:cs="Arial" w:eastAsia="Arial" w:hAnsi="Arial"/>
                <w:sz w:val="13"/>
                <w:szCs w:val="13"/>
                <w:b w:val="1"/>
                <w:bCs w:val="1"/>
                <w:color w:val="auto"/>
              </w:rPr>
              <w:t>Unrealized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right"/>
              <w:ind w:right="113"/>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5"/>
              </w:rPr>
              <w:t>Losses</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1"/>
              </w:rPr>
              <w:t>Losses</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419,467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(2,908)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419,467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States and political subdivisions</w:t>
            </w:r>
          </w:p>
        </w:tc>
        <w:tc>
          <w:tcPr>
            <w:tcW w:w="24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65,796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585,519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(4,452)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651,315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government and</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5,008</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21,137</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26,145</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95,125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87"/>
              </w:rPr>
              <w:t>(1,913)</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429,055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89"/>
              </w:rPr>
              <w:t>(12,312)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524,180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89"/>
              </w:rPr>
              <w:t>(14,225)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39,632</w:t>
            </w:r>
          </w:p>
        </w:tc>
        <w:tc>
          <w:tcPr>
            <w:tcW w:w="3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87"/>
              </w:rPr>
              <w:t>(4,015)</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13,163</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(2,484)</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52,795</w:t>
            </w: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09"/>
        </w:trPr>
        <w:tc>
          <w:tcPr>
            <w:tcW w:w="2780" w:type="dxa"/>
            <w:vAlign w:val="bottom"/>
          </w:tcPr>
          <w:p>
            <w:pPr>
              <w:ind w:left="220"/>
              <w:spacing w:after="0"/>
              <w:rPr>
                <w:sz w:val="20"/>
                <w:szCs w:val="20"/>
                <w:color w:val="auto"/>
              </w:rPr>
            </w:pPr>
            <w:r>
              <w:rPr>
                <w:rFonts w:ascii="Arial" w:cs="Arial" w:eastAsia="Arial" w:hAnsi="Arial"/>
                <w:sz w:val="18"/>
                <w:szCs w:val="18"/>
                <w:color w:val="auto"/>
              </w:rPr>
              <w:t>Total temporarily impaired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9"/>
              </w:rPr>
              <w:t>205,561</w:t>
            </w:r>
          </w:p>
        </w:tc>
        <w:tc>
          <w:tcPr>
            <w:tcW w:w="70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87"/>
              </w:rPr>
              <w:t>(6,328)</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9"/>
              </w:rPr>
              <w:t>1,468,341</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9"/>
              </w:rPr>
              <w:t>(22,310)</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1,673,902</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9"/>
              </w:rPr>
              <w:t>(28,638)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15"/>
        <w:spacing w:after="0" w:line="272" w:lineRule="auto"/>
        <w:rPr>
          <w:sz w:val="20"/>
          <w:szCs w:val="20"/>
          <w:color w:val="auto"/>
        </w:rPr>
      </w:pPr>
      <w:r>
        <w:rPr>
          <w:rFonts w:ascii="Arial" w:cs="Arial" w:eastAsia="Arial" w:hAnsi="Arial"/>
          <w:sz w:val="17"/>
          <w:szCs w:val="17"/>
          <w:color w:val="auto"/>
        </w:rPr>
        <w:t>A substantial portion of the Company’s unrealized losses relate to its holdings of debt securities. Unrealized losses relating to U.S. government, state and political subdivision and fixed maturity corporate holdings were primarily caused by interest rate increases. Since the decline in fair value of these investments is primarily attributable to changes in interest rates and not credit quality, and the Company has the intent and ability to hold these securities, the Company does not consider these investments other-than-temporarily impaired. The unrealized losses related to equity securities were caused by market changes that the Company considers to be temporary and thus the Company does not consider these investments other-than-temporarily impaired. During the third quarters of 2007 and 2006, the Company recorded impairment charges on equity investments that it considered to be other-than-temporarily impaired, resulting in charges of $3.1 million and $9.1 million respectively.</w:t>
      </w:r>
    </w:p>
    <w:p>
      <w:pPr>
        <w:spacing w:after="0" w:line="7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Gross realized gains on investments for the quarters ended September 30, 2007 and 2006 were $8.7 million and $12.2 million, respectively. Gross realized losses on investments for the quarters ended September 30, 2007 and 2006 were $7.8 million and $12.9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 Plans</w:t>
      </w:r>
    </w:p>
    <w:p>
      <w:pPr>
        <w:spacing w:after="0" w:line="12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During 2007, the Company granted 10,000 shares of restricted stock with a weighted average grant date fair value of $25.13 per share. During the first nine months of 2006, the Company granted options to purchase 40,000 shares of common stock, with a weighted average exercise price of $21.82 per share and a weighted average fair value of $3.71 per share.</w:t>
      </w:r>
    </w:p>
    <w:p>
      <w:pPr>
        <w:spacing w:after="0" w:line="73"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Net income reflects stock based compensation expense of $8.0 million and $11.1 million for the three month periods ended September 30, 2007 and 2006, respectively, and $23.7 million and $56.8 million for the nine months periods ended September 30, 2007 and 2006, respectively, which is included in personnel costs in the reported financial results of each period. Stock based compensation costs related to FIS were $4.4 million and $37.2 million in the three and nine month periods ended September 30, 2006, respectively. The expense for the first nine months of 2006 included $24.5 million in expense relating to performance based options at FIS for which the performance and market based criteria were met during the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F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FNF adopted FIN 48, effective January 1, 2007. As a result of the adoption, the Company had no change to reserves for uncertain tax positions. As of January 1, 2007, FNF had approximately $3.7 million (including $0.3 million of interest) of total gross unrecognized tax benefits that, if recognized, would favorably affect the Company’s income tax rate.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Internal Revenue Service (“IRS”) has selected the Company to participate in a pilot program (Compliance Assurance Program or CAP) that is a real-time audit beginning with the 2005 tax year. In 2006, the IRS completed its examination of the Company’s tax returns for years 2002 through 2005. The Company is currently under audit by the Internal Revenue Service for the 2006 and 2007 tax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G </w:t>
      </w:r>
      <w:r>
        <w:rPr>
          <w:rFonts w:ascii="Arial" w:cs="Arial" w:eastAsia="Arial" w:hAnsi="Arial"/>
          <w:sz w:val="18"/>
          <w:szCs w:val="18"/>
          <w:color w:val="auto"/>
        </w:rPr>
        <w:t>—</w:t>
      </w:r>
      <w:r>
        <w:rPr>
          <w:rFonts w:ascii="Arial" w:cs="Arial" w:eastAsia="Arial" w:hAnsi="Arial"/>
          <w:sz w:val="18"/>
          <w:szCs w:val="18"/>
          <w:b w:val="1"/>
          <w:bCs w:val="1"/>
          <w:color w:val="auto"/>
        </w:rPr>
        <w:t xml:space="preserve"> Notes Payable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 payable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248,987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248,849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Unsecured notes, net of discount, interest payable semi-annually at 7.30%, due August 2011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240,956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240,881</w:t>
            </w:r>
          </w:p>
        </w:tc>
      </w:tr>
      <w:tr>
        <w:trPr>
          <w:trHeight w:val="202"/>
        </w:trPr>
        <w:tc>
          <w:tcPr>
            <w:tcW w:w="8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 promissory notes, nonrecourse, secured, interest payable monthly at various fixed rates (4.9%-9.26%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2007), various maturities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135,740</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920" w:type="dxa"/>
            <w:vAlign w:val="bottom"/>
          </w:tcPr>
          <w:p>
            <w:pPr>
              <w:spacing w:after="0" w:line="201" w:lineRule="exact"/>
              <w:rPr>
                <w:sz w:val="20"/>
                <w:szCs w:val="20"/>
                <w:color w:val="auto"/>
              </w:rPr>
            </w:pPr>
            <w:r>
              <w:rPr>
                <w:rFonts w:ascii="Arial" w:cs="Arial" w:eastAsia="Arial" w:hAnsi="Arial"/>
                <w:sz w:val="18"/>
                <w:szCs w:val="18"/>
                <w:color w:val="auto"/>
              </w:rPr>
              <w:t>Syndicated credit agreement, unsecured, interest due monthly at LIBOR plus 0.36%, unused portion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920" w:type="dxa"/>
            <w:vAlign w:val="bottom"/>
          </w:tcPr>
          <w:p>
            <w:pPr>
              <w:ind w:left="220"/>
              <w:spacing w:after="0"/>
              <w:rPr>
                <w:sz w:val="20"/>
                <w:szCs w:val="20"/>
                <w:color w:val="auto"/>
              </w:rPr>
            </w:pPr>
            <w:r>
              <w:rPr>
                <w:rFonts w:ascii="Arial" w:cs="Arial" w:eastAsia="Arial" w:hAnsi="Arial"/>
                <w:sz w:val="18"/>
                <w:szCs w:val="18"/>
                <w:color w:val="auto"/>
              </w:rPr>
              <w:t>$800 million at September 30, 2007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Revolving credit facility, secured, interest payable monthly at Prime-0.5% (7.25% at September 30, 2007), unused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portion of $10,250, due August 2008</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9,750</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Note payable to FIS, interest payable at LIBOR+0.45%, due October 2012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7,259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promissory notes with various interest rates and maturities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w:t>
            </w:r>
          </w:p>
        </w:tc>
      </w:tr>
      <w:tr>
        <w:trPr>
          <w:trHeight w:val="223"/>
        </w:trPr>
        <w:tc>
          <w:tcPr>
            <w:tcW w:w="8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643,837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491,167</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40" w:firstLine="225"/>
        <w:spacing w:after="0" w:line="312" w:lineRule="auto"/>
        <w:rPr>
          <w:sz w:val="20"/>
          <w:szCs w:val="20"/>
          <w:color w:val="auto"/>
        </w:rPr>
      </w:pPr>
      <w:r>
        <w:rPr>
          <w:rFonts w:ascii="Arial" w:cs="Arial" w:eastAsia="Arial" w:hAnsi="Arial"/>
          <w:sz w:val="16"/>
          <w:szCs w:val="16"/>
          <w:color w:val="auto"/>
        </w:rPr>
        <w:t>Effective October 11, 2007, the Company exercised an option to increase the amount of its credit facility by $300 million, bringing the total amount available to $1.1 billion. All other terms remain the same. As of September 30, 2007, the facility was unused. The Company anticipates drawing approximately $500 million to fund its equity commitment relating to the Ceridian acquisition which is expected to close on November 9, 2007.</w:t>
      </w:r>
    </w:p>
    <w:p>
      <w:pPr>
        <w:spacing w:after="0" w:line="39"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In connection with the purchase of certain leasing assets from FIS (see “Transactions with Related Parties” in note A), the Company assumed certain liabilities associated with those assets. These liabilities include various bank promissory notes, which are non-recourse obligations and are secured by interests in certain leases and underlying equipment. These promissory notes bear interest at various fixed rates and mature at various dates. In addition, the Company also assumed a $20 million revolving credit facility. This facility is also secured by interests in certain leases and underlying equipment, bears interest at Prime-0.5%, and is due August 2008. As of September 30, 2007, $10.25 million was unused. The Company also entered into an unsecured note with FIS in the amount of $7.3 million. The note bears interest at LIBOR+0.45%, includes principal amortization of $0.2 million per quarter and is due October, 2012.</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Principal maturities of notes payable at September 30, 2007, are as follows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2008</w:t>
            </w: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64,902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40,370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2010</w:t>
            </w: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14,986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246,383</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Thereafter</w:t>
            </w:r>
          </w:p>
        </w:tc>
        <w:tc>
          <w:tcPr>
            <w:tcW w:w="7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260,397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643,837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400" w:type="dxa"/>
            <w:vAlign w:val="bottom"/>
            <w:vMerge w:val="restart"/>
          </w:tcPr>
          <w:p>
            <w:pPr>
              <w:jc w:val="right"/>
              <w:ind w:right="471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0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00" w:type="dxa"/>
            <w:vAlign w:val="bottom"/>
            <w:tcBorders>
              <w:bottom w:val="single" w:sz="8" w:color="808080"/>
            </w:tcBorders>
          </w:tcPr>
          <w:p>
            <w:pPr>
              <w:spacing w:after="0"/>
              <w:rPr>
                <w:sz w:val="19"/>
                <w:szCs w:val="19"/>
                <w:color w:val="auto"/>
              </w:rPr>
            </w:pPr>
          </w:p>
        </w:tc>
        <w:tc>
          <w:tcPr>
            <w:tcW w:w="7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Summarized financial information concerning the Company’s reportable segments is shown in the following table.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three months ended September 30, 2007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spacing w:after="0"/>
              <w:rPr>
                <w:sz w:val="20"/>
                <w:szCs w:val="20"/>
                <w:color w:val="auto"/>
              </w:rPr>
            </w:pPr>
            <w:r>
              <w:rPr>
                <w:rFonts w:ascii="Arial" w:cs="Arial" w:eastAsia="Arial" w:hAnsi="Arial"/>
                <w:sz w:val="14"/>
                <w:szCs w:val="14"/>
                <w:b w:val="1"/>
                <w:bCs w:val="1"/>
                <w:color w:val="auto"/>
              </w:rPr>
              <w:t>Fidelity National</w:t>
            </w:r>
          </w:p>
        </w:tc>
        <w:tc>
          <w:tcPr>
            <w:tcW w:w="80" w:type="dxa"/>
            <w:vAlign w:val="bottom"/>
          </w:tcPr>
          <w:p>
            <w:pPr>
              <w:spacing w:after="0"/>
              <w:rPr>
                <w:sz w:val="14"/>
                <w:szCs w:val="14"/>
                <w:color w:val="auto"/>
              </w:rPr>
            </w:pPr>
          </w:p>
        </w:tc>
        <w:tc>
          <w:tcPr>
            <w:tcW w:w="12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7"/>
              </w:rPr>
              <w:t>Specialty</w:t>
            </w:r>
          </w:p>
        </w:tc>
        <w:tc>
          <w:tcPr>
            <w:tcW w:w="13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9"/>
              </w:rPr>
              <w:t>Title Group</w:t>
            </w:r>
          </w:p>
        </w:tc>
        <w:tc>
          <w:tcPr>
            <w:tcW w:w="620" w:type="dxa"/>
            <w:vAlign w:val="bottom"/>
            <w:gridSpan w:val="2"/>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Insurance</w:t>
            </w:r>
          </w:p>
        </w:tc>
        <w:tc>
          <w:tcPr>
            <w:tcW w:w="660" w:type="dxa"/>
            <w:vAlign w:val="bottom"/>
            <w:gridSpan w:val="2"/>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and Other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928,663</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255,628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102,844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24,396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382,868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1,184,291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4"/>
              </w:rPr>
              <w:t>$ 102,844</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24,396</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$ 1,311,531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5"/>
          </w:tcPr>
          <w:p>
            <w:pPr>
              <w:spacing w:after="0"/>
              <w:rPr>
                <w:sz w:val="20"/>
                <w:szCs w:val="20"/>
                <w:color w:val="auto"/>
              </w:rPr>
            </w:pPr>
            <w:r>
              <w:rPr>
                <w:rFonts w:ascii="Arial" w:cs="Arial" w:eastAsia="Arial" w:hAnsi="Arial"/>
                <w:sz w:val="18"/>
                <w:szCs w:val="18"/>
                <w:color w:val="auto"/>
                <w:w w:val="91"/>
              </w:rPr>
              <w:t>Interest and investment income, including realized gains and losses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41,510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4,203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6,925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1,225,801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4"/>
              </w:rPr>
              <w:t>$ 107,047</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31,321</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$ 1,364,169</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31,589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Earnings (loss) before income tax and minority interest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5,934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10,327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(13,566)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(2,905)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3,197</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8,416</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7,130</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5,751,454</w:t>
            </w:r>
          </w:p>
        </w:tc>
        <w:tc>
          <w:tcPr>
            <w:tcW w:w="5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84"/>
              </w:rPr>
              <w:t>$ 468,398</w:t>
            </w:r>
          </w:p>
        </w:tc>
        <w:tc>
          <w:tcPr>
            <w:tcW w:w="5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$ 1,006,619</w:t>
            </w:r>
          </w:p>
        </w:tc>
        <w:tc>
          <w:tcPr>
            <w:tcW w:w="6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$ 7,226,471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1,243,654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44,856</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1,360,565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00" w:type="dxa"/>
            <w:vAlign w:val="bottom"/>
            <w:gridSpan w:val="8"/>
          </w:tcPr>
          <w:p>
            <w:pPr>
              <w:ind w:left="200"/>
              <w:spacing w:after="0"/>
              <w:rPr>
                <w:sz w:val="20"/>
                <w:szCs w:val="20"/>
                <w:color w:val="auto"/>
              </w:rPr>
            </w:pPr>
            <w:r>
              <w:rPr>
                <w:rFonts w:ascii="Arial" w:cs="Arial" w:eastAsia="Arial" w:hAnsi="Arial"/>
                <w:sz w:val="18"/>
                <w:szCs w:val="18"/>
                <w:color w:val="auto"/>
                <w:w w:val="90"/>
              </w:rPr>
              <w:t>As of and for the three months ended September 30, 2006 (dollars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Fidelity National</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Fidelity National</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Specialty</w:t>
            </w:r>
          </w:p>
        </w:tc>
        <w:tc>
          <w:tcPr>
            <w:tcW w:w="80" w:type="dxa"/>
            <w:vAlign w:val="bottom"/>
          </w:tcPr>
          <w:p>
            <w:pPr>
              <w:spacing w:after="0"/>
              <w:rPr>
                <w:sz w:val="24"/>
                <w:szCs w:val="24"/>
                <w:color w:val="auto"/>
              </w:rPr>
            </w:pPr>
          </w:p>
        </w:tc>
        <w:tc>
          <w:tcPr>
            <w:tcW w:w="12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Information</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w w:val="99"/>
              </w:rPr>
              <w:t>Title Group</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Insurance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and Other</w:t>
            </w:r>
          </w:p>
        </w:tc>
        <w:tc>
          <w:tcPr>
            <w:tcW w:w="5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1,183,141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21,580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3,428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(21,573)</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281,152</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1,059,071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99,619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(45,916)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1,395,312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67,489</w:t>
            </w:r>
          </w:p>
        </w:tc>
        <w:tc>
          <w:tcPr>
            <w:tcW w:w="6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1,464,293</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1,013,162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99,619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4,814</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2,581,888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and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realized gains and losses</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42,739</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4,017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4,525</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52,934</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1,507,032</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1,014,815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103,636</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9,339</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2,634,822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29,881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49,629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12,423</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65,931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before income tax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170,531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121,447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19,070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(15,565)</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57,241</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42,902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7,343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2,434</w:t>
            </w: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109,920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57,417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earnings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112,680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78,580</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11,727</w:t>
            </w:r>
          </w:p>
        </w:tc>
        <w:tc>
          <w:tcPr>
            <w:tcW w:w="1360" w:type="dxa"/>
            <w:vAlign w:val="bottom"/>
            <w:gridSpan w:val="5"/>
          </w:tcPr>
          <w:p>
            <w:pPr>
              <w:jc w:val="right"/>
              <w:ind w:right="520"/>
              <w:spacing w:after="0"/>
              <w:rPr>
                <w:sz w:val="20"/>
                <w:szCs w:val="20"/>
                <w:color w:val="auto"/>
              </w:rPr>
            </w:pPr>
            <w:r>
              <w:rPr>
                <w:rFonts w:ascii="Arial" w:cs="Arial" w:eastAsia="Arial" w:hAnsi="Arial"/>
                <w:sz w:val="18"/>
                <w:szCs w:val="18"/>
                <w:color w:val="auto"/>
                <w:w w:val="99"/>
              </w:rPr>
              <w:t>$ (75,416)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6,143,478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7,432,119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9"/>
              </w:rPr>
              <w:t>487,861</w:t>
            </w:r>
          </w:p>
        </w:tc>
        <w:tc>
          <w:tcPr>
            <w:tcW w:w="1360" w:type="dxa"/>
            <w:vAlign w:val="bottom"/>
            <w:tcBorders>
              <w:right w:val="single" w:sz="8" w:color="CCEEFF"/>
            </w:tcBorders>
            <w:gridSpan w:val="5"/>
            <w:shd w:val="clear" w:color="auto" w:fill="CCEEFF"/>
          </w:tcPr>
          <w:p>
            <w:pPr>
              <w:jc w:val="right"/>
              <w:ind w:right="580"/>
              <w:spacing w:after="0"/>
              <w:rPr>
                <w:sz w:val="20"/>
                <w:szCs w:val="20"/>
                <w:color w:val="auto"/>
              </w:rPr>
            </w:pPr>
            <w:r>
              <w:rPr>
                <w:rFonts w:ascii="Arial" w:cs="Arial" w:eastAsia="Arial" w:hAnsi="Arial"/>
                <w:sz w:val="18"/>
                <w:szCs w:val="18"/>
                <w:color w:val="auto"/>
                <w:w w:val="94"/>
              </w:rPr>
              <w:t>$ 455,954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5"/>
              </w:rPr>
              <w:t>$ 14,519,412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1,101,761</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3,782,225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44,856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(67,108)</w:t>
            </w:r>
          </w:p>
        </w:tc>
        <w:tc>
          <w:tcPr>
            <w:tcW w:w="16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4,861,734</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nine months ended September 30, 2007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Fidelity National</w:t>
            </w:r>
          </w:p>
        </w:tc>
        <w:tc>
          <w:tcPr>
            <w:tcW w:w="13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1"/>
              </w:rPr>
              <w:t>Specialty</w:t>
            </w:r>
          </w:p>
        </w:tc>
        <w:tc>
          <w:tcPr>
            <w:tcW w:w="13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9"/>
              </w:rPr>
              <w:t>Title Group</w:t>
            </w:r>
          </w:p>
        </w:tc>
        <w:tc>
          <w:tcPr>
            <w:tcW w:w="660" w:type="dxa"/>
            <w:vAlign w:val="bottom"/>
            <w:gridSpan w:val="2"/>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Insurance</w:t>
            </w:r>
          </w:p>
        </w:tc>
        <w:tc>
          <w:tcPr>
            <w:tcW w:w="660" w:type="dxa"/>
            <w:vAlign w:val="bottom"/>
            <w:gridSpan w:val="2"/>
          </w:tcPr>
          <w:p>
            <w:pPr>
              <w:spacing w:after="0"/>
              <w:rPr>
                <w:sz w:val="14"/>
                <w:szCs w:val="14"/>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and Other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2,935,772</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$ 2,935,772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770,196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297,573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66,284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1,134,053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3,705,968</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$ 297,573</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66,284</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$ 4,069,825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w w:val="90"/>
              </w:rPr>
              <w:t>Interest and investment income, including realized gains and losses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129,276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12,249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16,558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158,083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3,835,244</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$ 309,822</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82,842</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$ 4,227,908</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86,678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11,215</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24,782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4"/>
          </w:tcPr>
          <w:p>
            <w:pPr>
              <w:spacing w:after="0"/>
              <w:rPr>
                <w:sz w:val="20"/>
                <w:szCs w:val="20"/>
                <w:color w:val="auto"/>
              </w:rPr>
            </w:pPr>
            <w:r>
              <w:rPr>
                <w:rFonts w:ascii="Arial" w:cs="Arial" w:eastAsia="Arial" w:hAnsi="Arial"/>
                <w:sz w:val="18"/>
                <w:szCs w:val="18"/>
                <w:color w:val="auto"/>
              </w:rPr>
              <w:t>Earnings (loss) before income tax and minority interest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251,807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49,613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(45,720)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80,200</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18,106</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1,355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(1,802)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170,252</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31,507</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(27,053)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5,751,454</w:t>
            </w:r>
          </w:p>
        </w:tc>
        <w:tc>
          <w:tcPr>
            <w:tcW w:w="5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$ 468,398</w:t>
            </w:r>
          </w:p>
        </w:tc>
        <w:tc>
          <w:tcPr>
            <w:tcW w:w="5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$ 1,006,619</w:t>
            </w:r>
          </w:p>
        </w:tc>
        <w:tc>
          <w:tcPr>
            <w:tcW w:w="56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$ 7,226,471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1,243,654</w:t>
            </w:r>
          </w:p>
        </w:tc>
        <w:tc>
          <w:tcPr>
            <w:tcW w:w="5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44,856</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1,360,565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80" w:type="dxa"/>
            <w:vAlign w:val="bottom"/>
            <w:gridSpan w:val="7"/>
          </w:tcPr>
          <w:p>
            <w:pPr>
              <w:ind w:left="200"/>
              <w:spacing w:after="0"/>
              <w:rPr>
                <w:sz w:val="20"/>
                <w:szCs w:val="20"/>
                <w:color w:val="auto"/>
              </w:rPr>
            </w:pPr>
            <w:r>
              <w:rPr>
                <w:rFonts w:ascii="Arial" w:cs="Arial" w:eastAsia="Arial" w:hAnsi="Arial"/>
                <w:sz w:val="18"/>
                <w:szCs w:val="18"/>
                <w:color w:val="auto"/>
                <w:w w:val="89"/>
              </w:rPr>
              <w:t>As of and for the nine months ended September 30, 2006 (dollars in thousands):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Fidelity National</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Fidelity National</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Specialty</w:t>
            </w:r>
          </w:p>
        </w:tc>
        <w:tc>
          <w:tcPr>
            <w:tcW w:w="132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Information</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5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Title Group</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Insurance</w:t>
            </w:r>
          </w:p>
        </w:tc>
        <w:tc>
          <w:tcPr>
            <w:tcW w:w="580" w:type="dxa"/>
            <w:vAlign w:val="bottom"/>
          </w:tcPr>
          <w:p>
            <w:pPr>
              <w:spacing w:after="0"/>
              <w:rPr>
                <w:sz w:val="14"/>
                <w:szCs w:val="14"/>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9"/>
              </w:rPr>
              <w:t>and Other</w:t>
            </w:r>
          </w:p>
        </w:tc>
        <w:tc>
          <w:tcPr>
            <w:tcW w:w="580" w:type="dxa"/>
            <w:vAlign w:val="bottom"/>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3,472,576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58,683</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(58,441)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3,477,532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845,238</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2,944,850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w w:val="89"/>
              </w:rPr>
              <w:t>304,070</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4,608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(112,212)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3,986,554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(170,653)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170,653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4,317,814</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304,070</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9,322</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7,464,086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and investment income,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realized gains and losses</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137,771</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11,410</w:t>
            </w:r>
          </w:p>
        </w:tc>
        <w:tc>
          <w:tcPr>
            <w:tcW w:w="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13,992</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170,004</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4,455,585</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2,839,711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315,480</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23,314</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7,634,090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83,312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318,304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4,678</w:t>
            </w:r>
          </w:p>
        </w:tc>
        <w:tc>
          <w:tcPr>
            <w:tcW w:w="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8,435</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141,930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32,192</w:t>
            </w: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183,536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before income tax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494,540</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292,035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67,001</w:t>
            </w:r>
          </w:p>
        </w:tc>
        <w:tc>
          <w:tcPr>
            <w:tcW w:w="8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(41,563)</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165,610</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108,109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25,958</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2,392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1,889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141,533</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earnings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327,041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183,967</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41,043</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w w:val="84"/>
              </w:rPr>
              <w:t>$ (185,488)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366,563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6,143,478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7,432,119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9"/>
              </w:rPr>
              <w:t>487,861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$ 455,954</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5"/>
              </w:rPr>
              <w:t>$ 14,519,412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1,101,761</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3,782,225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44,856</w:t>
            </w:r>
          </w:p>
        </w:tc>
        <w:tc>
          <w:tcPr>
            <w:tcW w:w="80" w:type="dxa"/>
            <w:vAlign w:val="bottom"/>
          </w:tcPr>
          <w:p>
            <w:pPr>
              <w:spacing w:after="0"/>
              <w:rPr>
                <w:sz w:val="20"/>
                <w:szCs w:val="20"/>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(67,108)</w:t>
            </w:r>
          </w:p>
        </w:tc>
        <w:tc>
          <w:tcPr>
            <w:tcW w:w="12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4,861,734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17"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This segment consists of the operations of FNF’s title insurance underwriters — Fidelity National Title, Chicago Title, Ticor Title, Security Union Title and Alamo Title — which together issued approximately 27.7% of all title insurance policies issued nationally during 2006. This segment provides core title insurance and escrow and other title related services including collection and trust activities, trustee’s sales guarantees, recordings and reconveyances.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segment consists of certain subsidiaries that issue flood, home warranty, homeowners, automobile, and other personal lines insurance policies.</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ind w:right="220" w:firstLine="222"/>
        <w:spacing w:after="0" w:line="312" w:lineRule="auto"/>
        <w:rPr>
          <w:sz w:val="20"/>
          <w:szCs w:val="20"/>
          <w:color w:val="auto"/>
        </w:rPr>
      </w:pPr>
      <w:r>
        <w:rPr>
          <w:rFonts w:ascii="Arial" w:cs="Arial" w:eastAsia="Arial" w:hAnsi="Arial"/>
          <w:sz w:val="16"/>
          <w:szCs w:val="16"/>
          <w:color w:val="auto"/>
        </w:rPr>
        <w:t>The corporate and other segment consists of the operations of the parent holding company, certain other unallocated corporate overhead expenses, the operations of Fidelity National Real Estate Solutions, LLC (“FNRES”), a 61% owned subsidiary of the Company that conducts a software business serving real estate brokers, other smaller operations, and the Company’s share in the operations of certain equity investments, including Sedgwick.</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Fidelity National Information Services</w:t>
      </w:r>
    </w:p>
    <w:p>
      <w:pPr>
        <w:spacing w:after="0" w:line="117"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Through October 24, 2006, this segment consisted of the operations of Old FNF’s majority owned subsidiary, FIS, which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Dividends</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January 23, 2007, the Company’s Board of Directors declared a cash dividend of $0.30 per share, payable on March 29, 2007, to stockholders of record as of March 14, 2007. On April 25, 2007, the Company’s Board of Directors declared a cash dividend of $0.30 per share, payable on June 28, 2007, to stockholders of record as of June 14, 2007. On July 25, 2007, the Company’s Board of Directors declared a cash dividend of $0.30 per share, payable on September 27, 2007, to stockholders of record as of September 13, 2007. On October 24, 2007, the Company’s Board of Directors declared a cash dividend of $0.30 per share, payable on December 27, 2007, to stockholders of record as of December 13, 2007.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Pension and Postretirement Benefits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details the Company’s periodic (income) expense for pension and postretirement benefits: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94"/>
              </w:rPr>
              <w:t>For the Three Months Ended September 30,</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2"/>
                <w:szCs w:val="12"/>
                <w:color w:val="auto"/>
              </w:rPr>
            </w:pPr>
          </w:p>
        </w:tc>
        <w:tc>
          <w:tcPr>
            <w:tcW w:w="480" w:type="dxa"/>
            <w:vAlign w:val="bottom"/>
            <w:gridSpan w:val="2"/>
          </w:tcPr>
          <w:p>
            <w:pPr>
              <w:spacing w:after="0"/>
              <w:rPr>
                <w:sz w:val="12"/>
                <w:szCs w:val="12"/>
                <w:color w:val="auto"/>
              </w:rPr>
            </w:pPr>
          </w:p>
        </w:tc>
        <w:tc>
          <w:tcPr>
            <w:tcW w:w="9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2006</w:t>
            </w:r>
          </w:p>
        </w:tc>
      </w:tr>
      <w:tr>
        <w:trPr>
          <w:trHeight w:val="142"/>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Borders>
              <w:bottom w:val="single" w:sz="8" w:color="auto"/>
            </w:tcBorders>
            <w:gridSpan w:val="4"/>
          </w:tcPr>
          <w:p>
            <w:pPr>
              <w:jc w:val="right"/>
              <w:ind w:right="473"/>
              <w:spacing w:after="0" w:line="142" w:lineRule="exact"/>
              <w:rPr>
                <w:sz w:val="20"/>
                <w:szCs w:val="20"/>
                <w:color w:val="auto"/>
              </w:rPr>
            </w:pPr>
            <w:r>
              <w:rPr>
                <w:rFonts w:ascii="Arial" w:cs="Arial" w:eastAsia="Arial" w:hAnsi="Arial"/>
                <w:sz w:val="14"/>
                <w:szCs w:val="14"/>
                <w:b w:val="1"/>
                <w:bCs w:val="1"/>
                <w:color w:val="auto"/>
              </w:rPr>
              <w:t>Postretirement Benefits</w:t>
            </w:r>
          </w:p>
        </w:tc>
      </w:tr>
      <w:tr>
        <w:trPr>
          <w:trHeight w:val="142"/>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7"/>
          </w:tcPr>
          <w:p>
            <w:pPr>
              <w:jc w:val="right"/>
              <w:ind w:right="480"/>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95"/>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2,097</w:t>
            </w:r>
          </w:p>
        </w:tc>
        <w:tc>
          <w:tcPr>
            <w:tcW w:w="140" w:type="dxa"/>
            <w:vAlign w:val="bottom"/>
          </w:tcPr>
          <w:p>
            <w:pPr>
              <w:spacing w:after="0"/>
              <w:rPr>
                <w:sz w:val="18"/>
                <w:szCs w:val="18"/>
                <w:color w:val="auto"/>
              </w:rPr>
            </w:pPr>
          </w:p>
        </w:tc>
        <w:tc>
          <w:tcPr>
            <w:tcW w:w="1400" w:type="dxa"/>
            <w:vAlign w:val="bottom"/>
            <w:gridSpan w:val="3"/>
          </w:tcPr>
          <w:p>
            <w:pPr>
              <w:jc w:val="right"/>
              <w:ind w:right="238"/>
              <w:spacing w:after="0"/>
              <w:rPr>
                <w:sz w:val="20"/>
                <w:szCs w:val="20"/>
                <w:color w:val="auto"/>
              </w:rPr>
            </w:pPr>
            <w:r>
              <w:rPr>
                <w:rFonts w:ascii="Arial" w:cs="Arial" w:eastAsia="Arial" w:hAnsi="Arial"/>
                <w:sz w:val="18"/>
                <w:szCs w:val="18"/>
                <w:color w:val="auto"/>
              </w:rPr>
              <w:t>364</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286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1"/>
              </w:rPr>
              <w:t>(2,660)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1"/>
              </w:rPr>
              <w:t>(2,453)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78"/>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73"/>
              <w:spacing w:after="0"/>
              <w:rPr>
                <w:sz w:val="20"/>
                <w:szCs w:val="20"/>
                <w:color w:val="auto"/>
              </w:rPr>
            </w:pPr>
            <w:r>
              <w:rPr>
                <w:rFonts w:ascii="Arial" w:cs="Arial" w:eastAsia="Arial" w:hAnsi="Arial"/>
                <w:sz w:val="18"/>
                <w:szCs w:val="18"/>
                <w:color w:val="auto"/>
                <w:w w:val="91"/>
              </w:rPr>
              <w:t>(1,010)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2,217</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435</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467</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 net periodic (income) expense</w:t>
            </w:r>
          </w:p>
        </w:tc>
        <w:tc>
          <w:tcPr>
            <w:tcW w:w="8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8"/>
                <w:szCs w:val="18"/>
                <w:color w:val="auto"/>
              </w:rPr>
              <w:t>$ 1,708</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8"/>
                <w:szCs w:val="18"/>
                <w:color w:val="auto"/>
              </w:rPr>
              <w:t>$ 1,861</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8"/>
                <w:szCs w:val="18"/>
                <w:color w:val="auto"/>
              </w:rPr>
              <w:t>$793</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(255)</w:t>
            </w: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29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298"/>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2006</w:t>
            </w:r>
          </w:p>
        </w:tc>
      </w:tr>
      <w:tr>
        <w:trPr>
          <w:trHeight w:val="142"/>
        </w:trPr>
        <w:tc>
          <w:tcPr>
            <w:tcW w:w="5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88"/>
              <w:spacing w:after="0" w:line="142" w:lineRule="exact"/>
              <w:rPr>
                <w:sz w:val="20"/>
                <w:szCs w:val="20"/>
                <w:color w:val="auto"/>
              </w:rPr>
            </w:pPr>
            <w:r>
              <w:rPr>
                <w:rFonts w:ascii="Arial" w:cs="Arial" w:eastAsia="Arial" w:hAnsi="Arial"/>
                <w:sz w:val="14"/>
                <w:szCs w:val="14"/>
                <w:b w:val="1"/>
                <w:bCs w:val="1"/>
                <w:color w:val="auto"/>
              </w:rPr>
              <w:t>Pension Benefits</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553"/>
              <w:spacing w:after="0" w:line="142" w:lineRule="exact"/>
              <w:rPr>
                <w:sz w:val="20"/>
                <w:szCs w:val="20"/>
                <w:color w:val="auto"/>
              </w:rPr>
            </w:pPr>
            <w:r>
              <w:rPr>
                <w:rFonts w:ascii="Arial" w:cs="Arial" w:eastAsia="Arial" w:hAnsi="Arial"/>
                <w:sz w:val="14"/>
                <w:szCs w:val="14"/>
                <w:b w:val="1"/>
                <w:bCs w:val="1"/>
                <w:color w:val="auto"/>
              </w:rPr>
              <w:t>Postretirement Benefits</w:t>
            </w:r>
          </w:p>
        </w:tc>
      </w:tr>
      <w:tr>
        <w:trPr>
          <w:trHeight w:val="142"/>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8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86"/>
              </w:rPr>
              <w:t>except per share amounts)</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cost</w:t>
            </w:r>
          </w:p>
        </w:tc>
        <w:tc>
          <w:tcPr>
            <w:tcW w:w="1060" w:type="dxa"/>
            <w:vAlign w:val="bottom"/>
            <w:gridSpan w:val="3"/>
          </w:tcPr>
          <w:p>
            <w:pPr>
              <w:jc w:val="right"/>
              <w:ind w:right="215"/>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18"/>
                <w:szCs w:val="18"/>
                <w:color w:val="auto"/>
              </w:rPr>
            </w:pPr>
          </w:p>
        </w:tc>
        <w:tc>
          <w:tcPr>
            <w:tcW w:w="1440" w:type="dxa"/>
            <w:vAlign w:val="bottom"/>
            <w:gridSpan w:val="4"/>
          </w:tcPr>
          <w:p>
            <w:pPr>
              <w:jc w:val="right"/>
              <w:ind w:right="212"/>
              <w:spacing w:after="0"/>
              <w:rPr>
                <w:sz w:val="20"/>
                <w:szCs w:val="20"/>
                <w:color w:val="auto"/>
              </w:rPr>
            </w:pPr>
            <w:r>
              <w:rPr>
                <w:rFonts w:ascii="Arial" w:cs="Arial" w:eastAsia="Arial" w:hAnsi="Arial"/>
                <w:sz w:val="18"/>
                <w:szCs w:val="18"/>
                <w:color w:val="auto"/>
              </w:rPr>
              <w:t>6,291</w:t>
            </w:r>
          </w:p>
        </w:tc>
        <w:tc>
          <w:tcPr>
            <w:tcW w:w="140" w:type="dxa"/>
            <w:vAlign w:val="bottom"/>
          </w:tcPr>
          <w:p>
            <w:pPr>
              <w:spacing w:after="0"/>
              <w:rPr>
                <w:sz w:val="18"/>
                <w:szCs w:val="18"/>
                <w:color w:val="auto"/>
              </w:rPr>
            </w:pPr>
          </w:p>
        </w:tc>
        <w:tc>
          <w:tcPr>
            <w:tcW w:w="1400" w:type="dxa"/>
            <w:vAlign w:val="bottom"/>
            <w:gridSpan w:val="3"/>
          </w:tcPr>
          <w:p>
            <w:pPr>
              <w:jc w:val="right"/>
              <w:ind w:right="238"/>
              <w:spacing w:after="0"/>
              <w:rPr>
                <w:sz w:val="20"/>
                <w:szCs w:val="20"/>
                <w:color w:val="auto"/>
              </w:rPr>
            </w:pPr>
            <w:r>
              <w:rPr>
                <w:rFonts w:ascii="Arial" w:cs="Arial" w:eastAsia="Arial" w:hAnsi="Arial"/>
                <w:sz w:val="18"/>
                <w:szCs w:val="18"/>
                <w:color w:val="auto"/>
              </w:rPr>
              <w:t>742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814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60" w:type="dxa"/>
            <w:vAlign w:val="bottom"/>
            <w:gridSpan w:val="3"/>
            <w:shd w:val="clear" w:color="auto" w:fill="CCEEFF"/>
          </w:tcPr>
          <w:p>
            <w:pPr>
              <w:jc w:val="right"/>
              <w:ind w:right="155"/>
              <w:spacing w:after="0"/>
              <w:rPr>
                <w:sz w:val="20"/>
                <w:szCs w:val="20"/>
                <w:color w:val="auto"/>
              </w:rPr>
            </w:pPr>
            <w:r>
              <w:rPr>
                <w:rFonts w:ascii="Arial" w:cs="Arial" w:eastAsia="Arial" w:hAnsi="Arial"/>
                <w:sz w:val="18"/>
                <w:szCs w:val="18"/>
                <w:color w:val="auto"/>
              </w:rPr>
              <w:t>(7,980)</w:t>
            </w:r>
          </w:p>
        </w:tc>
        <w:tc>
          <w:tcPr>
            <w:tcW w:w="1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(7,359)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78"/>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73"/>
              <w:spacing w:after="0"/>
              <w:rPr>
                <w:sz w:val="20"/>
                <w:szCs w:val="20"/>
                <w:color w:val="auto"/>
              </w:rPr>
            </w:pPr>
            <w:r>
              <w:rPr>
                <w:rFonts w:ascii="Arial" w:cs="Arial" w:eastAsia="Arial" w:hAnsi="Arial"/>
                <w:sz w:val="18"/>
                <w:szCs w:val="18"/>
                <w:color w:val="auto"/>
                <w:w w:val="91"/>
              </w:rPr>
              <w:t>(2,215)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1060" w:type="dxa"/>
            <w:vAlign w:val="bottom"/>
            <w:tcBorders>
              <w:bottom w:val="single" w:sz="8" w:color="auto"/>
            </w:tcBorders>
            <w:gridSpan w:val="3"/>
            <w:shd w:val="clear" w:color="auto" w:fill="CCEEFF"/>
          </w:tcPr>
          <w:p>
            <w:pPr>
              <w:jc w:val="right"/>
              <w:ind w:right="215"/>
              <w:spacing w:after="0"/>
              <w:rPr>
                <w:sz w:val="20"/>
                <w:szCs w:val="20"/>
                <w:color w:val="auto"/>
              </w:rPr>
            </w:pPr>
            <w:r>
              <w:rPr>
                <w:rFonts w:ascii="Arial" w:cs="Arial" w:eastAsia="Arial" w:hAnsi="Arial"/>
                <w:sz w:val="18"/>
                <w:szCs w:val="18"/>
                <w:color w:val="auto"/>
              </w:rPr>
              <w:t>6,447</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6,651</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436</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1,020</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 net periodic (income) expense</w:t>
            </w:r>
          </w:p>
        </w:tc>
        <w:tc>
          <w:tcPr>
            <w:tcW w:w="106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8"/>
                <w:szCs w:val="18"/>
                <w:color w:val="auto"/>
              </w:rPr>
              <w:t>$ 5,124</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color w:val="auto"/>
              </w:rPr>
              <w:t>$ 5,583</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8"/>
                <w:szCs w:val="18"/>
                <w:color w:val="auto"/>
              </w:rPr>
              <w:t>$1,161</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(339)</w:t>
            </w: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99"/>
        </w:trPr>
        <w:tc>
          <w:tcPr>
            <w:tcW w:w="562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18</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5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There have been no material changes to the Company’s projected benefit payments under these plans since December 31, 2006 as disclosed in the Company’s Form 10-K filed on March 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Legal Proceedings</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Management believes that no actions, other than those listed below, depart from customary litigation incidental to the Company’s business. As background to the disclosure below, please note the following:</w:t>
      </w:r>
    </w:p>
    <w:p>
      <w:pPr>
        <w:spacing w:after="0" w:line="73" w:lineRule="exact"/>
        <w:rPr>
          <w:sz w:val="20"/>
          <w:szCs w:val="20"/>
          <w:color w:val="auto"/>
        </w:rPr>
      </w:pPr>
    </w:p>
    <w:p>
      <w:pPr>
        <w:ind w:left="660" w:right="20" w:hanging="436"/>
        <w:spacing w:after="0" w:line="272"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660" w:right="160" w:hanging="436"/>
        <w:spacing w:after="0" w:line="271"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the Company’s experience, monetary demands in plaintiffs’ court pleadings bear little relation to the ultimate loss, if any, the Company may experience.</w:t>
      </w:r>
    </w:p>
    <w:p>
      <w:pPr>
        <w:spacing w:after="0" w:line="84" w:lineRule="exact"/>
        <w:rPr>
          <w:rFonts w:ascii="Arial" w:cs="Arial" w:eastAsia="Arial" w:hAnsi="Arial"/>
          <w:sz w:val="17"/>
          <w:szCs w:val="17"/>
          <w:b w:val="1"/>
          <w:bCs w:val="1"/>
          <w:color w:val="auto"/>
        </w:rPr>
      </w:pPr>
    </w:p>
    <w:p>
      <w:pPr>
        <w:ind w:left="660" w:hanging="436"/>
        <w:spacing w:after="0" w:line="279"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For the reasons specified above, it is not possible to make meaningful estimates of the amount or range of loss that could result from these matters at this time. Management reviews these matters on an ongoing basis and follows the provisions of Statement of Financial Accounting Standards (“SFAS”) No. 5, “Accounting for Contingencies” when making accrual and disclosure decisions. When assessing reasonably possible and probable outcomes, the Company bases its decision on its assessment of the ultimate outcome following all appeals.</w:t>
      </w:r>
    </w:p>
    <w:p>
      <w:pPr>
        <w:spacing w:after="0" w:line="76" w:lineRule="exact"/>
        <w:rPr>
          <w:rFonts w:ascii="Arial" w:cs="Arial" w:eastAsia="Arial" w:hAnsi="Arial"/>
          <w:sz w:val="17"/>
          <w:szCs w:val="17"/>
          <w:b w:val="1"/>
          <w:bCs w:val="1"/>
          <w:color w:val="auto"/>
        </w:rPr>
      </w:pPr>
    </w:p>
    <w:p>
      <w:pPr>
        <w:ind w:left="660" w:right="520" w:hanging="436"/>
        <w:spacing w:after="0" w:line="308"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In the opinion of management, while some of these matters may be material to the Company’s operating results for any particular period if an unfavorable outcome results, none will have a material adverse effect on the Company’s overall financial condition.</w:t>
      </w:r>
    </w:p>
    <w:p>
      <w:pPr>
        <w:spacing w:after="0" w:line="38"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Several class actions are pending in Ohio and Pennsylvania alleging improper premiums were charged for title insurance. These cases allege that the named defendant companies failed to provide notice of premium discounts to consumers refinancing their mortgages, and failed to give discounts in refinancing transactions in violation of the filed rates. In one of the Ohio cases, the Company filed a Motion for Summary Judgment which is under submission and trial is scheduled for early 2008. In another Ohio case, the Court dismissed all causes of action except implied in fact contract and unjust enrichment. Plaintiffs have filed their motion to certify a class. In one of the Pennsylvania cases, the court sustained the Company’s motion to dismiss all counts except counts for fraud and for violation of a consumer protection law. The Company’s motion for summary judgment on the remaining two causes of action and the plaintiff’s motion for class certification are under submission. The Company’s motions to dismiss were denied in three of the Pennsylvania cases, and classes have been certified. The parties are proceeding with discovery.</w:t>
      </w:r>
    </w:p>
    <w:p>
      <w:pPr>
        <w:spacing w:after="0" w:line="71"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 class action in Texas alleges that the Company overcharged for recording fees in Arizona, California, Colorado, Oklahoma and Texas. The suit seeks to recover the recording fees for the class that was overcharged, interest and attorney’s fees. The plaintiff’s motion for class certification and the Company’s motions to dismiss and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for summary judgment are under submission. A similar suit is pending in Kansas alleging that the Company charged consumers more than the County Recorder charges to record their documents in conjunction with closing transactions. The plaintiff’s motion to certify the class is under submission.</w:t>
      </w:r>
    </w:p>
    <w:p>
      <w:pPr>
        <w:spacing w:after="0" w:line="16"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Two class actions filed in Illinois allege the Company violated the Illinois Title Insurance Act and the Illinois Consumer Fraud Act and has been unjustly enriched through the practice of paying Illinois attorney’s agency fees. The complaint alleges the payments are in exchange for the referral of business and the attorneys do not perform any “core title services”. The Company’s motions to dismiss and for summary judgment are pending.</w:t>
      </w:r>
    </w:p>
    <w:p>
      <w:pPr>
        <w:spacing w:after="0" w:line="57"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An amended complaint was filed in Illinois related to the litigation spawned by the defalcation of Intercounty Title Company of Illinois (“Intercounty”), an agent of the Company in Chicago, Illinois. Plaintiff alleges the Company wrongfully used its funds to pay monies owed by the Company to customers of Intercounty. This case requests compensatory damages (which the plaintiff alleges are believed to be in excess of $20 million), punitive damages and other relief.</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us to pay money or take other actions.</w:t>
      </w:r>
    </w:p>
    <w:p>
      <w:pPr>
        <w:spacing w:after="0" w:line="79"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In January 2007, the California Insurance Commissioner submitted to the California Office of Administrative Law (the “OAL”) proposed regulations (the “Proposed Regulations”) that would have significant effects on the title insurance industry in California. On February 21, 2007, the OAL disapproved the Proposed Regulations. On June 28, 2007, the California Department of Insurance (the “CDI”) submitted a modified version of the Proposed Regulations to the OAL. The only substantive change in this modified version of the Proposed Regulations was to delay the implementation dates by approximately one year. The OAL approved the modified version of the Proposed Regulations on July 26, 2007 (as approved, the “Regulations”) and filed them with the California Secretary of State. Notwithstanding the promulgation of the Regulations, the Company, as well as others, has been engaged in discussions with the CDI regarding possible industry reforms that may result in the CDI’s decision to modify or repeal the Regulations prior to their implementation. In the event that the CDI does not modify or repeal the Regulations prior to their implementation, the Regulations are expected to have significant effects on the title insurance industry in California. Among other things, the Regulations set “maximum” rates, effective as of October 1, 2010, for title and escrow using industry data to be reported through the statistical plan described below and published by the CDI. In addition, the Regulations establish an interim reduction of all title and escrow rates effective October 1, 2010 if the CDI is unable to publish the data necessary for the calculation of the maximum rates by August 1, 2010. These interim rate reductions are intended to roll rates back so that, in effect, premiums would be charged on the basis of real property values from the year 2000. Title insurers would be required to reduce their rates to a level below their 2000 rates, with the amount of the reduction determined by a formula adjusting for real estate appreciation and inflation. Management is concerned that the reduced rates set by the Regulations will significantly reduce the title and escrow rates that are charged in California, while precluding title insurers from seeking relief from those reduced or maximum rates. In addition, the Regulations create a detailed statistical plan, and require each title insurer, underwritten title company, and controlled escrow company to collect data at the individual transaction level beginning on January 1, 2009, and to report such data to the CDI on an annual basis beginning April 30, 2010.</w:t>
      </w:r>
    </w:p>
    <w:p>
      <w:pPr>
        <w:spacing w:after="0" w:line="6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Compliance with the data collection and reporting requirements of the Regulations would necessitate a significant revision and augmentation of the Company’s existing data collection and accounting systems before January 1, 2009, and would require a significant expenditure to comply with the April 30, 2010 reporting deadline. The required rate reductions and maximum rates would significantly reduce the title insurance rates that the Company’s subsidiaries can charge, and would likely have a significant negative impact on the Company’s California revenues. In addition, the increased cost of compliance with the statistical data collection and reporting requirements would negatively impact the Company’s cost of doing business in California. California is the largest source of revenue for the title insurance industry, including for the 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 continues to meet with the CDI to discuss possible modifications to the Regulations and alternatives that could result in the repeal of the Regulations prior to their initial implementation. On October 5, 2007, the California Insurance Commissioner sent a letter to the title insurance industry outlining a series of acts that he has agreed to undertake in an effort to minimize the impact of the Regulations and to lay further groundwork for a possible resolution involving the modification or repeal of the Regulations prior to their initial implementation. Among other things, the California Insurance Commissioner stated in such letter that: (i) the CDI will propose substantial changes to the data collection and reporting requirements of the Regulations that are designed to minimize compliance costs, (ii) the CDI will delay all effective dates in the Regulations by one year, which will have the effect of deferring the date on which the industry would be required to submit its first statistical report under the Regulations to April 30, 2011, and deferring the first possible rate reduction under the Regulations to October 1, 2011, and (iii) if the industry works with the CDI to enact substantive alternative reforms, the CDI is willing to eliminate the maximum rate formula altogether. In addition, the Company is exploring litigation alternatives in the event that the CDI does not modify or repeal the Regulations, including a possible lawsuit challenging the CDI’s authority to promulgate rate regulations and statistical plan regulations related thereto.</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60" w:firstLine="222"/>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adverse changes in the level of real estate activity, which may be caused by, among other things, high or increasing interest rates, a limited supply of mortgage funding or a weak U. S. economy; our potential inability to find suitable acquisition candidates, acquisitions in lines of business that will not necessarily be limited to our traditional areas of focus, or difficulties in integrating acquisitions; our dependence on operating subsidiaries as a source of cash flow; significant competition that our operating subsidiaries face; compliance with extensive government regulation of our operating subsidiaries; and other risks detailed in the “Statement Regarding Forward-Looking Information,” “Risk Factors” and other sections of the Company’s Form 10-K and other filings with the Securities and Exchange Commission.</w:t>
      </w:r>
    </w:p>
    <w:p>
      <w:pPr>
        <w:spacing w:after="0" w:line="65"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 the course of an internal review of our treatment of certain costs relating to insurance policies issued by our specialty insurance group, we determined that certain costs should be deferred and amortized over the life of the policy consistent with the recognition of the premiums. We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unaudited condensed consolidated financial statements and is not material to the Company’s financial position or results of operations for any previously reported annual periods.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discussion should be read in conjunction with the Company’s Annual Report on Form 10-K for the year ended December 31, 2006.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are a holding company that is a provider, through our subsidiaries, of title insurance, specialty insurance, and claims management services. We are one of the nation’s largest title insurance companies through our title insurance underwriters, with an approximate 27.7% national market share in 2006. We also provide flood insurance, personal lines insurance, and home warranty insurance through our specialty insurance subsidiaries and are a leading provider of outsourced claims management services to large corporate and public sector entities through our minority-owned subsidiary, Sedgwick CMS (“Sedgwick”).</w:t>
      </w:r>
    </w:p>
    <w:p>
      <w:pPr>
        <w:spacing w:after="0" w:line="46"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Prior to October 24, 2006, we were known as Fidelity National Title Group, Inc. (“FNT”) and we were a majority-owned public subsidiary of another company that was also called Fidelity National Financial (“Old FNF”). On October 24, 2006, Old FNF transferred certain assets to us in return for the issuance of 45,265,956 shares of our common stock (the “Asset Contribution”). Old FNF then distributed to its stockholders all of its shares of FNT common stock, making FNT a stand alone public company. Old FNF was then merged with and into another of its subsidiaries, Fidelity National Information Services, Inc. (“FIS”), after which we changed our name to Fidelity National Financial, Inc. (“FNF” or the “Company”). Under applicable accounting principles, following these transactions, Old FNF’s historical financial statements, with the exception of equity and earnings per share, became our historical financial statements, including the results of FIS through the date of our spin-off from Old FNF. Our historical equity has been derived from FNT’s historical equity and our historical basic and diluted earnings per share have been calculated using FNT’s basic and diluted weighted average shares outstanding.</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currently have three reporting segments as follows:</w:t>
      </w:r>
    </w:p>
    <w:p>
      <w:pPr>
        <w:spacing w:after="0" w:line="117" w:lineRule="exact"/>
        <w:rPr>
          <w:sz w:val="20"/>
          <w:szCs w:val="20"/>
          <w:color w:val="auto"/>
        </w:rPr>
      </w:pPr>
    </w:p>
    <w:p>
      <w:pPr>
        <w:ind w:left="660" w:right="100" w:hanging="436"/>
        <w:spacing w:after="0" w:line="25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 Fidelity National Title, Chicago Title,</w:t>
      </w:r>
      <w:r>
        <w:rPr>
          <w:rFonts w:ascii="Arial" w:cs="Arial" w:eastAsia="Arial" w:hAnsi="Arial"/>
          <w:sz w:val="18"/>
          <w:szCs w:val="18"/>
          <w:i w:val="1"/>
          <w:iCs w:val="1"/>
          <w:color w:val="auto"/>
        </w:rPr>
        <w:t xml:space="preserve"> </w:t>
      </w:r>
      <w:r>
        <w:rPr>
          <w:rFonts w:ascii="Arial" w:cs="Arial" w:eastAsia="Arial" w:hAnsi="Arial"/>
          <w:sz w:val="18"/>
          <w:szCs w:val="18"/>
          <w:color w:val="auto"/>
        </w:rPr>
        <w:t>Ticor Title, Security Union Title and Alamo Title — which together issued approximately 27.7% of all title insurance policies issued nationally during 2006. This segment provides core title insurance and escrow and other title related services including collection and trust activities, trustee’s sales guarantees, recordings and reconveyances.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1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Specialty Insurance. </w:t>
      </w:r>
      <w:r>
        <w:rPr>
          <w:rFonts w:ascii="Arial" w:cs="Arial" w:eastAsia="Arial" w:hAnsi="Arial"/>
          <w:sz w:val="18"/>
          <w:szCs w:val="18"/>
          <w:color w:val="auto"/>
        </w:rPr>
        <w:t>The specialty insurance segment consists of certain subsidiaries that issue flood, home warranty, homeowners, automobile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personal lines insurance policies.</w:t>
      </w:r>
    </w:p>
    <w:p>
      <w:pPr>
        <w:spacing w:after="0" w:line="75" w:lineRule="exact"/>
        <w:rPr>
          <w:rFonts w:ascii="Arial" w:cs="Arial" w:eastAsia="Arial" w:hAnsi="Arial"/>
          <w:sz w:val="18"/>
          <w:szCs w:val="18"/>
          <w:b w:val="1"/>
          <w:bCs w:val="1"/>
          <w:color w:val="auto"/>
        </w:rPr>
      </w:pPr>
    </w:p>
    <w:p>
      <w:pPr>
        <w:ind w:left="660" w:right="6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corporate and other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the operations of Fidelity National Real Estate Solutions, LLC (“FNRES”), a 61% owned subsidiary of ours that conducts a software business serving real estate brokers, other smaller operations, and our share in the operations of certain equity investments, including Sedgwick.</w:t>
      </w:r>
    </w:p>
    <w:p>
      <w:pPr>
        <w:spacing w:after="0" w:line="79"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Through October 23, 2006, our results also include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these businesses are not included in the financial information in this report for periods prior to February 1, 2006.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On May 30, 2007, we and Thomas H. Lee Partners, L.P. (“THL”) announced the execution of a definitive merger agreement to jointly acquire Ceridian Corporation (“Ceridian”) for $36 in cash per share of common stock. On September 12, 2007, Ceridian announced that its shareholders had approved the acquisition at the Ceridian annual stockholders meeting and, on October 10, 2007, Ceridian announced that regulatory approvals required to complete the sale had been received.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50"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We and THL have announced that we intend to bring co-investors into the transaction. As a result of expected co-investment, we will own less than 50% of Ceridian and expect to account for this investment using the equity method of accounting for financial statement purposes. We expect this transaction to close on November 9, 2007.</w:t>
      </w:r>
    </w:p>
    <w:p>
      <w:pPr>
        <w:spacing w:after="0" w:line="73"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On August 31, 2007, we completed the acquisition of Property Insight, LLC (“Property Insight”), a former FIS subsidiary, from FIS for $95 million in cash. Property Insight is a leading provider of title plant services for us, as well as various national and regional underwriters. Property Insight primarily manages, maintains, and updates the title insurance plants that are owned by us. Additionally, Property Insight manages potential title plant construction activities for us.</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August 13, 2007, we completed the acquisition of ATM Holdings, Inc. (“ATM”), a provider of nationwide mortgage vendor management services to the loan 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jc w:val="both"/>
        <w:ind w:right="780" w:firstLine="225"/>
        <w:spacing w:after="0" w:line="264" w:lineRule="auto"/>
        <w:rPr>
          <w:sz w:val="20"/>
          <w:szCs w:val="20"/>
          <w:color w:val="auto"/>
        </w:rPr>
      </w:pPr>
      <w:r>
        <w:rPr>
          <w:rFonts w:ascii="Arial" w:cs="Arial" w:eastAsia="Arial" w:hAnsi="Arial"/>
          <w:sz w:val="18"/>
          <w:szCs w:val="18"/>
          <w:color w:val="auto"/>
        </w:rPr>
        <w:t>Beginning on October 24, 2006, our financial statements reflect transactions with FIS, which is a related party. Prior to October 24, 2006, these transactions were eliminated because FIS’ results of operations were included in our consolidated results. Please see Note A of Notes to Condensed Consolidated Financial Statements for further details of our related party transactions.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21" w:lineRule="exact"/>
        <w:rPr>
          <w:sz w:val="20"/>
          <w:szCs w:val="20"/>
          <w:color w:val="auto"/>
        </w:rPr>
      </w:pPr>
    </w:p>
    <w:p>
      <w:pPr>
        <w:jc w:val="both"/>
        <w:ind w:right="220" w:firstLine="215"/>
        <w:spacing w:after="0" w:line="264" w:lineRule="auto"/>
        <w:rPr>
          <w:sz w:val="20"/>
          <w:szCs w:val="20"/>
          <w:color w:val="auto"/>
        </w:rPr>
      </w:pPr>
      <w:r>
        <w:rPr>
          <w:rFonts w:ascii="Arial" w:cs="Arial" w:eastAsia="Arial" w:hAnsi="Arial"/>
          <w:sz w:val="18"/>
          <w:szCs w:val="18"/>
          <w:color w:val="auto"/>
        </w:rPr>
        <w:t>As a result of adverse claim loss development on prior policy years, in the third quarter of 2007, we recorded a charge of $81.5 million, or $55.5 million net of income taxes, to our provision for claim losses to strengthen our reserve for claim losses. This charge was recorded in addition to our 7.5% provision for claim losses.</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Beginning October 24, 2006, our Condensed Consolidated Statements of Earnings no longer include the results of FIS. The operations of FIS continue to be included in our Condensed Consolidated Statements of Earnings for periods prior to October 24,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There have been no material changes in our critical accounting policies described in our Annual Report on Form 10-K for the year ended December 31, 2006, with the exception of the following update for our reserve for claim losses.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Reserve for Claim Losses. </w:t>
      </w:r>
      <w:r>
        <w:rPr>
          <w:rFonts w:ascii="Arial" w:cs="Arial" w:eastAsia="Arial" w:hAnsi="Arial"/>
          <w:sz w:val="17"/>
          <w:szCs w:val="17"/>
          <w:color w:val="auto"/>
        </w:rPr>
        <w:t>Title companies issue two types of policies since both the buyer and lender in real estate transactions want to know that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While most non-title forms of insurance, including property and casualty, provide for the assumption of risk of loss arising out of unforeseen future events, title insurance serves to protect the policyholder from risk of loss from events that predate the issuance of the policy.</w:t>
      </w:r>
    </w:p>
    <w:p>
      <w:pPr>
        <w:spacing w:after="0" w:line="70"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5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Our reserve for claim losses includes reserves for known claims (“PLR”)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66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660" w:type="dxa"/>
            <w:vAlign w:val="bottom"/>
            <w:vMerge w:val="continue"/>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PLR</w:t>
            </w:r>
          </w:p>
        </w:tc>
        <w:tc>
          <w:tcPr>
            <w:tcW w:w="26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212,067</w:t>
            </w:r>
          </w:p>
        </w:tc>
        <w:tc>
          <w:tcPr>
            <w:tcW w:w="13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202,195</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IBNR</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1,021,310</w:t>
            </w:r>
          </w:p>
        </w:tc>
        <w:tc>
          <w:tcPr>
            <w:tcW w:w="600" w:type="dxa"/>
            <w:vAlign w:val="bottom"/>
          </w:tcPr>
          <w:p>
            <w:pPr>
              <w:spacing w:after="0"/>
              <w:rPr>
                <w:sz w:val="18"/>
                <w:szCs w:val="18"/>
                <w:color w:val="auto"/>
              </w:rPr>
            </w:pPr>
          </w:p>
        </w:tc>
        <w:tc>
          <w:tcPr>
            <w:tcW w:w="1320" w:type="dxa"/>
            <w:vAlign w:val="bottom"/>
            <w:gridSpan w:val="2"/>
          </w:tcPr>
          <w:p>
            <w:pPr>
              <w:jc w:val="right"/>
              <w:ind w:right="428"/>
              <w:spacing w:after="0"/>
              <w:rPr>
                <w:sz w:val="20"/>
                <w:szCs w:val="20"/>
                <w:color w:val="auto"/>
              </w:rPr>
            </w:pPr>
            <w:r>
              <w:rPr>
                <w:rFonts w:ascii="Arial" w:cs="Arial" w:eastAsia="Arial" w:hAnsi="Arial"/>
                <w:sz w:val="18"/>
                <w:szCs w:val="18"/>
                <w:color w:val="auto"/>
              </w:rPr>
              <w:t>82.8%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952,677</w:t>
            </w:r>
          </w:p>
        </w:tc>
        <w:tc>
          <w:tcPr>
            <w:tcW w:w="6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Reserve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1,233,377</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1,154,872</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Although most claims against title insurance policies are reported relatively soon after the policy has been issued, claims may be reported many years later. 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Our process for recording our reserves for claim losses begins with analysis of our loss provision rate. Management forecasts ultimate losses for each policy year based upon examination of historical policy year loss emergence (development) and adjustment of the emergence patterns to reflect policy year differences in the effects of various influences on the timing, frequency and severity of claims. Management also uses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management determines a loss provision rate, which it records as a percentage of current premiums. This loss provision rate is set to provide for losses on current year policies and to provide for estimated positive or negative development on prior year loss estimates based on management’s view of emerging events. We have been recording our loss provision at 7.5% of premiums during 2006 and thus far in 2007. During this period, this provision rate included the anticipation of adverse development due to recent trends in claim losses reported and paid. 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actuarial point estimate provided in the actuarial calculation.</w:t>
      </w:r>
    </w:p>
    <w:p>
      <w:pPr>
        <w:spacing w:after="0" w:line="61"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Due to the uncertainty and judgment used by both management and our actuary, our ultimate liability may be greater or less than our current reserves and/or our actuary’s calculation. If the recorded amount is within a reasonable range of the actuary’s point estimate, but not at the point estimate, management assesses other factors in order to be comfortable with the position of the recorded reserve within a range. These factors, which are more qualitative than quantitative, can change from period to period, and include items such as current trends in the real estate industry (which management can assess, but for which there is a time lag in the development of the data used by our actuary), the stratification of certain claims (large vs. small), improvements in the Company’s claims management processes, and other cost saving measures. If the recorded amount is not within a reasonable range of the actuary’s point estimate, we would record a charge and reassess the long-term provision rate on a go forward basis. As of September 30, 2007, our initial recorded reserve for claim losses was $1.152 billion compared to our internal actuary’s estimate of $1.233 billion, a difference of $81.5 million.</w:t>
      </w:r>
    </w:p>
    <w:p>
      <w:pPr>
        <w:spacing w:after="0" w:line="58"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Since at September 30, 2007, management determined that our initial recorded amount was outside of a reasonable range from our internal actuary’s estimate, we recorded a charge in the amount of $81.5 million in addition to our 7.5% provision for claim losses in the third quarter. This charge brought our reserve position in line with our internal actuary’s point estimate, which at September 30, 2007, is our best estimate. We will reassess the provision to be recorded in the fourth quarter of 2007 and beyond consistent with this methodology.</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our loss development experience for the first nine months of 2007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$ 1,154,872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Claims loss provision related to:</w:t>
            </w:r>
          </w:p>
        </w:tc>
        <w:tc>
          <w:tcPr>
            <w:tcW w:w="5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6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202,568</w:t>
            </w: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Prior years</w:t>
            </w:r>
          </w:p>
        </w:tc>
        <w:tc>
          <w:tcPr>
            <w:tcW w:w="50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claims loss provision</w:t>
            </w:r>
          </w:p>
        </w:tc>
        <w:tc>
          <w:tcPr>
            <w:tcW w:w="6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301,662</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Claims paid, net of recoupments related to:</w:t>
            </w:r>
          </w:p>
        </w:tc>
        <w:tc>
          <w:tcPr>
            <w:tcW w:w="50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6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Prior years</w:t>
            </w:r>
          </w:p>
        </w:tc>
        <w:tc>
          <w:tcPr>
            <w:tcW w:w="50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(216,536)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claims paid, net of recoupments</w:t>
            </w:r>
          </w:p>
        </w:tc>
        <w:tc>
          <w:tcPr>
            <w:tcW w:w="50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(223,157)</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at September 30, 2007</w:t>
            </w:r>
          </w:p>
        </w:tc>
        <w:tc>
          <w:tcPr>
            <w:tcW w:w="50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$ 1,233,377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6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$ 2,935,772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4"/>
              </w:rPr>
              <w:t>Provision for claim losses as a percentage of title insurance premiums:</w:t>
            </w:r>
          </w:p>
        </w:tc>
        <w:tc>
          <w:tcPr>
            <w:tcW w:w="5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year</w:t>
            </w:r>
          </w:p>
        </w:tc>
        <w:tc>
          <w:tcPr>
            <w:tcW w:w="6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Prior years</w:t>
            </w:r>
          </w:p>
        </w:tc>
        <w:tc>
          <w:tcPr>
            <w:tcW w:w="50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Provision</w:t>
            </w:r>
          </w:p>
        </w:tc>
        <w:tc>
          <w:tcPr>
            <w:tcW w:w="50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060" w:type="dxa"/>
            <w:vAlign w:val="bottom"/>
            <w:vMerge w:val="restart"/>
          </w:tcPr>
          <w:p>
            <w:pPr>
              <w:jc w:val="right"/>
              <w:ind w:right="4530"/>
              <w:spacing w:after="0"/>
              <w:rPr>
                <w:sz w:val="20"/>
                <w:szCs w:val="20"/>
                <w:color w:val="auto"/>
              </w:rPr>
            </w:pPr>
            <w:r>
              <w:rPr>
                <w:rFonts w:ascii="Arial" w:cs="Arial" w:eastAsia="Arial" w:hAnsi="Arial"/>
                <w:sz w:val="18"/>
                <w:szCs w:val="18"/>
                <w:color w:val="auto"/>
              </w:rPr>
              <w:t>25</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6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215"/>
        <w:spacing w:after="0" w:line="264" w:lineRule="auto"/>
        <w:rPr>
          <w:sz w:val="20"/>
          <w:szCs w:val="20"/>
          <w:color w:val="auto"/>
        </w:rPr>
      </w:pPr>
      <w:r>
        <w:rPr>
          <w:rFonts w:ascii="Arial" w:cs="Arial" w:eastAsia="Arial" w:hAnsi="Arial"/>
          <w:sz w:val="18"/>
          <w:szCs w:val="18"/>
          <w:color w:val="auto"/>
        </w:rPr>
        <w:t>An approximate $39.1 million increase (decrease) in our annualized provision for claim losses would occur if our loss provision rate were 1% higher (lower), based on annualized title premiums of $3,914,363. A 5% increase (decrease) in our estimate of the reserve for claim losses would result in an increase (decrease) in our provision for claim losses of approximately $61.7 million.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Additionally, for our specialty insurance businesses, we had claims reserves of $63.3 million as of September 30,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8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8"/>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5"/>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(Dollars in thousands,</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except per share data)</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1,364,169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2,634,822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$ 4,227,908</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$ 7,634,090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1,361,474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2,339,339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3,972,208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174,706</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366,563</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3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0.79</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40"/>
              <w:spacing w:after="0"/>
              <w:rPr>
                <w:sz w:val="20"/>
                <w:szCs w:val="20"/>
                <w:color w:val="auto"/>
              </w:rPr>
            </w:pPr>
            <w:r>
              <w:rPr>
                <w:rFonts w:ascii="Arial" w:cs="Arial" w:eastAsia="Arial" w:hAnsi="Arial"/>
                <w:sz w:val="18"/>
                <w:szCs w:val="18"/>
                <w:i w:val="1"/>
                <w:iCs w:val="1"/>
                <w:color w:val="auto"/>
                <w:w w:val="95"/>
              </w:rPr>
              <w:t xml:space="preserve">Revenue. </w:t>
            </w:r>
            <w:r>
              <w:rPr>
                <w:rFonts w:ascii="Arial" w:cs="Arial" w:eastAsia="Arial" w:hAnsi="Arial"/>
                <w:sz w:val="18"/>
                <w:szCs w:val="18"/>
                <w:color w:val="auto"/>
                <w:w w:val="95"/>
              </w:rPr>
              <w:t>The following table presents the components of our revenue:</w:t>
            </w: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82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8"/>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 title insurance premiums</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391,065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485,043</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$ 1,258,166</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$ 1,479,415</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Agency title insurance premiums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537,598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701,533</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1,677,606</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1,998,117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Escrow and other title related fees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262,222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267,744</w:t>
            </w:r>
          </w:p>
        </w:tc>
        <w:tc>
          <w:tcPr>
            <w:tcW w:w="178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790,336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808,468</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Transaction processing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w w:val="89"/>
              </w:rPr>
              <w:t>1,013,372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2,832,638</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Specialty insurance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102,844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99,619</w:t>
            </w:r>
          </w:p>
        </w:tc>
        <w:tc>
          <w:tcPr>
            <w:tcW w:w="178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297,573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304,070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Interest and investment income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50,470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54,744</w:t>
            </w:r>
          </w:p>
        </w:tc>
        <w:tc>
          <w:tcPr>
            <w:tcW w:w="1780" w:type="dxa"/>
            <w:vAlign w:val="bottom"/>
            <w:gridSpan w:val="5"/>
          </w:tcPr>
          <w:p>
            <w:pPr>
              <w:jc w:val="right"/>
              <w:ind w:right="640"/>
              <w:spacing w:after="0"/>
              <w:rPr>
                <w:sz w:val="20"/>
                <w:szCs w:val="20"/>
                <w:color w:val="auto"/>
              </w:rPr>
            </w:pPr>
            <w:r>
              <w:rPr>
                <w:rFonts w:ascii="Arial" w:cs="Arial" w:eastAsia="Arial" w:hAnsi="Arial"/>
                <w:sz w:val="18"/>
                <w:szCs w:val="18"/>
                <w:color w:val="auto"/>
              </w:rPr>
              <w:t>145,634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154,259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and losses, net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(1,810)</w:t>
            </w:r>
          </w:p>
        </w:tc>
        <w:tc>
          <w:tcPr>
            <w:tcW w:w="178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12,449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15,745</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17,802</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14,577</w:t>
            </w:r>
          </w:p>
        </w:tc>
        <w:tc>
          <w:tcPr>
            <w:tcW w:w="32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46,144</w:t>
            </w:r>
          </w:p>
        </w:tc>
        <w:tc>
          <w:tcPr>
            <w:tcW w:w="6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89"/>
              </w:rPr>
              <w:t>1,364,169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2,634,822</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$ 4,227,908</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$ 7,634,090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Orders opened by direct title operations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523,300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811,400</w:t>
            </w:r>
          </w:p>
        </w:tc>
        <w:tc>
          <w:tcPr>
            <w:tcW w:w="3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1,797,800</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2,490,700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Orders closed by direct title operations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339,100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521,900</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1,138,200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2"/>
        <w:spacing w:after="0" w:line="286" w:lineRule="auto"/>
        <w:rPr>
          <w:sz w:val="20"/>
          <w:szCs w:val="20"/>
          <w:color w:val="auto"/>
        </w:rPr>
      </w:pPr>
      <w:r>
        <w:rPr>
          <w:rFonts w:ascii="Arial" w:cs="Arial" w:eastAsia="Arial" w:hAnsi="Arial"/>
          <w:sz w:val="16"/>
          <w:szCs w:val="16"/>
          <w:color w:val="auto"/>
        </w:rPr>
        <w:t>Total consolidated revenues decreased $1,270.7 million to $1,364.2 million in the third quarter of 2007 compared to the third quarter of 2006 and decreased $3,406.2 million to $4,227.9 million in the first nine months of 2007 compared to the first nine months of 2006. Excluding revenues related to FIS, total revenues for the third quarter and first nine months of 2007 decreased $253.0 million and $559.4 million, respectively, compared to the corresponding 2006 periods. The third quarter decreases consisted primarily of a decrease of $263.4 million in title related revenues, partially offset by increases of</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$4.0 million in realized gains and losses and $3.2 million in specialty insurance revenues. The nine-month period decrease consisted primarily of decreases of $559.9 million in title related revenues and $6.5 million in specialty insurance revenues.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title insurance premiums for the three and nine-month periods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280"/>
              <w:spacing w:after="0" w:line="143" w:lineRule="exact"/>
              <w:rPr>
                <w:sz w:val="20"/>
                <w:szCs w:val="20"/>
                <w:color w:val="auto"/>
              </w:rPr>
            </w:pPr>
            <w:r>
              <w:rPr>
                <w:rFonts w:ascii="Arial" w:cs="Arial" w:eastAsia="Arial" w:hAnsi="Arial"/>
                <w:sz w:val="13"/>
                <w:szCs w:val="13"/>
                <w:b w:val="1"/>
                <w:bCs w:val="1"/>
                <w:color w:val="auto"/>
                <w:w w:val="74"/>
              </w:rPr>
              <w:t>(Dollars</w:t>
            </w:r>
          </w:p>
        </w:tc>
        <w:tc>
          <w:tcPr>
            <w:tcW w:w="460" w:type="dxa"/>
            <w:vAlign w:val="bottom"/>
            <w:gridSpan w:val="2"/>
            <w:vMerge w:val="continue"/>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320" w:type="dxa"/>
            <w:vAlign w:val="bottom"/>
            <w:gridSpan w:val="2"/>
          </w:tcPr>
          <w:p>
            <w:pPr>
              <w:jc w:val="right"/>
              <w:ind w:right="314"/>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Title premiums from direct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 (1)</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$ 391,065</w:t>
            </w:r>
          </w:p>
        </w:tc>
        <w:tc>
          <w:tcPr>
            <w:tcW w:w="12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42.1%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485,043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$ 1,258,166</w:t>
            </w:r>
          </w:p>
        </w:tc>
        <w:tc>
          <w:tcPr>
            <w:tcW w:w="15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42.9%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$ 1,479,415</w:t>
            </w: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Title premiums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20"/>
              <w:spacing w:after="0"/>
              <w:rPr>
                <w:sz w:val="20"/>
                <w:szCs w:val="20"/>
                <w:color w:val="auto"/>
              </w:rPr>
            </w:pPr>
            <w:r>
              <w:rPr>
                <w:rFonts w:ascii="Arial" w:cs="Arial" w:eastAsia="Arial" w:hAnsi="Arial"/>
                <w:sz w:val="18"/>
                <w:szCs w:val="18"/>
                <w:color w:val="auto"/>
              </w:rPr>
              <w:t>agency operations (1)</w:t>
            </w: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537,598</w:t>
            </w:r>
          </w:p>
        </w:tc>
        <w:tc>
          <w:tcPr>
            <w:tcW w:w="1240" w:type="dxa"/>
            <w:vAlign w:val="bottom"/>
            <w:gridSpan w:val="3"/>
          </w:tcPr>
          <w:p>
            <w:pPr>
              <w:jc w:val="right"/>
              <w:ind w:right="88"/>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701,533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59.1%</w:t>
            </w:r>
          </w:p>
        </w:tc>
        <w:tc>
          <w:tcPr>
            <w:tcW w:w="840" w:type="dxa"/>
            <w:vAlign w:val="bottom"/>
          </w:tcPr>
          <w:p>
            <w:pPr>
              <w:jc w:val="right"/>
              <w:spacing w:after="0"/>
              <w:rPr>
                <w:sz w:val="20"/>
                <w:szCs w:val="20"/>
                <w:color w:val="auto"/>
              </w:rPr>
            </w:pPr>
            <w:r>
              <w:rPr>
                <w:rFonts w:ascii="Arial" w:cs="Arial" w:eastAsia="Arial" w:hAnsi="Arial"/>
                <w:sz w:val="18"/>
                <w:szCs w:val="18"/>
                <w:color w:val="auto"/>
              </w:rPr>
              <w:t>1,677,606</w:t>
            </w:r>
          </w:p>
        </w:tc>
        <w:tc>
          <w:tcPr>
            <w:tcW w:w="1560" w:type="dxa"/>
            <w:vAlign w:val="bottom"/>
            <w:gridSpan w:val="3"/>
          </w:tcPr>
          <w:p>
            <w:pPr>
              <w:jc w:val="right"/>
              <w:ind w:right="248"/>
              <w:spacing w:after="0"/>
              <w:rPr>
                <w:sz w:val="20"/>
                <w:szCs w:val="20"/>
                <w:color w:val="auto"/>
              </w:rPr>
            </w:pPr>
            <w:r>
              <w:rPr>
                <w:rFonts w:ascii="Arial" w:cs="Arial" w:eastAsia="Arial" w:hAnsi="Arial"/>
                <w:sz w:val="18"/>
                <w:szCs w:val="18"/>
                <w:color w:val="auto"/>
              </w:rPr>
              <w:t>57.1%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1,998,117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$ 928,663</w:t>
            </w:r>
          </w:p>
        </w:tc>
        <w:tc>
          <w:tcPr>
            <w:tcW w:w="12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1,186,576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$ 2,935,772</w:t>
            </w:r>
          </w:p>
        </w:tc>
        <w:tc>
          <w:tcPr>
            <w:tcW w:w="15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$ 3,477,532</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October 24, 2006, premiums reported by FIS are included in direct operations. Subsequent to October 24, 2006, premiums reported by FIS are included in agency operations.</w:t>
      </w:r>
    </w:p>
    <w:p>
      <w:pPr>
        <w:spacing w:after="0" w:line="62"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Title insurance premiums decreased 21.7% to $928.7 million in the third quarter of 2007 as compared with the third quarter of 2006. The decrease was made up of a $94.0 million or 19.4% decrease in direct premiums and a $163.9 million or 23.4% decrease in premiums from agency operations. Title insurance premiums decreased 15.6% to $2,935.8 million in the first nine months of 2007 as compared with the first nine months of 2006. The decrease was made up of a $221.2 million or 15.0% decrease in direct premiums and a $320.5 million or 16.0% decrease in premiums from agency operations.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Direct title premiums in the third quarter and first nine months of 2006 include $21.5 million and $58.7 million, respectively, in premiums generated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 Because the operations of FIS are not included in our results for the periods subsequent to October 23, 2006, title premiums generated by FIS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and first nine months of 2007 are included in agency title premiums rather than direct title premiums. Excluding title premiums generated by FIS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direct title premiums decreased $72.4 million, or 15.6%, and $162.8 million, or 11.5%, respectively, in the third quarter and first nine months of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2006. The decreased level of direct title premiums is the result of a decrease in closed order volume partially offset by an increase in fee per file.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Excluding operations of FIS, closed order volumes in our direct operations decreased to 339,100 in the third quarter of 2007 compared to 440,200 in the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2006 and to 1,138,200 in the first nine months of 2007 compared to 1,350,300 in the first nine months of 2006, reflecting declines in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refinance markets. Tighter lending standards, including a significant reduction in the availability of subprime mortgage lending, combined with rising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mortgage default levels and a bearish outlook on the real estate environment have caused buyers to be more reluctant in the 2007 periods compared to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September 18, 2007, the Federal Reserve Board reduced both the federal funds rate and the discount rate by 50 basis points to infuse money into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economy; however, as of the end of the third quarter, order counts had not yet shown any benefit from these actions. On October 31, 2007, the Federal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Reserve Board again reduced both the federal funds rate and the discount rate by 25 basis points. Mortgage interest rates in the first nine months of 2007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relatively consistent compared with the first nine months of 2006. The average fee per file in our direct operations, excluding the operations of FIS,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$1,683 and $1,406 in the three month periods ended September 30, 2007 and 2006, respectively, and $1,620 and $1,391 in the first nine months of 2007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2006, respectively, reflecting continued strength in the commercial market.</w:t>
      </w:r>
    </w:p>
    <w:p>
      <w:pPr>
        <w:spacing w:after="0" w:line="103" w:lineRule="exact"/>
        <w:rPr>
          <w:sz w:val="20"/>
          <w:szCs w:val="20"/>
          <w:color w:val="auto"/>
        </w:rPr>
      </w:pPr>
    </w:p>
    <w:p>
      <w:pPr>
        <w:ind w:right="80" w:firstLine="215"/>
        <w:spacing w:after="0" w:line="289" w:lineRule="auto"/>
        <w:rPr>
          <w:sz w:val="20"/>
          <w:szCs w:val="20"/>
          <w:color w:val="auto"/>
        </w:rPr>
      </w:pPr>
      <w:r>
        <w:rPr>
          <w:rFonts w:ascii="Arial" w:cs="Arial" w:eastAsia="Arial" w:hAnsi="Arial"/>
          <w:sz w:val="16"/>
          <w:szCs w:val="16"/>
          <w:color w:val="auto"/>
        </w:rPr>
        <w:t>Agency title premiums in the third quarter and first nine months of 2007 include $39.3 million and $116.6 million, respectively, in premiums generated by FIS. Excluding title premiums generated by FIS in 2007, agency title premiums decreased $203.2 million, or 29.0%, and $437.1 million, or 21.9%, respectively, in the third quarter and first nine months of 2007 compared to 2006, primarily due to a decrease in accrued agency premiums that is relatively consistent with the decrease in direct title premiums. The decreases in agency title premiums were greater than the decreases in direct title premiums primarily due to the geographic mix of each type of business. A large portion of our direct title business relates to property near the West coast, where the recent slowing of real estate activity occurred earlier, while a large portion of our agency title business relates to property in the Southeast, where the slowing of real estate activity occurred more recently. A change in agency premiums has a much smaller effect on profitability than the same change in direct premiums would have because our margins as a percentage of gross premiums for agency business are significantly lower than the margins realized from our direct operations due to commissions paid to our agents and other costs related to the agency business.</w:t>
      </w:r>
    </w:p>
    <w:p>
      <w:pPr>
        <w:spacing w:after="0" w:line="59"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Trends in escrow and other title related fees are to some extent related to title insurance activity generated by our direct operations. At Fidelity National Title Group, escrow fees, which are more directly related to our direct operations, decreased $37.7 million, or 22.6%, and $89.1 million, or 17.6%, respectively, in the three and nine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month periods ended September 30, 2007 compared to the same periods in 2006. These decreases are generally consistent with the decreases in direct title insurance premiums and order counts, but were also impacted by an increase in the proportionate share of direct title premiums provided by commercial activity, for which escrow fees as a percentage of premiums are lower, and by reduced escrow rates in the western part of the country. Other title related fees increased $42.9 million, or 47.4%, to $133.3 million in the third quarter of 2007 from $90.4 million in the third quarter of 2006 and increased $99.9 million, or 36.8%, to $371.7 million in the first nine months of 2007 from $271.8 million in the first nine months of 2006, in each case primarily due to acquisitions.</w:t>
      </w:r>
    </w:p>
    <w:p>
      <w:pPr>
        <w:spacing w:after="0" w:line="50"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was $50.5 million and $54.7 million in the third quarters of 2007 and 2006, respectively, and $145.6 million and $154.3 million in the first nine months of 2007 and 2006, respectively.</w:t>
      </w:r>
    </w:p>
    <w:p>
      <w:pPr>
        <w:spacing w:after="0" w:line="7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Net realized gains totaled $2.2 million and $(1.8) million for the third quarters of 2007 and 2006, respectively, and $12.4 million and $15.7 million for the first nine months of 2007 and 2006, respectively, each made up of a number of gains and losses on various transactions, none of which were individually significant. During the third quarters of 2007 and 2006, we recorded impairment charges on equity investments that we considered to be other-than-temporarily impaired, resulting in charges of $3.1 million and $9.1 million, respectively.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The following table presents the components of our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2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1"/>
              </w:rPr>
              <w:t>September 30,</w:t>
            </w:r>
          </w:p>
        </w:tc>
        <w:tc>
          <w:tcPr>
            <w:tcW w:w="2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6"/>
          </w:tcPr>
          <w:p>
            <w:pPr>
              <w:jc w:val="center"/>
              <w:ind w:right="7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2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427,683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863,163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$ 1,315,695</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$ 2,632,935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283,928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610,732</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814,590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1,706,137</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Agent commissions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415,307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538,700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1,298,340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1,537,489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32,348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142,170</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92,894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404,770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189,426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118,643</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413,495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357,210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12,782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65,931</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37,194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183,536</w:t>
            </w: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1,361,474</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2,339,339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$ 3,972,208</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$ 6,822,077</w:t>
            </w: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other title 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0"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Excluding personnel costs related to FIS of $411.3 million and $1,230.1 million in the three and nine month periods ended September 30, 2006, respectively, personnel costs totaled $427.7 million and $451.8 million for the three months ended September 30, 2007 and 2006, respectively, and $1,315.7 million and $1,402.8 million for the nine months ended September 30, 2007 and 2006, respectively. Excluding FIS operations, personnel costs as a percentage of total revenue were 31.4% and 27.9% in the third quarters of 2007 and 2006, respectively, and 31.1% and 29.3% in the first nine months of 2007 and 2006, respectively. The decreases in personnel costs are due to decreases at Fidelity National Title Group, partially offset by increases in the corporate and other segment. The decreases at Fidelity National Title Group resulted from a decrease in the number of personnel and, for the three month periods, a decrease in average annualized personnel costs per employee. The increase in the corporate and other segment is primarily the result of the acquisitions. On a consolidated basis, total stock-based compensation costs were $8.0 million and $11.1 million for the third quarters of 2007 and 2006, respectively, and $23.7 million and $56.8 million in the first nine months of 2007 and 2006, respectively. Excluding amounts related to FIS, stock-based compensation for the three and nine month periods ended September 30, 2006 were $6.7 million and $19.5 million,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Excluding other operating expenses of $345.5 million in the third quarter of 2006 related to FIS, other operating expenses increased $18.7 million in the third quarter of 2007 to $283.9 million from $265.2 million in the third quarter of 2006. The increase included increases of $19.9 million in the corporate segment primarily related to acquisitions and $4.5 million in the specialty insurance segment, partially offset by a decrease of $5.7 million at Fidelity National Title Group. Excluding other operating expenses of $926.6 million in the first nine months of 2006 related to FIS, other operating expenses increased $35.1 million in the first nine months of 2007 to $814.6 million from $779.5 million in the first nine months of 2006. The increase included an increase of $56.2 million in the corporate segment primarily related to acquisitions, partially offset by decreases of $17.2 million at Fidelity National Title Group and $3.9 million in the specialty insurance segment.</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180" w:type="dxa"/>
            <w:vAlign w:val="bottom"/>
            <w:gridSpan w:val="3"/>
          </w:tcPr>
          <w:p>
            <w:pPr>
              <w:jc w:val="right"/>
              <w:ind w:right="188"/>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Agent premiums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$ 537,598</w:t>
            </w:r>
          </w:p>
        </w:tc>
        <w:tc>
          <w:tcPr>
            <w:tcW w:w="12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$ 701,533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1,677,606</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1,998,117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Agent commissions</w:t>
            </w:r>
          </w:p>
        </w:tc>
        <w:tc>
          <w:tcPr>
            <w:tcW w:w="700" w:type="dxa"/>
            <w:vAlign w:val="bottom"/>
          </w:tcPr>
          <w:p>
            <w:pPr>
              <w:jc w:val="right"/>
              <w:spacing w:after="0"/>
              <w:rPr>
                <w:sz w:val="20"/>
                <w:szCs w:val="20"/>
                <w:color w:val="auto"/>
              </w:rPr>
            </w:pPr>
            <w:r>
              <w:rPr>
                <w:rFonts w:ascii="Arial" w:cs="Arial" w:eastAsia="Arial" w:hAnsi="Arial"/>
                <w:sz w:val="18"/>
                <w:szCs w:val="18"/>
                <w:color w:val="auto"/>
              </w:rPr>
              <w:t>415,307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8"/>
                <w:szCs w:val="18"/>
                <w:color w:val="auto"/>
              </w:rPr>
              <w:t>77.3%</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538,700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1,298,340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1,537,489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r>
      <w:tr>
        <w:trPr>
          <w:trHeight w:val="27"/>
        </w:trPr>
        <w:tc>
          <w:tcPr>
            <w:tcW w:w="2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$ 122,291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22.7%</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$ 162,833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379,266</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460,628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r>
      <w:tr>
        <w:trPr>
          <w:trHeight w:val="20"/>
        </w:trPr>
        <w:tc>
          <w:tcPr>
            <w:tcW w:w="2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Net margin from agency title insurance premiums as a percentage of total agency premiums remained relatively consistent in the 2007 periods compared with the 2006 periods. Agent commissions and the resulting percentage of agent premiums we retain vary according to regional differences in real estate closing practices and state regulations.</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Depreciation and amortization, excluding FIS depreciation and amortization of $111.1 million and $318.3 million in the three and nine month periods ended September 30, 2006, respectively, totaled $32.3 million and $31.0 million in the three month periods ended September 30, 2007 and 2006, respectively, and $92.9 million and $86.4 million in the first nine months of 2007 and 2006, respectively.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provision for claim losses includes an estimate of anticipated title and title related claims, escrow losses and homeowner’s claims relating to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specialty insurance segment. The estimate of anticipated title and title related claims is accrued as a percentage of title premium revenue based on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historical loss experience and other relevant factors. We monitor our claims loss experience on a continual basis and adjust the provision for claim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accordingly as new information becomes known, new loss patterns emerge, or as other contributing factors are considered and incorporated into the analysis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reserve for claim losses. The claim loss provision for title insurance was $151.1 million and $301.7 million in the three month and nine month periods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2007, reflecting a provision of 7.5% of title premiums and a charge of $81.5 million to strengthen the company’s reserve for claim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losses resulting from adverse claim loss development on prior policy years. See Critical Accounting Estimates for further discussion relating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reserve for claim losses and the $81.5 million adjustment. Our claim loss provision as a percentage of total title premiums was 16.3% and 10.3%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three and nine month periods ended September 30, 2007, respectively. Excluding the $81.5 million charge in the third quarter of 2007, our claim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provision as a percentage of total title premiums was 7.5% for the three and nine month periods ended September 30, 2007 and 2006. The claim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provision for our specialty insurance businesses was $38.3 million in the third quarter of 2007 compared to $29.7 million in the third quarter of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$111.8 million in the first nine months of 2007 compared to $96.6 million in the first nine months of 2006, with the increases resulting primarily from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volumes in the homeowners’ insurance business.</w:t>
      </w:r>
    </w:p>
    <w:p>
      <w:pPr>
        <w:spacing w:after="0" w:line="10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Excluding interest expense related to FIS of $51.1 million and $144.8 million in the three and nine month periods ended September 30, 2006, respectively, interest expense was $12.8 million and $14.8 million in the third quarters of 2007 and 2006, respectively, and $37.2 million and $38.7 million in the first nine months of 2007 and 2006, respectively. Decreases in interest expense which were the result of decreases in average debt in each period were partially offset by increases in interest expense associated with the securities lending program.</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Income tax (benefit) expense was $(4.1) million and $109.9 million in the third quarters of 2007 and 2006, respectively, and $81.4 million and</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$302.1 million in the nine-month periods ended September 30, 2007 and 2006, respectively. The Income tax benefit in the third quarter of 2007 was a result of reflecting a lower year-to-date effective tax rate due to an increase in the proportion of tax-exempt interest income to pre-tax earnings. Income tax expense as a percentage of earnings before income taxes was 37.2% for the third quarter of 2006 and 31.9% and 37.2% for the first nine months of 2007 and 2006, respectively. Income tax expense as a percentage of earnings before income taxes is generally attributable to our estimate of ultimate income tax liability, and changes in the characteristics of net earnings year to year. Income tax expense as a percentage of earnings before income taxes decreased from the 2006 periods to the 2007 periods primarily due to the increase in the proportion of tax-exempt interest income to pre-tax earnings.</w:t>
      </w:r>
    </w:p>
    <w:p>
      <w:pPr>
        <w:spacing w:after="0" w:line="56" w:lineRule="exact"/>
        <w:rPr>
          <w:sz w:val="20"/>
          <w:szCs w:val="20"/>
          <w:color w:val="auto"/>
        </w:rPr>
      </w:pPr>
    </w:p>
    <w:p>
      <w:pPr>
        <w:jc w:val="both"/>
        <w:ind w:right="300" w:firstLine="225"/>
        <w:spacing w:after="0" w:line="312" w:lineRule="auto"/>
        <w:rPr>
          <w:sz w:val="20"/>
          <w:szCs w:val="20"/>
          <w:color w:val="auto"/>
        </w:rPr>
      </w:pPr>
      <w:r>
        <w:rPr>
          <w:rFonts w:ascii="Arial" w:cs="Arial" w:eastAsia="Arial" w:hAnsi="Arial"/>
          <w:sz w:val="16"/>
          <w:szCs w:val="16"/>
          <w:color w:val="auto"/>
        </w:rPr>
        <w:t>Minority interest was $0.3 million and $58.0 million for the third quarters of 2007 and 2006, respectively, and $(0.4) million and $143.4 million for the first nine months of 2007 and 2006, respectively. The decrease in minority interest expense in the 2007 periods compared to the 2006 periods is primarily attributable to earnings generated by FIS and FNT, in which, prior to October 24, 2006, we held ownership positions of 50.7% and 82.5%, respectively.</w:t>
      </w:r>
    </w:p>
    <w:p>
      <w:pPr>
        <w:spacing w:after="0" w:line="39"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Net earnings decreased $121.1 million in the third quarter of 2007 as compared to the third quarter of 2006 and $191.9 million in the first nine months of 2007 as compared to the first nine months of 2006. Excluding 2006 net earnings related to FIS of $72.3 million and minority interest expense attributable to minority interest holdings in FIS and FNT of $58.8 million, net earnings decreased $107.6 million in the third quarter of 2007 compared to 2006, which includes the $55.5 million charge (net of taxes of $26.0 million) relating to our reserve for claim losses disclosed above. Excluding 2006 net earnings related to FIS of $169.9 million and minority interest expense attributable to minority interest holdings in FIS and FNT of $141.4 million, net earnings decreased $191.9 million in the first nine months of 2007 compared to 2006, which includes the $55.5 million charge (net of taxes of $26.0 million) relating to our reserve for claim losses disclosed above.</w:t>
      </w:r>
    </w:p>
    <w:p>
      <w:pPr>
        <w:spacing w:after="0" w:line="189" w:lineRule="exact"/>
        <w:rPr>
          <w:sz w:val="20"/>
          <w:szCs w:val="20"/>
          <w:color w:val="auto"/>
        </w:rPr>
      </w:pPr>
    </w:p>
    <w:p>
      <w:pPr>
        <w:jc w:val="right"/>
        <w:ind w:right="9120"/>
        <w:spacing w:after="0"/>
        <w:rPr>
          <w:sz w:val="20"/>
          <w:szCs w:val="20"/>
          <w:color w:val="auto"/>
        </w:rPr>
      </w:pPr>
      <w:r>
        <w:rPr>
          <w:rFonts w:ascii="Arial" w:cs="Arial" w:eastAsia="Arial" w:hAnsi="Arial"/>
          <w:sz w:val="15"/>
          <w:szCs w:val="15"/>
          <w:b w:val="1"/>
          <w:bCs w:val="1"/>
          <w:i w:val="1"/>
          <w:iCs w:val="1"/>
          <w:color w:val="auto"/>
        </w:rPr>
        <w:t>Segment Results of Operations</w:t>
      </w:r>
    </w:p>
    <w:p>
      <w:pPr>
        <w:spacing w:after="0" w:line="152" w:lineRule="exact"/>
        <w:rPr>
          <w:sz w:val="20"/>
          <w:szCs w:val="20"/>
          <w:color w:val="auto"/>
        </w:rPr>
      </w:pPr>
    </w:p>
    <w:p>
      <w:pPr>
        <w:jc w:val="right"/>
        <w:ind w:right="9160"/>
        <w:spacing w:after="0"/>
        <w:rPr>
          <w:sz w:val="20"/>
          <w:szCs w:val="20"/>
          <w:color w:val="auto"/>
        </w:rPr>
      </w:pPr>
      <w:r>
        <w:rPr>
          <w:rFonts w:ascii="Arial" w:cs="Arial" w:eastAsia="Arial" w:hAnsi="Arial"/>
          <w:sz w:val="16"/>
          <w:szCs w:val="16"/>
          <w:b w:val="1"/>
          <w:bCs w:val="1"/>
          <w:i w:val="1"/>
          <w:iCs w:val="1"/>
          <w:color w:val="auto"/>
        </w:rPr>
        <w:t>Fidelity National Title Group</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26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(Unaudited)</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391,065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461,340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1,258,166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537,598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721,801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1,677,606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2,058,935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237,826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269,188</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724,052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810,845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42,662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44,161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127,130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8"/>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11,964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46,144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1,225,801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1,507,032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3,835,244</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4,455,585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400,020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436,064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1,236,300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217,640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223,359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649,372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415,307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555,010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1,298,210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1,587,547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31,589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29,881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86,678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151,128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88,706</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301,662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260,444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1,219,867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1,336,501</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3,583,437</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3,961,045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5,934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170,531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251,807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2"/>
        <w:spacing w:after="0" w:line="259" w:lineRule="auto"/>
        <w:rPr>
          <w:sz w:val="20"/>
          <w:szCs w:val="20"/>
          <w:color w:val="auto"/>
        </w:rPr>
      </w:pPr>
      <w:r>
        <w:rPr>
          <w:rFonts w:ascii="Arial" w:cs="Arial" w:eastAsia="Arial" w:hAnsi="Arial"/>
          <w:sz w:val="18"/>
          <w:szCs w:val="18"/>
          <w:color w:val="auto"/>
        </w:rPr>
        <w:t>Total revenues for the Fidelity National Title Group decreased $281.2 million, or 18.7%, to $1,225.8 million in the third quarter of 2007 compared to the third quarter of 2006 and decreased $620.3 million, or 13.9%, to $3,835.2 million in the first nine months of 2007 compared to the first nine months of 2006. For an analysis of this segment’s revenues, please see the analysis of direct and agency title insurance premiums and escrow and other title related fees under “Consolidated Results of Operations” above.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Personnel costs include base salaries, commissions, benefits, bonuses and stock based compensation paid to employees and are one of our most significant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Personnel costs were $400.0 million in the third quarter of 2007 compared with $436.1 million in the third quarter of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$1,236.3 million in the first nine months of 2007 compared with $1,354.7 million in the first nine months of 2006. Personnel costs as a percentage of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from direct title premiums and escrow and other fees were 63.6% and 59.7% in the third quarters of 2007 and 2006, respectively, and 62.4%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60.9% in the first nine months of 2007 and 2006, respectively. Personnel costs have decreased in the third quarter of 2007 compared to 2006 due to a decrease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number of personnel and a decrease in average annualized personnel cost per employee. The decrease in personnel costs in the first nine months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2007 compared to 2006 was primarily due to the decrease in the number of personnel. Average annualized personnel cost per employee was relatively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consistent for the first nine months of 2007 compared to the same period in 2006. Average employee count was 16,697 and 18,120 in the third quarters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and 2006, respectively, and 17,004 and 18,677 in the first nine months of 2007 and 2006, respectively.</w:t>
      </w:r>
    </w:p>
    <w:p>
      <w:pPr>
        <w:spacing w:after="0" w:line="10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Other operating expenses totaled $217.6 million and $223.4 million for the third quarters of 2007 and 2006, respectively, and $649.4 million and $666.6 million in the first nine months of 2007 and 2006, respectively. The decreases in other operating expenses from the 2006 periods to the 2007 periods were primarily the result of decreases in order volumes and were partially offset by decreases in benefits related to our escrow balances, which are reflected as an offset to other operating expenses, and increases in legal and regulatory expenses. As a result of holding customers’ assets in escrow, we have ongoing programs for realizing economic benefits. Those economic benefits decreased due to a decrease in escrow balances and an increase in the portion of those benefits derived from tax exempt income. Legal and regulatory expenses for the nine-month periods increased due to an increase in class action litigation and our response to a target letter received from the United States Attorney’s Office in the Southern District of Texas, which was successfully resolved during the second quarter. Other operating expenses as a percentage of total revenues from direct title premiums and escrow and other fees were 34.6% and 30.6% in the third quarters of 2007 and 2006, respectively, and 32.8% and 30.0% in the first nine months of 2007 and 2006, respectively.</w:t>
      </w:r>
    </w:p>
    <w:p>
      <w:pPr>
        <w:spacing w:after="0" w:line="72" w:lineRule="exact"/>
        <w:rPr>
          <w:sz w:val="20"/>
          <w:szCs w:val="20"/>
          <w:color w:val="auto"/>
        </w:rPr>
      </w:pPr>
    </w:p>
    <w:p>
      <w:pPr>
        <w:ind w:right="280" w:firstLine="215"/>
        <w:spacing w:after="0" w:line="259"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Net margin from agency title insurance premiums as a percentage of total agency premiums remained generally consistent in the third quarter and first nine months of 2007 compared with the corresponding 2006 periods. Agent commissions and the resulting percentage of agent premiums we retain vary according to regional differences in real estate closing practices and state regulations.</w:t>
      </w:r>
    </w:p>
    <w:p>
      <w:pPr>
        <w:spacing w:after="0" w:line="79"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color w:val="auto"/>
        </w:rPr>
        <w:t>Depreciation and amortization was $31.6 million and $29.9 million in the third quarters of 2007 and 2006, respectively, and $86.7 million and $83.3 million in the first nine months of 2007 and 2006,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provision for claim losses includes an estimate of anticipated title and title related claims and escrow losses. The estimate of anticipated title and title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related claims is accrued as a percentage of title premium revenue based on our historical loss experience and other relevant factors. We monitor our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experience on a continual basis and adjust the provision for claim losses accordingly as new information becomes known, new loss patterns emerge, or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contributing factors are considered and incorporated into the analysis of the reserve for claim losses. The claim loss provision for title insurance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$151.1 million and $301.7 million in the three month and nine month periods ended September 30, 2007, reflecting a provision of 7.5% of title premiums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charge of $81.5 million to strengthen the company’s reserves resulting from adverse claim loss development on prior policy years. Our claim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provision as a percentage of total title premiums was 16.3% and 10.3% in the three and nine month periods ended September 30, 2007,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Excluding the additional $81.5 million charge in the third quarter of 2007, our claim loss provision as a percentage of total title premiums was 7.5%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and nine month periods ended September 30, 2007 and 2006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Insurance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tcPr>
          <w:p>
            <w:pPr>
              <w:jc w:val="center"/>
              <w:ind w:right="7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208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(Dollars in thousands)</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107,047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309,822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315,480</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Personnel costs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10,834</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34,247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46,234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41,756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109,705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113,364</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38,299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29,695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111,834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96,646</w:t>
            </w:r>
          </w:p>
        </w:tc>
      </w:tr>
      <w:tr>
        <w:trPr>
          <w:trHeight w:val="230"/>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96,720</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84,566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260,209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248,479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67,001</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the U.S. federal flood insurance program, and receive fees for assistance in settling claims. Specialty insurance revenues increased $3.4 million to $107.0 million in the third quarter of 2007 compared to the third quarter of 2006. Specialty insurance revenues decreased $5.7 million to $309.8 million in the first nine months of 2007 compared to the first nine months of 2006.</w:t>
      </w:r>
    </w:p>
    <w:p>
      <w:pPr>
        <w:spacing w:after="0" w:line="80"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Flood revenues increased $1.9 million, or 4.7%, in the third quarter of 2007 compared to the third quarter of 2006, reflecting an increase in rates, and decreased $9.3 million, or 7.4%, in the first nine months of 2007 compared to the first nine months of 2006 as a result of a less active hurricane season, partially offset by volume and rate increases. Revenues from the homeowners’ insurance line of business increased $2.2 million, or 7.9%, and $12.0 million, or 14.0%, in the three and nine month periods ended September 30, 2007, respectively, compared to the corresponding 2006 periods due to growth as we expand this business across the country. Revenues from the home warranty line of business decreased $1.8 million, or 9.1%, and $5.6 million, or 9.3%, in the three and nine month periods ended September 30, 2007, respectively, compared to the corresponding 2006 periods primarily due to a decrease in real estate transaction volumes. Revenues from the auto insurance line of business increased $0.7 million in the third quarter of 2007 compared to 2006 and decreased $1.3 million in the first nine months of 2007 compared to 2006.</w:t>
      </w:r>
    </w:p>
    <w:p>
      <w:pPr>
        <w:spacing w:after="0" w:line="7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Personnel costs were $10.8 million and $11.4 million in the third quarters of 2007 and 2006, respectively, and $34.2 million and $33.8 million in the first nine months of 2007 and 2006, respectively. As a percentage of revenues, personnel costs were 10.1% and 11.0% in the third quarters of 2007 and 2006, respectively, and 11.1% and 10.7% in the first nine months of 2007 and 2006, respectively.</w:t>
      </w:r>
    </w:p>
    <w:p>
      <w:pPr>
        <w:spacing w:after="0" w:line="73"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Other operating expenses in the specialty insurance segment increased $4.5 million to $46.2 million in the third quarter of 2007 from $41.8 million in the third quarter of 2006, reflecting an increase in commissions and other variable costs due to growth in the flood, home and automobile businesses. Other operating expenses decreased $3.7 million to $109.7 million in the first nine months of 2007 from $113.4 million in the first nine months of 2006, impacted by the results of an internal review of our treatment of certain costs relating to insurance policies issued by our specialty insurance segment, in the course of which we determined that certain costs should be deferred and amortized over the life of the policy consistent with the recognition of the premiums. We recorded an adjustment as of March 31, 2007, increasing prepaid and other assets and reducing other operating expenses by $12.2 million, representing amounts that should have been deferred as of March 31, 2007 on policies issued over the prior twelve months. This adjustment is not material to the Company’s financial position or results of operations for any previously reported annual periods. As a percentage of revenues, other operating expenses were 43.2% and 40.3% in the third quarters of 2007 and 2006, respectively, and 35.4% and 35.9% in the first nine months of 2007 and 2006, respectively.</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provision for claim losses was $38.3 million and $29.7 million in the third quarters of 2007 and 2006, respectively, and $111.8 million and</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$96.6 million in the first nine months of 2007 and 2006, respectively. The increases were primarily the result of the increases in volumes in the homeowners’ insurance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corporate and other segment is primarily comprised of the operations of our parent holding company and smaller entities not included in our operating segments. It generated a pretax loss of $13.6 million and $15.6 million in the third quarters of 2007 and 2006, respectively, and $45.7 million and $41.6 million in the first nine months of 2007 and 2006,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Fidelity National Information Services, Inc.</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Fidelity National Information Services, Inc. segment generated revenues of $1,014.8 million and $2,839.7 million and net earnings of $78.6 million and $184.0 million in the three-month and nine-month periods ended September 30, 2006,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cash requirements include operating expenses, taxes, payments of interest and principal on our debt,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acquisitions, and dividends on our common stock. At present, we pay dividends of approximately $64.7 million per quarter, or an aggregate of approximately $258.8 million per year, based on 215,688,726 shares outstanding at September 30, 2007.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 In connection with our acquisition of an equity interest in Ceridian, we currently expect to invest approximately $550 million based on equity co-investment commitments received from third party investors and higher than expected cash on hand at Ceridian. We currently anticipate drawing approximately $485 million from our $1.1 billion in available funding under our Credit Facility to fund our equity commitment to the Ceridian acquisition scheduled to close in the fourth quarter of 2007. (See notes B and G of Notes to Condensed Consolidated Financial Statements.)</w:t>
      </w:r>
    </w:p>
    <w:p>
      <w:pPr>
        <w:spacing w:after="0" w:line="75"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57"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As of December 31, 2006, $2.0 billion of our net assets were restricted from dividend payments without prior approval from the departments of insurance. During the remainder of 2007, our first tier title subsidiaries can pay or make distributions to us of approximately $137 million without prior regulatory approval. In addition, as of October 1, 2007, we have redomesticated Chicago Title Insurance Company (“CTIC”) from Missouri to Nebraska, allowing us to receive larger dividend payments from CTIC. We expect that this redomestication will allow us access to additional dividends from CTIC of approximately $190 million during the remainder of 2007. We are currently assessing what amount, if any, of these additional dividends will be distributed to us in 2007. Additionally, on October 1, 2007, Ticor Title Insurance Company of Florida was redomesticated from Florida to Nebraska. The redomestication of other insurers is also being analyzed. Our underwritten title companies and non-title insurance subsidiaries collect revenue and pay operating expenses. However, they are not regulated to the same extent as our insurance subsidiaries.</w:t>
      </w:r>
    </w:p>
    <w:p>
      <w:pPr>
        <w:spacing w:after="0" w:line="61"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were lower in the first nine months of 2007 compared to the first nine months of 2006 because the 2006</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includes capital expenditures made by FIS. Total capital expenditures for property and equipment were $67.2 million and $128.9 million for the nine months ended September 30, 2007 and 2006, respectively. Total capital expenditures for software were $21.1 million and $160.7 million for the nine months ended September 30, 2007 and 2006, respectively.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i w:val="1"/>
          <w:iCs w:val="1"/>
          <w:color w:val="auto"/>
        </w:rPr>
        <w:t xml:space="preserve">Financing. </w:t>
      </w:r>
      <w:r>
        <w:rPr>
          <w:rFonts w:ascii="Arial" w:cs="Arial" w:eastAsia="Arial" w:hAnsi="Arial"/>
          <w:sz w:val="17"/>
          <w:szCs w:val="17"/>
          <w:color w:val="auto"/>
        </w:rPr>
        <w:t>Effective October 24, 2006, we entered into a credit agreement (the “Credit Agreement”) with Bank of America, N.A. as Administrative Agent</w:t>
      </w:r>
      <w:r>
        <w:rPr>
          <w:rFonts w:ascii="Arial" w:cs="Arial" w:eastAsia="Arial" w:hAnsi="Arial"/>
          <w:sz w:val="17"/>
          <w:szCs w:val="17"/>
          <w:i w:val="1"/>
          <w:iCs w:val="1"/>
          <w:color w:val="auto"/>
        </w:rPr>
        <w:t xml:space="preserve"> </w:t>
      </w:r>
      <w:r>
        <w:rPr>
          <w:rFonts w:ascii="Arial" w:cs="Arial" w:eastAsia="Arial" w:hAnsi="Arial"/>
          <w:sz w:val="17"/>
          <w:szCs w:val="17"/>
          <w:color w:val="auto"/>
        </w:rPr>
        <w:t>and Swing Line Lender, and the other financial institutions party thereto. Effective October 11, 2007, we exercised an option to increase the size of the credit facility by an additional $300 million. The Credit Agreement, which replaced our previous credit agreement, provides for a $1.1 billion unsecured revolving credit facility, including the $300 million increase, maturing on the fifth anniversary of the closing date. Amounts under the revolving credit facility may be borrowed, repaid and reborrowed by the borrower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plus a margin of between 0.23%-0.675%, depending on our then current senior unsecured long-term debt rating from the rating agencies. In addition, we pay a commitment fee between 0.07%-0.175% on the entire facility, also depending on our senior unsecured long-term debt rating.</w:t>
      </w:r>
    </w:p>
    <w:p>
      <w:pPr>
        <w:spacing w:after="0" w:line="75" w:lineRule="exact"/>
        <w:rPr>
          <w:sz w:val="20"/>
          <w:szCs w:val="20"/>
          <w:color w:val="auto"/>
        </w:rPr>
      </w:pPr>
    </w:p>
    <w:p>
      <w:pPr>
        <w:ind w:right="200" w:firstLine="222"/>
        <w:spacing w:after="0" w:line="291" w:lineRule="auto"/>
        <w:rPr>
          <w:sz w:val="20"/>
          <w:szCs w:val="20"/>
          <w:color w:val="auto"/>
        </w:rPr>
      </w:pPr>
      <w:r>
        <w:rPr>
          <w:rFonts w:ascii="Arial" w:cs="Arial" w:eastAsia="Arial" w:hAnsi="Arial"/>
          <w:sz w:val="16"/>
          <w:szCs w:val="16"/>
          <w:color w:val="auto"/>
        </w:rPr>
        <w:t>The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requires us to maintain certain financial ratios and levels of capitalization. The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59" w:lineRule="exact"/>
        <w:rPr>
          <w:sz w:val="20"/>
          <w:szCs w:val="20"/>
          <w:color w:val="auto"/>
        </w:rPr>
      </w:pPr>
    </w:p>
    <w:p>
      <w:pPr>
        <w:ind w:right="140" w:firstLine="225"/>
        <w:spacing w:after="0" w:line="290" w:lineRule="auto"/>
        <w:rPr>
          <w:sz w:val="20"/>
          <w:szCs w:val="20"/>
          <w:color w:val="auto"/>
        </w:rPr>
      </w:pPr>
      <w:r>
        <w:rPr>
          <w:rFonts w:ascii="Arial" w:cs="Arial" w:eastAsia="Arial" w:hAnsi="Arial"/>
          <w:sz w:val="16"/>
          <w:szCs w:val="16"/>
          <w:color w:val="auto"/>
        </w:rPr>
        <w:t>In connection with the 2005 distribution of our stock by Old FNF, we issued two $250 million intercompany notes payable to Old FNF (the “Mirror Notes”), with terms that mirrored Old FNF’s existing $250 million 7.30% public debentures due in August 2011 and $250 million 5.25% public debentures due in March 2013. Following issuance of the Mirror Notes, we filed a Registration Statement on Form S-4, pursuant to which we offered to exchange the outstanding Old FNF notes for notes we would issue having substantially the same terms and deliver the Old FNF notes received to Old FNF to reduce our debt under the Mirror Notes. On January 18, 2006 we completed these exchange offers with $241.3 million aggregate principal amount of the 7.30% notes due 2011 and the entire $250.0 million aggregate principal amount of the 5.25% notes due 2013 validly tendered and not withdrawn in the exchange offers. Following the completion of the exchange offers, we issued a new 7.30% Mirror Note due 2011 in the amount of $8.7 million, representing the principal amount of the portion of the original Mirror Notes that was not exchanged. On October 23, 2006, the remaining balance of these notes was redeemed in full.</w:t>
      </w:r>
    </w:p>
    <w:p>
      <w:pPr>
        <w:spacing w:after="0" w:line="58"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We lend fixed maturity and equity securities to financial institutions in short-term security lending transactions. Our security lending policy requires that the cash received as collateral be 102% or more of the fair value of the loaned securities. These short-term security lending arrangements increase investment income with minimal risk. At September 30, 2007, we had security loans outstanding with a fair value of $284.4 million included in accounts payable and accrued liabilities and we held cash in the same amount as collateral for the loaned securities.</w:t>
      </w:r>
    </w:p>
    <w:p>
      <w:pPr>
        <w:spacing w:after="0" w:line="63"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In addition to the foregoing financing arrangements, our historical financial statements reflect debt and interest expense of Old FNF and its other subsidiaries, principally FIS.</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levels for title insurers. The first calendar quarter is typically the weakest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in terms of 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During 2007, we have seen a divergence from these historical trends as tighter lending standards, including a significant reduction in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availability of subprime mortgage lending, combined with rising mortgage default levels and a bearish outlook on the real estate environment have caused home buyers to be more reluctant to buy homes and have suppressed refinance activity.</w:t>
      </w:r>
    </w:p>
    <w:p>
      <w:pPr>
        <w:spacing w:after="0" w:line="62" w:lineRule="exact"/>
        <w:rPr>
          <w:sz w:val="20"/>
          <w:szCs w:val="20"/>
          <w:color w:val="auto"/>
        </w:rPr>
      </w:pPr>
    </w:p>
    <w:p>
      <w:pPr>
        <w:ind w:right="360" w:firstLine="225"/>
        <w:spacing w:after="0" w:line="279"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loss reserves, our credit agreements and other debt facilities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lease payments on certain of our premises and equipment. At September 30, 2007, our contractual obligations also include our commitment in connection with our pending acquisition of an equity interest in Ceridian (see note B of Notes to Condensed Consolidated Financial Statements). As of September 30, 2007, our required annual payments relating to these contractual obligations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Thereafter</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42"/>
        </w:trPr>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40,370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14,986</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$ 246,383</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$ 260,397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643,837</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Operating lease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34,441</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124,222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95,537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63,994</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39,193</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24,666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382,053</w:t>
            </w: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Pension and post retirement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9,763</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16,941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14,773</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16,088</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16,056</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92,818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166,439</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Title claim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67,031</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259,926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193,835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149,502</w:t>
            </w:r>
          </w:p>
        </w:tc>
        <w:tc>
          <w:tcPr>
            <w:tcW w:w="4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115,514</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447,569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1,233,377</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Ceridian purchase commitment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550,000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550,000</w:t>
            </w: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678,034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465,991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344,515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244,570</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$ 417,146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$ 825,450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2,975,706</w:t>
            </w:r>
          </w:p>
        </w:tc>
        <w:tc>
          <w:tcPr>
            <w:tcW w:w="10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As of September 30, 2007 we had title insurance reserves of $1,233.4 million. The amounts and timing of these obligations are estimated and are not set contractually. Nonetheless, based on historical title insurance claim experience, we anticipate the above payment patterns. While we believe that historical loss payments are a reasonable source for projecting future claim payments, there is significant inherent uncertainty in this payment pattern estimate because of the potential impact of changes in:</w:t>
      </w:r>
    </w:p>
    <w:p>
      <w:pPr>
        <w:spacing w:after="0" w:line="79" w:lineRule="exact"/>
        <w:rPr>
          <w:sz w:val="20"/>
          <w:szCs w:val="20"/>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events such as fraud, defalcation, and multiple property title defects that can substantially and unexpectedly cause increases in both the amount and timing of estimated title insurance loss payments;</w:t>
      </w:r>
    </w:p>
    <w:p>
      <w:pPr>
        <w:spacing w:after="0" w:line="75"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claims staffing levels whereby claims may be settled at a different rate based on the future staffing levels of the claims department.</w:t>
      </w:r>
    </w:p>
    <w:p>
      <w:pPr>
        <w:spacing w:after="0" w:line="117"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In addition to the amounts shown in the table, at September 30, 2007, we held claim reserves of $63.3 million in our specialty insurance business segment. Because of uncertainty with respect to the precise payout pattern of these reserves, and their small size, we have not allocated them to the periods shown, although we would expect the substantial majority of these amounts to be paid over the next twelve months.</w:t>
      </w:r>
    </w:p>
    <w:p>
      <w:pPr>
        <w:spacing w:after="0" w:line="57"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i w:val="1"/>
          <w:iCs w:val="1"/>
          <w:color w:val="auto"/>
        </w:rPr>
        <w:t>Capital Stock Transactions</w:t>
      </w:r>
      <w:r>
        <w:rPr>
          <w:rFonts w:ascii="Arial" w:cs="Arial" w:eastAsia="Arial" w:hAnsi="Arial"/>
          <w:sz w:val="16"/>
          <w:szCs w:val="16"/>
          <w:color w:val="auto"/>
        </w:rPr>
        <w:t>. On October 25, 2006, our Board of Directors approved a three-year stock repurchase program under which we can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up to 25 million shares of our common stock. We may make purchases from time to time in the open market, in block purchases or in privately negotiated transactions, depending on market conditions and other factors. We began purchasing shares under this program on a regular basis on April 30, 2007 and, through September 30, 2007, we have repurchased a total of 6,675,000 shares for $137.7 million, or an average of $20.62 per share. This includes 1,000,000 shares which we purchased from our Chairman of the Board, William P. Foley, II, for $22.1 million, or $22.09 per share, the market price at the time of purchase. From October 1, 2007 through November 6, 2007, we have repurchased a total of 500,000 shares for $6.9 million, or an average of $13.86 per share. From time to time, we evaluate whether we should raise cash through new financings that would not increase our number of outstanding shares and use the cash to buy back shares. The proceeds of any such financing could alternatively be used to pay for acquisitions or for other general corporate purposes. There can be no assurance that we will enter into any such financing transaction or repurchase any shares.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Old FNF entered into an off-balance sheet financing arrangement (commonly referred to as a “synthetic lease”). The owner/lessor in this arrangement acquired land and various real property improvements associated with new construction of an office building in Jacksonville, Florida that is part of our corporate campus and headquarters. The lease expires on June 28, 2011, with renewal subject to consent of the lessor and the lenders. The lessor is a third-party limited liability company. The synthetic lease facility provides for amounts up to $75.0 million. As of June 30, 2007, the full $75.0 million had been drawn on the facility to finance land costs and related fees and expenses. The outstanding balance at September 30, 2007 was $70.1 million. The lease includes guarantees by us of up to 86.7% of the outstanding lease balance, and options to purchase the facilities at the outstanding lease balance. The guarantee becomes effective if we decline to purchase the facilities at 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 and the associated rent expense that is included in other operating expenses in the Consolidated Statements of Earnings.</w:t>
      </w:r>
    </w:p>
    <w:p>
      <w:pPr>
        <w:spacing w:after="0" w:line="75"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do not believe the lessor is a variable interest entity, as defined in Financial Accounting Standards Board (“FASB”) Interpretation No. 46R, “Consolidation of Variable Interest Entities” (“FIN 46R”). In addition, we have verified that even if the lessor was determined to be a variable interest entity, we would not be required to consolidate the lessor or the assets and liabilities associated with the assets leased to us. This is because the assets leased by us will not exceed 50% of the total fair value of the lessor’s assets excluding certain assets that should be excluded from such calculation under FIN 46R, nor did the lessor finance 95% or more of the leased balance with non-recourse debt, target equity or similar funding.</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September 30, 2007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For a description of recent accounting pronouncements, please see Note A of Notes to Condensed Consolidated Financial Statements included elsewhere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2006.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to provide reasonable assurance that our disclosure controls and procedures will timely alert them to material information required to be included in our periodic SEC reports.</w:t>
      </w:r>
    </w:p>
    <w:p>
      <w:pPr>
        <w:spacing w:after="0" w:line="46"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our last fiscal quarter that have materially affected or are reasonably likely to materially affect our internal controls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operations, some of which include claims for punitive or exemplary damages. We believe that no actions, other than those listed below, depart from customary litigation incidental to our business. As background to the disclosure below, please note the following:</w:t>
      </w:r>
    </w:p>
    <w:p>
      <w:pPr>
        <w:spacing w:after="0" w:line="73" w:lineRule="exact"/>
        <w:rPr>
          <w:sz w:val="20"/>
          <w:szCs w:val="20"/>
          <w:color w:val="auto"/>
        </w:rPr>
      </w:pPr>
    </w:p>
    <w:p>
      <w:pPr>
        <w:ind w:left="660" w:right="60" w:hanging="436"/>
        <w:spacing w:after="0" w:line="272"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660" w:right="80" w:hanging="436"/>
        <w:spacing w:after="0" w:line="25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our experience, monetary demands in plaintiffs’ court pleadings bear little relation to the ultimate loss, if any, we may experience.</w:t>
      </w:r>
    </w:p>
    <w:p>
      <w:pPr>
        <w:spacing w:after="0" w:line="97" w:lineRule="exact"/>
        <w:rPr>
          <w:rFonts w:ascii="Arial" w:cs="Arial" w:eastAsia="Arial" w:hAnsi="Arial"/>
          <w:sz w:val="18"/>
          <w:szCs w:val="18"/>
          <w:b w:val="1"/>
          <w:bCs w:val="1"/>
          <w:color w:val="auto"/>
        </w:rPr>
      </w:pPr>
    </w:p>
    <w:p>
      <w:pPr>
        <w:ind w:left="660" w:right="40" w:hanging="436"/>
        <w:spacing w:after="0" w:line="279"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we base our decision on our assessment of the ultimate outcome following all appeals.</w:t>
      </w:r>
    </w:p>
    <w:p>
      <w:pPr>
        <w:spacing w:after="0" w:line="76" w:lineRule="exact"/>
        <w:rPr>
          <w:rFonts w:ascii="Arial" w:cs="Arial" w:eastAsia="Arial" w:hAnsi="Arial"/>
          <w:sz w:val="17"/>
          <w:szCs w:val="17"/>
          <w:b w:val="1"/>
          <w:bCs w:val="1"/>
          <w:color w:val="auto"/>
        </w:rPr>
      </w:pPr>
    </w:p>
    <w:p>
      <w:pPr>
        <w:ind w:left="660" w:right="2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the opinion of our management, while some of these matters may be material to our operating results for any particular period if an unfavorable outcome results, none will have a material adverse effect on our overall financial condition.</w:t>
      </w:r>
    </w:p>
    <w:p>
      <w:pPr>
        <w:spacing w:after="0" w:line="62"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Several class actions are pending in Ohio (Dubin v. Security Union Title Insurance Company, filed on March 12, 2003, in the Court of Common Pleas, Cuyahoga County, Ohio and Randleman v. Fidelity National Title Insurance Company, filed on February 15, 2006 in the U.S. District Court for the Northern District of Ohio, Western Division) and Pennsylvania (Patterson v. Fidelity National Title Insurance Company of New York, filed on October 27, 2003 in the Court of Common Pleas of Allegheny County, Pennsylvania; O’Day v. Ticor Title Insurance Company of Florida, filed on October 18, 2006 in the U.S. District Court for the Eastern District of Pennsylvania; Cohen v. Chicago Title Insurance Company, filed on January 27, 2006 in the Court of Common Pleas of Philadelphia County, Pennsylvania; and Guizarri v. Ticor Title Insurance Company, filed on October 17, 2006 in the U.S. District Court for the Eastern District of Pennsylvania), alleging improper premiums were charged for title insurance. These cases allege that the named defendant companies failed to provide notice of premium discounts to consumers refinancing their mortgages, and failed to give discounts in refinancing transactions in violation of the filed rates. In </w:t>
      </w:r>
      <w:r>
        <w:rPr>
          <w:rFonts w:ascii="Arial" w:cs="Arial" w:eastAsia="Arial" w:hAnsi="Arial"/>
          <w:sz w:val="17"/>
          <w:szCs w:val="17"/>
          <w:u w:val="single" w:color="auto"/>
          <w:color w:val="auto"/>
        </w:rPr>
        <w:t>Dubin,</w:t>
      </w:r>
      <w:r>
        <w:rPr>
          <w:rFonts w:ascii="Arial" w:cs="Arial" w:eastAsia="Arial" w:hAnsi="Arial"/>
          <w:sz w:val="17"/>
          <w:szCs w:val="17"/>
          <w:color w:val="auto"/>
        </w:rPr>
        <w:t xml:space="preserve"> we filed a Motion for Summary Judgment which is under submission and trial is scheduled for early 2008. In </w:t>
      </w:r>
      <w:r>
        <w:rPr>
          <w:rFonts w:ascii="Arial" w:cs="Arial" w:eastAsia="Arial" w:hAnsi="Arial"/>
          <w:sz w:val="17"/>
          <w:szCs w:val="17"/>
          <w:u w:val="single" w:color="auto"/>
          <w:color w:val="auto"/>
        </w:rPr>
        <w:t>Randleman</w:t>
      </w:r>
      <w:r>
        <w:rPr>
          <w:rFonts w:ascii="Arial" w:cs="Arial" w:eastAsia="Arial" w:hAnsi="Arial"/>
          <w:sz w:val="17"/>
          <w:szCs w:val="17"/>
          <w:color w:val="auto"/>
        </w:rPr>
        <w:t xml:space="preserve">, the Court dismissed all causes of action except implied in fact contract and unjust enrichment. Plaintiffs have filed their motion to certify a class. In </w:t>
      </w:r>
      <w:r>
        <w:rPr>
          <w:rFonts w:ascii="Arial" w:cs="Arial" w:eastAsia="Arial" w:hAnsi="Arial"/>
          <w:sz w:val="17"/>
          <w:szCs w:val="17"/>
          <w:u w:val="single" w:color="auto"/>
          <w:color w:val="auto"/>
        </w:rPr>
        <w:t>Patterson</w:t>
      </w:r>
      <w:r>
        <w:rPr>
          <w:rFonts w:ascii="Arial" w:cs="Arial" w:eastAsia="Arial" w:hAnsi="Arial"/>
          <w:sz w:val="17"/>
          <w:szCs w:val="17"/>
          <w:color w:val="auto"/>
        </w:rPr>
        <w:t xml:space="preserve">, the court sustained our motion to dismiss all counts except counts for fraud and for violation of a consumer protection law. Our motion for summary judgment on the remaining two causes of action and the plaintiff’s motion for class certification are under submission. Our motions to dismiss were denied in the </w:t>
      </w:r>
      <w:r>
        <w:rPr>
          <w:rFonts w:ascii="Arial" w:cs="Arial" w:eastAsia="Arial" w:hAnsi="Arial"/>
          <w:sz w:val="17"/>
          <w:szCs w:val="17"/>
          <w:u w:val="single" w:color="auto"/>
          <w:color w:val="auto"/>
        </w:rPr>
        <w:t>Cohen</w:t>
      </w:r>
      <w:r>
        <w:rPr>
          <w:rFonts w:ascii="Arial" w:cs="Arial" w:eastAsia="Arial" w:hAnsi="Arial"/>
          <w:sz w:val="17"/>
          <w:szCs w:val="17"/>
          <w:color w:val="auto"/>
        </w:rPr>
        <w:t xml:space="preserve">, </w:t>
      </w:r>
      <w:r>
        <w:rPr>
          <w:rFonts w:ascii="Arial" w:cs="Arial" w:eastAsia="Arial" w:hAnsi="Arial"/>
          <w:sz w:val="17"/>
          <w:szCs w:val="17"/>
          <w:u w:val="single" w:color="auto"/>
          <w:color w:val="auto"/>
        </w:rPr>
        <w:t>O’Day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Guizarri</w:t>
      </w:r>
      <w:r>
        <w:rPr>
          <w:rFonts w:ascii="Arial" w:cs="Arial" w:eastAsia="Arial" w:hAnsi="Arial"/>
          <w:sz w:val="17"/>
          <w:szCs w:val="17"/>
          <w:color w:val="auto"/>
        </w:rPr>
        <w:t xml:space="preserve"> cases, and classes have been certified. The parties are proceeding with discovery.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 class action in Texas (Arevalo v. Chicago Title Insurance Company and Ticor Title Insurance Company, filed on March 24, 2006 in the U.S. District Court for the Western District of Texas, San Antonio Division) alleges that we overcharged for recording fees in Arizona, California, Colorado, Oklahoma and Texas. The suit seeks to recover the recording fees for the class that was overcharged, interest and attorney’s fees. The plaintiff’s motion for class certification and our motions to dismiss and for summary judgment are under submission. A similar suit is pending in Kansas (Doll v. Chicago Title Insurance Company, filed on September 28, 2006 in the U.S. District Court for the District of Kansas) alleging that we charged consumers more than the County Recorder charges to record their documents in conjunction with closing transactions. The plaintiff’s motion to certify the class is under submission.</w:t>
      </w:r>
    </w:p>
    <w:p>
      <w:pPr>
        <w:spacing w:after="0" w:line="5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Two class actions filed in Illinois (Chultem v. Fidelity National Financial, Inc., Chicago Title and Trust Company and Ticor Title Insurance Company and Collella v. Fidelity National Financial, Inc., Chicago Title and Trust Company and Ticor Title Insurance Company, each filed on May 11, 2006 in the Circuit Court of Cook County, Illinois, County Department, Chancery Division) allege that the named defendant companies violated the Illinois Title Insurance Act and the Illinois Consumer Fraud Act and have been unjustly enriched through the practice of paying Illinois attorney’s agency fees. The complaint alleges the payments are in exchange for the referral of business and the attorneys do not perform any “core title services”. Our motions to dismiss and for summary judgment are pending.</w:t>
      </w:r>
    </w:p>
    <w:p>
      <w:pPr>
        <w:spacing w:after="0" w:line="85"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An amended complaint was filed in Illinois (Independent Trust v. Fidelity National Title Insurance Company of New York filed June 26, 2006 in the United States District Court for the Northern District of Illinois, Eastern Division) related to the litigation spawned by the defalcation of Intercounty Title Company of Illinois (“Intercounty”), an agent of ours in Chicago, Illinois. The plaintiff alleges we wrongfully used our funds to pay monies owed by us to customers of Intercounty. This case requests compensatory damages (which the plaintiff alleges are believed to be in excess of $20 million), punitive damages and other relief.</w:t>
      </w:r>
    </w:p>
    <w:p>
      <w:pPr>
        <w:spacing w:after="0" w:line="80"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w:t>
      </w:r>
    </w:p>
    <w:p>
      <w:pPr>
        <w:spacing w:after="0" w:line="79"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In January 2007, the California Insurance Commissioner submitted to the California Office of Administrative Law (the “OAL”) proposed regulations (the “Proposed Regulations”) that would have significant effects on the title insurance industry in California. On February 21, 2007, the OAL disapproved the Proposed Regulations. On June 28, 2007, the California Department of Insurance (the “CDI”) submitted a modified version of the Proposed Regulations to the OAL. The only substantive change in this modified version of the Proposed Regulations was to delay the implementation dates by approximately one year. The OAL approved the modified version of the Proposed Regulations on July 26, 2007 (as approved, the “Regulations”) and filed them with the California Secretary of State. Notwithstanding the promulgation of the Regulations, we, as well as others, have been engaged in discussions with the CDI regarding possible industry reforms that may result in the CDI’s decision to modify or repeal the Regulations prior to their implementation. In the event that the CDI does not modify or repeal the Regulations prior to their implementation, the Regulations are expected to have significant effects on the title insurance industry in California. Among other things, the Regulations set “maximum” rates, effective as of October 1, 2010, for title and escrow using industry data to be reported through the statistical plan described below and published by the CDI. In addition, the Regulations establish an interim reduction of all title and escrow rates effective October 1, 2010 if the CDI is unable to publish the data necessary for the calculation of the maximum rates by August 1, 2010. These interim rate reductions are intended to roll rates back so that, in effect, premiums would be charged on the basis of real property values from the year 2000. Title insurers would be required to reduce their rates to a level below their 2000 rates, with the amount of the reduction determined by a formula adjusting for real estate appreciation and inflation. We are concerned that the reduced rates set by the Regulations will significantly reduce the title and escrow rates that are charged in California, while precluding title insurers from seeking relief from those reduced or maximum rates. In addition, the Regulations create a detailed statistical plan, and require each title insurer, underwritten title company, and controlled escrow company to collect data at the individual transaction level beginning on January 1, 2009, and to report such data to the CDI on an annual basis beginning April 30, 2010.</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Compliance with the data collection and reporting requirements of the Regulations would necessitate a significant revision and augmentation of our existing data collection and accounting systems before January 1, 2009, and would require a significant expenditure to comply with the April 30, 2010 reporting deadline. The required rate reductions and maximum rates would significantly reduce the title insurance rates that our subsidiaries can charge, and would likely have a significant negative impact on our California revenues. In addition, the increased cost of compliance with the statistical data collection and reporting requirements would negatively impact our cost of doing business in California. California is the largest source of revenue for the title insurance industry, including for us.</w:t>
      </w:r>
    </w:p>
    <w:p>
      <w:pPr>
        <w:spacing w:after="0" w:line="85"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We continue to meet with the CDI to discuss possible modifications to the Regulations and alternatives that could result in the repeal of the Regulations prior to their initial implementation. On October 5, 2007, the California Insurance Commissioner sent a letter to the title insurance industry outlining a series of acts that he has agreed to undertake in an effort to minimize the impact of the Regulations and to lay further groundwork for a possible resolution involving the modification or repeal of the Regulations prior to their initial implementation. Among other things, the California Insurance Commissioner stated in such letter that: (i) the CDI will propose substantial changes to the data collection and reporting requirements of the Regulations that are designed to minimize compliance costs, (ii) the CDI will delay all effective dates in the Regulations by one year, which will have the effect of deferring the date on which the industry would be required to submit its first statistical report under the Regulations to April 30, 2011, and deferring the first possible rate reduction under the Regulations to October 1, 2011, and (iii) if the industry works with the CDI to enact substantive alternative reforms, the CDI is willing to eliminate the maximum rate formula altogether. In addition, we are exploring litigation alternatives in the event that the CDI does not modify or repeal the Regulations, including a possible lawsuit challenging the CDI’s authority to promulgate rate regulations and statistical plan regulations related thereto.</w:t>
      </w:r>
    </w:p>
    <w:p>
      <w:pPr>
        <w:spacing w:after="0" w:line="6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Item 1A. Risk Factors. See Item 1, Legal Proceedings, for an update regarding certain matters described in the Risk Factors section of our Form 10-K for the year ended December 31, 2006 and in our report on Form 10-Q for the period ended March 31, 2007, in addition to the following:</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recently experienced declines in many parts of the country, and these trends appear likely to continue. Further, interest rates have risen from record low levels in 2003, resulting in reductions in the level of mortgage refinancings and total mortgage originations in 2004 and through 2007.</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when mortgage interest rates are high or increasing;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when the mortgage funding supply is limited;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when the United States economy is weak.</w:t>
      </w:r>
    </w:p>
    <w:p>
      <w:pPr>
        <w:spacing w:after="0" w:line="117"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Declines in the level of real estate activity or the average price of real estate sales are likely to adversely affect our title insurance revenues. The Mortgage Bankers Association currently projects residential mortgage production in 2007 to be $2.31 trillion, which would represent a 15.2% decline relative to 2006. The MBA further projects that the 15.2% decrease will result from purchase transactions declining from $1.40 trillion in 2006 to $1.18 trillion in 2007 or 15.7% and refinance transactions dropping from $1.33 trillion in 2006 to $1.13 trillion in 2006, or 14.6%.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purchases of equity securities by the issuer during the quarter ended September 30,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 Total Number</w:t>
            </w:r>
          </w:p>
        </w:tc>
        <w:tc>
          <w:tcPr>
            <w:tcW w:w="1800" w:type="dxa"/>
            <w:vAlign w:val="bottom"/>
            <w:gridSpan w:val="3"/>
            <w:vMerge w:val="restart"/>
          </w:tcPr>
          <w:p>
            <w:pPr>
              <w:jc w:val="center"/>
              <w:ind w:left="114"/>
              <w:spacing w:after="0"/>
              <w:rPr>
                <w:sz w:val="20"/>
                <w:szCs w:val="20"/>
                <w:color w:val="auto"/>
              </w:rPr>
            </w:pPr>
            <w:r>
              <w:rPr>
                <w:rFonts w:ascii="Arial" w:cs="Arial" w:eastAsia="Arial" w:hAnsi="Arial"/>
                <w:sz w:val="14"/>
                <w:szCs w:val="14"/>
                <w:b w:val="1"/>
                <w:bCs w:val="1"/>
                <w:color w:val="auto"/>
                <w:w w:val="97"/>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(a) Total</w:t>
            </w:r>
          </w:p>
        </w:tc>
        <w:tc>
          <w:tcPr>
            <w:tcW w:w="18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Shares</w:t>
            </w:r>
          </w:p>
        </w:tc>
        <w:tc>
          <w:tcPr>
            <w:tcW w:w="1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8"/>
              </w:rPr>
              <w:t>Number</w:t>
            </w:r>
          </w:p>
        </w:tc>
        <w:tc>
          <w:tcPr>
            <w:tcW w:w="9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of Shares</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3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80" w:type="dxa"/>
            <w:vAlign w:val="bottom"/>
          </w:tcPr>
          <w:p>
            <w:pPr>
              <w:spacing w:after="0"/>
              <w:rPr>
                <w:sz w:val="14"/>
                <w:szCs w:val="14"/>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per Share</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7/1/07–7/31/07</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21.40</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8/1/07–8/31/07</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3,300,000</w:t>
            </w:r>
          </w:p>
        </w:tc>
        <w:tc>
          <w:tcPr>
            <w:tcW w:w="18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20.33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3,300,000</w:t>
            </w:r>
          </w:p>
        </w:tc>
        <w:tc>
          <w:tcPr>
            <w:tcW w:w="3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20,225,000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9/1/07–9/30/07</w:t>
            </w: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1,900,000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3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18,325,000</w:t>
            </w:r>
          </w:p>
        </w:tc>
        <w:tc>
          <w:tcPr>
            <w:tcW w:w="0" w:type="dxa"/>
            <w:vAlign w:val="bottom"/>
          </w:tcPr>
          <w:p>
            <w:pPr>
              <w:spacing w:after="0"/>
              <w:rPr>
                <w:sz w:val="1"/>
                <w:szCs w:val="1"/>
                <w:color w:val="auto"/>
              </w:rPr>
            </w:pPr>
          </w:p>
        </w:tc>
      </w:tr>
      <w:tr>
        <w:trPr>
          <w:trHeight w:val="224"/>
        </w:trPr>
        <w:tc>
          <w:tcPr>
            <w:tcW w:w="5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5,300,000</w:t>
            </w:r>
          </w:p>
        </w:tc>
        <w:tc>
          <w:tcPr>
            <w:tcW w:w="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19.32</w:t>
            </w:r>
          </w:p>
        </w:tc>
        <w:tc>
          <w:tcPr>
            <w:tcW w:w="3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5,300,000</w:t>
            </w:r>
          </w:p>
        </w:tc>
        <w:tc>
          <w:tcPr>
            <w:tcW w:w="300" w:type="dxa"/>
            <w:vAlign w:val="bottom"/>
          </w:tcPr>
          <w:p>
            <w:pPr>
              <w:spacing w:after="0"/>
              <w:rPr>
                <w:sz w:val="19"/>
                <w:szCs w:val="19"/>
                <w:color w:val="auto"/>
              </w:rPr>
            </w:pP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18,325,000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25, 2006, our Board of Directors approved a three-year stock repurchase program under which we can repurchase up to 25 million shares of our common stock.</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25" w:lineRule="exact"/>
        <w:rPr>
          <w:sz w:val="20"/>
          <w:szCs w:val="20"/>
          <w:color w:val="auto"/>
        </w:rPr>
      </w:pPr>
    </w:p>
    <w:p>
      <w:pPr>
        <w:jc w:val="right"/>
        <w:ind w:right="10260"/>
        <w:spacing w:after="0"/>
        <w:rPr>
          <w:sz w:val="20"/>
          <w:szCs w:val="20"/>
          <w:color w:val="auto"/>
        </w:rPr>
      </w:pPr>
      <w:r>
        <w:rPr>
          <w:rFonts w:ascii="Arial" w:cs="Arial" w:eastAsia="Arial" w:hAnsi="Arial"/>
          <w:sz w:val="16"/>
          <w:szCs w:val="16"/>
          <w:color w:val="auto"/>
        </w:rPr>
        <w:t>Item 6. Exhibits</w:t>
      </w:r>
    </w:p>
    <w:p>
      <w:pPr>
        <w:spacing w:after="0" w:line="140" w:lineRule="exact"/>
        <w:rPr>
          <w:sz w:val="20"/>
          <w:szCs w:val="20"/>
          <w:color w:val="auto"/>
        </w:rPr>
      </w:pPr>
    </w:p>
    <w:p>
      <w:pPr>
        <w:jc w:val="right"/>
        <w:ind w:right="1030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of Periodic Financial Reports pursuant to Section 906 of the Sarbanes-Oxley Act of 2002, 18 U.S.C.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Section 1350.</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Financial Reports pursuant to Section 906 of the Sarbanes-Oxley Act of 2002, 18 U.S.C.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Section 1350.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By:  /s/ Anthony J. Park</w:t>
            </w:r>
          </w:p>
        </w:tc>
        <w:tc>
          <w:tcPr>
            <w:tcW w:w="6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Anthony J. Park</w:t>
            </w:r>
          </w:p>
        </w:tc>
        <w:tc>
          <w:tcPr>
            <w:tcW w:w="6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6600" w:type="dxa"/>
            <w:vAlign w:val="bottom"/>
          </w:tcPr>
          <w:p>
            <w:pPr>
              <w:jc w:val="right"/>
              <w:spacing w:after="0"/>
              <w:rPr>
                <w:sz w:val="20"/>
                <w:szCs w:val="20"/>
                <w:color w:val="auto"/>
              </w:rPr>
            </w:pPr>
            <w:r>
              <w:rPr>
                <w:rFonts w:ascii="Arial" w:cs="Arial" w:eastAsia="Arial" w:hAnsi="Arial"/>
                <w:sz w:val="18"/>
                <w:szCs w:val="18"/>
                <w:color w:val="auto"/>
              </w:rPr>
              <w:t>Date: November 9, 2007</w:t>
            </w: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600" w:type="dxa"/>
            <w:vAlign w:val="bottom"/>
          </w:tcPr>
          <w:p>
            <w:pPr>
              <w:jc w:val="right"/>
              <w:ind w:right="55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6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 U.S.C.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 2002, 18 U.S.C.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3"/>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420"/>
          </w:cols>
          <w:pgMar w:left="240" w:top="41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Alan L. Stinson, certify that:</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Alan L. Stinson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Anthony J. Park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62" w:lineRule="exact"/>
        <w:rPr>
          <w:sz w:val="20"/>
          <w:szCs w:val="20"/>
          <w:color w:val="auto"/>
        </w:rPr>
      </w:pPr>
    </w:p>
    <w:p>
      <w:pPr>
        <w:ind w:left="660" w:right="32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9, 2007</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Stinson</w:t>
            </w:r>
          </w:p>
        </w:tc>
      </w:tr>
      <w:tr>
        <w:trPr>
          <w:trHeight w:val="195"/>
        </w:trPr>
        <w:tc>
          <w:tcPr>
            <w:tcW w:w="56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Alan L. Stinson</w:t>
            </w:r>
          </w:p>
        </w:tc>
      </w:tr>
      <w:tr>
        <w:trPr>
          <w:trHeight w:val="230"/>
        </w:trPr>
        <w:tc>
          <w:tcPr>
            <w:tcW w:w="5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9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62" w:lineRule="exact"/>
        <w:rPr>
          <w:sz w:val="20"/>
          <w:szCs w:val="20"/>
          <w:color w:val="auto"/>
        </w:rPr>
      </w:pPr>
    </w:p>
    <w:p>
      <w:pPr>
        <w:ind w:left="260" w:right="100" w:hanging="252"/>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62" w:lineRule="exact"/>
        <w:rPr>
          <w:rFonts w:ascii="Arial" w:cs="Arial" w:eastAsia="Arial" w:hAnsi="Arial"/>
          <w:sz w:val="18"/>
          <w:szCs w:val="18"/>
          <w:color w:val="auto"/>
        </w:rPr>
      </w:pPr>
    </w:p>
    <w:p>
      <w:pPr>
        <w:ind w:left="260" w:right="220" w:hanging="252"/>
        <w:spacing w:after="0" w:line="277"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9, 2007</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J. Park</w:t>
            </w:r>
          </w:p>
        </w:tc>
      </w:tr>
      <w:tr>
        <w:trPr>
          <w:trHeight w:val="195"/>
        </w:trPr>
        <w:tc>
          <w:tcPr>
            <w:tcW w:w="56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Anthony J. Park</w:t>
            </w:r>
          </w:p>
        </w:tc>
      </w:tr>
      <w:tr>
        <w:trPr>
          <w:trHeight w:val="230"/>
        </w:trPr>
        <w:tc>
          <w:tcPr>
            <w:tcW w:w="5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59"/>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2019-12-15T12:46:29Z</dcterms:created>
  <dcterms:modified xsi:type="dcterms:W3CDTF">2019-12-15T12:46:29Z</dcterms:modified>
</cp:coreProperties>
</file>