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481965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448310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85725</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111125</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68" w:lineRule="exact"/>
        <w:rPr>
          <w:sz w:val="24"/>
          <w:szCs w:val="24"/>
          <w:color w:val="auto"/>
        </w:rPr>
      </w:pPr>
    </w:p>
    <w:p>
      <w:pPr>
        <w:ind w:left="47"/>
        <w:spacing w:after="0"/>
        <w:rPr>
          <w:sz w:val="20"/>
          <w:szCs w:val="20"/>
          <w:color w:val="auto"/>
        </w:rPr>
      </w:pPr>
      <w:r>
        <w:rPr>
          <w:rFonts w:ascii="Times New Roman" w:cs="Times New Roman" w:eastAsia="Times New Roman" w:hAnsi="Times New Roman"/>
          <w:sz w:val="18"/>
          <w:szCs w:val="18"/>
          <w:color w:val="auto"/>
        </w:rPr>
        <w:t>(Mark One)</w:t>
      </w:r>
    </w:p>
    <w:p>
      <w:pPr>
        <w:spacing w:after="0" w:line="175" w:lineRule="exact"/>
        <w:rPr>
          <w:sz w:val="24"/>
          <w:szCs w:val="24"/>
          <w:color w:val="auto"/>
        </w:rPr>
      </w:pPr>
    </w:p>
    <w:p>
      <w:pPr>
        <w:ind w:left="527" w:hanging="457"/>
        <w:spacing w:after="0"/>
        <w:tabs>
          <w:tab w:leader="none" w:pos="52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8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8" w:lineRule="exact"/>
        <w:rPr>
          <w:sz w:val="24"/>
          <w:szCs w:val="24"/>
          <w:color w:val="auto"/>
        </w:rPr>
      </w:pPr>
    </w:p>
    <w:p>
      <w:pPr>
        <w:ind w:left="547" w:hanging="547"/>
        <w:spacing w:after="0"/>
        <w:tabs>
          <w:tab w:leader="none" w:pos="547"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98"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90170</wp:posOffset>
            </wp:positionV>
            <wp:extent cx="3659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182245</wp:posOffset>
            </wp:positionV>
            <wp:extent cx="1671320" cy="693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693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887" w:type="dxa"/>
        <w:tblCellMar>
          <w:top w:w="0" w:type="dxa"/>
          <w:left w:w="0" w:type="dxa"/>
          <w:bottom w:w="0" w:type="dxa"/>
          <w:right w:w="0" w:type="dxa"/>
        </w:tblCellMar>
      </w:tblPr>
      <w:tr>
        <w:trPr>
          <w:trHeight w:val="280"/>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6"/>
          </w:tcPr>
          <w:p>
            <w:pPr>
              <w:jc w:val="center"/>
              <w:ind w:right="2140"/>
              <w:spacing w:after="0"/>
              <w:rPr>
                <w:sz w:val="20"/>
                <w:szCs w:val="20"/>
                <w:color w:val="auto"/>
              </w:rPr>
            </w:pPr>
            <w:r>
              <w:rPr>
                <w:rFonts w:ascii="Times New Roman" w:cs="Times New Roman" w:eastAsia="Times New Roman" w:hAnsi="Times New Roman"/>
                <w:sz w:val="21"/>
                <w:szCs w:val="21"/>
                <w:b w:val="1"/>
                <w:bCs w:val="1"/>
                <w:color w:val="auto"/>
                <w:w w:val="99"/>
              </w:rPr>
              <w:t>FIDELITY NATIONAL FINANCIAL, INC.</w:t>
            </w:r>
          </w:p>
        </w:tc>
      </w:tr>
      <w:tr>
        <w:trPr>
          <w:trHeight w:val="238"/>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9"/>
        </w:trPr>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0"/>
        </w:trPr>
        <w:tc>
          <w:tcPr>
            <w:tcW w:w="560" w:type="dxa"/>
            <w:vAlign w:val="bottom"/>
          </w:tcPr>
          <w:p>
            <w:pPr>
              <w:spacing w:after="0"/>
              <w:rPr>
                <w:sz w:val="24"/>
                <w:szCs w:val="24"/>
                <w:color w:val="auto"/>
              </w:rPr>
            </w:pPr>
          </w:p>
        </w:tc>
        <w:tc>
          <w:tcPr>
            <w:tcW w:w="196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20" w:type="dxa"/>
            <w:vAlign w:val="bottom"/>
            <w:gridSpan w:val="3"/>
          </w:tcPr>
          <w:p>
            <w:pPr>
              <w:jc w:val="center"/>
              <w:ind w:left="1744"/>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5"/>
        </w:trPr>
        <w:tc>
          <w:tcPr>
            <w:tcW w:w="2520" w:type="dxa"/>
            <w:vAlign w:val="bottom"/>
            <w:gridSpan w:val="4"/>
          </w:tcPr>
          <w:p>
            <w:pPr>
              <w:jc w:val="center"/>
              <w:ind w:right="68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5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gridSpan w:val="2"/>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3"/>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Jacksonville, Florida, 32204</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5"/>
        </w:trPr>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57"/>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gridSpan w:val="3"/>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8"/>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69"/>
        </w:trPr>
        <w:tc>
          <w:tcPr>
            <w:tcW w:w="56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980" w:type="dxa"/>
            <w:vAlign w:val="bottom"/>
          </w:tcPr>
          <w:p>
            <w:pPr>
              <w:spacing w:after="0"/>
              <w:rPr>
                <w:sz w:val="14"/>
                <w:szCs w:val="14"/>
                <w:color w:val="auto"/>
              </w:rPr>
            </w:pPr>
          </w:p>
        </w:tc>
        <w:tc>
          <w:tcPr>
            <w:tcW w:w="278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6"/>
        </w:trPr>
        <w:tc>
          <w:tcPr>
            <w:tcW w:w="25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w w:val="99"/>
              </w:rPr>
              <w:t>FNF Common Stock, $0.0001 par value</w:t>
            </w:r>
          </w:p>
        </w:tc>
        <w:tc>
          <w:tcPr>
            <w:tcW w:w="980" w:type="dxa"/>
            <w:vAlign w:val="bottom"/>
          </w:tcPr>
          <w:p>
            <w:pPr>
              <w:spacing w:after="0"/>
              <w:rPr>
                <w:sz w:val="17"/>
                <w:szCs w:val="17"/>
                <w:color w:val="auto"/>
              </w:rPr>
            </w:pPr>
          </w:p>
        </w:tc>
        <w:tc>
          <w:tcPr>
            <w:tcW w:w="278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color w:val="auto"/>
                <w:w w:val="93"/>
              </w:rPr>
              <w:t>FNF</w:t>
            </w:r>
          </w:p>
        </w:tc>
        <w:tc>
          <w:tcPr>
            <w:tcW w:w="2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98425</wp:posOffset>
            </wp:positionV>
            <wp:extent cx="3659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258" w:lineRule="exact"/>
        <w:rPr>
          <w:sz w:val="24"/>
          <w:szCs w:val="24"/>
          <w:color w:val="auto"/>
        </w:rPr>
      </w:pPr>
    </w:p>
    <w:p>
      <w:pPr>
        <w:ind w:left="47"/>
        <w:spacing w:after="0" w:line="23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46" w:lineRule="exact"/>
        <w:rPr>
          <w:sz w:val="24"/>
          <w:szCs w:val="24"/>
          <w:color w:val="auto"/>
        </w:rPr>
      </w:pPr>
    </w:p>
    <w:p>
      <w:pPr>
        <w:ind w:left="47"/>
        <w:spacing w:after="0" w:line="241"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36" w:lineRule="exact"/>
        <w:rPr>
          <w:sz w:val="24"/>
          <w:szCs w:val="24"/>
          <w:color w:val="auto"/>
        </w:rPr>
      </w:pPr>
    </w:p>
    <w:p>
      <w:pPr>
        <w:ind w:left="47"/>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592455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7"/>
          </w:cols>
          <w:pgMar w:left="273" w:top="226" w:right="339" w:bottom="1440" w:gutter="0" w:footer="0" w:header="0"/>
        </w:sectPr>
      </w:pPr>
    </w:p>
    <w:bookmarkStart w:id="1" w:name="page2"/>
    <w:bookmarkEnd w:id="1"/>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5"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4" w:lineRule="exact"/>
        <w:rPr>
          <w:sz w:val="20"/>
          <w:szCs w:val="20"/>
          <w:color w:val="auto"/>
        </w:rPr>
      </w:pPr>
    </w:p>
    <w:p>
      <w:pPr>
        <w:sectPr>
          <w:pgSz w:w="11900" w:h="16838" w:orient="portrait"/>
          <w:cols w:equalWidth="0" w:num="4">
            <w:col w:w="4020" w:space="720"/>
            <w:col w:w="220" w:space="700"/>
            <w:col w:w="3300" w:space="720"/>
            <w:col w:w="1280"/>
          </w:cols>
          <w:pgMar w:left="320" w:top="1249" w:right="619" w:bottom="1440" w:gutter="0" w:footer="0" w:header="0"/>
        </w:sectPr>
      </w:pPr>
    </w:p>
    <w:p>
      <w:pPr>
        <w:spacing w:after="0" w:line="23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 w:lineRule="exact"/>
        <w:rPr>
          <w:sz w:val="20"/>
          <w:szCs w:val="20"/>
          <w:color w:val="auto"/>
        </w:rPr>
      </w:pPr>
    </w:p>
    <w:p>
      <w:pPr>
        <w:spacing w:after="0" w:line="242" w:lineRule="exact"/>
        <w:tabs>
          <w:tab w:leader="none" w:pos="7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October 31, 2022 were:</w:t>
      </w:r>
    </w:p>
    <w:p>
      <w:pPr>
        <w:spacing w:after="0" w:line="109" w:lineRule="exact"/>
        <w:rPr>
          <w:sz w:val="20"/>
          <w:szCs w:val="20"/>
          <w:color w:val="auto"/>
        </w:rPr>
      </w:pPr>
    </w:p>
    <w:p>
      <w:pPr>
        <w:ind w:left="320"/>
        <w:spacing w:after="0"/>
        <w:tabs>
          <w:tab w:leader="none" w:pos="1940" w:val="left"/>
        </w:tabs>
        <w:rPr>
          <w:sz w:val="20"/>
          <w:szCs w:val="20"/>
          <w:color w:val="auto"/>
        </w:rPr>
      </w:pPr>
      <w:r>
        <w:rPr>
          <w:rFonts w:ascii="Times New Roman" w:cs="Times New Roman" w:eastAsia="Times New Roman" w:hAnsi="Times New Roman"/>
          <w:sz w:val="18"/>
          <w:szCs w:val="18"/>
          <w:color w:val="auto"/>
        </w:rPr>
        <w:t>FNF Common Stock</w:t>
      </w:r>
      <w:r>
        <w:rPr>
          <w:sz w:val="20"/>
          <w:szCs w:val="20"/>
          <w:color w:val="auto"/>
        </w:rPr>
        <w:tab/>
      </w:r>
      <w:r>
        <w:rPr>
          <w:rFonts w:ascii="Times New Roman" w:cs="Times New Roman" w:eastAsia="Times New Roman" w:hAnsi="Times New Roman"/>
          <w:sz w:val="16"/>
          <w:szCs w:val="16"/>
          <w:color w:val="auto"/>
        </w:rPr>
        <w:t>272,132,047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786765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122555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960"/>
          </w:cols>
          <w:pgMar w:left="320" w:top="1249" w:right="6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 Ended September 30, 2022</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gridSpan w:val="5"/>
          </w:tcPr>
          <w:p>
            <w:pPr>
              <w:ind w:left="18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40" w:type="dxa"/>
            <w:vAlign w:val="bottom"/>
            <w:gridSpan w:val="11"/>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700" w:type="dxa"/>
            <w:vAlign w:val="bottom"/>
            <w:gridSpan w:val="19"/>
          </w:tcPr>
          <w:p>
            <w:pPr>
              <w:spacing w:after="0" w:line="178" w:lineRule="exact"/>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5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3</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58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34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51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700" w:type="dxa"/>
            <w:vAlign w:val="bottom"/>
            <w:gridSpan w:val="19"/>
          </w:tcPr>
          <w:p>
            <w:pPr>
              <w:spacing w:after="0" w:line="190"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3"/>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tcBorders>
              <w:bottom w:val="single" w:sz="8" w:color="0E32E1"/>
            </w:tcBorders>
            <w:gridSpan w:val="13"/>
          </w:tcPr>
          <w:p>
            <w:pPr>
              <w:spacing w:after="0" w:line="190" w:lineRule="exact"/>
              <w:rPr>
                <w:sz w:val="20"/>
                <w:szCs w:val="20"/>
                <w:color w:val="auto"/>
              </w:rPr>
            </w:pPr>
            <w:r>
              <w:rPr>
                <w:rFonts w:ascii="Times New Roman" w:cs="Times New Roman" w:eastAsia="Times New Roman" w:hAnsi="Times New Roman"/>
                <w:sz w:val="18"/>
                <w:szCs w:val="18"/>
                <w:color w:val="0E32E1"/>
                <w:w w:val="97"/>
              </w:rPr>
              <w:t>Item 3. Quantitative and Qualitative Disclosures about Market Risk</w:t>
            </w:r>
          </w:p>
        </w:tc>
        <w:tc>
          <w:tcPr>
            <w:tcW w:w="3940" w:type="dxa"/>
            <w:vAlign w:val="bottom"/>
            <w:gridSpan w:val="5"/>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7"/>
              </w:rPr>
              <w:t>Item 4.</w:t>
            </w:r>
          </w:p>
        </w:tc>
        <w:tc>
          <w:tcPr>
            <w:tcW w:w="8180" w:type="dxa"/>
            <w:vAlign w:val="bottom"/>
            <w:gridSpan w:val="16"/>
          </w:tcPr>
          <w:p>
            <w:pPr>
              <w:ind w:left="20"/>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2160" w:type="dxa"/>
            <w:vAlign w:val="bottom"/>
            <w:gridSpan w:val="5"/>
          </w:tcPr>
          <w:p>
            <w:pPr>
              <w:jc w:val="center"/>
              <w:ind w:left="1781"/>
              <w:spacing w:after="0" w:line="204" w:lineRule="exact"/>
              <w:rPr>
                <w:sz w:val="20"/>
                <w:szCs w:val="20"/>
                <w:color w:val="auto"/>
              </w:rPr>
            </w:pPr>
            <w:r>
              <w:rPr>
                <w:rFonts w:ascii="Times New Roman" w:cs="Times New Roman" w:eastAsia="Times New Roman" w:hAnsi="Times New Roman"/>
                <w:sz w:val="18"/>
                <w:szCs w:val="18"/>
                <w:color w:val="0E32E1"/>
                <w:w w:val="99"/>
              </w:rPr>
              <w:t>84</w:t>
            </w:r>
          </w:p>
        </w:tc>
        <w:tc>
          <w:tcPr>
            <w:tcW w:w="0" w:type="dxa"/>
            <w:vAlign w:val="bottom"/>
          </w:tcPr>
          <w:p>
            <w:pPr>
              <w:spacing w:after="0"/>
              <w:rPr>
                <w:sz w:val="1"/>
                <w:szCs w:val="1"/>
                <w:color w:val="auto"/>
              </w:rPr>
            </w:pPr>
          </w:p>
        </w:tc>
      </w:tr>
      <w:tr>
        <w:trPr>
          <w:trHeight w:val="506"/>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440" w:type="dxa"/>
            <w:vAlign w:val="bottom"/>
            <w:gridSpan w:val="11"/>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PART II. OTHER INFORMATION</w:t>
            </w:r>
          </w:p>
        </w:tc>
        <w:tc>
          <w:tcPr>
            <w:tcW w:w="1920" w:type="dxa"/>
            <w:vAlign w:val="bottom"/>
          </w:tcPr>
          <w:p>
            <w:pPr>
              <w:spacing w:after="0"/>
              <w:rPr>
                <w:sz w:val="24"/>
                <w:szCs w:val="24"/>
                <w:color w:val="auto"/>
              </w:rPr>
            </w:pPr>
          </w:p>
        </w:tc>
        <w:tc>
          <w:tcPr>
            <w:tcW w:w="180" w:type="dxa"/>
            <w:vAlign w:val="bottom"/>
            <w:tcBorders>
              <w:top w:val="single" w:sz="8" w:color="0E32E1"/>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0000FF"/>
                <w:w w:val="97"/>
              </w:rPr>
              <w:t>Item 1.</w:t>
            </w:r>
          </w:p>
        </w:tc>
        <w:tc>
          <w:tcPr>
            <w:tcW w:w="8180" w:type="dxa"/>
            <w:vAlign w:val="bottom"/>
            <w:gridSpan w:val="16"/>
          </w:tcPr>
          <w:p>
            <w:pPr>
              <w:ind w:left="20"/>
              <w:spacing w:after="0" w:line="178" w:lineRule="exact"/>
              <w:rPr>
                <w:sz w:val="20"/>
                <w:szCs w:val="20"/>
                <w:color w:val="auto"/>
              </w:rPr>
            </w:pPr>
            <w:r>
              <w:rPr>
                <w:rFonts w:ascii="Times New Roman" w:cs="Times New Roman" w:eastAsia="Times New Roman" w:hAnsi="Times New Roman"/>
                <w:sz w:val="18"/>
                <w:szCs w:val="18"/>
                <w:color w:val="0000FF"/>
              </w:rPr>
              <w:t>Legal Proceedings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4"/>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00" w:type="dxa"/>
            <w:vAlign w:val="bottom"/>
            <w:gridSpan w:val="19"/>
          </w:tcPr>
          <w:p>
            <w:pPr>
              <w:spacing w:after="0" w:line="190" w:lineRule="exact"/>
              <w:rPr>
                <w:sz w:val="20"/>
                <w:szCs w:val="20"/>
                <w:color w:val="auto"/>
              </w:rPr>
            </w:pPr>
            <w:r>
              <w:rPr>
                <w:rFonts w:ascii="Times New Roman" w:cs="Times New Roman" w:eastAsia="Times New Roman" w:hAnsi="Times New Roman"/>
                <w:sz w:val="18"/>
                <w:szCs w:val="18"/>
                <w:color w:val="0000FF"/>
              </w:rPr>
              <w:t>Item 1A. Risk Factors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FF"/>
                <w:w w:val="97"/>
              </w:rPr>
              <w:t>Item 2.</w:t>
            </w:r>
          </w:p>
        </w:tc>
        <w:tc>
          <w:tcPr>
            <w:tcW w:w="8180" w:type="dxa"/>
            <w:vAlign w:val="bottom"/>
            <w:gridSpan w:val="16"/>
          </w:tcPr>
          <w:p>
            <w:pPr>
              <w:ind w:left="20"/>
              <w:spacing w:after="0" w:line="190"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3660" w:type="dxa"/>
            <w:vAlign w:val="bottom"/>
            <w:tcBorders>
              <w:bottom w:val="single" w:sz="8" w:color="0000FF"/>
            </w:tcBorders>
            <w:gridSpan w:val="10"/>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FF"/>
                <w:w w:val="97"/>
              </w:rPr>
              <w:t>Item 6.</w:t>
            </w:r>
          </w:p>
        </w:tc>
        <w:tc>
          <w:tcPr>
            <w:tcW w:w="8180" w:type="dxa"/>
            <w:vAlign w:val="bottom"/>
            <w:gridSpan w:val="16"/>
          </w:tcPr>
          <w:p>
            <w:pPr>
              <w:ind w:left="20"/>
              <w:spacing w:after="0" w:line="190" w:lineRule="exact"/>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4"/>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00" w:type="dxa"/>
            <w:vAlign w:val="bottom"/>
            <w:gridSpan w:val="19"/>
          </w:tcPr>
          <w:p>
            <w:pPr>
              <w:spacing w:after="0" w:line="190" w:lineRule="exact"/>
              <w:rPr>
                <w:sz w:val="20"/>
                <w:szCs w:val="20"/>
                <w:color w:val="auto"/>
              </w:rPr>
            </w:pPr>
            <w:r>
              <w:rPr>
                <w:rFonts w:ascii="Times New Roman" w:cs="Times New Roman" w:eastAsia="Times New Roman" w:hAnsi="Times New Roman"/>
                <w:sz w:val="18"/>
                <w:szCs w:val="18"/>
                <w:color w:val="0000FF"/>
              </w:rPr>
              <w:t>Signatures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data)</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6"/>
        </w:trPr>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9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w w:val="99"/>
              </w:rPr>
              <w:t>Fixed maturity securities available for sale, at fair value, at September 30, 2022 and December 31, 2021, at an amortized cost of $36,277</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w w:val="98"/>
              </w:rPr>
              <w:t>and $30,705, respectively, net of allowance for credit losses of $22 and $8, respectively, and includes pledged fixed maturity securities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0" w:type="dxa"/>
            <w:vAlign w:val="bottom"/>
          </w:tcPr>
          <w:p>
            <w:pPr>
              <w:spacing w:after="0"/>
              <w:rPr>
                <w:sz w:val="1"/>
                <w:szCs w:val="1"/>
                <w:color w:val="auto"/>
              </w:rPr>
            </w:pPr>
          </w:p>
        </w:tc>
      </w:tr>
      <w:tr>
        <w:trPr>
          <w:trHeight w:val="211"/>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$459 and $460, respectively, related to secured trust deposits</w:t>
            </w: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for credit losses of $38 and $31 at September 30, 2022 and December 31, 2021, respectively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Short-term investments, at September 30, 2022 and December 31, 2021 includes pledged short-term investments of $2 and $1,</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09"/>
        </w:trPr>
        <w:tc>
          <w:tcPr>
            <w:tcW w:w="8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respectively, related to secured trust deposits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42,775</w:t>
            </w:r>
          </w:p>
        </w:tc>
        <w:tc>
          <w:tcPr>
            <w:tcW w:w="0" w:type="dxa"/>
            <w:vAlign w:val="bottom"/>
          </w:tcPr>
          <w:p>
            <w:pPr>
              <w:spacing w:after="0"/>
              <w:rPr>
                <w:sz w:val="1"/>
                <w:szCs w:val="1"/>
                <w:color w:val="auto"/>
              </w:rPr>
            </w:pPr>
          </w:p>
        </w:tc>
      </w:tr>
      <w:tr>
        <w:trPr>
          <w:trHeight w:val="158"/>
        </w:trPr>
        <w:tc>
          <w:tcPr>
            <w:tcW w:w="89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Cash and cash equivalents, at September 30, 2022 and December 31, 2021 includes $423 and $480, respectively, of pledged cash related to</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for credit losses of $34 and $32 at September 30, 2022 and December 31, 2021, respectively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for credit losses of $19 and $20 at September 30, 2022 and December 31, 2021, respectively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1"/>
        </w:trPr>
        <w:tc>
          <w:tcPr>
            <w:tcW w:w="8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35,525</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2"/>
        </w:trPr>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w w:val="98"/>
              </w:rPr>
              <w:t>FNF common stock, $0.0001 par value; authorized 600,000,000 shares as of September 30, 2022 and December 31, 2021; outstanding of</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272,626,430 and 283,778,574 as of September 30, 2022 and December 31, 2021, respectively, and issued of 326,711,963 and</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325,486,429 as of September 30, 2022 and December 31, 2021, respectively</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earnings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Treasury stock, 54,085,533 shares and 41,707,855 shares as of September 30, 2022 and December 31, 2021, respectively, at cost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02"/>
        </w:trPr>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2"/>
        </w:trPr>
        <w:tc>
          <w:tcPr>
            <w:tcW w:w="89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9,457</w:t>
            </w:r>
          </w:p>
        </w:tc>
        <w:tc>
          <w:tcPr>
            <w:tcW w:w="0" w:type="dxa"/>
            <w:vAlign w:val="bottom"/>
          </w:tcPr>
          <w:p>
            <w:pPr>
              <w:spacing w:after="0"/>
              <w:rPr>
                <w:sz w:val="1"/>
                <w:szCs w:val="1"/>
                <w:color w:val="auto"/>
              </w:rPr>
            </w:pPr>
          </w:p>
        </w:tc>
      </w:tr>
      <w:tr>
        <w:trPr>
          <w:trHeight w:val="231"/>
        </w:trPr>
        <w:tc>
          <w:tcPr>
            <w:tcW w:w="8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FIDELITY NATIONAL FINANCIAL, INC. AND SUBSIDIARIES</w:t>
      </w:r>
    </w:p>
    <w:p>
      <w:pPr>
        <w:spacing w:after="0" w:line="44"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data)</w:t>
      </w:r>
    </w:p>
    <w:p>
      <w:pPr>
        <w:sectPr>
          <w:pgSz w:w="11900" w:h="16838" w:orient="portrait"/>
          <w:cols w:equalWidth="0" w:num="1">
            <w:col w:w="11240"/>
          </w:cols>
          <w:pgMar w:left="320" w:top="121" w:right="339" w:bottom="1440" w:gutter="0" w:footer="0" w:header="0"/>
        </w:sectPr>
      </w:pPr>
    </w:p>
    <w:p>
      <w:pPr>
        <w:spacing w:after="0" w:line="25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19050</wp:posOffset>
            </wp:positionV>
            <wp:extent cx="1019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2" w:lineRule="exact"/>
        <w:rPr>
          <w:sz w:val="20"/>
          <w:szCs w:val="20"/>
          <w:color w:val="auto"/>
        </w:rPr>
      </w:pPr>
    </w:p>
    <w:p>
      <w:pPr>
        <w:ind w:left="8220"/>
        <w:spacing w:after="0"/>
        <w:tabs>
          <w:tab w:leader="none" w:pos="90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30480</wp:posOffset>
            </wp:positionV>
            <wp:extent cx="1019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30"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19050</wp:posOffset>
            </wp:positionV>
            <wp:extent cx="1002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30480</wp:posOffset>
            </wp:positionV>
            <wp:extent cx="1002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8" w:lineRule="exact"/>
        <w:rPr>
          <w:sz w:val="20"/>
          <w:szCs w:val="20"/>
          <w:color w:val="auto"/>
        </w:rPr>
      </w:pPr>
    </w:p>
    <w:p>
      <w:pPr>
        <w:sectPr>
          <w:pgSz w:w="11900" w:h="16838" w:orient="portrait"/>
          <w:cols w:equalWidth="0" w:num="2">
            <w:col w:w="9400" w:space="480"/>
            <w:col w:w="1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8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2"/>
        </w:trPr>
        <w:tc>
          <w:tcPr>
            <w:tcW w:w="61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7,504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0" w:type="dxa"/>
            <w:vAlign w:val="bottom"/>
          </w:tcPr>
          <w:p>
            <w:pPr>
              <w:spacing w:after="0"/>
              <w:rPr>
                <w:sz w:val="1"/>
                <w:szCs w:val="1"/>
                <w:color w:val="auto"/>
              </w:rPr>
            </w:pPr>
          </w:p>
        </w:tc>
      </w:tr>
      <w:tr>
        <w:trPr>
          <w:trHeight w:val="20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earnings of unconsolidated affiliates</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6"/>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1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earnings from discontinued operations, net of tax</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6"/>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1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4"/>
        </w:trPr>
        <w:tc>
          <w:tcPr>
            <w:tcW w:w="618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1,068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from continuing operations attributable to common shareholders</w:t>
            </w:r>
          </w:p>
        </w:tc>
        <w:tc>
          <w:tcPr>
            <w:tcW w:w="18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per share from discontinued operations attributable to common shareholders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18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i w:val="1"/>
                <w:iCs w:val="1"/>
                <w:color w:val="auto"/>
              </w:rPr>
              <w:t>Diluted</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from continuing operations attributable to common shareholders</w:t>
            </w:r>
          </w:p>
        </w:tc>
        <w:tc>
          <w:tcPr>
            <w:tcW w:w="18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per share from discontinued operations attributable to common shareholders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18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618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740"/>
              <w:spacing w:after="0"/>
              <w:rPr>
                <w:sz w:val="20"/>
                <w:szCs w:val="20"/>
                <w:color w:val="auto"/>
              </w:rPr>
            </w:pPr>
            <w:r>
              <w:rPr>
                <w:rFonts w:ascii="Times New Roman" w:cs="Times New Roman" w:eastAsia="Times New Roman" w:hAnsi="Times New Roman"/>
                <w:sz w:val="16"/>
                <w:szCs w:val="16"/>
                <w:color w:val="auto"/>
                <w:w w:val="95"/>
              </w:rPr>
              <w:t>See Notes to Condensed Consolidated</w:t>
            </w:r>
            <w:r>
              <w:rPr>
                <w:rFonts w:ascii="Times New Roman" w:cs="Times New Roman" w:eastAsia="Times New Roman" w:hAnsi="Times New Roman"/>
                <w:sz w:val="17"/>
                <w:szCs w:val="17"/>
                <w:color w:val="auto"/>
                <w:w w:val="95"/>
              </w:rPr>
              <w:t>4</w:t>
            </w:r>
          </w:p>
        </w:tc>
        <w:tc>
          <w:tcPr>
            <w:tcW w:w="1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1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26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ectPr>
          <w:pgSz w:w="11900" w:h="16838" w:orient="portrait"/>
          <w:cols w:equalWidth="0" w:num="1">
            <w:col w:w="11240"/>
          </w:cols>
          <w:pgMar w:left="320" w:top="121" w:right="339" w:bottom="1440" w:gutter="0" w:footer="0" w:header="0"/>
        </w:sectPr>
      </w:pPr>
    </w:p>
    <w:p>
      <w:pPr>
        <w:spacing w:after="0" w:line="24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10795</wp:posOffset>
            </wp:positionV>
            <wp:extent cx="1102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794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30480</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10795</wp:posOffset>
            </wp:positionV>
            <wp:extent cx="1102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30480</wp:posOffset>
            </wp:positionV>
            <wp:extent cx="1102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8" w:lineRule="exact"/>
        <w:rPr>
          <w:sz w:val="20"/>
          <w:szCs w:val="20"/>
          <w:color w:val="auto"/>
        </w:rPr>
      </w:pPr>
    </w:p>
    <w:p>
      <w:pPr>
        <w:sectPr>
          <w:pgSz w:w="11900" w:h="16838" w:orient="portrait"/>
          <w:cols w:equalWidth="0" w:num="2">
            <w:col w:w="9140" w:space="640"/>
            <w:col w:w="1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2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71"/>
        </w:trPr>
        <w:tc>
          <w:tcPr>
            <w:tcW w:w="766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Unrealized loss on investments and other financial instruments, net of adjustments to intangible assets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unearned revenue (excluding investments in unconsolidated affiliates) (1)</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foreign currency translation (3)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171"/>
        </w:trPr>
        <w:tc>
          <w:tcPr>
            <w:tcW w:w="766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Change in reinsurance liabilities held at fair value resulting from a change in the instrument-specific</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risk (5)</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earnings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4"/>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earnings attributable to Fidelity National Financial, Inc. common shareholders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9" w:lineRule="exact"/>
        <w:rPr>
          <w:sz w:val="20"/>
          <w:szCs w:val="20"/>
          <w:color w:val="auto"/>
        </w:rPr>
      </w:pPr>
    </w:p>
    <w:p>
      <w:pPr>
        <w:ind w:left="960" w:hanging="955"/>
        <w:spacing w:after="0" w:line="268"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$(291) million and $(18) million for the three months ended September 30, 2022 and 2021, respectively, and $(981) million and $(64) million for the nine month periods ended September 30, 2022 and 2021, respectively.</w:t>
      </w:r>
    </w:p>
    <w:p>
      <w:pPr>
        <w:spacing w:after="0" w:line="116"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 million and $3 million for the three months ended September 30, 2022 and 2021, respectively, and $1 million and $5 million for the nine month periods ended September 30, 2022 and 2021, respectively.</w:t>
      </w:r>
    </w:p>
    <w:p>
      <w:pPr>
        <w:spacing w:after="0" w:line="116"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$(4) million and $(1) million for the three months ended September 30, 2022 and 2021, respectively, and $(6) million and $1 million for the nine months ended September 30, 2022 and 2021, respectively.</w:t>
      </w:r>
    </w:p>
    <w:p>
      <w:pPr>
        <w:spacing w:after="0" w:line="116"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$(12) million and $9 million for the three-month periods September 30, 2022 and 2021, respectively, and $(32) million and $22 million for the nine month periods ended September 30, 2022 and 2021, respectively.</w:t>
      </w:r>
    </w:p>
    <w:p>
      <w:pPr>
        <w:spacing w:after="0" w:line="116"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 million for the three and nine-month periods ended September 30, 2021.</w:t>
      </w:r>
    </w:p>
    <w:p>
      <w:pPr>
        <w:spacing w:after="0" w:line="16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June 30, 2021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5,771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8,888</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Change in reinsurance liabilities held at fair value resulting</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from a change in instrument-specific credit risk</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loss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$0.40 per common share</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w:t>
            </w:r>
          </w:p>
        </w:tc>
      </w:tr>
      <w:tr>
        <w:trPr>
          <w:trHeight w:val="16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September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9,374</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2"/>
        </w:trPr>
        <w:tc>
          <w:tcPr>
            <w:tcW w:w="3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June 30,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2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6,746</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 unrealized loss on investments and</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financial instruments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loss - unrealized loss on foreign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$0.44 per common share</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NCI associated with current period acquisitions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r>
      <w:tr>
        <w:trPr>
          <w:trHeight w:val="16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September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5,799</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December 31, 2020</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8,392</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subsidiaries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Change in reinsurance liabilities held at fair value resulting</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from a change in instrument-specific credit risk</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loss - unrealized loss on investments and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financial instruments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loss - unrealized loss on foreign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$1.12 per common share</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1,903</w:t>
            </w:r>
          </w:p>
        </w:tc>
      </w:tr>
      <w:tr>
        <w:trPr>
          <w:trHeight w:val="195"/>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9,457</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loss — unrealized loss on investments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 other financial instruments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(4,066)</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(4,066)</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gain — unrealized gain on foreign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$1.32 per common share</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NCI associated with current period acquisitions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1,081</w:t>
            </w:r>
          </w:p>
        </w:tc>
      </w:tr>
      <w:tr>
        <w:trPr>
          <w:trHeight w:val="195"/>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4"/>
        </w:trPr>
        <w:tc>
          <w:tcPr>
            <w:tcW w:w="9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6"/>
                <w:szCs w:val="16"/>
                <w:color w:val="auto"/>
              </w:rPr>
            </w:pPr>
          </w:p>
        </w:tc>
      </w:tr>
      <w:tr>
        <w:trPr>
          <w:trHeight w:val="186"/>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7"/>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Gain on sales of investments and other assets and asset impairments, net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the sale of businesses</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and preferred securities, net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(increase) in trade receivables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reserve for title claim losses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3"/>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20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(10,278)</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(purchases of) proceeds from sales and maturities of short-term investment securities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unconsolidated affiliates</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r>
      <w:tr>
        <w:trPr>
          <w:trHeight w:val="20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financing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4"/>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4,692</w:t>
            </w:r>
          </w:p>
        </w:tc>
      </w:tr>
      <w:tr>
        <w:trPr>
          <w:trHeight w:val="19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r>
      <w:tr>
        <w:trPr>
          <w:trHeight w:val="191"/>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w:t>
            </w:r>
          </w:p>
        </w:tc>
      </w:tr>
      <w:tr>
        <w:trPr>
          <w:trHeight w:val="222"/>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4" w:lineRule="exact"/>
        <w:rPr>
          <w:sz w:val="20"/>
          <w:szCs w:val="20"/>
          <w:color w:val="auto"/>
        </w:rPr>
      </w:pPr>
    </w:p>
    <w:p>
      <w:pPr>
        <w:jc w:val="both"/>
        <w:ind w:firstLine="316"/>
        <w:spacing w:after="0" w:line="245"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3"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products, (ii) technology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wholly-owned subsidiary, F&amp;G Annuities &amp; Life ("F&amp;G").</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Repayment of 5.50% Senior Notes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September 1, 2022, we repaid the remaining $400 million in outstanding principal amount of our 5.50% Senior Notes due September 2022.</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Acquisition of AllFirst Title Insurance Agency ("AllFirst")</w:t>
      </w:r>
    </w:p>
    <w:p>
      <w:pPr>
        <w:spacing w:after="0" w:line="11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On August 9, 2022, we acquired approximately 74% of the outstanding equity of AllFirst for approximately $127 million in cash consideration. AllFirst and its portfolio brands, FirsTitle, Excel Title Group, Allegiance Title Company, Guaranty Title, Smith Brothers Abstract, Aggieland Title Company, and Guaranty Title New Mexico provide title examination, title plant, abstract, and settlement services for residential, commercial, farm and ranch sales, and energy projects in 121 counties throughout Texas, Oklahoma, New Mexico, and Arkansas. For further information related to the acquisition of AllFirst, refer to Note N </w:t>
      </w:r>
      <w:r>
        <w:rPr>
          <w:rFonts w:ascii="Times New Roman" w:cs="Times New Roman" w:eastAsia="Times New Roman" w:hAnsi="Times New Roman"/>
          <w:sz w:val="18"/>
          <w:szCs w:val="18"/>
          <w:i w:val="1"/>
          <w:iCs w:val="1"/>
          <w:color w:val="auto"/>
        </w:rPr>
        <w:t>Acquisitions.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Note Receivable from Cannae</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November 2017, in conjunction with the split-off of our former portfolio company investments into a separate company, Cannae Holdings, Inc. ("Cannae"), we issued to Cannae a revolver note, which we and Cannae amended and restated on May 12, 2022 (as amended and restated, the "Cannae Revolver").</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Cannae Revolver in the aggregate principal amount of up to $100 million accrues interest quarterly at the Adjusted Term SOFR Rate, as defined in the Amended and Restated Revolver Note, plus 450 basis points and matures on November 17, 2025. The maturity date is automatically extended for additional five-year terms unless notice of non-renewal is otherwise provided by either FNF or Cannae, in their sole discretion.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Cannae borrowed approximately $85 million under the Cannae Revolver.</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account for the Cannae Revolver as a financing receivable. Interest income is recorded ratably in periods in which principal is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Uncollectible financing receivables are written off or impaired when, based on all available information, it is probable that a loss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Distribution</w:t>
      </w:r>
    </w:p>
    <w:p>
      <w:pPr>
        <w:spacing w:after="0" w:line="111"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On March 14, 2022, our Board of Directors approved a dividend to our shareholders, on a pro rata basis, of 15% of the common stock of F&amp;G (the "F&amp;G Distribution"). We intend to retain control of F&amp;G through our approximate 85% ownership stake. The proposed F&amp;G Distribution is intended to be structured as a taxable dividend to our shareholders and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On October 26, 2022, F&amp;G filed Amendment number 2 to its Form 10 registration statement with the SEC. The proposed F&amp;G Distribution is targeted to be completed in the fourth quarter of 2022. However, there can be no assurance regarding the timeframe for completing the F&amp;G Distribution or that the conditions of the F&amp;G Distribution will be met.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87"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Income tax expense was $115 million and $213 million in the three months ended September 30, 2022 and 2021, respectively, and $434 million and $555 million in the nine months ended September 30, 2022 and 2021, respectively. Income tax expense as a percentage of earnings before income taxes was 28% and 23% in the three months periods ended September 30, 2022 and 2021, respectively, and 29% and 23% in the nine months ended September 30, 2022 and 2021, respectively. The increase in income tax expense as a percentage of earnings before taxes in the three months ended September 30, 2022 as compared to the corresponding period in 2021 is primarily attributable to the recording of a valuation allowance in the 2022 period for tax benefits associated with deferred tax assets related to recognized valuation losses on equity securities for which it is more likely than not that we will not be able to realize for tax purposes. The increase in income tax expense as a percentage of earnings before taxes in the nine months ended September 30, 2022 as compared to the corresponding period in 2021 is primarily attributable to the recording of a valuation allowance in the 2022 period for tax benefits associated with deferred tax assets related to realized losses on the past sales of discontinued operations and the aforementioned recognized valuation losses on equity securities for which it is more likely than not that we will not be able to realize for tax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8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fewer than 1 million antidilutive instruments outstanding during the three and nine months ended September 30, 2022 and 2021.</w:t>
      </w:r>
    </w:p>
    <w:p>
      <w:pPr>
        <w:spacing w:after="0" w:line="71" w:lineRule="exact"/>
        <w:rPr>
          <w:sz w:val="20"/>
          <w:szCs w:val="20"/>
          <w:color w:val="auto"/>
        </w:rPr>
      </w:pPr>
    </w:p>
    <w:p>
      <w:pPr>
        <w:jc w:val="right"/>
        <w:ind w:right="858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34"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8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2018-12, Financial Services-Insurance (Topic 944), Targeted Improvements to the Accounting for Long-Duration Contracts, as clarified and amended by ASU 2019-09, Financial Services-Insurance: Effective Date and ASU 2020-11, Financial Services-Insurance: Effective Date and Early Application,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comprehensive income; market risk benefits ("MRBs") associated with deposit contracts must be measured at fair value, with the effect of the change in the fair value attributable to a change in the instrument-specific credit risk being recognized in other comprehensive income;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MRBs, separate account liabilities and deferred acquisition costs, as well as information about significant inputs, judgments, assumptions, and methods used in measurement are required to be disclosed. The amendments in this ASU may be early adopted as of the beginning of an annual reporting period for which financial statements have not yet been issued, including interim financial statements.</w:t>
      </w:r>
    </w:p>
    <w:p>
      <w:pPr>
        <w:spacing w:after="0" w:line="72"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have identified specific areas that will be impacted by the new guidance. This guidance will bring significant changes to how we account for certain insurance and annuity products within our business and expand disclosures. As part of the implementation process, to date our progress includes, but is not limited to the following: identifying and documenting contracts and contract features in scope of the guidance; identifying actuarial models, systems, and processes to be updated; building and running models; generating and analyzing preliminary output; evaluating and finalizing key accounting policies; evaluating transition requirements and impacts; and establishing, documenting, and executing appropriate internal controls. We will not early adopt this standard and have selected the full retrospective transition method, which requires the new guidance be applied as of the beginning of the earliest period presented or January 1, 2021, referred to as the transition date.</w:t>
      </w:r>
    </w:p>
    <w:p>
      <w:pPr>
        <w:spacing w:after="0" w:line="82"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Adoption of this standard is expected to increase total stockholders’ equity as of the transition date, January 1, 2021, up to $200 million, net of tax. The most significant drivers of this transition adjustment are the reversal of intangible balances previously recorded as an adjustment to unrealized gains (losses) on available for sale securities, the remeasurement of the liability for future policyholder benefits using a discount rate assumption that reflects upper-medium grade fixed-income instruments, and the recognition of MRBs. As we continue the implementation process the adjustments estimated are subject to change.</w:t>
      </w:r>
    </w:p>
    <w:p>
      <w:pPr>
        <w:spacing w:after="0" w:line="49"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Instruments-Credit Losses (Topic 326): Troubled Debt Restructurings and Vintage Disclosures. The amendments in this update eliminate the Troubled Debt Restructuring ("TDR") recognition and measurement guidance for creditors and, instead, require that an entity evaluate whether the modification represents a new loan or a continuation of an existing loan. The amendments also enhance existing disclosure requirements and introduce new requirements related to certain modifications of receivables made to borrowers experiencing financial difficulty. Additionally, these amendments require that an entity disclose current-period gross write-offs by year of origination for financing receivables and net investment in leases within the scope of Subtopic 326-20. The guidance is effective for entities that have adopted ASU 2016-13 Financial Instruments – Credit Losses: Measurement of Credit Losses on Financial Instruments (Topic 326) for fiscal years beginning after December 15, 2022, including interim periods within those fiscal years, though early adoption is permitted. We do not expect this guidance to have a material impact on our Consolidated Financial Statements and related disclosures upon adoption. We do not currently plan to early adopt this standard.</w:t>
      </w:r>
    </w:p>
    <w:p>
      <w:pPr>
        <w:spacing w:after="0" w:line="83"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 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though early adoption is permitted. We do not currently expect to early adopt this standard and are in the process of assessing this standard and its impact on our accounting and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98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91"/>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6"/>
                <w:szCs w:val="16"/>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108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r>
      <w:tr>
        <w:trPr>
          <w:trHeight w:val="217"/>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(151)</w:t>
            </w:r>
          </w:p>
        </w:tc>
      </w:tr>
      <w:tr>
        <w:trPr>
          <w:trHeight w:val="217"/>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(157)</w:t>
            </w:r>
          </w:p>
        </w:tc>
      </w:tr>
      <w:tr>
        <w:trPr>
          <w:trHeight w:val="21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1,734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Several lawsuits have been filed by various parties against Chicago Title Company and Chicago Title Insurance Company as its principal (collectively, the “Named Companies”). Generally, plaintiffs claim they are investors who were solicited by Gina Champion-Cain through her former company, ANI Development LLC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some of the plaintiffs’ funds were deposited.</w:t>
      </w:r>
    </w:p>
    <w:p>
      <w:pPr>
        <w:spacing w:after="0" w:line="6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 xml:space="preserve">In connection with the alcoholic beverage license scheme, a lawsuit styled, </w:t>
      </w:r>
      <w:r>
        <w:rPr>
          <w:rFonts w:ascii="Times New Roman" w:cs="Times New Roman" w:eastAsia="Times New Roman" w:hAnsi="Times New Roman"/>
          <w:sz w:val="18"/>
          <w:szCs w:val="18"/>
          <w:i w:val="1"/>
          <w:iCs w:val="1"/>
          <w:color w:val="auto"/>
        </w:rPr>
        <w:t>Securities and Exchange Commission v. Gina Champion-Cain and 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LLC</w:t>
      </w:r>
      <w:r>
        <w:rPr>
          <w:rFonts w:ascii="Times New Roman" w:cs="Times New Roman" w:eastAsia="Times New Roman" w:hAnsi="Times New Roman"/>
          <w:sz w:val="18"/>
          <w:szCs w:val="18"/>
          <w:color w:val="auto"/>
        </w:rPr>
        <w:t>, was filed in the United States District Court for the Southern District of California asserting claims for securities fraud against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Champion-Cain and certain of her affiliated entities.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January 7, 2022, a lawsuit styled, </w:t>
      </w:r>
      <w:r>
        <w:rPr>
          <w:rFonts w:ascii="Times New Roman" w:cs="Times New Roman" w:eastAsia="Times New Roman" w:hAnsi="Times New Roman"/>
          <w:sz w:val="18"/>
          <w:szCs w:val="18"/>
          <w:i w:val="1"/>
          <w:iCs w:val="1"/>
          <w:color w:val="auto"/>
        </w:rPr>
        <w:t>Krista Freitag v. Chicago Title Co. and Chicago Title Ins. Co.</w:t>
      </w:r>
      <w:r>
        <w:rPr>
          <w:rFonts w:ascii="Times New Roman" w:cs="Times New Roman" w:eastAsia="Times New Roman" w:hAnsi="Times New Roman"/>
          <w:sz w:val="18"/>
          <w:szCs w:val="18"/>
          <w:color w:val="auto"/>
        </w:rPr>
        <w:t>, was filed in San Diego County Superior Court by the receiver on behalf of the receivership entities against the Named Companies. The receiver seeks compensatory, incidental, consequential, and punitive damages, and seeks the recovery of attorneys’ fees. In turn, the Named Companies petitioned the Federal Court to sue ANI, via the receiver, to pursue indemnity and other claims against the receivership entities as joint tortfeasors, which was granted.</w:t>
      </w:r>
    </w:p>
    <w:p>
      <w:pPr>
        <w:spacing w:after="0" w:line="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On April 26, 2022, the Named Companies reached a conditional settlement with the receiver and several other investor claimants, which if approved by the federal court, will bar any future claims against the Named Companies related to the alcoholic beverage license scheme. Following an August 31, 2022 hearing on the motion to approve the settlement, the federal court ordered supplemental briefing on whether certain indemnity claims are permitted against the receivership estate. The supplemental briefs were submitted, and a decision on the motion to approve the settlement is pending with the federal court. As part of the proposed settlement, the Named Companies and the receiver have agreed to stay the federal action pending a decision on the motion.</w:t>
      </w:r>
    </w:p>
    <w:p>
      <w:pPr>
        <w:spacing w:after="0" w:line="6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following lawsuits remain pending in the Superior Court of San Diego County for the State of California, most of which involve claimants who have objected to the Named Companies’ settlement with the receiver. Since any future claims against the Named Companies will be barred if the federal court approves the settlement, these remaining state court cases were stayed until October 31, 2022, and an unopposed motion has been filed seeking a further extension of the stay until the federal court rules on the motion to approve the settlement. The state court cases were initially set for jury trial on December 2, 2022, but the trial date has been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continued until May 12, 2023. While they have not been consolidated into one action, they have been deemed by the court to be related and are assigned to the same judge for purposes of judicial economy.</w:t>
      </w:r>
    </w:p>
    <w:p>
      <w:pPr>
        <w:spacing w:after="0" w:line="36" w:lineRule="exact"/>
        <w:rPr>
          <w:sz w:val="20"/>
          <w:szCs w:val="20"/>
          <w:color w:val="auto"/>
        </w:rPr>
      </w:pPr>
    </w:p>
    <w:p>
      <w:pPr>
        <w:jc w:val="both"/>
        <w:ind w:left="320" w:firstLine="316"/>
        <w:spacing w:after="0" w:line="225" w:lineRule="auto"/>
        <w:rPr>
          <w:sz w:val="20"/>
          <w:szCs w:val="20"/>
          <w:color w:val="auto"/>
        </w:rPr>
      </w:pPr>
      <w:r>
        <w:rPr>
          <w:rFonts w:ascii="Times New Roman" w:cs="Times New Roman" w:eastAsia="Times New Roman" w:hAnsi="Times New Roman"/>
          <w:sz w:val="18"/>
          <w:szCs w:val="18"/>
          <w:color w:val="auto"/>
        </w:rPr>
        <w:t xml:space="preserve">On December 13, 2019, a lawsuit styled, </w:t>
      </w:r>
      <w:r>
        <w:rPr>
          <w:rFonts w:ascii="Times New Roman" w:cs="Times New Roman" w:eastAsia="Times New Roman" w:hAnsi="Times New Roman"/>
          <w:sz w:val="18"/>
          <w:szCs w:val="18"/>
          <w:i w:val="1"/>
          <w:iCs w:val="1"/>
          <w:color w:val="auto"/>
        </w:rPr>
        <w:t>Kim Funding, LLC, Kim H. Peterson, Joseph J. Cohen, ABC Funding Strategies, LLC, Payson R. Stevens;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Kamaljit K. Kapur and The Payson R. Stevens &amp; Kamaljit Kaur Kapur Trust Dated March 28, 2014 v. Chicago Title Co., Chicago Title Ins. Co., Thomas Schwiebert, Adelle Ducharme, and Betty Elixman</w:t>
      </w:r>
      <w:r>
        <w:rPr>
          <w:rFonts w:ascii="Times New Roman" w:cs="Times New Roman" w:eastAsia="Times New Roman" w:hAnsi="Times New Roman"/>
          <w:sz w:val="18"/>
          <w:szCs w:val="18"/>
          <w:color w:val="auto"/>
        </w:rPr>
        <w:t>, was filed in San Diego County Superior Court. Plaintiffs claim losses of more than $250 million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alleged fraud scheme, and also seek statutory, treble, and punitive damages, as well as the recovery of attorneys' fees. The Named Companies have filed a cross-complaint against Ms. Champion-Cain, and others. The Named Companies have reached a conditional settlement with members of ABC Funding Strategies, LLC plaintiffs under confidential terms.</w:t>
      </w:r>
    </w:p>
    <w:p>
      <w:pPr>
        <w:spacing w:after="0" w:line="59" w:lineRule="exact"/>
        <w:rPr>
          <w:sz w:val="20"/>
          <w:szCs w:val="20"/>
          <w:color w:val="auto"/>
        </w:rPr>
      </w:pPr>
    </w:p>
    <w:p>
      <w:pPr>
        <w:jc w:val="both"/>
        <w:ind w:left="320" w:firstLine="316"/>
        <w:spacing w:after="0" w:line="257" w:lineRule="auto"/>
        <w:rPr>
          <w:sz w:val="20"/>
          <w:szCs w:val="20"/>
          <w:color w:val="auto"/>
        </w:rPr>
      </w:pPr>
      <w:r>
        <w:rPr>
          <w:rFonts w:ascii="Times New Roman" w:cs="Times New Roman" w:eastAsia="Times New Roman" w:hAnsi="Times New Roman"/>
          <w:sz w:val="18"/>
          <w:szCs w:val="18"/>
          <w:color w:val="auto"/>
        </w:rPr>
        <w:t xml:space="preserve">On March 6, 2020, a lawsuit styled, </w:t>
      </w:r>
      <w:r>
        <w:rPr>
          <w:rFonts w:ascii="Times New Roman" w:cs="Times New Roman" w:eastAsia="Times New Roman" w:hAnsi="Times New Roman"/>
          <w:sz w:val="18"/>
          <w:szCs w:val="18"/>
          <w:i w:val="1"/>
          <w:iCs w:val="1"/>
          <w:color w:val="auto"/>
        </w:rPr>
        <w:t>Wakefield Capital, LLC, Wakefield Investments, LLC, 2Budz Holding, LLC, Doug and Kristine Heidrich, and Jeff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Heidi Orr v. Chicago Title Co. and Chicago Title Ins. Co.</w:t>
      </w:r>
      <w:r>
        <w:rPr>
          <w:rFonts w:ascii="Times New Roman" w:cs="Times New Roman" w:eastAsia="Times New Roman" w:hAnsi="Times New Roman"/>
          <w:sz w:val="18"/>
          <w:szCs w:val="18"/>
          <w:color w:val="auto"/>
        </w:rPr>
        <w:t>, was filed in San Diego County Superior Court. Plaintiffs claim losses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million as a result of the alleged fraud scheme, and also seek punitive damages, recovery of attorneys’ fees, and disgorgement.</w:t>
      </w:r>
    </w:p>
    <w:p>
      <w:pPr>
        <w:spacing w:after="0" w:line="46" w:lineRule="exact"/>
        <w:rPr>
          <w:sz w:val="20"/>
          <w:szCs w:val="20"/>
          <w:color w:val="auto"/>
        </w:rPr>
      </w:pPr>
    </w:p>
    <w:p>
      <w:pPr>
        <w:jc w:val="both"/>
        <w:ind w:left="320" w:firstLine="316"/>
        <w:spacing w:after="0" w:line="226" w:lineRule="auto"/>
        <w:rPr>
          <w:sz w:val="20"/>
          <w:szCs w:val="20"/>
          <w:color w:val="auto"/>
        </w:rPr>
      </w:pPr>
      <w:r>
        <w:rPr>
          <w:rFonts w:ascii="Times New Roman" w:cs="Times New Roman" w:eastAsia="Times New Roman" w:hAnsi="Times New Roman"/>
          <w:sz w:val="18"/>
          <w:szCs w:val="18"/>
          <w:color w:val="auto"/>
        </w:rPr>
        <w:t xml:space="preserve">On June 29, 2020, a lawsuit styled, </w:t>
      </w:r>
      <w:r>
        <w:rPr>
          <w:rFonts w:ascii="Times New Roman" w:cs="Times New Roman" w:eastAsia="Times New Roman" w:hAnsi="Times New Roman"/>
          <w:sz w:val="18"/>
          <w:szCs w:val="18"/>
          <w:i w:val="1"/>
          <w:iCs w:val="1"/>
          <w:color w:val="auto"/>
        </w:rPr>
        <w:t>Susan Heller Fenley Separate Property Trust, DTD 03/04/2010, Susan Heller Fenley Inherited Roth IRA, Shelley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Lynn Tarditi Trust and ROJ, LLC v. Chicago Title Co., Chicago Title Ins. Co., Thomas Schwiebert, Adelle Ducharme, and Betty Elixman</w:t>
      </w:r>
      <w:r>
        <w:rPr>
          <w:rFonts w:ascii="Times New Roman" w:cs="Times New Roman" w:eastAsia="Times New Roman" w:hAnsi="Times New Roman"/>
          <w:sz w:val="18"/>
          <w:szCs w:val="18"/>
          <w:color w:val="auto"/>
        </w:rPr>
        <w:t>, was filed in San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Diego County Superior Court. Plaintiffs claim losses in excess of $6 million as a result of the alleged fraud scheme, and seek statutory, treble, and punitive damages. The Named Companies have filed a cross-complaint against Ms. Champion-Cain, and others.</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On July 7, 2020, a cross-claim styled, </w:t>
      </w:r>
      <w:r>
        <w:rPr>
          <w:rFonts w:ascii="Times New Roman" w:cs="Times New Roman" w:eastAsia="Times New Roman" w:hAnsi="Times New Roman"/>
          <w:sz w:val="16"/>
          <w:szCs w:val="16"/>
          <w:i w:val="1"/>
          <w:iCs w:val="1"/>
          <w:color w:val="auto"/>
        </w:rPr>
        <w:t>Laurie Peterson v. Chicago Title Co., Chicago Title Ins. Co., Thomas Schwiebert, Adelle Ducharme, and Betty</w:t>
      </w:r>
    </w:p>
    <w:p>
      <w:pPr>
        <w:spacing w:after="0" w:line="35" w:lineRule="exact"/>
        <w:rPr>
          <w:sz w:val="20"/>
          <w:szCs w:val="20"/>
          <w:color w:val="auto"/>
        </w:rPr>
      </w:pPr>
    </w:p>
    <w:p>
      <w:pPr>
        <w:jc w:val="both"/>
        <w:ind w:left="320"/>
        <w:spacing w:after="0" w:line="220" w:lineRule="auto"/>
        <w:rPr>
          <w:sz w:val="20"/>
          <w:szCs w:val="20"/>
          <w:color w:val="auto"/>
        </w:rPr>
      </w:pPr>
      <w:r>
        <w:rPr>
          <w:rFonts w:ascii="Times New Roman" w:cs="Times New Roman" w:eastAsia="Times New Roman" w:hAnsi="Times New Roman"/>
          <w:sz w:val="18"/>
          <w:szCs w:val="18"/>
          <w:i w:val="1"/>
          <w:iCs w:val="1"/>
          <w:color w:val="auto"/>
        </w:rPr>
        <w:t>Elixman</w:t>
      </w:r>
      <w:r>
        <w:rPr>
          <w:rFonts w:ascii="Times New Roman" w:cs="Times New Roman" w:eastAsia="Times New Roman" w:hAnsi="Times New Roman"/>
          <w:sz w:val="18"/>
          <w:szCs w:val="18"/>
          <w:color w:val="auto"/>
        </w:rPr>
        <w:t>, was filed in an existing lawsuit styled,</w:t>
      </w:r>
      <w:r>
        <w:rPr>
          <w:rFonts w:ascii="Times New Roman" w:cs="Times New Roman" w:eastAsia="Times New Roman" w:hAnsi="Times New Roman"/>
          <w:sz w:val="18"/>
          <w:szCs w:val="18"/>
          <w:i w:val="1"/>
          <w:iCs w:val="1"/>
          <w:color w:val="auto"/>
        </w:rPr>
        <w:t xml:space="preserve"> Banc of California, National Association v. Laurie Peterson</w:t>
      </w:r>
      <w:r>
        <w:rPr>
          <w:rFonts w:ascii="Times New Roman" w:cs="Times New Roman" w:eastAsia="Times New Roman" w:hAnsi="Times New Roman"/>
          <w:sz w:val="18"/>
          <w:szCs w:val="18"/>
          <w:color w:val="auto"/>
        </w:rPr>
        <w:t>, which is pending in San Diego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have filed a cross-complaint against Ms. Champion-Cain and others, and the Named Companies have been substituted in as the Plaintiff following a settlement with the bank.</w:t>
      </w:r>
    </w:p>
    <w:p>
      <w:pPr>
        <w:spacing w:after="0" w:line="50" w:lineRule="exact"/>
        <w:rPr>
          <w:sz w:val="20"/>
          <w:szCs w:val="20"/>
          <w:color w:val="auto"/>
        </w:rPr>
      </w:pPr>
    </w:p>
    <w:p>
      <w:pPr>
        <w:jc w:val="both"/>
        <w:ind w:left="320" w:firstLine="316"/>
        <w:spacing w:after="0" w:line="255" w:lineRule="auto"/>
        <w:rPr>
          <w:sz w:val="20"/>
          <w:szCs w:val="20"/>
          <w:color w:val="auto"/>
        </w:rPr>
      </w:pPr>
      <w:r>
        <w:rPr>
          <w:rFonts w:ascii="Times New Roman" w:cs="Times New Roman" w:eastAsia="Times New Roman" w:hAnsi="Times New Roman"/>
          <w:sz w:val="16"/>
          <w:szCs w:val="16"/>
          <w:color w:val="auto"/>
        </w:rPr>
        <w:t xml:space="preserve">On September 3, 2020, a cross-claim styled, </w:t>
      </w:r>
      <w:r>
        <w:rPr>
          <w:rFonts w:ascii="Times New Roman" w:cs="Times New Roman" w:eastAsia="Times New Roman" w:hAnsi="Times New Roman"/>
          <w:sz w:val="16"/>
          <w:szCs w:val="16"/>
          <w:i w:val="1"/>
          <w:iCs w:val="1"/>
          <w:color w:val="auto"/>
        </w:rPr>
        <w:t>Kim H. Peterson Trustee of the Peterson Family Trust dated April 14 1992 v. Chicago Title Co., Chicago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Title Ins. Co., Thomas Schwiebert, Adelle Ducharme, and Betty Elixman</w:t>
      </w:r>
      <w:r>
        <w:rPr>
          <w:rFonts w:ascii="Times New Roman" w:cs="Times New Roman" w:eastAsia="Times New Roman" w:hAnsi="Times New Roman"/>
          <w:sz w:val="16"/>
          <w:szCs w:val="16"/>
          <w:color w:val="auto"/>
        </w:rPr>
        <w:t>, was filed in an existing lawsuit styled,</w:t>
      </w:r>
      <w:r>
        <w:rPr>
          <w:rFonts w:ascii="Times New Roman" w:cs="Times New Roman" w:eastAsia="Times New Roman" w:hAnsi="Times New Roman"/>
          <w:sz w:val="16"/>
          <w:szCs w:val="16"/>
          <w:i w:val="1"/>
          <w:iCs w:val="1"/>
          <w:color w:val="auto"/>
        </w:rPr>
        <w:t xml:space="preserve"> CalPrivate Bank v. Kim H. Peterson Trustee of the Peterson Family Trust dated April 14 1992</w:t>
      </w:r>
      <w:r>
        <w:rPr>
          <w:rFonts w:ascii="Times New Roman" w:cs="Times New Roman" w:eastAsia="Times New Roman" w:hAnsi="Times New Roman"/>
          <w:sz w:val="16"/>
          <w:szCs w:val="16"/>
          <w:color w:val="auto"/>
        </w:rPr>
        <w:t>, which is pending in Superior Court of San Diego County for the State of California. Cross-</w:t>
      </w:r>
    </w:p>
    <w:p>
      <w:pPr>
        <w:spacing w:after="0" w:line="1" w:lineRule="exact"/>
        <w:rPr>
          <w:sz w:val="20"/>
          <w:szCs w:val="20"/>
          <w:color w:val="auto"/>
        </w:rPr>
      </w:pPr>
    </w:p>
    <w:p>
      <w:pPr>
        <w:jc w:val="both"/>
        <w:ind w:left="320"/>
        <w:spacing w:after="0" w:line="222" w:lineRule="auto"/>
        <w:rPr>
          <w:sz w:val="20"/>
          <w:szCs w:val="20"/>
          <w:color w:val="auto"/>
        </w:rPr>
      </w:pPr>
      <w:r>
        <w:rPr>
          <w:rFonts w:ascii="Times New Roman" w:cs="Times New Roman" w:eastAsia="Times New Roman" w:hAnsi="Times New Roman"/>
          <w:sz w:val="18"/>
          <w:szCs w:val="18"/>
          <w:color w:val="auto"/>
        </w:rPr>
        <w:t>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48" w:lineRule="exact"/>
        <w:rPr>
          <w:sz w:val="20"/>
          <w:szCs w:val="20"/>
          <w:color w:val="auto"/>
        </w:rPr>
      </w:pPr>
    </w:p>
    <w:p>
      <w:pPr>
        <w:jc w:val="both"/>
        <w:ind w:left="320" w:firstLine="316"/>
        <w:spacing w:after="0" w:line="227" w:lineRule="auto"/>
        <w:rPr>
          <w:sz w:val="20"/>
          <w:szCs w:val="20"/>
          <w:color w:val="auto"/>
        </w:rPr>
      </w:pPr>
      <w:r>
        <w:rPr>
          <w:rFonts w:ascii="Times New Roman" w:cs="Times New Roman" w:eastAsia="Times New Roman" w:hAnsi="Times New Roman"/>
          <w:sz w:val="18"/>
          <w:szCs w:val="18"/>
          <w:color w:val="auto"/>
        </w:rPr>
        <w:t xml:space="preserve">On November 2, 2020, a lawsuit styled, </w:t>
      </w:r>
      <w:r>
        <w:rPr>
          <w:rFonts w:ascii="Times New Roman" w:cs="Times New Roman" w:eastAsia="Times New Roman" w:hAnsi="Times New Roman"/>
          <w:sz w:val="18"/>
          <w:szCs w:val="18"/>
          <w:i w:val="1"/>
          <w:iCs w:val="1"/>
          <w:color w:val="auto"/>
        </w:rPr>
        <w:t>CalPrivate Bank v. Chicago Title Co. and Chicago Title Ins. Co.,</w:t>
      </w:r>
      <w:r>
        <w:rPr>
          <w:rFonts w:ascii="Times New Roman" w:cs="Times New Roman" w:eastAsia="Times New Roman" w:hAnsi="Times New Roman"/>
          <w:sz w:val="18"/>
          <w:szCs w:val="18"/>
          <w:color w:val="auto"/>
        </w:rPr>
        <w:t xml:space="preserve"> was also filed in the Superior Court of San Diego County for the State of California. Plaintiff claims losses in excess of $12 million based upon business loan advances made in the alcoholic beverage license scheme and seeks punitive damages and the recovery of attorneys’ fees. The Named Companies have filed a cross-complaint against Ms. Champion-Cain, and others.</w:t>
      </w:r>
    </w:p>
    <w:p>
      <w:pPr>
        <w:spacing w:after="0" w:line="2"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7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hierarchy for fair value measurement is defined as follows: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3"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6"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6" w:lineRule="exact"/>
        <w:rPr>
          <w:sz w:val="20"/>
          <w:szCs w:val="20"/>
          <w:color w:val="auto"/>
        </w:rPr>
      </w:pPr>
    </w:p>
    <w:p>
      <w:pPr>
        <w:jc w:val="both"/>
        <w:ind w:left="4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("NAV")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limited partnership financial statements, which we may adjust if we determine NAV is not calculated consistent with investment company fair value principles. The underlying investments of the limited partnerships may have significant unobservable inputs, which may include, but are not limited to, comparable multiples and weighted average cost of capital rates applied in valuation models or a discounted cash flow model. Additionally, management meets quarterly with the general partner to determine whether any credit or other market events have occurred since prior quarter financial statements to ensure any material events are properly included in current quarter valuation and investment income.</w:t>
      </w:r>
    </w:p>
    <w:p>
      <w:pPr>
        <w:spacing w:after="0" w:line="10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60"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Pr>
          <w:p>
            <w:pPr>
              <w:spacing w:after="0"/>
              <w:rPr>
                <w:sz w:val="16"/>
                <w:szCs w:val="16"/>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10,844</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0" w:type="dxa"/>
            <w:vAlign w:val="bottom"/>
          </w:tcPr>
          <w:p>
            <w:pPr>
              <w:spacing w:after="0"/>
              <w:rPr>
                <w:sz w:val="1"/>
                <w:szCs w:val="1"/>
                <w:color w:val="auto"/>
              </w:rPr>
            </w:pPr>
          </w:p>
        </w:tc>
      </w:tr>
      <w:tr>
        <w:trPr>
          <w:trHeight w:val="190"/>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13,659</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0"/>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0"/>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7"/>
        </w:trPr>
        <w:tc>
          <w:tcPr>
            <w:tcW w:w="3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FIA/ IUL embedded derivatives, included in contractholder</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funds</w:t>
            </w: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6"/>
                <w:szCs w:val="16"/>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0" w:type="dxa"/>
            <w:vAlign w:val="bottom"/>
          </w:tcPr>
          <w:p>
            <w:pPr>
              <w:spacing w:after="0"/>
              <w:rPr>
                <w:sz w:val="1"/>
                <w:szCs w:val="1"/>
                <w:color w:val="auto"/>
              </w:rPr>
            </w:pPr>
          </w:p>
        </w:tc>
      </w:tr>
      <w:tr>
        <w:trPr>
          <w:trHeight w:val="19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9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9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22"/>
        </w:trPr>
        <w:tc>
          <w:tcPr>
            <w:tcW w:w="40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included in contractholder funds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39"/>
        </w:trPr>
        <w:tc>
          <w:tcPr>
            <w:tcW w:w="404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Reinsurance related embedded derivatives, included in accounts</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 and accrued liabilities</w:t>
            </w: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September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8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futures contracts (specifically for fixed indexed annuity ("FIA")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8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fair value measurement of the FIA/indexed universal life ("IUL")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September 30, 2022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1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reinsurance-related embedded derivatives in the funds withheld reinsurance agreements with Kubera Insurance (SAC) Ltd. ("Kubera") (effective October 31, 2021, this agreement was novated from Kubera to Somerset Reinsurance Ltd. ("Somerset"), a certified third party reinsurer) and ASPIDA Life Re Ltd ("Aspida Re")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for further discussion on F&amp;G reinsurance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 call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call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September 30, 2022 and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Fair Value at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Range (Weighted average)</w:t>
            </w:r>
          </w:p>
        </w:tc>
        <w:tc>
          <w:tcPr>
            <w:tcW w:w="0" w:type="dxa"/>
            <w:vAlign w:val="bottom"/>
          </w:tcPr>
          <w:p>
            <w:pPr>
              <w:spacing w:after="0"/>
              <w:rPr>
                <w:sz w:val="1"/>
                <w:szCs w:val="1"/>
                <w:color w:val="auto"/>
              </w:rPr>
            </w:pPr>
          </w:p>
        </w:tc>
      </w:tr>
      <w:tr>
        <w:trPr>
          <w:trHeight w:val="145"/>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8"/>
                <w:szCs w:val="18"/>
                <w:color w:val="auto"/>
              </w:rPr>
            </w:pP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153"/>
        </w:trPr>
        <w:tc>
          <w:tcPr>
            <w:tcW w:w="3680" w:type="dxa"/>
            <w:vAlign w:val="bottom"/>
            <w:tcBorders>
              <w:top w:val="single" w:sz="8" w:color="CCEEFF"/>
              <w:left w:val="single" w:sz="8" w:color="CCEEFF"/>
            </w:tcBorders>
            <w:gridSpan w:val="3"/>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72.1% - 100.00% (94.87%)</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41.02%</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- 238.40% (66.85%)</w:t>
            </w: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3"/>
                <w:szCs w:val="13"/>
                <w:color w:val="auto"/>
              </w:rPr>
            </w:pPr>
          </w:p>
        </w:tc>
        <w:tc>
          <w:tcPr>
            <w:tcW w:w="2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107.00% - 107.00%</w:t>
            </w: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(107.00%)</w:t>
            </w: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3"/>
                <w:szCs w:val="13"/>
                <w:color w:val="auto"/>
              </w:rPr>
            </w:pPr>
          </w:p>
        </w:tc>
        <w:tc>
          <w:tcPr>
            <w:tcW w:w="21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7"/>
              </w:rPr>
              <w:t>77.36%</w:t>
            </w:r>
          </w:p>
        </w:tc>
        <w:tc>
          <w:tcPr>
            <w:tcW w:w="14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- 89.53%</w:t>
            </w: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(84.47%)</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76.94%</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- 101.50% (93.58%)</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30.90%</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- 100.00% (76.78%)</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0.00% - 106.00% (88.44%)</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94.80%</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- 94.80% (94.80%)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90.97%</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- 90.97% (90.97%)</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96.23%</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- 98.45% (97.76%)</w:t>
            </w: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Preferred securities</w:t>
            </w: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 Quoted</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$65.00 - $65.00 ($65.00)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Discount rate</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10.90%</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- 10.90% (10.90%)</w:t>
            </w:r>
          </w:p>
        </w:tc>
        <w:tc>
          <w:tcPr>
            <w:tcW w:w="0" w:type="dxa"/>
            <w:vAlign w:val="bottom"/>
          </w:tcPr>
          <w:p>
            <w:pPr>
              <w:spacing w:after="0"/>
              <w:rPr>
                <w:sz w:val="1"/>
                <w:szCs w:val="1"/>
                <w:color w:val="auto"/>
              </w:rPr>
            </w:pPr>
          </w:p>
        </w:tc>
      </w:tr>
      <w:tr>
        <w:trPr>
          <w:trHeight w:val="160"/>
        </w:trPr>
        <w:tc>
          <w:tcPr>
            <w:tcW w:w="440" w:type="dxa"/>
            <w:vAlign w:val="bottom"/>
            <w:tcBorders>
              <w:lef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Market Comparable Company</w:t>
            </w:r>
          </w:p>
        </w:tc>
        <w:tc>
          <w:tcPr>
            <w:tcW w:w="17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EBITDA multiple</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5.6x - 5.6x (5.6x)</w:t>
            </w:r>
          </w:p>
        </w:tc>
        <w:tc>
          <w:tcPr>
            <w:tcW w:w="0" w:type="dxa"/>
            <w:vAlign w:val="bottom"/>
          </w:tcPr>
          <w:p>
            <w:pPr>
              <w:spacing w:after="0"/>
              <w:rPr>
                <w:sz w:val="1"/>
                <w:szCs w:val="1"/>
                <w:color w:val="auto"/>
              </w:rPr>
            </w:pPr>
          </w:p>
        </w:tc>
      </w:tr>
      <w:tr>
        <w:trPr>
          <w:trHeight w:val="211"/>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embedded derivative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of fund</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Secured borrowing receivable</w:t>
            </w: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3"/>
                <w:szCs w:val="13"/>
                <w:color w:val="auto"/>
              </w:rPr>
            </w:pPr>
          </w:p>
        </w:tc>
        <w:tc>
          <w:tcPr>
            <w:tcW w:w="2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Linked Note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Offered quotes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97.25%</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Investment in affiliate</w:t>
            </w: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3"/>
                <w:szCs w:val="13"/>
                <w:color w:val="auto"/>
              </w:rPr>
            </w:pPr>
          </w:p>
        </w:tc>
        <w:tc>
          <w:tcPr>
            <w:tcW w:w="21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Market Comparable Company</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EBITDA multiple</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8x-8x</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CCEEFF"/>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financial assets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29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00" w:type="dxa"/>
            <w:vAlign w:val="bottom"/>
            <w:tcBorders>
              <w:bottom w:val="single" w:sz="8" w:color="auto"/>
            </w:tcBorders>
            <w:gridSpan w:val="2"/>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investments: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680" w:type="dxa"/>
            <w:vAlign w:val="bottom"/>
            <w:gridSpan w:val="3"/>
          </w:tcPr>
          <w:p>
            <w:pPr>
              <w:ind w:left="220"/>
              <w:spacing w:after="0" w:line="158" w:lineRule="exact"/>
              <w:rPr>
                <w:sz w:val="20"/>
                <w:szCs w:val="20"/>
                <w:color w:val="auto"/>
              </w:rPr>
            </w:pPr>
            <w:r>
              <w:rPr>
                <w:rFonts w:ascii="Times New Roman" w:cs="Times New Roman" w:eastAsia="Times New Roman" w:hAnsi="Times New Roman"/>
                <w:sz w:val="16"/>
                <w:szCs w:val="16"/>
                <w:color w:val="auto"/>
              </w:rPr>
              <w:t>FIA/ IUL embedded derivatives, included in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Market value of option</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0.00% - 23.28% (0.48%)</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contractholder funds</w:t>
            </w:r>
          </w:p>
        </w:tc>
        <w:tc>
          <w:tcPr>
            <w:tcW w:w="1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Swap rates</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1.28% - 3.38% (2.33%)</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Mortality multiplier</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 rates</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0.25% - 70.00% (6.38%)</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Partial withdrawals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- 29.41% (2.74%)</w:t>
            </w: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Non-performance spread</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0.76% - 1.64% (1.50%)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 cost</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0.07% - 4.97% (1.86%)</w:t>
            </w:r>
          </w:p>
        </w:tc>
        <w:tc>
          <w:tcPr>
            <w:tcW w:w="0" w:type="dxa"/>
            <w:vAlign w:val="bottom"/>
          </w:tcPr>
          <w:p>
            <w:pPr>
              <w:spacing w:after="0"/>
              <w:rPr>
                <w:sz w:val="1"/>
                <w:szCs w:val="1"/>
                <w:color w:val="auto"/>
              </w:rPr>
            </w:pPr>
          </w:p>
        </w:tc>
      </w:tr>
      <w:tr>
        <w:trPr>
          <w:trHeight w:val="237"/>
        </w:trPr>
        <w:tc>
          <w:tcPr>
            <w:tcW w:w="440" w:type="dxa"/>
            <w:vAlign w:val="bottom"/>
            <w:tcBorders>
              <w:left w:val="single" w:sz="8" w:color="CCEEFF"/>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financial liabilities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Assets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Municipals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Governments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Short term investments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Preferred securities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395" w:lineRule="exact"/>
        <w:rPr>
          <w:sz w:val="20"/>
          <w:szCs w:val="20"/>
          <w:color w:val="auto"/>
        </w:rPr>
      </w:pPr>
    </w:p>
    <w:p>
      <w:pPr>
        <w:ind w:left="20" w:right="460"/>
        <w:spacing w:after="0" w:line="289" w:lineRule="auto"/>
        <w:rPr>
          <w:sz w:val="20"/>
          <w:szCs w:val="20"/>
          <w:color w:val="auto"/>
        </w:rPr>
      </w:pPr>
      <w:r>
        <w:rPr>
          <w:rFonts w:ascii="Times New Roman" w:cs="Times New Roman" w:eastAsia="Times New Roman" w:hAnsi="Times New Roman"/>
          <w:sz w:val="16"/>
          <w:szCs w:val="16"/>
          <w:color w:val="auto"/>
        </w:rPr>
        <w:t>Other long-term investments: Available-for-sale embedded derivative Credit Linked Note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in affiliate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financial assets at fair value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Liabilities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Derivative investments:</w:t>
      </w:r>
    </w:p>
    <w:p>
      <w:pPr>
        <w:spacing w:after="0" w:line="27" w:lineRule="exact"/>
        <w:rPr>
          <w:sz w:val="20"/>
          <w:szCs w:val="20"/>
          <w:color w:val="auto"/>
        </w:rPr>
      </w:pPr>
    </w:p>
    <w:p>
      <w:pPr>
        <w:ind w:left="20" w:right="160"/>
        <w:spacing w:after="0" w:line="237" w:lineRule="auto"/>
        <w:rPr>
          <w:sz w:val="20"/>
          <w:szCs w:val="20"/>
          <w:color w:val="auto"/>
        </w:rPr>
      </w:pPr>
      <w:r>
        <w:rPr>
          <w:rFonts w:ascii="Times New Roman" w:cs="Times New Roman" w:eastAsia="Times New Roman" w:hAnsi="Times New Roman"/>
          <w:sz w:val="16"/>
          <w:szCs w:val="16"/>
          <w:color w:val="auto"/>
        </w:rPr>
        <w:t>FIA/ IUL embedded derivatives, included in contractholder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Total financial liabilities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14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9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tcPr>
          <w:p>
            <w:pPr>
              <w:spacing w:after="0"/>
              <w:rPr>
                <w:sz w:val="24"/>
                <w:szCs w:val="2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52.56% - 260.70%</w:t>
            </w:r>
          </w:p>
        </w:tc>
        <w:tc>
          <w:tcPr>
            <w:tcW w:w="0" w:type="dxa"/>
            <w:vAlign w:val="bottom"/>
          </w:tcPr>
          <w:p>
            <w:pPr>
              <w:spacing w:after="0"/>
              <w:rPr>
                <w:sz w:val="1"/>
                <w:szCs w:val="1"/>
                <w:color w:val="auto"/>
              </w:rPr>
            </w:pPr>
          </w:p>
        </w:tc>
      </w:tr>
      <w:tr>
        <w:trPr>
          <w:trHeight w:val="207"/>
        </w:trPr>
        <w:tc>
          <w:tcPr>
            <w:tcW w:w="1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93.02% - 108.45%</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126.70% - 126.70%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(126.70%)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 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97.91% - 97.91%</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(97.91%)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0.00% - 109.69%</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85.71% - 119.57%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(107.72%)</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44.00% - 100.00% (62.00%)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135.09% - 135.09%</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(135.09%)</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107.23% - 116.44%</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(110.11%)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Income-Approach</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Yield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 Quoted</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$6.23 - $6.23 ($6.23)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 Free Rate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-1.00% (1.00%)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Strike Price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 $1.50 ($1.50)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Volatility</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81.00% - 81.00%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(81.00%)</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0.00% - 0.00% (0.00%)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Discount rate</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12.70% - 12.70%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Market Comparable Company</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EBITDA multiple</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5.9x - 5.9x (5.9x)</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8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value of fund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1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6"/>
                <w:szCs w:val="16"/>
                <w:color w:val="auto"/>
              </w:rPr>
              <w:t>Market Comparable Company</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EBITDA multiple</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8x-8x</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-4375150</wp:posOffset>
            </wp:positionV>
            <wp:extent cx="7135495" cy="133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-4007485</wp:posOffset>
            </wp:positionV>
            <wp:extent cx="7135495" cy="233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-3539490</wp:posOffset>
            </wp:positionV>
            <wp:extent cx="7135495" cy="233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-3072130</wp:posOffset>
            </wp:positionV>
            <wp:extent cx="7135495" cy="233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-2704465</wp:posOffset>
            </wp:positionV>
            <wp:extent cx="7135495" cy="233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-2236470</wp:posOffset>
            </wp:positionV>
            <wp:extent cx="7135495" cy="233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-1868805</wp:posOffset>
            </wp:positionV>
            <wp:extent cx="7135495" cy="133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-1601470</wp:posOffset>
            </wp:positionV>
            <wp:extent cx="7135495" cy="133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-1233805</wp:posOffset>
            </wp:positionV>
            <wp:extent cx="7135495" cy="133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-866140</wp:posOffset>
            </wp:positionV>
            <wp:extent cx="7135495" cy="233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-498475</wp:posOffset>
            </wp:positionV>
            <wp:extent cx="7135495" cy="133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-231140</wp:posOffset>
            </wp:positionV>
            <wp:extent cx="7135495" cy="233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233680"/>
                    </a:xfrm>
                    <a:prstGeom prst="rect">
                      <a:avLst/>
                    </a:prstGeom>
                    <a:noFill/>
                  </pic:spPr>
                </pic:pic>
              </a:graphicData>
            </a:graphic>
          </wp:anchor>
        </w:drawing>
      </w:r>
    </w:p>
    <w:p>
      <w:pPr>
        <w:ind w:left="1220" w:hanging="1200"/>
        <w:spacing w:after="0"/>
        <w:tabs>
          <w:tab w:leader="none" w:pos="1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17145</wp:posOffset>
            </wp:positionV>
            <wp:extent cx="7135495" cy="150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2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3,883   Discounted cash flow</w:t>
            </w: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Market value of option</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0.00%</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- 38.72%</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Swap rates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0.05%</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- 1.94%</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Mortality multiplier</w:t>
            </w:r>
          </w:p>
        </w:tc>
        <w:tc>
          <w:tcPr>
            <w:tcW w:w="15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Surrender rates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0.25%</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- 70.00%</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Partial withdrawals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2.00%</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- 23.26%</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Non-performance spread</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0.43%</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- 1.01% (0.68%)</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Option cost</w:t>
            </w:r>
          </w:p>
        </w:tc>
        <w:tc>
          <w:tcPr>
            <w:tcW w:w="500" w:type="dxa"/>
            <w:vAlign w:val="bottom"/>
          </w:tcPr>
          <w:p>
            <w:pPr>
              <w:ind w:left="80"/>
              <w:spacing w:after="0" w:line="163" w:lineRule="exact"/>
              <w:rPr>
                <w:sz w:val="20"/>
                <w:szCs w:val="20"/>
                <w:color w:val="auto"/>
              </w:rPr>
            </w:pPr>
            <w:r>
              <w:rPr>
                <w:rFonts w:ascii="Times New Roman" w:cs="Times New Roman" w:eastAsia="Times New Roman" w:hAnsi="Times New Roman"/>
                <w:sz w:val="16"/>
                <w:szCs w:val="16"/>
                <w:color w:val="auto"/>
                <w:w w:val="96"/>
              </w:rPr>
              <w:t>0.07%</w:t>
            </w:r>
          </w:p>
        </w:tc>
        <w:tc>
          <w:tcPr>
            <w:tcW w:w="108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- 4.97%</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2"/>
        </w:trPr>
        <w:tc>
          <w:tcPr>
            <w:tcW w:w="6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3,883</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-1703705</wp:posOffset>
            </wp:positionV>
            <wp:extent cx="7135495" cy="233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-1235710</wp:posOffset>
            </wp:positionV>
            <wp:extent cx="7135495" cy="233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-768350</wp:posOffset>
            </wp:positionV>
            <wp:extent cx="7135495" cy="233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-400685</wp:posOffset>
            </wp:positionV>
            <wp:extent cx="7135495" cy="233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2980" w:space="720"/>
            <w:col w:w="75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and nine months ended September 30, 2022 and 2021. This summary excludes any impact of amortization of value of business acquired (“VOBA”), deferred acquisition cost (“DAC”), and deferred sales inducements (“DSI”). The gains and losses below may include changes in fair value due in part to observable inputs that are a component of the valuation methodology.</w:t>
      </w:r>
    </w:p>
    <w:p>
      <w:pPr>
        <w:spacing w:after="0" w:line="138"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36"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30480</wp:posOffset>
            </wp:positionV>
            <wp:extent cx="5539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spacing w:after="0" w:line="240" w:lineRule="exact"/>
        <w:rPr>
          <w:sz w:val="20"/>
          <w:szCs w:val="20"/>
          <w:color w:val="auto"/>
        </w:rPr>
      </w:pPr>
    </w:p>
    <w:tbl>
      <w:tblPr>
        <w:tblLayout w:type="fixed"/>
        <w:tblInd w:w="246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2"/>
        </w:trPr>
        <w:tc>
          <w:tcPr>
            <w:tcW w:w="78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8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3"/>
        </w:trPr>
        <w:tc>
          <w:tcPr>
            <w:tcW w:w="7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980" w:type="dxa"/>
            <w:vAlign w:val="bottom"/>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Gains (Losses)</w:t>
            </w:r>
          </w:p>
        </w:tc>
        <w:tc>
          <w:tcPr>
            <w:tcW w:w="0" w:type="dxa"/>
            <w:vAlign w:val="bottom"/>
          </w:tcPr>
          <w:p>
            <w:pPr>
              <w:spacing w:after="0"/>
              <w:rPr>
                <w:sz w:val="1"/>
                <w:szCs w:val="1"/>
                <w:color w:val="auto"/>
              </w:rPr>
            </w:pPr>
          </w:p>
        </w:tc>
      </w:tr>
      <w:tr>
        <w:trPr>
          <w:trHeight w:val="187"/>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0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Incl in OCI</w:t>
            </w:r>
          </w:p>
        </w:tc>
        <w:tc>
          <w:tcPr>
            <w:tcW w:w="0" w:type="dxa"/>
            <w:vAlign w:val="bottom"/>
          </w:tcPr>
          <w:p>
            <w:pPr>
              <w:spacing w:after="0"/>
              <w:rPr>
                <w:sz w:val="1"/>
                <w:szCs w:val="1"/>
                <w:color w:val="auto"/>
              </w:rPr>
            </w:pPr>
          </w:p>
        </w:tc>
      </w:tr>
    </w:tbl>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-94615</wp:posOffset>
            </wp:positionV>
            <wp:extent cx="5539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220" w:right="220"/>
        <w:spacing w:after="0" w:line="245" w:lineRule="auto"/>
        <w:rPr>
          <w:sz w:val="20"/>
          <w:szCs w:val="20"/>
          <w:color w:val="auto"/>
        </w:rPr>
      </w:pPr>
      <w:r>
        <w:rPr>
          <w:rFonts w:ascii="Times New Roman" w:cs="Times New Roman" w:eastAsia="Times New Roman" w:hAnsi="Times New Roman"/>
          <w:sz w:val="14"/>
          <w:szCs w:val="14"/>
          <w:color w:val="auto"/>
        </w:rPr>
        <w:t>Fixed maturity securities available-for-sale:</w:t>
      </w:r>
    </w:p>
    <w:p>
      <w:pPr>
        <w:ind w:left="420"/>
        <w:spacing w:after="0"/>
        <w:tabs>
          <w:tab w:leader="none" w:pos="2320" w:val="left"/>
        </w:tabs>
        <w:rPr>
          <w:sz w:val="20"/>
          <w:szCs w:val="20"/>
          <w:color w:val="auto"/>
        </w:rPr>
      </w:pPr>
      <w:r>
        <w:rPr>
          <w:rFonts w:ascii="Times New Roman" w:cs="Times New Roman" w:eastAsia="Times New Roman" w:hAnsi="Times New Roman"/>
          <w:sz w:val="14"/>
          <w:szCs w:val="14"/>
          <w:color w:val="auto"/>
        </w:rPr>
        <w:t>Asset-backed securities</w:t>
      </w:r>
      <w:r>
        <w:rPr>
          <w:sz w:val="20"/>
          <w:szCs w:val="20"/>
          <w:color w:val="auto"/>
        </w:rPr>
        <w:tab/>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20" w:right="300"/>
        <w:spacing w:after="0" w:line="245" w:lineRule="auto"/>
        <w:rPr>
          <w:sz w:val="20"/>
          <w:szCs w:val="20"/>
          <w:color w:val="auto"/>
        </w:rPr>
      </w:pPr>
      <w:r>
        <w:rPr>
          <w:rFonts w:ascii="Times New Roman" w:cs="Times New Roman" w:eastAsia="Times New Roman" w:hAnsi="Times New Roman"/>
          <w:sz w:val="14"/>
          <w:szCs w:val="14"/>
          <w:color w:val="auto"/>
        </w:rPr>
        <w:t>Commercial mortgage-backed securities</w:t>
      </w:r>
    </w:p>
    <w:p>
      <w:pPr>
        <w:ind w:left="420"/>
        <w:spacing w:after="0"/>
        <w:rPr>
          <w:sz w:val="20"/>
          <w:szCs w:val="20"/>
          <w:color w:val="auto"/>
        </w:rPr>
      </w:pPr>
      <w:r>
        <w:rPr>
          <w:rFonts w:ascii="Times New Roman" w:cs="Times New Roman" w:eastAsia="Times New Roman" w:hAnsi="Times New Roman"/>
          <w:sz w:val="14"/>
          <w:szCs w:val="14"/>
          <w:color w:val="auto"/>
        </w:rPr>
        <w:t>Corporates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Municipals</w:t>
      </w:r>
    </w:p>
    <w:p>
      <w:pPr>
        <w:spacing w:after="0" w:line="36" w:lineRule="exact"/>
        <w:rPr>
          <w:sz w:val="20"/>
          <w:szCs w:val="20"/>
          <w:color w:val="auto"/>
        </w:rPr>
      </w:pPr>
    </w:p>
    <w:p>
      <w:pPr>
        <w:ind w:left="420" w:right="360"/>
        <w:spacing w:after="0" w:line="245" w:lineRule="auto"/>
        <w:rPr>
          <w:sz w:val="20"/>
          <w:szCs w:val="20"/>
          <w:color w:val="auto"/>
        </w:rPr>
      </w:pPr>
      <w:r>
        <w:rPr>
          <w:rFonts w:ascii="Times New Roman" w:cs="Times New Roman" w:eastAsia="Times New Roman" w:hAnsi="Times New Roman"/>
          <w:sz w:val="14"/>
          <w:szCs w:val="14"/>
          <w:color w:val="auto"/>
        </w:rPr>
        <w:t>Residential mortgage-backed securities</w:t>
      </w:r>
    </w:p>
    <w:p>
      <w:pPr>
        <w:ind w:left="420"/>
        <w:spacing w:after="0"/>
        <w:rPr>
          <w:sz w:val="20"/>
          <w:szCs w:val="20"/>
          <w:color w:val="auto"/>
        </w:rPr>
      </w:pPr>
      <w:r>
        <w:rPr>
          <w:rFonts w:ascii="Times New Roman" w:cs="Times New Roman" w:eastAsia="Times New Roman" w:hAnsi="Times New Roman"/>
          <w:sz w:val="14"/>
          <w:szCs w:val="14"/>
          <w:color w:val="auto"/>
        </w:rPr>
        <w:t>Foreign Governments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Short term investments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Preferred securities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p>
      <w:pPr>
        <w:spacing w:after="0" w:line="36" w:lineRule="exact"/>
        <w:rPr>
          <w:sz w:val="20"/>
          <w:szCs w:val="20"/>
          <w:color w:val="auto"/>
        </w:rPr>
      </w:pPr>
    </w:p>
    <w:p>
      <w:pPr>
        <w:ind w:left="420" w:right="400"/>
        <w:spacing w:after="0" w:line="245" w:lineRule="auto"/>
        <w:rPr>
          <w:sz w:val="20"/>
          <w:szCs w:val="20"/>
          <w:color w:val="auto"/>
        </w:rPr>
      </w:pPr>
      <w:r>
        <w:rPr>
          <w:rFonts w:ascii="Times New Roman" w:cs="Times New Roman" w:eastAsia="Times New Roman" w:hAnsi="Times New Roman"/>
          <w:sz w:val="14"/>
          <w:szCs w:val="14"/>
          <w:color w:val="auto"/>
        </w:rPr>
        <w:t>Available-for-sale embedded derivative</w:t>
      </w:r>
    </w:p>
    <w:p>
      <w:pPr>
        <w:ind w:left="420"/>
        <w:spacing w:after="0"/>
        <w:rPr>
          <w:sz w:val="20"/>
          <w:szCs w:val="20"/>
          <w:color w:val="auto"/>
        </w:rPr>
      </w:pPr>
      <w:r>
        <w:rPr>
          <w:rFonts w:ascii="Times New Roman" w:cs="Times New Roman" w:eastAsia="Times New Roman" w:hAnsi="Times New Roman"/>
          <w:sz w:val="14"/>
          <w:szCs w:val="14"/>
          <w:color w:val="auto"/>
        </w:rPr>
        <w:t>Investment in affiliate</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Credit linked note</w:t>
      </w:r>
    </w:p>
    <w:p>
      <w:pPr>
        <w:spacing w:after="0" w:line="36" w:lineRule="exact"/>
        <w:rPr>
          <w:sz w:val="20"/>
          <w:szCs w:val="20"/>
          <w:color w:val="auto"/>
        </w:rPr>
      </w:pPr>
    </w:p>
    <w:p>
      <w:pPr>
        <w:jc w:val="right"/>
        <w:ind w:left="420" w:right="320"/>
        <w:spacing w:after="0" w:line="252" w:lineRule="auto"/>
        <w:rPr>
          <w:sz w:val="20"/>
          <w:szCs w:val="20"/>
          <w:color w:val="auto"/>
        </w:rPr>
      </w:pPr>
      <w:r>
        <w:rPr>
          <w:rFonts w:ascii="Times New Roman" w:cs="Times New Roman" w:eastAsia="Times New Roman" w:hAnsi="Times New Roman"/>
          <w:sz w:val="14"/>
          <w:szCs w:val="14"/>
          <w:color w:val="auto"/>
        </w:rPr>
        <w:t xml:space="preserve">Secured borrowing receivable </w:t>
      </w:r>
      <w:r>
        <w:rPr>
          <w:rFonts w:ascii="Times New Roman" w:cs="Times New Roman" w:eastAsia="Times New Roman" w:hAnsi="Times New Roman"/>
          <w:sz w:val="14"/>
          <w:szCs w:val="14"/>
          <w:b w:val="1"/>
          <w:bCs w:val="1"/>
          <w:color w:val="auto"/>
        </w:rPr>
        <w:t>Total Level 3 assets at fair</w:t>
      </w:r>
    </w:p>
    <w:p>
      <w:pPr>
        <w:jc w:val="both"/>
        <w:ind w:left="520"/>
        <w:spacing w:after="0" w:line="185" w:lineRule="auto"/>
        <w:tabs>
          <w:tab w:leader="none" w:pos="2320" w:val="left"/>
        </w:tabs>
        <w:rPr>
          <w:sz w:val="20"/>
          <w:szCs w:val="20"/>
          <w:color w:val="auto"/>
        </w:rPr>
      </w:pPr>
      <w:r>
        <w:rPr>
          <w:rFonts w:ascii="Times New Roman" w:cs="Times New Roman" w:eastAsia="Times New Roman" w:hAnsi="Times New Roman"/>
          <w:sz w:val="12"/>
          <w:szCs w:val="12"/>
          <w:b w:val="1"/>
          <w:bCs w:val="1"/>
          <w:color w:val="auto"/>
        </w:rPr>
        <w:t>value</w:t>
      </w:r>
      <w:r>
        <w:rPr>
          <w:sz w:val="20"/>
          <w:szCs w:val="20"/>
          <w:color w:val="auto"/>
        </w:rPr>
        <w:tab/>
      </w:r>
      <w:r>
        <w:rPr>
          <w:rFonts w:ascii="Times New Roman" w:cs="Times New Roman" w:eastAsia="Times New Roman" w:hAnsi="Times New Roman"/>
          <w:sz w:val="23"/>
          <w:szCs w:val="23"/>
          <w:color w:val="auto"/>
          <w:vertAlign w:val="superscript"/>
        </w:rPr>
        <w:t>$</w:t>
      </w: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Liabilities</w:t>
      </w:r>
    </w:p>
    <w:p>
      <w:pPr>
        <w:spacing w:after="0" w:line="20" w:lineRule="exact"/>
        <w:rPr>
          <w:sz w:val="20"/>
          <w:szCs w:val="20"/>
          <w:color w:val="auto"/>
        </w:rPr>
      </w:pPr>
    </w:p>
    <w:p>
      <w:pPr>
        <w:ind w:left="220" w:right="380"/>
        <w:spacing w:after="0" w:line="263" w:lineRule="auto"/>
        <w:rPr>
          <w:sz w:val="20"/>
          <w:szCs w:val="20"/>
          <w:color w:val="auto"/>
        </w:rPr>
      </w:pPr>
      <w:r>
        <w:rPr>
          <w:rFonts w:ascii="Times New Roman" w:cs="Times New Roman" w:eastAsia="Times New Roman" w:hAnsi="Times New Roman"/>
          <w:sz w:val="13"/>
          <w:szCs w:val="13"/>
          <w:color w:val="auto"/>
        </w:rPr>
        <w:t>FIA/ IUL embedded derivatives, included in contractholder funds</w:t>
      </w:r>
    </w:p>
    <w:p>
      <w:pPr>
        <w:ind w:left="520"/>
        <w:spacing w:after="0" w:line="212" w:lineRule="auto"/>
        <w:rPr>
          <w:sz w:val="20"/>
          <w:szCs w:val="20"/>
          <w:color w:val="auto"/>
        </w:rPr>
      </w:pPr>
      <w:r>
        <w:rPr>
          <w:rFonts w:ascii="Times New Roman" w:cs="Times New Roman" w:eastAsia="Times New Roman" w:hAnsi="Times New Roman"/>
          <w:sz w:val="14"/>
          <w:szCs w:val="14"/>
          <w:b w:val="1"/>
          <w:bCs w:val="1"/>
          <w:color w:val="auto"/>
        </w:rPr>
        <w:t>Total Level 3 liabilities at fair</w:t>
      </w:r>
    </w:p>
    <w:p>
      <w:pPr>
        <w:jc w:val="both"/>
        <w:ind w:left="520"/>
        <w:spacing w:after="0" w:line="227" w:lineRule="auto"/>
        <w:tabs>
          <w:tab w:leader="none" w:pos="2320" w:val="left"/>
        </w:tabs>
        <w:rPr>
          <w:sz w:val="20"/>
          <w:szCs w:val="20"/>
          <w:color w:val="auto"/>
        </w:rPr>
      </w:pPr>
      <w:r>
        <w:rPr>
          <w:rFonts w:ascii="Times New Roman" w:cs="Times New Roman" w:eastAsia="Times New Roman" w:hAnsi="Times New Roman"/>
          <w:sz w:val="14"/>
          <w:szCs w:val="14"/>
          <w:b w:val="1"/>
          <w:bCs w:val="1"/>
          <w:color w:val="auto"/>
        </w:rPr>
        <w:t>value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4,677</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5,952</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32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1,374</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2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26"/>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6,229</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7,418</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6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2,941</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2,941</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-2982595</wp:posOffset>
            </wp:positionV>
            <wp:extent cx="6893560" cy="208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93560" cy="2089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-2647950</wp:posOffset>
            </wp:positionV>
            <wp:extent cx="6893560" cy="208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93560" cy="2089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-2313940</wp:posOffset>
            </wp:positionV>
            <wp:extent cx="6893560" cy="125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-1979930</wp:posOffset>
            </wp:positionV>
            <wp:extent cx="6893560" cy="125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-1729105</wp:posOffset>
            </wp:positionV>
            <wp:extent cx="6893560" cy="125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-1478280</wp:posOffset>
            </wp:positionV>
            <wp:extent cx="6893560" cy="125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-1144270</wp:posOffset>
            </wp:positionV>
            <wp:extent cx="6893560" cy="125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-893445</wp:posOffset>
            </wp:positionV>
            <wp:extent cx="6893560" cy="894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3560" cy="89408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420" w:space="440"/>
            <w:col w:w="8380"/>
          </w:cols>
          <w:pgMar w:left="320" w:top="12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(a) The net transfers out of Level 3 during the three months ended September 30, 2022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p>
      <w:pPr>
        <w:spacing w:after="0" w:line="28" w:lineRule="exact"/>
        <w:rPr>
          <w:sz w:val="20"/>
          <w:szCs w:val="20"/>
          <w:color w:val="auto"/>
        </w:rPr>
      </w:pPr>
    </w:p>
    <w:tbl>
      <w:tblPr>
        <w:tblLayout w:type="fixed"/>
        <w:tblInd w:w="2140" w:type="dxa"/>
        <w:tblCellMar>
          <w:top w:w="0" w:type="dxa"/>
          <w:left w:w="0" w:type="dxa"/>
          <w:bottom w:w="0" w:type="dxa"/>
          <w:right w:w="0" w:type="dxa"/>
        </w:tblCellMar>
      </w:tblPr>
      <w:tr>
        <w:trPr>
          <w:trHeight w:val="198"/>
        </w:trPr>
        <w:tc>
          <w:tcPr>
            <w:tcW w:w="9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0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45"/>
        </w:trPr>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87"/>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0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 in OCI</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-94615</wp:posOffset>
            </wp:positionV>
            <wp:extent cx="5598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98160" cy="825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p>
      <w:pPr>
        <w:spacing w:after="0" w:line="38" w:lineRule="exact"/>
        <w:rPr>
          <w:sz w:val="20"/>
          <w:szCs w:val="20"/>
          <w:color w:val="auto"/>
        </w:rPr>
      </w:pPr>
    </w:p>
    <w:p>
      <w:pPr>
        <w:ind w:left="20" w:right="220"/>
        <w:spacing w:after="0" w:line="245" w:lineRule="auto"/>
        <w:rPr>
          <w:sz w:val="20"/>
          <w:szCs w:val="20"/>
          <w:color w:val="auto"/>
        </w:rPr>
      </w:pPr>
      <w:r>
        <w:rPr>
          <w:rFonts w:ascii="Times New Roman" w:cs="Times New Roman" w:eastAsia="Times New Roman" w:hAnsi="Times New Roman"/>
          <w:sz w:val="14"/>
          <w:szCs w:val="14"/>
          <w:color w:val="auto"/>
        </w:rPr>
        <w:t>Fixed maturity securities available-for-sale:</w:t>
      </w:r>
    </w:p>
    <w:p>
      <w:pPr>
        <w:ind w:left="220"/>
        <w:spacing w:after="0"/>
        <w:tabs>
          <w:tab w:leader="none" w:pos="2140" w:val="left"/>
        </w:tabs>
        <w:rPr>
          <w:sz w:val="20"/>
          <w:szCs w:val="20"/>
          <w:color w:val="auto"/>
        </w:rPr>
      </w:pPr>
      <w:r>
        <w:rPr>
          <w:rFonts w:ascii="Times New Roman" w:cs="Times New Roman" w:eastAsia="Times New Roman" w:hAnsi="Times New Roman"/>
          <w:sz w:val="14"/>
          <w:szCs w:val="14"/>
          <w:color w:val="auto"/>
        </w:rPr>
        <w:t>Asset-backed securities</w:t>
      </w:r>
      <w:r>
        <w:rPr>
          <w:sz w:val="20"/>
          <w:szCs w:val="20"/>
          <w:color w:val="auto"/>
        </w:rPr>
        <w:tab/>
      </w:r>
      <w:r>
        <w:rPr>
          <w:rFonts w:ascii="Times New Roman" w:cs="Times New Roman" w:eastAsia="Times New Roman" w:hAnsi="Times New Roman"/>
          <w:sz w:val="12"/>
          <w:szCs w:val="12"/>
          <w:color w:val="auto"/>
        </w:rPr>
        <w:t>$</w:t>
      </w:r>
    </w:p>
    <w:p>
      <w:pPr>
        <w:spacing w:after="0" w:line="36" w:lineRule="exact"/>
        <w:rPr>
          <w:sz w:val="20"/>
          <w:szCs w:val="20"/>
          <w:color w:val="auto"/>
        </w:rPr>
      </w:pPr>
    </w:p>
    <w:p>
      <w:pPr>
        <w:ind w:left="220" w:right="300"/>
        <w:spacing w:after="0" w:line="245" w:lineRule="auto"/>
        <w:rPr>
          <w:sz w:val="20"/>
          <w:szCs w:val="20"/>
          <w:color w:val="auto"/>
        </w:rPr>
      </w:pPr>
      <w:r>
        <w:rPr>
          <w:rFonts w:ascii="Times New Roman" w:cs="Times New Roman" w:eastAsia="Times New Roman" w:hAnsi="Times New Roman"/>
          <w:sz w:val="14"/>
          <w:szCs w:val="14"/>
          <w:color w:val="auto"/>
        </w:rPr>
        <w:t>Commercial mortgage-backed securities</w:t>
      </w:r>
    </w:p>
    <w:p>
      <w:pPr>
        <w:ind w:left="220"/>
        <w:spacing w:after="0"/>
        <w:rPr>
          <w:sz w:val="20"/>
          <w:szCs w:val="20"/>
          <w:color w:val="auto"/>
        </w:rPr>
      </w:pPr>
      <w:r>
        <w:rPr>
          <w:rFonts w:ascii="Times New Roman" w:cs="Times New Roman" w:eastAsia="Times New Roman" w:hAnsi="Times New Roman"/>
          <w:sz w:val="14"/>
          <w:szCs w:val="14"/>
          <w:color w:val="auto"/>
        </w:rPr>
        <w:t>Corporates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Municipals</w:t>
      </w:r>
    </w:p>
    <w:p>
      <w:pPr>
        <w:spacing w:after="0" w:line="36" w:lineRule="exact"/>
        <w:rPr>
          <w:sz w:val="20"/>
          <w:szCs w:val="20"/>
          <w:color w:val="auto"/>
        </w:rPr>
      </w:pPr>
    </w:p>
    <w:p>
      <w:pPr>
        <w:ind w:left="220" w:right="360"/>
        <w:spacing w:after="0" w:line="245" w:lineRule="auto"/>
        <w:rPr>
          <w:sz w:val="20"/>
          <w:szCs w:val="20"/>
          <w:color w:val="auto"/>
        </w:rPr>
      </w:pPr>
      <w:r>
        <w:rPr>
          <w:rFonts w:ascii="Times New Roman" w:cs="Times New Roman" w:eastAsia="Times New Roman" w:hAnsi="Times New Roman"/>
          <w:sz w:val="14"/>
          <w:szCs w:val="14"/>
          <w:color w:val="auto"/>
        </w:rPr>
        <w:t>Residential mortgage-backed securities</w:t>
      </w:r>
    </w:p>
    <w:p>
      <w:pPr>
        <w:ind w:left="220"/>
        <w:spacing w:after="0"/>
        <w:rPr>
          <w:sz w:val="20"/>
          <w:szCs w:val="20"/>
          <w:color w:val="auto"/>
        </w:rPr>
      </w:pPr>
      <w:r>
        <w:rPr>
          <w:rFonts w:ascii="Times New Roman" w:cs="Times New Roman" w:eastAsia="Times New Roman" w:hAnsi="Times New Roman"/>
          <w:sz w:val="14"/>
          <w:szCs w:val="14"/>
          <w:color w:val="auto"/>
        </w:rPr>
        <w:t>Foreign Governments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Short-Term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and preferred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p>
      <w:pPr>
        <w:spacing w:after="0" w:line="36" w:lineRule="exact"/>
        <w:rPr>
          <w:sz w:val="20"/>
          <w:szCs w:val="20"/>
          <w:color w:val="auto"/>
        </w:rPr>
      </w:pPr>
    </w:p>
    <w:p>
      <w:pPr>
        <w:ind w:left="220" w:right="380"/>
        <w:spacing w:after="0" w:line="245" w:lineRule="auto"/>
        <w:rPr>
          <w:sz w:val="20"/>
          <w:szCs w:val="20"/>
          <w:color w:val="auto"/>
        </w:rPr>
      </w:pPr>
      <w:r>
        <w:rPr>
          <w:rFonts w:ascii="Times New Roman" w:cs="Times New Roman" w:eastAsia="Times New Roman" w:hAnsi="Times New Roman"/>
          <w:sz w:val="14"/>
          <w:szCs w:val="14"/>
          <w:color w:val="auto"/>
        </w:rPr>
        <w:t>Available-for-sale embedded derivative</w:t>
      </w:r>
    </w:p>
    <w:p>
      <w:pPr>
        <w:ind w:left="220"/>
        <w:spacing w:after="0"/>
        <w:rPr>
          <w:sz w:val="20"/>
          <w:szCs w:val="20"/>
          <w:color w:val="auto"/>
        </w:rPr>
      </w:pPr>
      <w:r>
        <w:rPr>
          <w:rFonts w:ascii="Times New Roman" w:cs="Times New Roman" w:eastAsia="Times New Roman" w:hAnsi="Times New Roman"/>
          <w:sz w:val="14"/>
          <w:szCs w:val="14"/>
          <w:color w:val="auto"/>
        </w:rPr>
        <w:t>Credit linked note</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Total assets at Level 3 fair</w:t>
      </w:r>
    </w:p>
    <w:p>
      <w:pPr>
        <w:jc w:val="both"/>
        <w:ind w:left="340"/>
        <w:spacing w:after="0" w:line="185" w:lineRule="auto"/>
        <w:tabs>
          <w:tab w:leader="none" w:pos="2140" w:val="left"/>
        </w:tabs>
        <w:rPr>
          <w:sz w:val="20"/>
          <w:szCs w:val="20"/>
          <w:color w:val="auto"/>
        </w:rPr>
      </w:pPr>
      <w:r>
        <w:rPr>
          <w:rFonts w:ascii="Times New Roman" w:cs="Times New Roman" w:eastAsia="Times New Roman" w:hAnsi="Times New Roman"/>
          <w:sz w:val="12"/>
          <w:szCs w:val="12"/>
          <w:b w:val="1"/>
          <w:bCs w:val="1"/>
          <w:color w:val="auto"/>
        </w:rPr>
        <w:t>value</w:t>
      </w:r>
      <w:r>
        <w:rPr>
          <w:sz w:val="20"/>
          <w:szCs w:val="20"/>
          <w:color w:val="auto"/>
        </w:rPr>
        <w:tab/>
      </w:r>
      <w:r>
        <w:rPr>
          <w:rFonts w:ascii="Times New Roman" w:cs="Times New Roman" w:eastAsia="Times New Roman" w:hAnsi="Times New Roman"/>
          <w:sz w:val="23"/>
          <w:szCs w:val="23"/>
          <w:color w:val="auto"/>
          <w:vertAlign w:val="superscript"/>
        </w:rPr>
        <w:t>$</w:t>
      </w: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p>
    <w:p>
      <w:pPr>
        <w:ind w:left="20" w:right="160"/>
        <w:spacing w:after="0" w:line="244" w:lineRule="auto"/>
        <w:rPr>
          <w:sz w:val="20"/>
          <w:szCs w:val="20"/>
          <w:color w:val="auto"/>
        </w:rPr>
      </w:pPr>
      <w:r>
        <w:rPr>
          <w:rFonts w:ascii="Times New Roman" w:cs="Times New Roman" w:eastAsia="Times New Roman" w:hAnsi="Times New Roman"/>
          <w:sz w:val="14"/>
          <w:szCs w:val="14"/>
          <w:color w:val="auto"/>
        </w:rPr>
        <w:t>FIA embedded derivatives, included in contractholder funds</w:t>
      </w:r>
    </w:p>
    <w:p>
      <w:pPr>
        <w:ind w:left="340"/>
        <w:spacing w:after="0" w:line="212" w:lineRule="auto"/>
        <w:rPr>
          <w:sz w:val="20"/>
          <w:szCs w:val="20"/>
          <w:color w:val="auto"/>
        </w:rPr>
      </w:pPr>
      <w:r>
        <w:rPr>
          <w:rFonts w:ascii="Times New Roman" w:cs="Times New Roman" w:eastAsia="Times New Roman" w:hAnsi="Times New Roman"/>
          <w:sz w:val="14"/>
          <w:szCs w:val="14"/>
          <w:b w:val="1"/>
          <w:bCs w:val="1"/>
          <w:color w:val="auto"/>
        </w:rPr>
        <w:t>Total liabilities at Level 3 fair</w:t>
      </w:r>
    </w:p>
    <w:p>
      <w:pPr>
        <w:jc w:val="both"/>
        <w:ind w:left="340"/>
        <w:spacing w:after="0" w:line="227" w:lineRule="auto"/>
        <w:tabs>
          <w:tab w:leader="none" w:pos="2140" w:val="left"/>
        </w:tabs>
        <w:rPr>
          <w:sz w:val="20"/>
          <w:szCs w:val="20"/>
          <w:color w:val="auto"/>
        </w:rPr>
      </w:pPr>
      <w:r>
        <w:rPr>
          <w:rFonts w:ascii="Times New Roman" w:cs="Times New Roman" w:eastAsia="Times New Roman" w:hAnsi="Times New Roman"/>
          <w:sz w:val="14"/>
          <w:szCs w:val="14"/>
          <w:b w:val="1"/>
          <w:bCs w:val="1"/>
          <w:color w:val="auto"/>
        </w:rPr>
        <w:t>value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5"/>
              </w:rPr>
              <w:t>2,309</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5"/>
                <w:szCs w:val="15"/>
                <w:color w:val="auto"/>
              </w:rPr>
            </w:pPr>
          </w:p>
        </w:tc>
        <w:tc>
          <w:tcPr>
            <w:tcW w:w="4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329"/>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5"/>
              </w:rPr>
              <w:t>1,201</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9"/>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443</w:t>
            </w:r>
          </w:p>
        </w:tc>
        <w:tc>
          <w:tcPr>
            <w:tcW w:w="2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303</w:t>
            </w:r>
          </w:p>
        </w:tc>
        <w:tc>
          <w:tcPr>
            <w:tcW w:w="2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26"/>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9"/>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5"/>
              </w:rPr>
              <w:t>4,400</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2"/>
                <w:szCs w:val="22"/>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22"/>
                <w:szCs w:val="22"/>
                <w:color w:val="auto"/>
              </w:rPr>
            </w:pPr>
          </w:p>
        </w:tc>
        <w:tc>
          <w:tcPr>
            <w:tcW w:w="4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
        </w:trPr>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69"/>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5"/>
              </w:rPr>
              <w:t>3,759</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9"/>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5"/>
              </w:rPr>
              <w:t>3,759</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22"/>
                <w:szCs w:val="22"/>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22"/>
                <w:szCs w:val="22"/>
                <w:color w:val="auto"/>
              </w:rPr>
            </w:pPr>
          </w:p>
        </w:tc>
        <w:tc>
          <w:tcPr>
            <w:tcW w:w="4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-2606040</wp:posOffset>
            </wp:positionV>
            <wp:extent cx="6951980" cy="208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51980" cy="20891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-2272030</wp:posOffset>
            </wp:positionV>
            <wp:extent cx="6951980" cy="208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1980" cy="20891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-1938020</wp:posOffset>
            </wp:positionV>
            <wp:extent cx="6951980" cy="125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51980" cy="12509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-1603375</wp:posOffset>
            </wp:positionV>
            <wp:extent cx="6951980" cy="125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1980" cy="12509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-1353185</wp:posOffset>
            </wp:positionV>
            <wp:extent cx="6951980" cy="1250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51980" cy="12509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-1102360</wp:posOffset>
            </wp:positionV>
            <wp:extent cx="6951980" cy="208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1980" cy="20891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-433705</wp:posOffset>
            </wp:positionV>
            <wp:extent cx="6951980" cy="2171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51980" cy="21717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-33020</wp:posOffset>
            </wp:positionV>
            <wp:extent cx="576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-7620</wp:posOffset>
            </wp:positionV>
            <wp:extent cx="576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-768350</wp:posOffset>
            </wp:positionV>
            <wp:extent cx="6951980" cy="225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1980" cy="22542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2220" w:space="440"/>
            <w:col w:w="8300"/>
          </w:cols>
          <w:pgMar w:left="320" w:top="12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36"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30480</wp:posOffset>
            </wp:positionV>
            <wp:extent cx="54476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47665" cy="8255"/>
                    </a:xfrm>
                    <a:prstGeom prst="rect">
                      <a:avLst/>
                    </a:prstGeom>
                    <a:noFill/>
                  </pic:spPr>
                </pic:pic>
              </a:graphicData>
            </a:graphic>
          </wp:anchor>
        </w:drawing>
      </w:r>
    </w:p>
    <w:p>
      <w:pPr>
        <w:spacing w:after="0" w:line="3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Total Gains (Losses)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Net transfer</w:t>
            </w:r>
          </w:p>
        </w:tc>
        <w:tc>
          <w:tcPr>
            <w:tcW w:w="8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2"/>
              <w:spacing w:after="0" w:line="11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Beginning</w:t>
            </w: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92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In (Out) of</w:t>
            </w: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End of</w:t>
            </w:r>
          </w:p>
        </w:tc>
        <w:tc>
          <w:tcPr>
            <w:tcW w:w="100" w:type="dxa"/>
            <w:vAlign w:val="bottom"/>
          </w:tcPr>
          <w:p>
            <w:pPr>
              <w:spacing w:after="0"/>
              <w:rPr>
                <w:sz w:val="10"/>
                <w:szCs w:val="10"/>
                <w:color w:val="auto"/>
              </w:rPr>
            </w:pPr>
          </w:p>
        </w:tc>
        <w:tc>
          <w:tcPr>
            <w:tcW w:w="740" w:type="dxa"/>
            <w:vAlign w:val="bottom"/>
          </w:tcPr>
          <w:p>
            <w:pPr>
              <w:jc w:val="center"/>
              <w:ind w:right="32"/>
              <w:spacing w:after="0" w:line="118" w:lineRule="exact"/>
              <w:rPr>
                <w:sz w:val="20"/>
                <w:szCs w:val="20"/>
                <w:color w:val="auto"/>
              </w:rPr>
            </w:pPr>
            <w:r>
              <w:rPr>
                <w:rFonts w:ascii="Times New Roman" w:cs="Times New Roman" w:eastAsia="Times New Roman" w:hAnsi="Times New Roman"/>
                <w:sz w:val="12"/>
                <w:szCs w:val="12"/>
                <w:b w:val="1"/>
                <w:bCs w:val="1"/>
                <w:color w:val="auto"/>
              </w:rPr>
              <w:t>Included in</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0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w w:val="96"/>
              </w:rPr>
              <w:t>OCI</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Fixed maturity securities available-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for-sale: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3,959</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5,952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affiliate</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Secured borrowing receivable</w:t>
            </w:r>
          </w:p>
        </w:tc>
        <w:tc>
          <w:tcPr>
            <w:tcW w:w="1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080" w:type="dxa"/>
            <w:vAlign w:val="bottom"/>
            <w:tcBorders>
              <w:top w:val="single" w:sz="8" w:color="CCEEFF"/>
            </w:tcBorders>
            <w:shd w:val="clear" w:color="auto" w:fill="CCEEFF"/>
          </w:tcPr>
          <w:p>
            <w:pPr>
              <w:ind w:left="340"/>
              <w:spacing w:after="0" w:line="119" w:lineRule="exact"/>
              <w:rPr>
                <w:sz w:val="20"/>
                <w:szCs w:val="20"/>
                <w:color w:val="auto"/>
              </w:rPr>
            </w:pPr>
            <w:r>
              <w:rPr>
                <w:rFonts w:ascii="Times New Roman" w:cs="Times New Roman" w:eastAsia="Times New Roman" w:hAnsi="Times New Roman"/>
                <w:sz w:val="13"/>
                <w:szCs w:val="13"/>
                <w:b w:val="1"/>
                <w:bCs w:val="1"/>
                <w:color w:val="auto"/>
              </w:rPr>
              <w:t>Total assets at Level 3 fair</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5,600</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7,418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91"/>
        </w:trPr>
        <w:tc>
          <w:tcPr>
            <w:tcW w:w="2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FIA embedded derivatives,</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3,883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340"/>
              <w:spacing w:after="0" w:line="112" w:lineRule="exact"/>
              <w:rPr>
                <w:sz w:val="20"/>
                <w:szCs w:val="20"/>
                <w:color w:val="auto"/>
              </w:rPr>
            </w:pPr>
            <w:r>
              <w:rPr>
                <w:rFonts w:ascii="Times New Roman" w:cs="Times New Roman" w:eastAsia="Times New Roman" w:hAnsi="Times New Roman"/>
                <w:sz w:val="12"/>
                <w:szCs w:val="12"/>
                <w:b w:val="1"/>
                <w:bCs w:val="1"/>
                <w:color w:val="auto"/>
              </w:rPr>
              <w:t>Total liabilities at Level 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3,883</w:t>
            </w:r>
          </w:p>
        </w:tc>
        <w:tc>
          <w:tcPr>
            <w:tcW w:w="2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60" w:right="120"/>
        <w:spacing w:after="0" w:line="290" w:lineRule="auto"/>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a) The net transfers out of Level 3 during the nine months ended September 30, 2022 were to Level 2, except for the net transfers out related to our other long-term investment, which was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30480</wp:posOffset>
            </wp:positionV>
            <wp:extent cx="5481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1320" cy="8255"/>
                    </a:xfrm>
                    <a:prstGeom prst="rect">
                      <a:avLst/>
                    </a:prstGeom>
                    <a:noFill/>
                  </pic:spPr>
                </pic:pic>
              </a:graphicData>
            </a:graphic>
          </wp:anchor>
        </w:drawing>
      </w:r>
    </w:p>
    <w:p>
      <w:pPr>
        <w:spacing w:after="0" w:line="3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Total Gains (Losses)</w:t>
      </w:r>
    </w:p>
    <w:p>
      <w:pPr>
        <w:spacing w:after="0" w:line="265"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Net transfer</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9"/>
              </w:rPr>
              <w:t>Change in</w:t>
            </w: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2"/>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94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w w:val="99"/>
              </w:rPr>
              <w:t>In (Out) of</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100" w:type="dxa"/>
            <w:vAlign w:val="bottom"/>
          </w:tcPr>
          <w:p>
            <w:pPr>
              <w:spacing w:after="0"/>
              <w:rPr>
                <w:sz w:val="11"/>
                <w:szCs w:val="11"/>
                <w:color w:val="auto"/>
              </w:rPr>
            </w:pPr>
          </w:p>
        </w:tc>
        <w:tc>
          <w:tcPr>
            <w:tcW w:w="740" w:type="dxa"/>
            <w:vAlign w:val="bottom"/>
          </w:tcPr>
          <w:p>
            <w:pPr>
              <w:jc w:val="center"/>
              <w:ind w:right="32"/>
              <w:spacing w:after="0" w:line="132" w:lineRule="exact"/>
              <w:rPr>
                <w:sz w:val="20"/>
                <w:szCs w:val="20"/>
                <w:color w:val="auto"/>
              </w:rPr>
            </w:pPr>
            <w:r>
              <w:rPr>
                <w:rFonts w:ascii="Times New Roman" w:cs="Times New Roman" w:eastAsia="Times New Roman" w:hAnsi="Times New Roman"/>
                <w:sz w:val="12"/>
                <w:szCs w:val="12"/>
                <w:b w:val="1"/>
                <w:bCs w:val="1"/>
                <w:color w:val="auto"/>
              </w:rPr>
              <w:t>Included in</w:t>
            </w:r>
          </w:p>
        </w:tc>
        <w:tc>
          <w:tcPr>
            <w:tcW w:w="0" w:type="dxa"/>
            <w:vAlign w:val="bottom"/>
          </w:tcPr>
          <w:p>
            <w:pPr>
              <w:spacing w:after="0"/>
              <w:rPr>
                <w:sz w:val="1"/>
                <w:szCs w:val="1"/>
                <w:color w:val="auto"/>
              </w:rPr>
            </w:pPr>
          </w:p>
        </w:tc>
      </w:tr>
      <w:tr>
        <w:trPr>
          <w:trHeight w:val="171"/>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OCI</w:t>
            </w:r>
          </w:p>
        </w:tc>
        <w:tc>
          <w:tcPr>
            <w:tcW w:w="0" w:type="dxa"/>
            <w:vAlign w:val="bottom"/>
          </w:tcPr>
          <w:p>
            <w:pPr>
              <w:spacing w:after="0"/>
              <w:rPr>
                <w:sz w:val="1"/>
                <w:szCs w:val="1"/>
                <w:color w:val="auto"/>
              </w:rPr>
            </w:pPr>
          </w:p>
        </w:tc>
      </w:tr>
      <w:tr>
        <w:trPr>
          <w:trHeight w:val="154"/>
        </w:trPr>
        <w:tc>
          <w:tcPr>
            <w:tcW w:w="212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Fixed maturity securities available-</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center"/>
              <w:ind w:left="39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3"/>
        </w:trPr>
        <w:tc>
          <w:tcPr>
            <w:tcW w:w="212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left="39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3"/>
        </w:trPr>
        <w:tc>
          <w:tcPr>
            <w:tcW w:w="212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Equity and preferred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2120" w:type="dxa"/>
            <w:vAlign w:val="bottom"/>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Total assets at Level 3 fair</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center"/>
              <w:ind w:left="39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74"/>
        </w:trPr>
        <w:tc>
          <w:tcPr>
            <w:tcW w:w="21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-94615</wp:posOffset>
            </wp:positionV>
            <wp:extent cx="6826885" cy="1250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26885" cy="1250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260"/>
        <w:spacing w:after="0"/>
        <w:tabs>
          <w:tab w:leader="none" w:pos="2360" w:val="left"/>
        </w:tabs>
        <w:rPr>
          <w:sz w:val="20"/>
          <w:szCs w:val="20"/>
          <w:color w:val="auto"/>
        </w:rPr>
      </w:pPr>
      <w:r>
        <w:rPr>
          <w:rFonts w:ascii="Times New Roman" w:cs="Times New Roman" w:eastAsia="Times New Roman" w:hAnsi="Times New Roman"/>
          <w:sz w:val="14"/>
          <w:szCs w:val="14"/>
          <w:color w:val="auto"/>
        </w:rPr>
        <w:t>Future policy benefits (FSRC)</w:t>
      </w:r>
      <w:r>
        <w:rPr>
          <w:sz w:val="20"/>
          <w:szCs w:val="20"/>
          <w:color w:val="auto"/>
        </w:rPr>
        <w:tab/>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260" w:right="160"/>
        <w:spacing w:after="0" w:line="244" w:lineRule="auto"/>
        <w:rPr>
          <w:sz w:val="20"/>
          <w:szCs w:val="20"/>
          <w:color w:val="auto"/>
        </w:rPr>
      </w:pPr>
      <w:r>
        <w:rPr>
          <w:rFonts w:ascii="Times New Roman" w:cs="Times New Roman" w:eastAsia="Times New Roman" w:hAnsi="Times New Roman"/>
          <w:sz w:val="14"/>
          <w:szCs w:val="14"/>
          <w:color w:val="auto"/>
        </w:rPr>
        <w:t>FIA embedded derivatives, included in contractholder funds</w:t>
      </w:r>
    </w:p>
    <w:p>
      <w:pPr>
        <w:ind w:left="580"/>
        <w:spacing w:after="0" w:line="212" w:lineRule="auto"/>
        <w:rPr>
          <w:sz w:val="20"/>
          <w:szCs w:val="20"/>
          <w:color w:val="auto"/>
        </w:rPr>
      </w:pPr>
      <w:r>
        <w:rPr>
          <w:rFonts w:ascii="Times New Roman" w:cs="Times New Roman" w:eastAsia="Times New Roman" w:hAnsi="Times New Roman"/>
          <w:sz w:val="14"/>
          <w:szCs w:val="14"/>
          <w:b w:val="1"/>
          <w:bCs w:val="1"/>
          <w:color w:val="auto"/>
        </w:rPr>
        <w:t>Total liabilities at Level 3 fair</w:t>
      </w:r>
    </w:p>
    <w:p>
      <w:pPr>
        <w:jc w:val="both"/>
        <w:ind w:left="580"/>
        <w:spacing w:after="0" w:line="227" w:lineRule="auto"/>
        <w:tabs>
          <w:tab w:leader="none" w:pos="2360" w:val="left"/>
        </w:tabs>
        <w:rPr>
          <w:sz w:val="20"/>
          <w:szCs w:val="20"/>
          <w:color w:val="auto"/>
        </w:rPr>
      </w:pPr>
      <w:r>
        <w:rPr>
          <w:rFonts w:ascii="Times New Roman" w:cs="Times New Roman" w:eastAsia="Times New Roman" w:hAnsi="Times New Roman"/>
          <w:sz w:val="14"/>
          <w:szCs w:val="14"/>
          <w:b w:val="1"/>
          <w:bCs w:val="1"/>
          <w:color w:val="auto"/>
        </w:rPr>
        <w:t>value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r>
      <w:tr>
        <w:trPr>
          <w:trHeight w:val="32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3,404</w:t>
            </w:r>
          </w:p>
        </w:tc>
        <w:tc>
          <w:tcPr>
            <w:tcW w:w="360" w:type="dxa"/>
            <w:vAlign w:val="bottom"/>
          </w:tcPr>
          <w:p>
            <w:pPr>
              <w:spacing w:after="0"/>
              <w:rPr>
                <w:sz w:val="24"/>
                <w:szCs w:val="2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3,409</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-433705</wp:posOffset>
            </wp:positionV>
            <wp:extent cx="6826885" cy="217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26885" cy="2171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-33020</wp:posOffset>
            </wp:positionV>
            <wp:extent cx="576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58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-7620</wp:posOffset>
            </wp:positionV>
            <wp:extent cx="576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580" cy="825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2460" w:space="440"/>
            <w:col w:w="8340"/>
          </w:cols>
          <w:pgMar w:left="320" w:top="121" w:right="3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$197 million and $136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Investment contracts include deferred annuities (FIAs and fixed rate annuities), indexed IULs, funding agreements and pension risk transfer solutions ("PRT") and immediate annuity contracts without life contingencies. The FIA/ 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debt is based on quoted market prices. The inputs used to measure the fair value of our outstanding debt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NAV</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4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4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24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2,789</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33,207</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33,207</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NAV</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18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24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2,350</w:t>
            </w:r>
          </w:p>
        </w:tc>
        <w:tc>
          <w:tcPr>
            <w:tcW w:w="0" w:type="dxa"/>
            <w:vAlign w:val="bottom"/>
          </w:tcPr>
          <w:p>
            <w:pPr>
              <w:spacing w:after="0"/>
              <w:rPr>
                <w:sz w:val="1"/>
                <w:szCs w:val="1"/>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333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7,157</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31,529</w:t>
            </w:r>
          </w:p>
        </w:tc>
        <w:tc>
          <w:tcPr>
            <w:tcW w:w="0" w:type="dxa"/>
            <w:vAlign w:val="bottom"/>
          </w:tcPr>
          <w:p>
            <w:pPr>
              <w:spacing w:after="0"/>
              <w:rPr>
                <w:sz w:val="1"/>
                <w:szCs w:val="1"/>
                <w:color w:val="auto"/>
              </w:rPr>
            </w:pPr>
          </w:p>
        </w:tc>
      </w:tr>
      <w:tr>
        <w:trPr>
          <w:trHeight w:val="19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3,096</w:t>
            </w:r>
          </w:p>
        </w:tc>
        <w:tc>
          <w:tcPr>
            <w:tcW w:w="0" w:type="dxa"/>
            <w:vAlign w:val="bottom"/>
          </w:tcPr>
          <w:p>
            <w:pPr>
              <w:spacing w:after="0"/>
              <w:rPr>
                <w:sz w:val="1"/>
                <w:szCs w:val="1"/>
                <w:color w:val="auto"/>
              </w:rPr>
            </w:pPr>
          </w:p>
        </w:tc>
      </w:tr>
      <w:tr>
        <w:trPr>
          <w:trHeight w:val="222"/>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34,625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a price less than NAV would be received in the event of a liquidation.</w:t>
      </w:r>
    </w:p>
    <w:p>
      <w:pPr>
        <w:spacing w:after="0" w:line="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77"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fixed maturity securities investments have been designated as available-for-sale ("AFS"), and are carried at fair value, net of allowance for expected credit losses, with unrealized gains and losses included in AOCI, net of associated adjustments for VOBA, DAC, DSI, unearned revenue ("UREV"), SOP 03-1 reserves, and deferred income taxes. Our preferred and equity securities investments are carried at fair value with unrealized gains and losses included in net earnings. The Company’s consolidated investments at September 30, 2022 and December 31, 2021 are summarized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8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0"/>
                <w:szCs w:val="10"/>
                <w:color w:val="auto"/>
              </w:rPr>
            </w:pPr>
          </w:p>
        </w:tc>
        <w:tc>
          <w:tcPr>
            <w:tcW w:w="1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10,844</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22"/>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0"/>
                <w:szCs w:val="10"/>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22"/>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w w:val="97"/>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$16,517 million and $22,343 million at September 30, 2022 and December 31, 2021, respectively.</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and December 31, 2021, the Company held no material investments that were non-income producing for a period greater than twelve months.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Company's accrued interest receivable balance was $330 million and $253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receivable is classified within Prepaid expenses and other assets within the unaudited Condensed Consolidated Balance Sheets.</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$3,125 million and $2,469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274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r>
      <w:tr>
        <w:trPr>
          <w:trHeight w:val="24"/>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13,608</w:t>
            </w:r>
          </w:p>
        </w:tc>
      </w:tr>
      <w:tr>
        <w:trPr>
          <w:trHeight w:val="183"/>
        </w:trPr>
        <w:tc>
          <w:tcPr>
            <w:tcW w:w="5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19,548</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Structured hybrids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4"/>
        </w:trPr>
        <w:tc>
          <w:tcPr>
            <w:tcW w:w="5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12,442</w:t>
            </w:r>
          </w:p>
        </w:tc>
      </w:tr>
      <w:tr>
        <w:trPr>
          <w:trHeight w:val="222"/>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3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7" w:lineRule="exact"/>
        <w:rPr>
          <w:sz w:val="20"/>
          <w:szCs w:val="20"/>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currency or interest-rate related, including general credit spread widening);</w:t>
      </w:r>
    </w:p>
    <w:p>
      <w:pPr>
        <w:spacing w:after="0" w:line="135"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7"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is necessary:</w:t>
      </w:r>
    </w:p>
    <w:p>
      <w:pPr>
        <w:spacing w:after="0" w:line="122" w:lineRule="exact"/>
        <w:rPr>
          <w:sz w:val="20"/>
          <w:szCs w:val="20"/>
          <w:color w:val="auto"/>
        </w:rPr>
      </w:pPr>
    </w:p>
    <w:p>
      <w:pPr>
        <w:ind w:left="680" w:hanging="280"/>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0" w:hanging="28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35" w:lineRule="exact"/>
        <w:rPr>
          <w:rFonts w:ascii="Times New Roman" w:cs="Times New Roman" w:eastAsia="Times New Roman" w:hAnsi="Times New Roman"/>
          <w:sz w:val="18"/>
          <w:szCs w:val="18"/>
          <w:color w:val="auto"/>
        </w:rPr>
      </w:pPr>
    </w:p>
    <w:p>
      <w:pPr>
        <w:ind w:left="680" w:hanging="28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12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 As of September 30, 2022 and December 31, 2021, our allowance for expected credit losses for AFS securities was $22 million and $8 million, respectively.</w:t>
      </w:r>
    </w:p>
    <w:p>
      <w:pPr>
        <w:spacing w:after="0" w:line="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Purchased credit deteriorated ("PCD") financial assets are AFS securities purchased at a discount, where part of that discount is attributable to credit. Credit loss allowances are calculated for these securities as of the date of their acquisition, with the initial allowance serving to increase amortized cost. There were no purchases of PCD AFS securities during the three and nine months ended September 30, 2022 or 2021.</w:t>
      </w:r>
    </w:p>
    <w:p>
      <w:pPr>
        <w:spacing w:after="0" w:line="2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September 30, 2022 and December 31, 2021 were as follows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80" w:type="dxa"/>
            <w:vAlign w:val="bottom"/>
          </w:tcPr>
          <w:p>
            <w:pPr>
              <w:spacing w:after="0"/>
              <w:rPr>
                <w:sz w:val="16"/>
                <w:szCs w:val="16"/>
                <w:color w:val="auto"/>
              </w:rPr>
            </w:pPr>
          </w:p>
        </w:tc>
        <w:tc>
          <w:tcPr>
            <w:tcW w:w="244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7"/>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24,611</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position twelve months or longer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80" w:type="dxa"/>
            <w:vAlign w:val="bottom"/>
          </w:tcPr>
          <w:p>
            <w:pPr>
              <w:spacing w:after="0"/>
              <w:rPr>
                <w:sz w:val="16"/>
                <w:szCs w:val="16"/>
                <w:color w:val="auto"/>
              </w:rPr>
            </w:pPr>
          </w:p>
        </w:tc>
        <w:tc>
          <w:tcPr>
            <w:tcW w:w="244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position twelve months or longer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determined the increase in unrealized losses as of September 30, 2022 was caused by higher treasury rates as well as wider spreads. This is in part due to the Federal Reserve's action to increase rates in efforts to combat inflation. Inflation in the first three quarters of 2022 has been compounded by supply chain issues stemming from additional COVID-19 restrictions in China, as well as higher energy prices as a result of the Russian-Ukrainian conflict. For securities in an unrealized loss position as of September 30, 2022, our allowance for expected credit loss was $22 million. We believe that unrealized loss position for which we have not recorded an allowance for expected credit loss as of September 30, 2022 was primarily attributable to interest rate increases, near-term illiquidity, and uncertainty caused by Russia's invasion of Ukraine as opposed to issuer specific credit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Commercial Mortgage Loans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of our total investments as of September 30, 2022. We primarily invest in mortgage loans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3"/>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4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Gross Carrying 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Gross Carrying Value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Mixed Use</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Student Housing</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1"/>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7"/>
        </w:trPr>
        <w:tc>
          <w:tcPr>
            <w:tcW w:w="4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Region:</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East North Central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East South Central</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Middle Atlantic</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Mountain</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England</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Pacific</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Atlantic</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North Central</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West South Central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1"/>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loan-to-value ratios at September 30, 2022 and December 31, 2021 presented at gross carrying value (dollars in millions)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69215</wp:posOffset>
            </wp:positionV>
            <wp:extent cx="48710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7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66"/>
        </w:trPr>
        <w:tc>
          <w:tcPr>
            <w:tcW w:w="3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8"/>
              </w:rPr>
              <w:t>&lt;1.00</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LTV Ratios: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50% to 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60% to 75%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91"/>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75% to 85%</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2"/>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LTV Ratios: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50% to 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60% to 75%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At September 30, 2022 we had one CML that was delinquent in principal or interest payments as shown in the risk rating exposure table below. At December 31, 2021 we had no CMLs that were delinquent in principal or interest payments.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Residential Mortgage Loans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Residential mortgage loans ("RMLs") represented approximately 5% of our total investments as of September 30, 2022.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3"/>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States (1)</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6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6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equal to or less than 5%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states (1)</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less than 9% as of December 31, 2021.</w:t>
      </w:r>
    </w:p>
    <w:p>
      <w:pPr>
        <w:spacing w:after="0" w:line="12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of September 30, 2022 and December 31, 2021, was as follows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20" w:type="dxa"/>
            <w:vAlign w:val="bottom"/>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 gross of valuation allowance</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Loans segregated by risk rating exposure as of September 30, 2022 and December 31, 2021,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72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90 days or over past due</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7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7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over past due</w:t>
            </w: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66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90 days or over past due</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6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over past due</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w:t>
            </w:r>
          </w:p>
        </w:tc>
        <w:tc>
          <w:tcPr>
            <w:tcW w:w="7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to 60%</w:t>
            </w:r>
          </w:p>
        </w:tc>
        <w:tc>
          <w:tcPr>
            <w:tcW w:w="7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20" w:type="dxa"/>
            <w:vAlign w:val="bottom"/>
          </w:tcPr>
          <w:p>
            <w:pPr>
              <w:spacing w:after="0"/>
              <w:rPr>
                <w:sz w:val="16"/>
                <w:szCs w:val="16"/>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 to 75%</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75% to 85%</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72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3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
        </w:trPr>
        <w:tc>
          <w:tcPr>
            <w:tcW w:w="3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to 60%</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6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 to 75%</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Non-accrual loans by amortized cost as of September 30, 2022 and December 31, 2021, were as follows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3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3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loans</w:t>
            </w: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and nine months ended September 30, 2022.</w:t>
      </w:r>
    </w:p>
    <w:p>
      <w:pPr>
        <w:spacing w:after="0" w:line="12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As of September 30, 2022 and December 31, 2021, we had $64 million and $72 million, respectively, of residential mortgage loans that were over 90 days past due, of which $33 million and $39 million were in the process of foreclosure as of September 30, 2022 and December 31,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allowances for our mortgage loan portfolio is summarized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3460" w:type="dxa"/>
            <w:vAlign w:val="bottom"/>
            <w:gridSpan w:val="7"/>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00" w:type="dxa"/>
            <w:vAlign w:val="bottom"/>
          </w:tcPr>
          <w:p>
            <w:pPr>
              <w:spacing w:after="0"/>
              <w:rPr>
                <w:sz w:val="11"/>
                <w:szCs w:val="11"/>
                <w:color w:val="auto"/>
              </w:rPr>
            </w:pPr>
          </w:p>
        </w:tc>
        <w:tc>
          <w:tcPr>
            <w:tcW w:w="96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left="13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0"/>
              <w:spacing w:after="0" w:line="127" w:lineRule="exact"/>
              <w:rPr>
                <w:sz w:val="20"/>
                <w:szCs w:val="20"/>
                <w:color w:val="auto"/>
              </w:rPr>
            </w:pPr>
            <w:r>
              <w:rPr>
                <w:rFonts w:ascii="Times New Roman" w:cs="Times New Roman" w:eastAsia="Times New Roman" w:hAnsi="Times New Roman"/>
                <w:sz w:val="14"/>
                <w:szCs w:val="14"/>
                <w:b w:val="1"/>
                <w:bCs w:val="1"/>
                <w:color w:val="auto"/>
                <w:w w:val="98"/>
              </w:rPr>
              <w:t>Residential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6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2"/>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3460" w:type="dxa"/>
            <w:vAlign w:val="bottom"/>
            <w:gridSpan w:val="7"/>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00" w:type="dxa"/>
            <w:vAlign w:val="bottom"/>
          </w:tcPr>
          <w:p>
            <w:pPr>
              <w:spacing w:after="0"/>
              <w:rPr>
                <w:sz w:val="11"/>
                <w:szCs w:val="11"/>
                <w:color w:val="auto"/>
              </w:rPr>
            </w:pPr>
          </w:p>
        </w:tc>
        <w:tc>
          <w:tcPr>
            <w:tcW w:w="96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17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0"/>
              <w:spacing w:after="0" w:line="127" w:lineRule="exact"/>
              <w:rPr>
                <w:sz w:val="20"/>
                <w:szCs w:val="20"/>
                <w:color w:val="auto"/>
              </w:rPr>
            </w:pPr>
            <w:r>
              <w:rPr>
                <w:rFonts w:ascii="Times New Roman" w:cs="Times New Roman" w:eastAsia="Times New Roman" w:hAnsi="Times New Roman"/>
                <w:sz w:val="14"/>
                <w:szCs w:val="14"/>
                <w:b w:val="1"/>
                <w:bCs w:val="1"/>
                <w:color w:val="auto"/>
                <w:w w:val="98"/>
              </w:rPr>
              <w:t>Residential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6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4"/>
                <w:szCs w:val="14"/>
                <w:color w:val="auto"/>
                <w:w w:val="99"/>
              </w:rPr>
              <w:t>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9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67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22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4"/>
                <w:szCs w:val="14"/>
                <w:color w:val="auto"/>
                <w:w w:val="99"/>
              </w:rPr>
              <w:t>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2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19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2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7"/>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gains on fixed maturity 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equity securities (1)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preferred securities (2)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gains on other invested assets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(losses) gains on certain derivative instruments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losses on certain derivative instruments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5"/>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1"/>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 gains on derivatives and embedded derivatives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9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firstLine="5"/>
        <w:spacing w:after="0" w:line="263" w:lineRule="auto"/>
        <w:tabs>
          <w:tab w:leader="none" w:pos="20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$52 million and $194 million for the three months ended September 30, 2022 and 2021, respectively, and net valuation losses of $440 million and $285 million for the nine months ended September 30, 2022 and 2021, respectively.</w:t>
      </w:r>
    </w:p>
    <w:p>
      <w:pPr>
        <w:spacing w:after="0" w:line="1" w:lineRule="exact"/>
        <w:rPr>
          <w:rFonts w:ascii="Times New Roman" w:cs="Times New Roman" w:eastAsia="Times New Roman" w:hAnsi="Times New Roman"/>
          <w:sz w:val="14"/>
          <w:szCs w:val="14"/>
          <w:color w:val="auto"/>
        </w:rPr>
      </w:pPr>
    </w:p>
    <w:p>
      <w:pPr>
        <w:ind w:firstLine="5"/>
        <w:spacing w:after="0" w:line="245" w:lineRule="auto"/>
        <w:tabs>
          <w:tab w:leader="none" w:pos="2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$6 million and $1 million for the three months ended September 30, 2022 and 2021, respectively, and net valuation (losses) gains of $(213) million and $4 million for the nine months ended September 30, 2022 and 2021, respectively.</w:t>
      </w:r>
    </w:p>
    <w:p>
      <w:pPr>
        <w:ind w:firstLine="5"/>
        <w:spacing w:after="0" w:line="270" w:lineRule="auto"/>
        <w:tabs>
          <w:tab w:leader="none" w:pos="2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 with Kubera (novated from Kubera to Sommerset effective October 31, 2021) and Aspida 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7"/>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own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Our maximum exposure to loss with respect to these VIEs is limited to the investment carrying amounts reported in our unaudited Condensed Consolidated Balance Sheets for limited partnerships and the amortized costs of our fixed maturity securities, in addition to any required unfunded commitments (also refer to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September 30, 2022 and December 31, 2021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276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70"/>
              <w:spacing w:after="0" w:line="125"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70"/>
              <w:spacing w:after="0" w:line="125"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7"/>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limited partnerships</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12,802</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underlying investment concentrations that exceed 10% of shareholders equity are as follows (in millions):</w:t>
      </w:r>
    </w:p>
    <w:p>
      <w:pPr>
        <w:spacing w:after="0" w:line="168"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30480</wp:posOffset>
            </wp:positionV>
            <wp:extent cx="6751320"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51320" cy="133985"/>
                    </a:xfrm>
                    <a:prstGeom prst="rect">
                      <a:avLst/>
                    </a:prstGeom>
                    <a:noFill/>
                  </pic:spPr>
                </pic:pic>
              </a:graphicData>
            </a:graphic>
          </wp:anchor>
        </w:drawing>
      </w:r>
    </w:p>
    <w:p>
      <w:pPr>
        <w:spacing w:after="0" w:line="32" w:lineRule="exact"/>
        <w:rPr>
          <w:sz w:val="20"/>
          <w:szCs w:val="20"/>
          <w:color w:val="auto"/>
        </w:rPr>
      </w:pPr>
    </w:p>
    <w:p>
      <w:pPr>
        <w:ind w:left="420"/>
        <w:spacing w:after="0"/>
        <w:tabs>
          <w:tab w:leader="none" w:pos="9620" w:val="left"/>
          <w:tab w:leader="none" w:pos="10740" w:val="left"/>
        </w:tabs>
        <w:rPr>
          <w:sz w:val="20"/>
          <w:szCs w:val="20"/>
          <w:color w:val="auto"/>
        </w:rPr>
      </w:pPr>
      <w:r>
        <w:rPr>
          <w:rFonts w:ascii="Times New Roman" w:cs="Times New Roman" w:eastAsia="Times New Roman" w:hAnsi="Times New Roman"/>
          <w:sz w:val="14"/>
          <w:szCs w:val="14"/>
          <w:color w:val="auto"/>
        </w:rPr>
        <w:t>Blackstone Wave Asset Holdco (1)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902</w:t>
      </w:r>
    </w:p>
    <w:p>
      <w:pPr>
        <w:spacing w:after="0" w:line="181" w:lineRule="exact"/>
        <w:rPr>
          <w:sz w:val="20"/>
          <w:szCs w:val="20"/>
          <w:color w:val="auto"/>
        </w:rPr>
      </w:pPr>
    </w:p>
    <w:p>
      <w:pPr>
        <w:ind w:left="420" w:right="220" w:hanging="2"/>
        <w:spacing w:after="0" w:line="234" w:lineRule="auto"/>
        <w:tabs>
          <w:tab w:leader="none" w:pos="63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special purpose vehicle that holds investments in numerous limited partnership investments whose underlying investments are further diversified by holding interest in multiple individual investments and industries.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Cannae Holdings, Inc. ("Cannae")</w:t>
      </w:r>
    </w:p>
    <w:p>
      <w:pPr>
        <w:spacing w:after="0" w:line="11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Included in equity securities as of December 31, 2021 were 5,775,598 shares of Cannae common stock (NYSE: CNNE). The fair value of this investment based on quoted market prices as of December 31, 2021 was $203 million. During the nine months ended September 30, 2022, we sold all 5,775,598 shares of CNNE common stock back to Cannae for approximately $109 million in the aggregate. As of September 30, 2022, we held no shares of CNNE common stock.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carrying amounts of derivative instruments, including derivative instruments embedded in FIA and IUL contracts, and reinsurance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4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Call options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9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change in fair value of derivative instruments included within Recognized gains and losses, net, in the accompanying unaudited Condensed Consolidated Statements of Earnings is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gains (losses):</w:t>
            </w: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4"/>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7"/>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Call options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9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derivatives and embedded derivatives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8"/>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7"/>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investment gains (losses)</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7"/>
        </w:trPr>
        <w:tc>
          <w:tcPr>
            <w:tcW w:w="4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1"/>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22"/>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FIA/IUL Embedded Derivative and Call Options and Futures</w:t>
      </w:r>
    </w:p>
    <w:p>
      <w:pPr>
        <w:spacing w:after="0" w:line="150" w:lineRule="exact"/>
        <w:rPr>
          <w:sz w:val="20"/>
          <w:szCs w:val="20"/>
          <w:color w:val="auto"/>
        </w:rPr>
      </w:pPr>
    </w:p>
    <w:p>
      <w:pPr>
        <w:jc w:val="both"/>
        <w:ind w:firstLine="395"/>
        <w:spacing w:after="0" w:line="267" w:lineRule="auto"/>
        <w:rPr>
          <w:sz w:val="20"/>
          <w:szCs w:val="20"/>
          <w:color w:val="auto"/>
        </w:rPr>
      </w:pPr>
      <w:r>
        <w:rPr>
          <w:rFonts w:ascii="Times New Roman" w:cs="Times New Roman" w:eastAsia="Times New Roman" w:hAnsi="Times New Roman"/>
          <w:sz w:val="16"/>
          <w:szCs w:val="16"/>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purchase derivatives consisting of a combination of call options and futures contracts (specifically for FIA contracts) on the applicable market indices to fund the index credits due to FIA/IUL contractholders.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FIA/IUL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in the accompanying unaudited Condensed Consolidated Statements of Earnings. The change in fair value of the call options and futures contracts includes the gains and losses recognized at the expiration of the instrument term or upon early termination and the changes in fair value of open positions.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call options we hold is presented in the following table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276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Net Credit Risk</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760" w:type="dxa"/>
            <w:vAlign w:val="bottom"/>
            <w:gridSpan w:val="2"/>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(Fitch/Moody's/S&amp;P) (1)</w:t>
            </w:r>
          </w:p>
        </w:tc>
        <w:tc>
          <w:tcPr>
            <w:tcW w:w="22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AA/*/A+</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3,937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*/Aa3/A+</w:t>
            </w:r>
          </w:p>
        </w:tc>
        <w:tc>
          <w:tcPr>
            <w:tcW w:w="22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1,420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AA/Aa2/A+</w:t>
            </w:r>
          </w:p>
        </w:tc>
        <w:tc>
          <w:tcPr>
            <w:tcW w:w="22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4,189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A+/A1/BBB+</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1,783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A/A2/BBB+</w:t>
            </w:r>
          </w:p>
        </w:tc>
        <w:tc>
          <w:tcPr>
            <w:tcW w:w="22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76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BBB+/A2/A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A+/A2/A</w:t>
            </w:r>
          </w:p>
        </w:tc>
        <w:tc>
          <w:tcPr>
            <w:tcW w:w="22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2,706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Citibank</w:t>
            </w:r>
          </w:p>
        </w:tc>
        <w:tc>
          <w:tcPr>
            <w:tcW w:w="276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A+/Aa3/A+</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21,847</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276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2760" w:type="dxa"/>
            <w:vAlign w:val="bottom"/>
            <w:gridSpan w:val="2"/>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(Fitch/Moody's/S&amp;P) (1)</w:t>
            </w:r>
          </w:p>
        </w:tc>
        <w:tc>
          <w:tcPr>
            <w:tcW w:w="2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AA/*/A+</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*/Aa3/A+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AA/Aa2/A+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A+/A1/BBB+</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A/A2/BBB+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760" w:type="dxa"/>
            <w:vAlign w:val="bottom"/>
            <w:tcBorders>
              <w:bottom w:val="single" w:sz="8" w:color="CCEEFF"/>
            </w:tcBorders>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A+/A2/A</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An * represents credit ratings that were not available.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24"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September 30, 2022 and December 31, 2021 counterparties posted $116 million and $790 million, respectively, of collateral of which $91 million and $576 million, respectively, is included in cash and cash equivalents with an associated payable for this collateral included in accounts payable and accrued liabilities on the unaudited Condensed Consolidated Balance Sheets. Accordingly, the maximum amount of loss due to credit risk that we would incur if parties to the call options failed completely to perform according to the terms of the contracts was $14 million at September 30, 2022 and $42 million at December 31, 2021.</w:t>
      </w:r>
    </w:p>
    <w:p>
      <w:pPr>
        <w:spacing w:after="0" w:line="2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10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held 224 and 329 futures contracts at September 30, 2022 and December 31, 2021,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$2 million and $3 million at September 30, 2022 and December 31, 2021, respectively.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2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F&amp;G entered into a reinsurance agreement with Kubera effective December 31, 2018, to cede certain multi-year guaranteed annuity (“MYGA”) and deferred annuity business on a coinsurance funds withheld basis, net of applicable existing reinsurance. Effective October 31, 2021, this agreement was novated from Kubera to Somerset, a certified third-party reinsurer. Additionally, F&amp;G entered into a reinsurance agreement with Aspida Re effective January 1, 2021, and amended in August 2021 and September 2022, to cede a quota share of certain deferred annuity business on a funds withheld basis. Fair value movements in the funds withheld balances associated with these arrangements creates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 is based on the change in fair value of the underlying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assets held in the funds withheld portfolio. Investment results for the assets that support the coinsurance with funds withheld reinsurance arrangements, including gains and losses from sales, were passed directly to the reinsurers pursuant to contractual terms of the reinsurance arrangements. The reinsurance related embedded derivatives are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78"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207"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$16 million and $12 million as of September 30, 2022 and December 31, 2021,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97"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8"/>
          <w:szCs w:val="18"/>
          <w:color w:val="auto"/>
        </w:rPr>
        <w:t xml:space="preserve">Two lawsuits have been filed related to FNF’s acquisition of F&amp;G. On August 4, 2020, a stockholder derivative lawsuit styled, </w:t>
      </w:r>
      <w:r>
        <w:rPr>
          <w:rFonts w:ascii="Times New Roman" w:cs="Times New Roman" w:eastAsia="Times New Roman" w:hAnsi="Times New Roman"/>
          <w:sz w:val="18"/>
          <w:szCs w:val="18"/>
          <w:i w:val="1"/>
          <w:iCs w:val="1"/>
          <w:color w:val="auto"/>
        </w:rPr>
        <w:t>City of Miami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 and Sanitation Employees’ Retirement Trust v. Fidelity National Financial, et al.</w:t>
      </w:r>
      <w:r>
        <w:rPr>
          <w:rFonts w:ascii="Times New Roman" w:cs="Times New Roman" w:eastAsia="Times New Roman" w:hAnsi="Times New Roman"/>
          <w:sz w:val="18"/>
          <w:szCs w:val="18"/>
          <w:color w:val="auto"/>
        </w:rPr>
        <w:t>, was filed in the Court of Chancery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Company, its Board of Directors and others alleging breach of fiduciary duties as directors and officers relating to FNF’s acquisition of F&amp;G. The Company’s Board of Directors (“Board”) designated a Special Litigation Committee (the “SLC”) consisting of three of the Board’s Directors, and authorized the SLC, among other things, to investigate and evaluate the claims and allegations asserted in the lawsuit. The Board gave the SLC the sole authority and power to consider and determine whether or not prosecution of the claims asserted in the lawsuit is in the best interest of the Company and its shareholders, and what action the Company should take with respect to the lawsuit. On January 24, 2022, the SLC, acting on behalf of FNF, and the other parties to the lawsuit reached an agreement to settle the action subject to various terms and conditions. On June 21, 2022, an order was entered approving the settlement and dismissing the case with prejudice.</w:t>
      </w:r>
    </w:p>
    <w:p>
      <w:pPr>
        <w:spacing w:after="0" w:line="205"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8"/>
          <w:szCs w:val="18"/>
          <w:color w:val="auto"/>
        </w:rPr>
        <w:t>On August 17, 2020, a lawsuit styled</w:t>
      </w:r>
      <w:r>
        <w:rPr>
          <w:rFonts w:ascii="Times New Roman" w:cs="Times New Roman" w:eastAsia="Times New Roman" w:hAnsi="Times New Roman"/>
          <w:sz w:val="18"/>
          <w:szCs w:val="18"/>
          <w:i w:val="1"/>
          <w:iCs w:val="1"/>
          <w:color w:val="auto"/>
        </w:rPr>
        <w:t>, In the Matter of FGL Holdings</w:t>
      </w:r>
      <w:r>
        <w:rPr>
          <w:rFonts w:ascii="Times New Roman" w:cs="Times New Roman" w:eastAsia="Times New Roman" w:hAnsi="Times New Roman"/>
          <w:sz w:val="18"/>
          <w:szCs w:val="18"/>
          <w:color w:val="auto"/>
        </w:rPr>
        <w:t>, was filed in the Grand Court of the Cayman Islands related to FNF's acquisition of F&amp;G where dissenting shareholders, Kingfishers LP, Kingstown 1740 Fund LP, Kingstown Partners II LP, Kingstown Partners Master Ltd., and Ktown LP, asserted statutory appraisal rights relative to their ownership of 12,000,000 shares of F&amp;G stock. They sought a judicial determination of the fair value of their shares of F&amp;G stock as of the date of valuation under the law of the Cayman Islands, together with interest. On September 5, 2022 the Grand Court of the Cayman Islands decided in favor of F&amp;G. The dissenters failed to appeal, and their appeal period expired on October 20, 2022.</w:t>
      </w:r>
    </w:p>
    <w:p>
      <w:pPr>
        <w:spacing w:after="0" w:line="208"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 Commitments</w:t>
      </w:r>
    </w:p>
    <w:p>
      <w:pPr>
        <w:spacing w:after="0" w:line="8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our F&amp;G segment, we have unfunded investment commitments as of September 30, 2022 based upon the timing of when investments are executed compared to when the actual investments are funded, as some investments require that funding occur over a period of months or years. A summary of unfunded commitments by invested asset class as of September 30, 2022 is included below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4"/>
        </w:trPr>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Limited partnerships</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Whole loans</w:t>
            </w:r>
          </w:p>
        </w:tc>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90"/>
        </w:trPr>
        <w:tc>
          <w:tcPr>
            <w:tcW w:w="8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 ABS</w:t>
            </w:r>
          </w:p>
        </w:tc>
        <w:tc>
          <w:tcPr>
            <w:tcW w:w="3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3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Committed amounts included in liabilities</w:t>
            </w:r>
          </w:p>
        </w:tc>
        <w:tc>
          <w:tcPr>
            <w:tcW w:w="3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7"/>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November 3, 2022, our Board of Directors declared cash dividends of $0.45 per share, payable on December 30, 2022, to FNF common shareholders of record as of December 16,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and for the three months ended September 30,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72"/>
              <w:spacing w:after="0"/>
              <w:rPr>
                <w:sz w:val="20"/>
                <w:szCs w:val="20"/>
                <w:color w:val="auto"/>
              </w:rPr>
            </w:pPr>
            <w:r>
              <w:rPr>
                <w:rFonts w:ascii="Times New Roman" w:cs="Times New Roman" w:eastAsia="Times New Roman" w:hAnsi="Times New Roman"/>
                <w:sz w:val="12"/>
                <w:szCs w:val="12"/>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1,654</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1,372</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3,026</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3,207</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135"/>
        </w:trPr>
        <w:tc>
          <w:tcPr>
            <w:tcW w:w="6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(loss)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409</w:t>
            </w:r>
          </w:p>
        </w:tc>
        <w:tc>
          <w:tcPr>
            <w:tcW w:w="0" w:type="dxa"/>
            <w:vAlign w:val="bottom"/>
          </w:tcPr>
          <w:p>
            <w:pPr>
              <w:spacing w:after="0"/>
              <w:rPr>
                <w:sz w:val="1"/>
                <w:szCs w:val="1"/>
                <w:color w:val="auto"/>
              </w:rPr>
            </w:pPr>
          </w:p>
        </w:tc>
      </w:tr>
      <w:tr>
        <w:trPr>
          <w:trHeight w:val="188"/>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7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w:t>
            </w: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380" w:type="dxa"/>
            <w:vAlign w:val="bottom"/>
            <w:vMerge w:val="continue"/>
          </w:tcPr>
          <w:p>
            <w:pPr>
              <w:spacing w:after="0"/>
              <w:rPr>
                <w:sz w:val="14"/>
                <w:szCs w:val="14"/>
                <w:color w:val="auto"/>
              </w:rPr>
            </w:pPr>
          </w:p>
        </w:tc>
        <w:tc>
          <w:tcPr>
            <w:tcW w:w="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20" w:type="dxa"/>
            <w:vAlign w:val="bottom"/>
          </w:tcPr>
          <w:p>
            <w:pPr>
              <w:spacing w:after="0"/>
              <w:rPr>
                <w:sz w:val="14"/>
                <w:szCs w:val="14"/>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51,291</w:t>
            </w:r>
          </w:p>
        </w:tc>
        <w:tc>
          <w:tcPr>
            <w:tcW w:w="1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20" w:type="dxa"/>
            <w:vAlign w:val="bottom"/>
          </w:tcPr>
          <w:p>
            <w:pPr>
              <w:spacing w:after="0"/>
              <w:rPr>
                <w:sz w:val="14"/>
                <w:szCs w:val="14"/>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62,164</w:t>
            </w: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September 30,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72"/>
              <w:spacing w:after="0"/>
              <w:rPr>
                <w:sz w:val="20"/>
                <w:szCs w:val="20"/>
                <w:color w:val="auto"/>
              </w:rPr>
            </w:pPr>
            <w:r>
              <w:rPr>
                <w:rFonts w:ascii="Times New Roman" w:cs="Times New Roman" w:eastAsia="Times New Roman" w:hAnsi="Times New Roman"/>
                <w:sz w:val="12"/>
                <w:szCs w:val="12"/>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2,214</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1,324</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3,538</w:t>
            </w:r>
          </w:p>
        </w:tc>
        <w:tc>
          <w:tcPr>
            <w:tcW w:w="0" w:type="dxa"/>
            <w:vAlign w:val="bottom"/>
          </w:tcPr>
          <w:p>
            <w:pPr>
              <w:spacing w:after="0"/>
              <w:rPr>
                <w:sz w:val="1"/>
                <w:szCs w:val="1"/>
                <w:color w:val="auto"/>
              </w:rPr>
            </w:pPr>
          </w:p>
        </w:tc>
      </w:tr>
      <w:tr>
        <w:trPr>
          <w:trHeight w:val="191"/>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w:t>
            </w:r>
          </w:p>
        </w:tc>
        <w:tc>
          <w:tcPr>
            <w:tcW w:w="0" w:type="dxa"/>
            <w:vAlign w:val="bottom"/>
          </w:tcPr>
          <w:p>
            <w:pPr>
              <w:spacing w:after="0"/>
              <w:rPr>
                <w:sz w:val="1"/>
                <w:szCs w:val="1"/>
                <w:color w:val="auto"/>
              </w:rPr>
            </w:pP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3,892</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w:t>
            </w: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132"/>
        </w:trPr>
        <w:tc>
          <w:tcPr>
            <w:tcW w:w="638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926</w:t>
            </w:r>
          </w:p>
        </w:tc>
        <w:tc>
          <w:tcPr>
            <w:tcW w:w="0" w:type="dxa"/>
            <w:vAlign w:val="bottom"/>
          </w:tcPr>
          <w:p>
            <w:pPr>
              <w:spacing w:after="0"/>
              <w:rPr>
                <w:sz w:val="1"/>
                <w:szCs w:val="1"/>
                <w:color w:val="auto"/>
              </w:rPr>
            </w:pPr>
          </w:p>
        </w:tc>
      </w:t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7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713</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197"/>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58,506</w:t>
            </w:r>
          </w:p>
        </w:tc>
        <w:tc>
          <w:tcPr>
            <w:tcW w:w="0" w:type="dxa"/>
            <w:vAlign w:val="bottom"/>
          </w:tcPr>
          <w:p>
            <w:pPr>
              <w:spacing w:after="0"/>
              <w:rPr>
                <w:sz w:val="1"/>
                <w:szCs w:val="1"/>
                <w:color w:val="auto"/>
              </w:rPr>
            </w:pPr>
          </w:p>
        </w:tc>
      </w:tr>
      <w:tr>
        <w:trPr>
          <w:trHeight w:val="18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and for the nine months ended September 30,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72"/>
              <w:spacing w:after="0"/>
              <w:rPr>
                <w:sz w:val="20"/>
                <w:szCs w:val="20"/>
                <w:color w:val="auto"/>
              </w:rPr>
            </w:pPr>
            <w:r>
              <w:rPr>
                <w:rFonts w:ascii="Times New Roman" w:cs="Times New Roman" w:eastAsia="Times New Roman" w:hAnsi="Times New Roman"/>
                <w:sz w:val="12"/>
                <w:szCs w:val="12"/>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5,582</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3,444</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9,026</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9,003</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474</w:t>
            </w: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0" w:type="dxa"/>
            <w:vAlign w:val="bottom"/>
          </w:tcPr>
          <w:p>
            <w:pPr>
              <w:spacing w:after="0"/>
              <w:rPr>
                <w:sz w:val="1"/>
                <w:szCs w:val="1"/>
                <w:color w:val="auto"/>
              </w:rPr>
            </w:pPr>
          </w:p>
        </w:tc>
      </w:tr>
      <w:tr>
        <w:trPr>
          <w:trHeight w:val="135"/>
        </w:trPr>
        <w:tc>
          <w:tcPr>
            <w:tcW w:w="6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(loss)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1,499</w:t>
            </w:r>
          </w:p>
        </w:tc>
        <w:tc>
          <w:tcPr>
            <w:tcW w:w="0" w:type="dxa"/>
            <w:vAlign w:val="bottom"/>
          </w:tcPr>
          <w:p>
            <w:pPr>
              <w:spacing w:after="0"/>
              <w:rPr>
                <w:sz w:val="1"/>
                <w:szCs w:val="1"/>
                <w:color w:val="auto"/>
              </w:rPr>
            </w:pPr>
          </w:p>
        </w:tc>
      </w:tr>
      <w:tr>
        <w:trPr>
          <w:trHeight w:val="188"/>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7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1,065</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97"/>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62,164</w:t>
            </w:r>
          </w:p>
        </w:tc>
        <w:tc>
          <w:tcPr>
            <w:tcW w:w="0" w:type="dxa"/>
            <w:vAlign w:val="bottom"/>
          </w:tcPr>
          <w:p>
            <w:pPr>
              <w:spacing w:after="0"/>
              <w:rPr>
                <w:sz w:val="1"/>
                <w:szCs w:val="1"/>
                <w:color w:val="auto"/>
              </w:rPr>
            </w:pPr>
          </w:p>
        </w:tc>
      </w:tr>
      <w:tr>
        <w:trPr>
          <w:trHeight w:val="18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and for the nine months ended September 30,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72"/>
              <w:spacing w:after="0"/>
              <w:rPr>
                <w:sz w:val="20"/>
                <w:szCs w:val="20"/>
                <w:color w:val="auto"/>
              </w:rPr>
            </w:pPr>
            <w:r>
              <w:rPr>
                <w:rFonts w:ascii="Times New Roman" w:cs="Times New Roman" w:eastAsia="Times New Roman" w:hAnsi="Times New Roman"/>
                <w:sz w:val="12"/>
                <w:szCs w:val="12"/>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6,178</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3,123</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9,301</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1,545</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10,846</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540</w:t>
            </w: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0" w:type="dxa"/>
            <w:vAlign w:val="bottom"/>
          </w:tcPr>
          <w:p>
            <w:pPr>
              <w:spacing w:after="0"/>
              <w:rPr>
                <w:sz w:val="1"/>
                <w:szCs w:val="1"/>
                <w:color w:val="auto"/>
              </w:rPr>
            </w:pPr>
          </w:p>
        </w:tc>
      </w:tr>
      <w:tr>
        <w:trPr>
          <w:trHeight w:val="135"/>
        </w:trPr>
        <w:tc>
          <w:tcPr>
            <w:tcW w:w="6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2,396</w:t>
            </w:r>
          </w:p>
        </w:tc>
        <w:tc>
          <w:tcPr>
            <w:tcW w:w="0" w:type="dxa"/>
            <w:vAlign w:val="bottom"/>
          </w:tcPr>
          <w:p>
            <w:pPr>
              <w:spacing w:after="0"/>
              <w:rPr>
                <w:sz w:val="1"/>
                <w:szCs w:val="1"/>
                <w:color w:val="auto"/>
              </w:rPr>
            </w:pPr>
          </w:p>
        </w:tc>
      </w:tr>
      <w:tr>
        <w:trPr>
          <w:trHeight w:val="188"/>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7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1,841</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0" w:type="dxa"/>
            <w:vAlign w:val="bottom"/>
          </w:tcPr>
          <w:p>
            <w:pPr>
              <w:spacing w:after="0"/>
              <w:rPr>
                <w:sz w:val="1"/>
                <w:szCs w:val="1"/>
                <w:color w:val="auto"/>
              </w:rPr>
            </w:pPr>
          </w:p>
        </w:tc>
      </w:tr>
      <w:tr>
        <w:trPr>
          <w:trHeight w:val="197"/>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58,506</w:t>
            </w:r>
          </w:p>
        </w:tc>
        <w:tc>
          <w:tcPr>
            <w:tcW w:w="0" w:type="dxa"/>
            <w:vAlign w:val="bottom"/>
          </w:tcPr>
          <w:p>
            <w:pPr>
              <w:spacing w:after="0"/>
              <w:rPr>
                <w:sz w:val="1"/>
                <w:szCs w:val="1"/>
                <w:color w:val="auto"/>
              </w:rPr>
            </w:pPr>
          </w:p>
        </w:tc>
      </w:tr>
      <w:tr>
        <w:trPr>
          <w:trHeight w:val="18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81" w:lineRule="exact"/>
        <w:rPr>
          <w:sz w:val="20"/>
          <w:szCs w:val="20"/>
          <w:color w:val="auto"/>
        </w:rPr>
      </w:pPr>
    </w:p>
    <w:p>
      <w:pPr>
        <w:ind w:left="800" w:hanging="400"/>
        <w:spacing w:after="0" w:line="271" w:lineRule="auto"/>
        <w:tabs>
          <w:tab w:leader="none" w:pos="7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loan sub-servicing, valuations, default services, and home warranty products.</w:t>
      </w:r>
    </w:p>
    <w:p>
      <w:pPr>
        <w:spacing w:after="0" w:line="111" w:lineRule="exact"/>
        <w:rPr>
          <w:rFonts w:ascii="Times New Roman" w:cs="Times New Roman" w:eastAsia="Times New Roman" w:hAnsi="Times New Roman"/>
          <w:sz w:val="18"/>
          <w:szCs w:val="18"/>
          <w:color w:val="auto"/>
        </w:rPr>
      </w:pPr>
    </w:p>
    <w:p>
      <w:pPr>
        <w:jc w:val="both"/>
        <w:ind w:left="800" w:hanging="400"/>
        <w:spacing w:after="0" w:line="257" w:lineRule="auto"/>
        <w:tabs>
          <w:tab w:leader="none" w:pos="7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annuity and life products, including deferred annuities (fixed indexed and fixed rate annuities), immediate annuities and indexed universal life insurance. This segment also provides funding agreements and PRT solutions.</w:t>
      </w:r>
    </w:p>
    <w:p>
      <w:pPr>
        <w:spacing w:after="0" w:line="124" w:lineRule="exact"/>
        <w:rPr>
          <w:rFonts w:ascii="Times New Roman" w:cs="Times New Roman" w:eastAsia="Times New Roman" w:hAnsi="Times New Roman"/>
          <w:sz w:val="18"/>
          <w:szCs w:val="18"/>
          <w:color w:val="auto"/>
        </w:rPr>
      </w:pPr>
    </w:p>
    <w:p>
      <w:pPr>
        <w:jc w:val="both"/>
        <w:ind w:left="800" w:hanging="400"/>
        <w:spacing w:after="0" w:line="257" w:lineRule="auto"/>
        <w:tabs>
          <w:tab w:leader="none" w:pos="7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2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sales inducements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proceeds of sales of investments available for sale receivable in period</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4"/>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purchases of investments available for sale payable in period</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recognized in exchange for lease right-of-use assets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8"/>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Remeasurement of lease liabilities</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4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6"/>
                <w:szCs w:val="16"/>
                <w:color w:val="auto"/>
              </w:rPr>
            </w:pPr>
          </w:p>
        </w:tc>
        <w:tc>
          <w:tcPr>
            <w:tcW w:w="154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6"/>
        </w:trPr>
        <w:tc>
          <w:tcPr>
            <w:tcW w:w="34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Segment</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insurance contracts:</w:t>
            </w: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09"/>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160"/>
        </w:trPr>
        <w:tc>
          <w:tcPr>
            <w:tcW w:w="3460" w:type="dxa"/>
            <w:vAlign w:val="bottom"/>
            <w:gridSpan w:val="2"/>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Life insurance premiums, insurance and</w:t>
            </w:r>
          </w:p>
        </w:tc>
        <w:tc>
          <w:tcPr>
            <w:tcW w:w="3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F&amp;G</w:t>
            </w: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1"/>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product fees, and other</w:t>
            </w: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Home warranty</w:t>
            </w:r>
          </w:p>
        </w:tc>
        <w:tc>
          <w:tcPr>
            <w:tcW w:w="3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6"/>
        </w:trPr>
        <w:tc>
          <w:tcPr>
            <w:tcW w:w="3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from insurance contracts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Escrow fees</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09"/>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title-related fees and income</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160"/>
        </w:trPr>
        <w:tc>
          <w:tcPr>
            <w:tcW w:w="3460" w:type="dxa"/>
            <w:vAlign w:val="bottom"/>
            <w:gridSpan w:val="2"/>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ServiceLink, excluding title premiums, escrow</w:t>
            </w:r>
          </w:p>
        </w:tc>
        <w:tc>
          <w:tcPr>
            <w:tcW w:w="3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1"/>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fees, and subservicing fees</w:t>
            </w: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Real estate technology</w:t>
            </w:r>
          </w:p>
        </w:tc>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color w:val="auto"/>
                <w:w w:val="98"/>
              </w:rPr>
              <w:t>Corporate and</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9"/>
        </w:trPr>
        <w:tc>
          <w:tcPr>
            <w:tcW w:w="3460" w:type="dxa"/>
            <w:vAlign w:val="bottom"/>
            <w:gridSpan w:val="2"/>
            <w:vMerge w:val="continue"/>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shd w:val="clear" w:color="auto" w:fill="CCEEFF"/>
          </w:tcPr>
          <w:p>
            <w:pPr>
              <w:jc w:val="center"/>
              <w:ind w:right="100"/>
              <w:spacing w:after="0" w:line="160" w:lineRule="exact"/>
              <w:rPr>
                <w:sz w:val="20"/>
                <w:szCs w:val="20"/>
                <w:color w:val="auto"/>
              </w:rPr>
            </w:pPr>
            <w:r>
              <w:rPr>
                <w:rFonts w:ascii="Times New Roman" w:cs="Times New Roman" w:eastAsia="Times New Roman" w:hAnsi="Times New Roman"/>
                <w:sz w:val="16"/>
                <w:szCs w:val="16"/>
                <w:color w:val="auto"/>
                <w:w w:val="98"/>
              </w:rPr>
              <w:t>Corporate and</w:t>
            </w: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1"/>
        </w:trPr>
        <w:tc>
          <w:tcPr>
            <w:tcW w:w="3460" w:type="dxa"/>
            <w:vAlign w:val="bottom"/>
            <w:gridSpan w:val="2"/>
            <w:vMerge w:val="continue"/>
            <w:shd w:val="clear" w:color="auto" w:fill="CCEEFF"/>
          </w:tcPr>
          <w:p>
            <w:pPr>
              <w:spacing w:after="0"/>
              <w:rPr>
                <w:sz w:val="18"/>
                <w:szCs w:val="18"/>
                <w:color w:val="auto"/>
              </w:rPr>
            </w:pP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 subservicing revenue</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4"/>
              </w:rPr>
              <w:t>Various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3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2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4"/>
              </w:rPr>
              <w:t>Various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3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5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23"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final report is issued to the client and the client is billed. Revenues from foreclosure processing and facilitation services are primarily recognized upon completion of the services and when billing to the client is complete.</w:t>
      </w:r>
    </w:p>
    <w:p>
      <w:pPr>
        <w:spacing w:after="0" w:line="38"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88"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other operating costs and expenses, and income taxes.</w:t>
      </w:r>
    </w:p>
    <w:p>
      <w:pPr>
        <w:spacing w:after="0" w:line="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5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9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78"/>
        </w:trPr>
        <w:tc>
          <w:tcPr>
            <w:tcW w:w="6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4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80" w:type="dxa"/>
            <w:vAlign w:val="bottom"/>
          </w:tcPr>
          <w:p>
            <w:pPr>
              <w:spacing w:after="0"/>
              <w:rPr>
                <w:sz w:val="15"/>
                <w:szCs w:val="15"/>
                <w:color w:val="auto"/>
              </w:rPr>
            </w:pPr>
          </w:p>
        </w:tc>
      </w:tr>
      <w:tr>
        <w:trPr>
          <w:trHeight w:val="23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540" w:type="dxa"/>
            <w:vAlign w:val="bottom"/>
          </w:tcPr>
          <w:p>
            <w:pPr>
              <w:jc w:val="right"/>
              <w:ind w:right="13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96"/>
              </w:rPr>
              <w:t>412</w:t>
            </w:r>
          </w:p>
        </w:tc>
        <w:tc>
          <w:tcPr>
            <w:tcW w:w="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6"/>
              </w:rPr>
              <w:t>271</w:t>
            </w: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8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and nine months ended September 30, 2022, we recognized $53 million and $92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Deferred Acquisition Costs and Deferred Sales Inducements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changes in the carrying amounts of our VOBA, DAC and DSI intangible assets is as follows (in millions):</w:t>
      </w:r>
    </w:p>
    <w:p>
      <w:pPr>
        <w:spacing w:after="0" w:line="129"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VOBA</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DAC</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DSI</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Deferrals</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1"/>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Adjustment for net unrealized investment (gains) losses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VOBA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DAC</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DSI</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Deferrals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net unrealized investment (gains) losses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price allocation adjustments</w:t>
            </w:r>
          </w:p>
        </w:tc>
        <w:tc>
          <w:tcPr>
            <w:tcW w:w="2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2"/>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100" w:firstLine="395"/>
        <w:spacing w:after="0" w:line="267" w:lineRule="auto"/>
        <w:rPr>
          <w:sz w:val="20"/>
          <w:szCs w:val="20"/>
          <w:color w:val="auto"/>
        </w:rPr>
      </w:pPr>
      <w:r>
        <w:rPr>
          <w:rFonts w:ascii="Times New Roman" w:cs="Times New Roman" w:eastAsia="Times New Roman" w:hAnsi="Times New Roman"/>
          <w:sz w:val="16"/>
          <w:szCs w:val="16"/>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September 30, 2022 and September 30, 2021, the VOBA balances included cumulative adjustments for net unrealized investment gains (losses) of $(474) million and $245 million, respectively, the DAC balances included cumulative adjustments for net unrealized investment gains (losses) of $(159) million and $44 million, respectively, and the DSI balance included net unrealized investment gains (losses) of $(57) million and $6 million, respectively.</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in-force liabilities as of September 30, 2022, the estimated amortization expense for VOBA in future fiscal periods is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Estimated Amortization</w:t>
            </w:r>
          </w:p>
        </w:tc>
        <w:tc>
          <w:tcPr>
            <w:tcW w:w="0" w:type="dxa"/>
            <w:vAlign w:val="bottom"/>
          </w:tcPr>
          <w:p>
            <w:pPr>
              <w:spacing w:after="0"/>
              <w:rPr>
                <w:sz w:val="1"/>
                <w:szCs w:val="1"/>
                <w:color w:val="auto"/>
              </w:rPr>
            </w:pPr>
          </w:p>
        </w:tc>
      </w:tr>
      <w:tr>
        <w:trPr>
          <w:trHeight w:val="190"/>
        </w:trPr>
        <w:tc>
          <w:tcPr>
            <w:tcW w:w="9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59"/>
        </w:trPr>
        <w:tc>
          <w:tcPr>
            <w:tcW w:w="9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9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5"/>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5"/>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3"/>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8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If the underlying policy being reinsured is an insurance contract,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three and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September 30, 2021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gridSpan w:val="4"/>
          </w:tcPr>
          <w:p>
            <w:pPr>
              <w:spacing w:after="0"/>
              <w:rPr>
                <w:sz w:val="2"/>
                <w:szCs w:val="2"/>
                <w:color w:val="auto"/>
              </w:rPr>
            </w:pPr>
          </w:p>
        </w:tc>
      </w:tr>
      <w:tr>
        <w:trPr>
          <w:trHeight w:val="184"/>
        </w:trPr>
        <w:tc>
          <w:tcPr>
            <w:tcW w:w="2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33"/>
        </w:trPr>
        <w:tc>
          <w:tcPr>
            <w:tcW w:w="234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Net Benefits</w:t>
            </w:r>
          </w:p>
        </w:tc>
        <w:tc>
          <w:tcPr>
            <w:tcW w:w="10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0"/>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0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70"/>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0"/>
        </w:trPr>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8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6"/>
                <w:szCs w:val="16"/>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5"/>
              </w:rPr>
              <w:t>461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4"/>
                <w:szCs w:val="14"/>
                <w:color w:val="auto"/>
                <w:w w:val="95"/>
              </w:rPr>
              <w:t>500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r>
      <w:tr>
        <w:trPr>
          <w:trHeight w:val="191"/>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color w:val="auto"/>
                <w:w w:val="98"/>
              </w:rPr>
              <w:t>(276)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4"/>
                <w:szCs w:val="14"/>
                <w:color w:val="auto"/>
                <w:w w:val="98"/>
              </w:rPr>
              <w:t>(103)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222"/>
        </w:trPr>
        <w:tc>
          <w:tcPr>
            <w:tcW w:w="2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5"/>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4"/>
                <w:szCs w:val="14"/>
                <w:color w:val="auto"/>
                <w:w w:val="95"/>
              </w:rPr>
              <w:t>397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F&amp;G did not write off any significant reinsurance balances during the nine months ended September 30, 2022 and September 30, 2021. F&amp;G did not commute any ceded reinsurance treaties during the nine months ended September 30, 2022 and September 30, 2021.</w:t>
      </w:r>
    </w:p>
    <w:p>
      <w:pPr>
        <w:spacing w:after="0" w:line="4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September 30, 2022 and September 30, 2021, the expected credit loss reserve was $19 million and $19 million, respectively. There were no significant changes in the expected credit loss reserve for the three and nine months ended September 30, 2022 and September 30, 2021.</w:t>
      </w:r>
    </w:p>
    <w:p>
      <w:pPr>
        <w:spacing w:after="0" w:line="3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No policies issued by F&amp;G have been reinsured with any foreign company, which is controlled, either directly or indirectly, by a party not primarily engaged in the business of insurance.</w:t>
      </w:r>
    </w:p>
    <w:p>
      <w:pPr>
        <w:spacing w:after="0" w:line="5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3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F&amp;G has entered into a Funds Withheld Coinsurance Agreement with Aspida Re, a Bermuda reinsurer. In accordance with the terms of this agreement, F&amp;G ceded to the reinsurer, on a funds withheld coinsurance basis, certain multiyear guaranteed annuity business written effective January 1, 2021. The agreement was originally executed January 15, 2021 and amended in August 2021 and September 2022. For reinsured policies issued prior to September 1, 2022, the policies are ceded on a 50% quota share basis. For reinsured policies issued on or after September 1, 2022, the policies are ceded on a 75% quota share basis, capped at $350 million cession per month. The effects of this agreement are accounted for as a separate investment contract.</w:t>
      </w:r>
    </w:p>
    <w:p>
      <w:pPr>
        <w:spacing w:after="0" w:line="67"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Effective May 1, 2020, F&amp;G entered into an indemnity reinsurance agreement with Canada Life Assurance Company United States Branch, a third party reinsurer, to reinsure FIA policies with guaranteed minimum withdrawal benefit (“GMWB”). In accordance with the terms of this agreement, F&amp;G cedes a quota share percentage of the net retention of guarantee payments in excess of account value for GMWB. This treaty was subsequently amended effective January 1, 2021 and January 1, 2022, and now covers FIA policies with GMWB issued from January 1, 2020 to December 31, 2023. The effects of this agreement are not accounted for as reinsurance as it does not satisfy the risk transfer requirements for GAAP; therefore, deposit accounting is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87"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 xml:space="preserve">F&amp;G has a significant concentration of reinsurance risk with third party reinsurers, Aspida Re, Wilton Reassurance Company (“Wilton Re”), and Somerset, that could have a material impact on our financial position in the event that any of these reinsurers fails to perform its obligations under the various reinsurance treaties. Aspida Re has an </w:t>
      </w:r>
      <w:r>
        <w:rPr>
          <w:rFonts w:ascii="Times New Roman" w:cs="Times New Roman" w:eastAsia="Times New Roman" w:hAnsi="Times New Roman"/>
          <w:sz w:val="16"/>
          <w:szCs w:val="16"/>
          <w:color w:val="1F5122"/>
        </w:rPr>
        <w:t>A-</w:t>
      </w:r>
      <w:r>
        <w:rPr>
          <w:rFonts w:ascii="Times New Roman" w:cs="Times New Roman" w:eastAsia="Times New Roman" w:hAnsi="Times New Roman"/>
          <w:sz w:val="16"/>
          <w:szCs w:val="16"/>
          <w:color w:val="auto"/>
        </w:rPr>
        <w:t xml:space="preserve"> issuer credit rating from AM Best as of September 30, 2022, and the risk of non-performance is further mitigated through the funds withheld arrangement. Wilton Re has an A+ issuer credit rating from AM Best and an </w:t>
      </w:r>
      <w:r>
        <w:rPr>
          <w:rFonts w:ascii="Times New Roman" w:cs="Times New Roman" w:eastAsia="Times New Roman" w:hAnsi="Times New Roman"/>
          <w:sz w:val="16"/>
          <w:szCs w:val="16"/>
          <w:color w:val="1F5122"/>
        </w:rPr>
        <w:t>A</w:t>
      </w:r>
      <w:r>
        <w:rPr>
          <w:rFonts w:ascii="Times New Roman" w:cs="Times New Roman" w:eastAsia="Times New Roman" w:hAnsi="Times New Roman"/>
          <w:sz w:val="16"/>
          <w:szCs w:val="16"/>
          <w:color w:val="auto"/>
        </w:rPr>
        <w:t xml:space="preserve"> issuer credit rating from Fitch as of September 30, 2022. Somerset has an A- issuer credit rating from AM Best and a BBB+ issuer credit rating from S&amp;P as of September 30, 2022, and the risk of non-performance is further mitigated through the funds withheld arrangement. On September 30, 2022, the net amounts recoverable from Aspida Re, Wilton Re, and Somerset were $2,304 million, $1,241 million, and $591 million, respectively. We monitor both the financial condition of individual reinsurers and risk concentration arising from similar activities and economic characteristics of reinsurers to attempt to reduce the risk of default by such reinsurers. We believe that all amounts due from Aspida Re, Wilton Re, and Somerset for periodic treaty settlements are collectible as of September 30, 2022.</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other material changes in the reinsurance and the intercompany reinsurance agreements described in our Annual Report on Form 10-K for the year ended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U.S. insurance subsidiaries, FGL Insurance,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F&amp;G Cayman Re Ltd and F&amp;G Life Re Ltd (Bermuda) file financial statements with their respective regulators that are based on U.S. GAAP.</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$145 million and $106 million decrease to statutory capital and surplus at September 30, 2022 and December 31, 2021, respectively.</w:t>
      </w:r>
    </w:p>
    <w:p>
      <w:pPr>
        <w:spacing w:after="0" w:line="5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FGL Insurance’s statutory carrying value of Raven Reinsurance Company ("Raven Re") reflects the effect of permitted practices Raven Re received to treat the available amount of a letter of credit as an admitted asset, which increased Raven Re’s statutory capital and surplus by $35 million and $85 million at September 30, 2022 and December 31, 2021, respectively.</w:t>
      </w:r>
    </w:p>
    <w:p>
      <w:pPr>
        <w:spacing w:after="0" w:line="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Raven Re is also permitted to follow Iowa prescribed statutory accounting practice for its reserves on reinsurance assumed from FGL Insurance. Without such permitted statutory accounting practices, Raven Re’s statutory capital and surplus (deficit) and its risk-based capital would not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$66 million and $115 million at September 30, 2022 and December 31, 2021, respectively.</w:t>
      </w:r>
    </w:p>
    <w:p>
      <w:pPr>
        <w:spacing w:after="0" w:line="5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FGL NY Insurance did not follow any prescribed or permitted statutory accounting practices that differ from the NAIC's statutory accounting practices.</w:t>
      </w:r>
    </w:p>
    <w:p>
      <w:pPr>
        <w:spacing w:after="0" w:line="3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Acquisitions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AllFirst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August 9, 2022, we acquired approximately 74% of the outstanding equity of AllFirst for approximately $127 million in cash consideration.</w:t>
      </w:r>
    </w:p>
    <w:p>
      <w:pPr>
        <w:spacing w:after="0" w:line="227" w:lineRule="exact"/>
        <w:rPr>
          <w:sz w:val="20"/>
          <w:szCs w:val="20"/>
          <w:color w:val="auto"/>
        </w:rPr>
      </w:pPr>
    </w:p>
    <w:p>
      <w:pPr>
        <w:jc w:val="both"/>
        <w:ind w:right="100" w:firstLine="316"/>
        <w:spacing w:after="0" w:line="249"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FASB Accounting Standards Codification Topic 805, Business Combinations ("Topic 805"). The purchase price has been allocated to AllFirst's assets acquired and liabilities assumed based on their fair values as of August 9, 2022. Goodwill has been recorded based on the amount that the purchase price exceeds the fair value of the net assets acquired. Goodwill consists primarily of intangible assets that do not qualify for separate recognition. The goodwill recorded is expected to be deductible for tax purposes. In connection with the acquisition, we recorded preliminary fair value estimates for goodwill, other intangibles, other assets, other liabilities and non-controlling interest of $71 million, $83 million, $43 million, $20 million and $45 million, respectively.</w:t>
      </w:r>
    </w:p>
    <w:p>
      <w:pPr>
        <w:spacing w:after="0" w:line="212" w:lineRule="exact"/>
        <w:rPr>
          <w:sz w:val="20"/>
          <w:szCs w:val="20"/>
          <w:color w:val="auto"/>
        </w:rPr>
      </w:pPr>
    </w:p>
    <w:p>
      <w:pPr>
        <w:jc w:val="both"/>
        <w:ind w:right="100" w:firstLine="316"/>
        <w:spacing w:after="0" w:line="268"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Other intangible assets acquired in the AllFirst acquisition consist of the following (dollars in millions):</w:t>
      </w:r>
    </w:p>
    <w:p>
      <w:pPr>
        <w:spacing w:after="0" w:line="8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45"/>
        </w:trPr>
        <w:tc>
          <w:tcPr>
            <w:tcW w:w="6720" w:type="dxa"/>
            <w:vAlign w:val="bottom"/>
          </w:tcPr>
          <w:p>
            <w:pPr>
              <w:spacing w:after="0"/>
              <w:rPr>
                <w:sz w:val="12"/>
                <w:szCs w:val="12"/>
                <w:color w:val="auto"/>
              </w:rPr>
            </w:pPr>
          </w:p>
        </w:tc>
        <w:tc>
          <w:tcPr>
            <w:tcW w:w="186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left="150"/>
              <w:spacing w:after="0" w:line="145"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shd w:val="clear" w:color="auto" w:fill="CCEEFF"/>
          </w:tcPr>
          <w:p>
            <w:pPr>
              <w:jc w:val="right"/>
              <w:ind w:right="165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10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10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Non-compete agreements</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Software</w:t>
            </w:r>
          </w:p>
        </w:tc>
        <w:tc>
          <w:tcPr>
            <w:tcW w:w="1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tcBorders>
              <w:bottom w:val="single" w:sz="8" w:color="CCEEFF"/>
            </w:tcBorders>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60" w:type="dxa"/>
            <w:vAlign w:val="bottom"/>
            <w:tcBorders>
              <w:bottom w:val="single" w:sz="8" w:color="auto"/>
            </w:tcBorders>
            <w:shd w:val="clear" w:color="auto" w:fill="CCEEFF"/>
          </w:tcPr>
          <w:p>
            <w:pPr>
              <w:jc w:val="right"/>
              <w:ind w:right="165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jc w:val="both"/>
        <w:ind w:firstLine="316"/>
        <w:spacing w:after="0" w:line="245"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consummation of the proposed F&amp;G spin-off transaction on relationships, including employees, suppliers, customers and competitors; our ability to successfully realize the anticipated benefits of the proposed spin-off transaction; the ability to satisfy any necessary conditions (including any applicable regulatory approvals) to consummate the spin-off transaction within the estimated timeframe or at all; changes in general economic, business and political conditions, including changes in the financial markets;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2021 and other filings with the SEC.</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9"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in Note A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 the accompanying unaudited Condensed Consolidated Financial Statements included in Item 1 of Part I of this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Part I, Item 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6"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most recent forecast of the Mortgage Bankers Association ("MBA"), as of October 23, 2022, estimates (actual for fiscal year 2021) the size of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originations market as shown in the following table for 2021 - 2024 in its "Mortgage Finance Forecast" (in trillions):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transactions</w:t>
            </w: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Refinance transactions</w:t>
            </w:r>
          </w:p>
        </w:tc>
        <w:tc>
          <w:tcPr>
            <w:tcW w:w="6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October 23, 2022, the MBA expects residential purchase transactions to decrease in 2022 and 2023 before increasing in 2024. Additionally, the MBA expects residential refinance transactions and overall mortgage originations to decrease in 2022 and 2023 before increasing in 2024.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Federal Reserve raised the benchmark interest rate from near zero as of March 2022 to a range between 3% and 3.25% as of September 2022, moving most recently in 75 basis point increments in an effort to combat inflation. Average interest rates for a 30-year fixed rate mortgage increased to 5.6% and 4.8% for the three and nine months ended September 30, 2022, respectively, as compared to 2.9% and 2.9% for the corresponding periods of 2021. On November 3, 2022, the Federal Reserve raised the benchmark interest rate by an additional 75 basis points.</w:t>
      </w:r>
    </w:p>
    <w:p>
      <w:pPr>
        <w:spacing w:after="0" w:line="65"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A shortage in the supply of homes for sale, increasing home prices, rising mortgage interest rates, inflation and disrupted labor markets created some volatility in the residential real estate market in 2021, which has continued into 2022. Additionally, geopolitical uncertainties associated with the war in Ukraine have created additional volatility in the global economy in 2022. Existing-home sales decreased 24% in September 2022 as compared to the corresponding period in 2021 while median existing-home sales prices rose to $384,800 in September 2022, an 8% increase over the corresponding period in 2021.</w:t>
      </w:r>
    </w:p>
    <w:p>
      <w:pPr>
        <w:spacing w:after="0" w:line="2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3.5% in September 2022, which equals the record low set in February 2020, as compared to 4.7% in September 2021.</w:t>
      </w:r>
    </w:p>
    <w:p>
      <w:pPr>
        <w:spacing w:after="0" w:line="5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2021 and the first nine months of 2022, we experienced strong demand in commercial real estate markets and, therefore, experienced relatively high volumes and fee-per-file in our commercial business when compared to historical results.</w:t>
      </w:r>
    </w:p>
    <w:p>
      <w:pPr>
        <w:spacing w:after="0" w:line="6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7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 Due to COVID-19 and the Federal Reserve's actions in 2020 in response to the pandemic, seasonality deviated from historical patterns in 2021. In 2022, the rapid rise in mortgage rates and resulting decline in housing affordability are adding pressure to the normal second half seasonal decline in purchase transactions.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COVID-19 </w:t>
      </w:r>
      <w:r>
        <w:rPr>
          <w:rFonts w:ascii="Times New Roman" w:cs="Times New Roman" w:eastAsia="Times New Roman" w:hAnsi="Times New Roman"/>
          <w:sz w:val="18"/>
          <w:szCs w:val="18"/>
          <w:b w:val="1"/>
          <w:bCs w:val="1"/>
          <w:color w:val="auto"/>
        </w:rPr>
        <w:t>Pandemic</w:t>
      </w:r>
    </w:p>
    <w:p>
      <w:pPr>
        <w:spacing w:after="0" w:line="11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While still evolving, the COVID-19 pandemic has caused significant economic and financial turmoil in the U.S. and around the world. At this time, it is still not possible to estimate the longer term-effects the COVID-19 pandemic could have on our F&amp;G segment or our consolidated financial statements. Increased economic uncertainty and increased unemployment that could potentially result from the spread of COVID-19 and its variants may result in F&amp;G policyholders seeking sources of liquidity and withdrawing at rates greater than was previously expected. Additionally, adverse events or conditions resulting from COVID-19 could also have a negative effect on its sales of new policies and could result in more volatility from the impact of mortality experience. As of September 30, 2022, F&amp;G has not seen a sustained elevated level of adverse policyholder experience from the impact of COVID-19 on the overall business. The full extent to which the COVID-19</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pandemic impacts our F&amp;G segment's financial condition, results of operations, liquidity or prospects will depend on future developments, which cannot be predicted at this time.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3"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2021 for further discussion of risk factors that could affect market conditions.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Some of our F&amp;G products include guaranteed minimum crediting rates, most notably our fixed rate annuities. As of September 30, 2022, our reserves, net of reinsurance, and average crediting rate on our fixed rate annuities were $6.0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2" w:lineRule="exact"/>
        <w:rPr>
          <w:sz w:val="20"/>
          <w:szCs w:val="20"/>
          <w:color w:val="auto"/>
        </w:rPr>
      </w:pPr>
    </w:p>
    <w:p>
      <w:pPr>
        <w:ind w:left="320" w:right="480"/>
        <w:spacing w:after="0" w:line="366" w:lineRule="auto"/>
        <w:rPr>
          <w:sz w:val="20"/>
          <w:szCs w:val="20"/>
          <w:color w:val="auto"/>
        </w:rPr>
      </w:pPr>
      <w:r>
        <w:rPr>
          <w:rFonts w:ascii="Times New Roman" w:cs="Times New Roman" w:eastAsia="Times New Roman" w:hAnsi="Times New Roman"/>
          <w:sz w:val="18"/>
          <w:szCs w:val="18"/>
          <w:color w:val="auto"/>
        </w:rPr>
        <w:t xml:space="preserve">See Item 7A of Part II of our Annual Report on Form 10-K for the year ended December 31, 2021 for a more detailed discussion of interest rate risk. </w:t>
      </w:r>
      <w:r>
        <w:rPr>
          <w:rFonts w:ascii="Times New Roman" w:cs="Times New Roman" w:eastAsia="Times New Roman" w:hAnsi="Times New Roman"/>
          <w:sz w:val="18"/>
          <w:szCs w:val="18"/>
          <w:b w:val="1"/>
          <w:bCs w:val="1"/>
          <w:i w:val="1"/>
          <w:iCs w:val="1"/>
          <w:color w:val="auto"/>
        </w:rPr>
        <w:t>Aging of the U.S. Population</w:t>
      </w: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believe that the aging of the U.S. population will increase the demand for our FIA and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17% in 2021 to 21% in 2035. The impact of this growth may be offset to some extent by asset outflows as an increasing percentage of the population begins withdrawing assets to convert their savings into income.</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11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Accordingly, the FIA market grew from nearly $12 billion of sales in 2002 to $66 billion of sales in 2021. Additionally, this market demand has positively impacted the IUL market as it has expanded from $100 million of annual premiums in 2002 to $2 billion of annual premiums in 2021.</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2021 for a more detailed discussion of industry factors and trends affecting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16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4"/>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7"/>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1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and other changes in policy reserves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Agent commissions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 and equity in earnings of unconsolidated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Total revenues decreased by $685 million in the three months ended September 30, 2022 and decreased by $1,843 million in the nine months ended September 30, 2022 compared to the corresponding periods in 2021.</w:t>
      </w:r>
    </w:p>
    <w:p>
      <w:pPr>
        <w:spacing w:after="0" w:line="6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Net earnings from continuing operations decreased by $446 million in the three months ended September 30, 2022 and decreased by $814 million in the nine months ended September 30, 2022 compared to the corresponding periods in 2021.</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3"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streams. However, a short-term lag exists in reducing controllable fixed costs and certain fixed costs are incurred regardless of revenue levels.</w:t>
      </w:r>
    </w:p>
    <w:p>
      <w:pPr>
        <w:spacing w:after="0" w:line="10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0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09"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Income tax expense was $115 million and $213 million in the three months ended September 30, 2022 and 2021, respectively, and $434 million and $555 million in the nine months ended September 30, 2022 and 2021, respectively. Income tax expense as a percentage of earnings before income taxes was 28% and 23% in the three months ended September 30, 2022 and 2021, respectively and 29% and 23% in the nine months ended September 30, 2022 and 2021, respectively. The increase in income tax expense as a percentage of earnings before taxes in the three months ended September 30, 2022 as compared to the corresponding period in 2021 is primarily attributable to the recording of a valuation allowance in the 2022 period for tax benefits associated with deferred tax assets related to recognized valuation losses on equity securities for which it is more likely than not that we will not be able to realize for tax purposes. The increase in income tax expense as a percentage of earnings before taxes in the nine months ended September 30, 2022 as compared to the corresponding period in 2021 is primarily attributable to the recording of a valuation allowance in the 2022 period for tax benefits associated with deferred tax assets related to realized losses on the past sales of discontinued operations and the aforementioned recognized valuation losses on equity securities for which it is more likely than not that we will not be able to realize for tax purposes.</w:t>
      </w:r>
    </w:p>
    <w:p>
      <w:pPr>
        <w:spacing w:after="0" w:line="48"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The Inflation Reduction Act of 2022 (the "IRA") was signed into law on August 16, 2022. Among other changes, the IRA introduced a 15% corporate alternative minimum tax ("CAMT") on adjusted financial statement income and a 1% excise tax on treasury stock repurchases. The effective date of these provisions will be January 1, 2023. We do not anticipate that the IRA will have a material effect on our current or future financial condition or results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16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7"/>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Agent commissions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4"/>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151"/>
        </w:trPr>
        <w:tc>
          <w:tcPr>
            <w:tcW w:w="66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Earnings from continuing operations, before income taxes and equity in earnings of</w:t>
            </w:r>
          </w:p>
        </w:tc>
        <w:tc>
          <w:tcPr>
            <w:tcW w:w="260" w:type="dxa"/>
            <w:vAlign w:val="bottom"/>
            <w:vMerge w:val="restart"/>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3"/>
                <w:szCs w:val="13"/>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 opened by direct title operations (in thousands)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Orders closed by direct title operations (in thousands)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per file (in dollars)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Total revenues for the Title segment decreased by $630 million, or 22%, in the three months ended September 30, 2022 and decreased by $1,208 million, or 14% in the nine months ended September 30, 2022 from the corresponding periods in 2021.</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r>
      <w:tr>
        <w:trPr>
          <w:trHeight w:val="24"/>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8"/>
        </w:trPr>
        <w:tc>
          <w:tcPr>
            <w:tcW w:w="2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7"/>
        </w:trPr>
        <w:tc>
          <w:tcPr>
            <w:tcW w:w="26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Title premiums from direct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171"/>
        </w:trPr>
        <w:tc>
          <w:tcPr>
            <w:tcW w:w="26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Title premiums from agency</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7"/>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59</w:t>
            </w:r>
          </w:p>
        </w:tc>
      </w:tr>
      <w:tr>
        <w:trPr>
          <w:trHeight w:val="242"/>
        </w:trPr>
        <w:tc>
          <w:tcPr>
            <w:tcW w:w="2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title premiums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decreased by $560 million, or 25% in the three months ended September 30, 2022 from the corresponding period in 2021. The decrease was comprised of a decrease in Title premiums from direct operations of $208 million, or 23%, and a decrease in Title premiums from agency operations of $352 million, or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decreased by 9.6% in the nine months ended September 30, 2022 as compared to the corresponding period in 2021. The decrease is comprised of a decrease in Title premiums from direct operations of $232 million, or 9%, and a decrease in Title premiums from agency operations of $364 million or 10%.</w:t>
      </w:r>
    </w:p>
    <w:p>
      <w:pPr>
        <w:spacing w:after="0" w:line="7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940" w:type="dxa"/>
            <w:vAlign w:val="bottom"/>
            <w:gridSpan w:val="2"/>
          </w:tcPr>
          <w:p>
            <w:pPr>
              <w:spacing w:after="0"/>
              <w:rPr>
                <w:sz w:val="2"/>
                <w:szCs w:val="2"/>
                <w:color w:val="auto"/>
              </w:rPr>
            </w:pPr>
          </w:p>
        </w:tc>
        <w:tc>
          <w:tcPr>
            <w:tcW w:w="166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50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Opened title insurance orders from purchase transactions (1)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4"/>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Opened title insurance orders from refinance transactions (1)</w:t>
            </w:r>
          </w:p>
        </w:tc>
        <w:tc>
          <w:tcPr>
            <w:tcW w:w="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w:t>
            </w:r>
          </w:p>
        </w:tc>
      </w:tr>
      <w:tr>
        <w:trPr>
          <w:trHeight w:val="217"/>
        </w:trPr>
        <w:tc>
          <w:tcPr>
            <w:tcW w:w="50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9"/>
        </w:trPr>
        <w:tc>
          <w:tcPr>
            <w:tcW w:w="5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Closed title insurance orders from purchase transactions (1)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4"/>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Closed title insurance orders from refinance transactions (1)</w:t>
            </w:r>
          </w:p>
        </w:tc>
        <w:tc>
          <w:tcPr>
            <w:tcW w:w="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w:t>
            </w:r>
          </w:p>
        </w:tc>
      </w:tr>
      <w:tr>
        <w:trPr>
          <w:trHeight w:val="217"/>
        </w:trPr>
        <w:tc>
          <w:tcPr>
            <w:tcW w:w="50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Percentages exclude consideration of an immaterial number of non-purchase and non-refinance orders.</w:t>
      </w:r>
    </w:p>
    <w:p>
      <w:pPr>
        <w:spacing w:after="0" w:line="10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from direct operations decreased in the three and nine months ended September 30, 2022 from the corresponding periods in 2021. The decreases were primarily attributable to decreased closed order volume, partially offset by increases in the average fee per file, which were driven by increases in the proportion of purchase transactions versus refinance transactions.</w:t>
      </w:r>
    </w:p>
    <w:p>
      <w:pPr>
        <w:spacing w:after="0" w:line="7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experienced a significant decrease in closed title insurance order volume from refinance transactions in the three and nine months ended September 30, 2022 from the corresponding periods in 2021. Closed title insurance order volume from purchase transactions also decreased in the three and nine months ended September 30, 2022 when compared to the corresponding periods in 2021. Total closed order volume was 278,000 in the three months ended September 30, 2022 compared to 527,000 in the three months ended September 30, 2021 and 1,006,000 in the nine months ended September 30, 2022 compared to 1,692,000 in the nine months ended September 30, 2021. This represented an overall decrease of 47% and 41% in the three and nine months ended September 30, 2022, respectively, from the corresponding periods in 2021. The decreases were primarily attributable to higher average mortgage interest rates and the surge in residential refinance transactions in 2020 and the first half of 2021, resulting in a decline in the population of eligible refinance candidates in the three and nine months ended September 30, 2022 when compared to the corresponding periods in 2021.</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Total opened title insurance order volume decreased in the three and nine months ended September 30, 2022 from the corresponding periods in 2021. The decrease was attributable to decreased opened title orders from refinance and purchase transactions.</w:t>
      </w:r>
    </w:p>
    <w:p>
      <w:pPr>
        <w:spacing w:after="0" w:line="64"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average fee per file in our direct operations was $3,621 and $3,323 in the three and nine months ended September 30, 2022, respectively, compared to $2,581 and $2,310 in the three and nine months ended September 30, 2021, respectively. The increases in average fee per file in the three and nine-month periods reflect an increased proportion of purchase transactions relative to total closed orders and an increased commercial market compared to the corresponding periods in 2021.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8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Title premiums from agency operations decreased $352 million, or 27%, in the three months ended September 30, 2022 and decreased $364 million, or 10%, in the nine months ended September 30, 2022 from the corresponding periods in 2021. The current trends in the agency business reflect a softening residential purchase environment in many markets throughout the country and a dramatic decline in residential refinance transactions, consistent with recent trends in our direct business.</w:t>
      </w:r>
    </w:p>
    <w:p>
      <w:pPr>
        <w:spacing w:after="0" w:line="7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Escrow, title-related and other fees decreased by $226 million, or 27%, in the three months ended September 30, 2022 and decreased $439 million or 18% in the nine months ended September 30, 2022 from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corresponding periods in 2021. Escrow fees decreased by $120 million, or 33%, in the three months ended September 30, 2022 and $259 million, or 24% in the nine months ended September 30, 2022 from the corresponding periods in 2021. The decreases in the three and nine-month periods were primarily attributable to the significant decrease in residential refinance transactions, which have relatively higher escrow fees per transaction than residential purchase and commercial transactions. Other fees, excluding escrow fees, decreased by $106 million, or 22%, in the three months ended September 30, 2022 and decreased by $181 million, or 13% in the nine months ended September 30, 2022 from the corresponding periods in 2021. The decreases in Other fees in the three and nine-month periods were attributable to various immaterial items.</w:t>
      </w:r>
    </w:p>
    <w:p>
      <w:pPr>
        <w:spacing w:after="0" w:line="8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increased $35 million, or 130%, in the three months ended September 30, 2022 and increased $41 million, or 49% in the nine months ended September 30, 2022 from the corresponding period in 2021. The increases in the three and nine-month periods were primarily attributable to increased income from our tax-deferred property exchange business and higher yields on our short-term investments when compared to the corresponding periods in 2021.</w:t>
      </w:r>
    </w:p>
    <w:p>
      <w:pPr>
        <w:spacing w:after="0" w:line="8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Net recognized losses were $48 million and $169 million in the three months ended September 30, 2022 and 2021, respectively. Net recognized losses were $472 million and $258 million in the nine months ended September 30, 2022 and 2021, respectively. The variations in net recognized losses in the three and nine months ended September 30, 2022 compared to the corresponding periods in 2021 are primarily attributable to fluctuations in non-cash valuation changes on our equity and preferred security holdings in addition to various other immaterial items.</w:t>
      </w:r>
    </w:p>
    <w:p>
      <w:pPr>
        <w:spacing w:after="0" w:line="78"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Personnel costs include base salaries, commissions, benefits, stock-based compensation and bonuses paid to employees, and are one of our most significant operating expenses. Personnel costs decreased $113 million, or 13%, in the three months ended September 30, 2022 and decreased $96 million, or 4% in the nine months ended September 30, 2022 compared to the corresponding periods in 2021. The decreases in the three and nine-month periods are due to lower average head count in the 2022 periods in response to the significant decline in refinance orders and the recent declines in purchase and commercial orders, partially offset by an increase in the 401(k) match in the 2022 periods. Personnel costs as a percentage of total revenues from direct title premiums and escrow, title-related and other fees were 55% and 48% for the three months ended September 30, 2022 and 2021, respectively and 54% and 49% for the nine-month periods ended September 30, 2022 and 2021, respectively. Average employee count in the Title segment was 24,485 and 27,799 in the three months ended September 30, 2022 and 2021, respectively, and 25,914 and 27,164 in the nine months ended September 30, 2022 and 2021, respectively.</w:t>
      </w:r>
    </w:p>
    <w:p>
      <w:pPr>
        <w:spacing w:after="0" w:line="6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operating expenses decreased by $79 million, or 18%, in the three months ended September 30, 2022, and decreased by $103 million, or 8% in the nine months ended September 30, 2022 from the corresponding periods in 2021. Other operating expenses as a percentage of total revenue excluding agency premiums, interest and investment income, and recognized gains and losses were 28% and 26% in the three months ended September 30, 2022 and 2021, respectively, and 27% and 26% in the nine months ended September 30, 2022 and 2021, respectively.</w:t>
      </w:r>
    </w:p>
    <w:p>
      <w:pPr>
        <w:spacing w:after="0" w:line="78"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has remained relatively consistent since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premiums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151"/>
        </w:trPr>
        <w:tc>
          <w:tcPr>
            <w:tcW w:w="2000" w:type="dxa"/>
            <w:vAlign w:val="bottom"/>
            <w:shd w:val="clear" w:color="auto" w:fill="CCEEFF"/>
          </w:tcPr>
          <w:p>
            <w:pPr>
              <w:ind w:left="220"/>
              <w:spacing w:after="0" w:line="152" w:lineRule="exact"/>
              <w:rPr>
                <w:sz w:val="20"/>
                <w:szCs w:val="20"/>
                <w:color w:val="auto"/>
              </w:rPr>
            </w:pPr>
            <w:r>
              <w:rPr>
                <w:rFonts w:ascii="Times New Roman" w:cs="Times New Roman" w:eastAsia="Times New Roman" w:hAnsi="Times New Roman"/>
                <w:sz w:val="16"/>
                <w:szCs w:val="16"/>
                <w:color w:val="auto"/>
              </w:rPr>
              <w:t>Net retained agent</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1"/>
        </w:trPr>
        <w:tc>
          <w:tcPr>
            <w:tcW w:w="2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claim loss provision for title insurance was $74 million and $100 million for the three months ended September 30, 2022 and 2021, respectively, and $251 million and $278 million for the nine months ended September 30, 2022 and 2021,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12" w:lineRule="exact"/>
        <w:rPr>
          <w:sz w:val="20"/>
          <w:szCs w:val="20"/>
          <w:color w:val="auto"/>
        </w:rPr>
      </w:pPr>
    </w:p>
    <w:p>
      <w:pPr>
        <w:jc w:val="both"/>
        <w:ind w:firstLine="395"/>
        <w:spacing w:after="0" w:line="259" w:lineRule="auto"/>
        <w:rPr>
          <w:sz w:val="20"/>
          <w:szCs w:val="20"/>
          <w:color w:val="auto"/>
        </w:rPr>
      </w:pPr>
      <w:r>
        <w:rPr>
          <w:rFonts w:ascii="Times New Roman" w:cs="Times New Roman" w:eastAsia="Times New Roman" w:hAnsi="Times New Roman"/>
          <w:sz w:val="16"/>
          <w:szCs w:val="16"/>
          <w:color w:val="auto"/>
        </w:rPr>
        <w:t>Through our wholly owned F&amp;G subsidiary, we have five distribution channels across retail and institutional markets. Our three retail channels include agent-based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two institutional channels to originate Funding Agreement Backed Note ("FABN") and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was launched by building an experienced team and then working with brokers and institutional consultants for distribution. These markets leverage our existing team's spread-based capabilities as well as our strategic partnership with Blackstone.</w:t>
      </w:r>
    </w:p>
    <w:p>
      <w:pPr>
        <w:spacing w:after="0" w:line="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setting the features and pricing of our flagship FIA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6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On March 14, 2022, our Board of Directors approved a dividend to our shareholders, on a pro rata basis, of 15% of the common stock of F&amp;G (the "F&amp;G Distribution"). We intend to retain control of F&amp;G through our approximate 85% ownership stake. The proposed F&amp;G Distribution is intended to be structured as a taxable dividend to our shareholders and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On October 26, 2022, F&amp;G filed Amendment number 2 to its Form 10 registration statement with the SEC. The proposed F&amp;G Distribution is targeted to be completed in the fourth quarter of 2022. However, there can be no assurance regarding the timeframe for completing the F&amp;G Distribution or that the conditions of the F&amp;G Distribution will be met.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85"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(FIA and fixed rate annuities), indexed universal life insurance (IUL),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w:t>
      </w:r>
    </w:p>
    <w:p>
      <w:pPr>
        <w:spacing w:after="0" w:line="5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Under U.S. GAAP, premium collections for FIAs,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benefits (primarily interest credited to account balances or the hedging cost of providing index credits to the policyholder), amortization of VOBA, DAC and DSI, other operating costs and expenses, and income taxes.</w:t>
      </w:r>
    </w:p>
    <w:p>
      <w:pPr>
        <w:spacing w:after="0" w:line="38"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F&amp;G hedges certain portions of its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reserve impact of the index credits due to policyholders under the FIA and IUL contracts. The majority of all such call options are one-year options 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4"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Earnings from products accounted for as deposit liabilities are primarily generated from the excess of net investment income earned over the sum of interest credited to policyholders and the cost of hedging our risk on FIA/IUL policies. With respect to FIAs/IULs,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2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profitability depends in large part upon the amount of assets under management (“AUM” —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section), the excess of net investment income earned over the sum of interest credited to policyholders and the cost of hedging our risk on indexed product policies earned on our average assets under management ("AAUM" —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the excess of net investment income earned over the sum of interest credited to policyholders and the cost of hedging our risk on indexed product policies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FIA/IULs. We analyze returns on AAUM, VOBA, pre- and post-DAC and DSI as well as pre- and post-tax to measure our profitability in terms of growth and improved earnings.</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June 2021, we established a FABN Program, pursuant to which FGL Insurance may issue funding agreements to a special purpose statutory trust (the “Trust”) for spread lending purposes. The maximum aggregate principal amount permitted to be outstanding at any one time under the FABN Program is currently $5.0 billion. We also issue funding agreements through the FHLB.</w:t>
      </w:r>
    </w:p>
    <w:p>
      <w:pPr>
        <w:spacing w:after="0" w:line="48" w:lineRule="exact"/>
        <w:rPr>
          <w:sz w:val="20"/>
          <w:szCs w:val="20"/>
          <w:color w:val="auto"/>
        </w:rPr>
      </w:pPr>
    </w:p>
    <w:p>
      <w:pPr>
        <w:ind w:right="500" w:firstLine="395"/>
        <w:spacing w:after="0" w:line="332" w:lineRule="auto"/>
        <w:rPr>
          <w:sz w:val="20"/>
          <w:szCs w:val="20"/>
          <w:color w:val="auto"/>
        </w:rPr>
      </w:pPr>
      <w:r>
        <w:rPr>
          <w:rFonts w:ascii="Times New Roman" w:cs="Times New Roman" w:eastAsia="Times New Roman" w:hAnsi="Times New Roman"/>
          <w:sz w:val="16"/>
          <w:szCs w:val="16"/>
          <w:color w:val="auto"/>
        </w:rPr>
        <w:t>In July 2021, we entered the PRT market, pursuant to which FGL Insurance and FGL NY Insurance may issue group annuity contracts to discharge pension plan liabilities from a pension plan sponsor. Life contingent PRT premiums are included in life insurance premiums and other fees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ind w:firstLine="395"/>
        <w:spacing w:after="0" w:line="230"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GAAP, this document includes non-GAAP financial measures, which the Company believes are useful to help investors better understand its financial performance, competitive position and prospects for the future. 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The presentation of this financial information is not intended to be considered in isolation of or as a substitute for, or superior to, the financial information prepared and presented in accordance with GAAP. By disclosing these non-GAAP financial measures, the Company believes it offers investors a greater understanding of, and an enhanced level of transparency into, the means by which the Company’s management operates the Company. Any non-GAAP measures should be considered in context with the GAAP financial presentation and should not be considered in isolation or as a substitute for GAAP net earnings, net earnings attributable to common shareholders, or any other measures derived in accordance with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GAAP as measures of operating performance or liquidity. Reconciliations of these non-GAAP financial measures to the most directly comparable GAAP measures are provided within.</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Adjusted Net Earnings Attributable to Common Shareholders</w:t>
      </w:r>
    </w:p>
    <w:p>
      <w:pPr>
        <w:spacing w:after="0" w:line="24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Adjusted net earnings attributable to common shareholders (“Adjusted net earnings”) is a non-GAAP economic measure we use to evaluate financial performance each period. Adjusted net earnings is calculated by adjusting net earnings (loss) from continuing operations attributable to common shareholders to eliminate:</w:t>
      </w:r>
    </w:p>
    <w:p>
      <w:pPr>
        <w:spacing w:after="0" w:line="127" w:lineRule="exact"/>
        <w:rPr>
          <w:sz w:val="20"/>
          <w:szCs w:val="20"/>
          <w:color w:val="auto"/>
        </w:rPr>
      </w:pPr>
    </w:p>
    <w:p>
      <w:pPr>
        <w:ind w:left="640" w:hanging="319"/>
        <w:spacing w:after="0" w:line="256" w:lineRule="auto"/>
        <w:tabs>
          <w:tab w:leader="none" w:pos="5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(gains) and losses, net: the impact of net investment gains/losses, including changes in allowance for expected credit losses and other than temporary impairment (“OTTI”) losses, recognized in operations; and the effect of changes in fair value of the reinsurance related embedded derivative;</w:t>
      </w:r>
    </w:p>
    <w:p>
      <w:pPr>
        <w:spacing w:after="0" w:line="127" w:lineRule="exact"/>
        <w:rPr>
          <w:rFonts w:ascii="Times New Roman" w:cs="Times New Roman" w:eastAsia="Times New Roman" w:hAnsi="Times New Roman"/>
          <w:sz w:val="18"/>
          <w:szCs w:val="18"/>
          <w:color w:val="auto"/>
        </w:rPr>
      </w:pPr>
    </w:p>
    <w:p>
      <w:pPr>
        <w:ind w:left="640" w:hanging="319"/>
        <w:spacing w:after="0" w:line="268" w:lineRule="auto"/>
        <w:tabs>
          <w:tab w:leader="none" w:pos="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Indexed product related derivatives: the impacts related to changes in the fair value, including both realized and unrealized gains and losses, of index product related derivatives and embedded derivatives, net of hedging cost;</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amortization: the impacts related to the amortization of certain intangibles (internally developed software, trademarks and value of distribution asset (“VODA”)) recognized as a result of acquisition activities;</w:t>
      </w:r>
    </w:p>
    <w:p>
      <w:pPr>
        <w:spacing w:after="0" w:line="116"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the impacts related to acquisition, integration and merger related items;</w:t>
      </w:r>
    </w:p>
    <w:p>
      <w:pPr>
        <w:spacing w:after="0" w:line="161"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127" w:lineRule="exact"/>
        <w:rPr>
          <w:rFonts w:ascii="Times New Roman" w:cs="Times New Roman" w:eastAsia="Times New Roman" w:hAnsi="Times New Roman"/>
          <w:sz w:val="18"/>
          <w:szCs w:val="18"/>
          <w:color w:val="auto"/>
        </w:rPr>
      </w:pPr>
    </w:p>
    <w:p>
      <w:pPr>
        <w:ind w:left="640" w:hanging="319"/>
        <w:spacing w:after="0" w:line="268" w:lineRule="auto"/>
        <w:tabs>
          <w:tab w:leader="none" w:pos="6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actuarial intangibles and SOP 03-1 reserve offset: The intangibles amortization and SOP 03-1 change offsets related to the above mentioned adjustments; and</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the income tax impact related to the above mentioned adjustments is measured using an effective tax rate, as appropriate by tax jurisdiction.</w:t>
      </w:r>
    </w:p>
    <w:p>
      <w:pPr>
        <w:spacing w:after="0" w:line="11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52"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14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114" w:lineRule="exact"/>
        <w:rPr>
          <w:sz w:val="20"/>
          <w:szCs w:val="20"/>
          <w:color w:val="auto"/>
        </w:rPr>
      </w:pPr>
    </w:p>
    <w:p>
      <w:pPr>
        <w:jc w:val="both"/>
        <w:ind w:right="100" w:firstLine="316"/>
        <w:spacing w:after="0" w:line="286" w:lineRule="auto"/>
        <w:rPr>
          <w:sz w:val="20"/>
          <w:szCs w:val="20"/>
          <w:color w:val="auto"/>
        </w:rPr>
      </w:pPr>
      <w:r>
        <w:rPr>
          <w:rFonts w:ascii="Times New Roman" w:cs="Times New Roman" w:eastAsia="Times New Roman" w:hAnsi="Times New Roman"/>
          <w:sz w:val="16"/>
          <w:szCs w:val="16"/>
          <w:color w:val="auto"/>
        </w:rPr>
        <w:t>We have updated our non-GAAP measure definition for Adjusted net earnings as of September 30, 2022 to remove the alternative investments adjustment that was previously made for the difference between actual net investment income earned on our alternative investments compared to management's long-term expectation of net investment income for these types of investments. All prior periods have been restated to remove this adjustment.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 (“AUM”)</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AUM is a non-GAAP measure that we use to assess the rate of return on assets available for reinvestment. AUM is calculated as the sum of:</w:t>
      </w:r>
    </w:p>
    <w:p>
      <w:pPr>
        <w:spacing w:after="0" w:line="83" w:lineRule="exact"/>
        <w:rPr>
          <w:sz w:val="20"/>
          <w:szCs w:val="20"/>
          <w:color w:val="auto"/>
        </w:rPr>
      </w:pPr>
    </w:p>
    <w:p>
      <w:pPr>
        <w:ind w:left="540" w:hanging="219"/>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invested assets at amortized cost, excluding derivatives, net of reinsurance qualifying for risk transfer in accordance with GAAP;</w:t>
      </w:r>
    </w:p>
    <w:p>
      <w:pPr>
        <w:spacing w:after="0" w:line="82" w:lineRule="exact"/>
        <w:rPr>
          <w:rFonts w:ascii="Times New Roman" w:cs="Times New Roman" w:eastAsia="Times New Roman" w:hAnsi="Times New Roman"/>
          <w:sz w:val="18"/>
          <w:szCs w:val="18"/>
          <w:color w:val="auto"/>
        </w:rPr>
      </w:pPr>
    </w:p>
    <w:p>
      <w:pPr>
        <w:ind w:left="580" w:hanging="25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loans and investments;</w:t>
      </w:r>
    </w:p>
    <w:p>
      <w:pPr>
        <w:spacing w:after="0" w:line="82"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investment income;</w:t>
      </w:r>
    </w:p>
    <w:p>
      <w:pPr>
        <w:spacing w:after="0" w:line="82"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payable/receivable for the purchase/sale of investments; and</w:t>
      </w:r>
    </w:p>
    <w:p>
      <w:pPr>
        <w:spacing w:after="0" w:line="82" w:lineRule="exact"/>
        <w:rPr>
          <w:rFonts w:ascii="Times New Roman" w:cs="Times New Roman" w:eastAsia="Times New Roman" w:hAnsi="Times New Roman"/>
          <w:sz w:val="18"/>
          <w:szCs w:val="18"/>
          <w:color w:val="auto"/>
        </w:rPr>
      </w:pPr>
    </w:p>
    <w:p>
      <w:pPr>
        <w:ind w:left="320" w:firstLine="1"/>
        <w:spacing w:after="0" w:line="268" w:lineRule="auto"/>
        <w:tabs>
          <w:tab w:leader="none" w:pos="5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excluding derivative collateral, at the beginning of the period and the end of each month in the period, divided by the total number of months in the period plus one.</w:t>
      </w:r>
    </w:p>
    <w:p>
      <w:pPr>
        <w:spacing w:after="0" w:line="3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Management considers this non-GAAP financial measure to be useful internally and to investors and analysts when assessing the rate of return on assets available for reinvestment.</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Average Assets Under Management (“AAUM”)</w:t>
      </w:r>
    </w:p>
    <w:p>
      <w:pPr>
        <w:spacing w:after="0" w:line="8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AAUM is calculated as AUM at the beginning of the period and the end of each month in the period, divided by the total number of months in the period plus one. Management considers this non-GAAP financial measure to be useful internally and to investors and analysts when assessing the rate of return on assets available for reinvestment.</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Yield on AAUM</w:t>
      </w:r>
    </w:p>
    <w:p>
      <w:pPr>
        <w:spacing w:after="0" w:line="8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results of operations of our F&amp;G segment for the three and nine months ended September 30, 2022 and September 30, 2021 were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000" w:type="dxa"/>
            <w:vAlign w:val="bottom"/>
            <w:gridSpan w:val="4"/>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84"/>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90"/>
        </w:trPr>
        <w:tc>
          <w:tcPr>
            <w:tcW w:w="4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Life insurance premiums and other fees (a)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05"/>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191"/>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9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4"/>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190"/>
        </w:trPr>
        <w:tc>
          <w:tcPr>
            <w:tcW w:w="4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Personnel costs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05"/>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0"/>
        </w:trPr>
        <w:tc>
          <w:tcPr>
            <w:tcW w:w="4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205"/>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4"/>
        </w:trPr>
        <w:tc>
          <w:tcPr>
            <w:tcW w:w="48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w:t>
            </w:r>
          </w:p>
        </w:tc>
      </w:tr>
      <w:tr>
        <w:trPr>
          <w:trHeight w:val="19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before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184"/>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from continuing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84"/>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Earnings (loss) from discontinued operations, net of tax</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bl>
    <w:p>
      <w:pPr>
        <w:ind w:left="20"/>
        <w:spacing w:after="0"/>
        <w:rPr>
          <w:sz w:val="20"/>
          <w:szCs w:val="20"/>
          <w:color w:val="auto"/>
        </w:rPr>
      </w:pPr>
      <w:r>
        <w:rPr>
          <w:rFonts w:ascii="Times New Roman" w:cs="Times New Roman" w:eastAsia="Times New Roman" w:hAnsi="Times New Roman"/>
          <w:sz w:val="14"/>
          <w:szCs w:val="14"/>
          <w:color w:val="auto"/>
        </w:rPr>
        <w:t>(a) Included within Escrow, title-related and other fees in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-93345</wp:posOffset>
            </wp:positionV>
            <wp:extent cx="40360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following table summarizes sales by product type of our F&amp;G segment (in millions)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indexed annuities (FIA)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3,255</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 (MYGA)</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183"/>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annuity</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universal life (IUL)</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agreements (FABN/FHLB)</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risk transfer (PRT)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4"/>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Gross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7,397</w:t>
            </w:r>
          </w:p>
        </w:tc>
      </w:tr>
      <w:tr>
        <w:trPr>
          <w:trHeight w:val="19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attributable to flow reinsurance to third parties</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9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w:t>
            </w: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annuity sales increased during the three and nine months ended September 30, 2022 compared to the three and nine months ended September 30, 2021, and reflect pricing actions taken to align to the macro environment.</w:t>
      </w:r>
    </w:p>
    <w:p>
      <w:pPr>
        <w:spacing w:after="0" w:line="6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agreements, reflecting new FABN and FHLB agreements during the three and nine months ended September 30, 2022, were lower compared to the three and nine months ended September 30, 2021, reflect F&amp;G's expansion into institutional markets during 2021 and are subject to fluctuation period to period.</w:t>
      </w:r>
    </w:p>
    <w:p>
      <w:pPr>
        <w:spacing w:after="0" w:line="7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PRT sales increased during the three and nine months ended September 30, 2022 compared to the three and nine months ended September 30, 2021, reflect entrance into the PRT market in the second half of 2021, and are also subject to fluctuation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242"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Life insurance premiums and other fees primarily reflect premiums on life-contingent PRTs and traditional life insurance products, which are recognized as revenue when due from the policyholder, as well as policy rider fees primarily on FIA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(in millions), for the three and nine months ended September 30, 2022 and September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4"/>
        </w:trPr>
        <w:tc>
          <w:tcPr>
            <w:tcW w:w="4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Life-contingent immediate annuity premiums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charges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1"/>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22"/>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640" w:hanging="319"/>
        <w:spacing w:after="0" w:line="289" w:lineRule="auto"/>
        <w:tabs>
          <w:tab w:leader="none" w:pos="63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premiums and other fees for the three and nine months ended September 30, 2022 increased compared to the three and nine months ended September 30, 2021, primarily reflecting our entrance into the PRT market in the second half of 2021. As noted above, PRT premiums are subject to fluctuation period to period. In addition, surrender charges increased for the three and nine months ended September 30, 2022, compared to the three and nine months ended September 30, 2021, primarily reflecting the market value adjustment feature that results in relatively higher surrender charges when market interest rates are higher and relatively lower surrender charges when market interest rates are lower.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7"/>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r>
      <w:tr>
        <w:trPr>
          <w:trHeight w:val="19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7"/>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Our AAUM and yield on AAUM are summarized as follows (annualized) (dollars in millions)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4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AAUM</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41,081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32,692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39,246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30,706</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Yield on AAUM (at amortized cost)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5.82 %</w:t>
            </w:r>
          </w:p>
        </w:tc>
      </w:tr>
    </w:tbl>
    <w:p>
      <w:pPr>
        <w:spacing w:after="0" w:line="200" w:lineRule="exact"/>
        <w:rPr>
          <w:sz w:val="20"/>
          <w:szCs w:val="20"/>
          <w:color w:val="auto"/>
        </w:rPr>
      </w:pPr>
    </w:p>
    <w:p>
      <w:pPr>
        <w:spacing w:after="0" w:line="243" w:lineRule="exact"/>
        <w:rPr>
          <w:sz w:val="20"/>
          <w:szCs w:val="20"/>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AAUM was higher for the three and nine months ended September 30, 2022 compared to the three and nine months ended September 30, 2021, reflecting net new business asset flows, offset by net reinsurance and other activity.</w:t>
      </w:r>
    </w:p>
    <w:p>
      <w:pPr>
        <w:spacing w:after="0" w:line="77"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investment income was lower for the three months ended September 30, 2022 compared to the three months ended September 30, 2021, primarily due to $255 million lower returns on limited partnerships and $10 million of all other rate impacts, partially offset by $124 million from invested asset growth.</w:t>
      </w:r>
    </w:p>
    <w:p>
      <w:pPr>
        <w:spacing w:after="0" w:line="100"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investment income was lower for the nine months ended September 30, 2022 compared to the nine months ended September 30, 2021 primarily due to $436 million from lower returns on limited partnerships and $62 million of all other rate impacts, partially offset by $373 million from invested asset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c>
          <w:tcPr>
            <w:tcW w:w="0" w:type="dxa"/>
            <w:vAlign w:val="bottom"/>
          </w:tcPr>
          <w:p>
            <w:pPr>
              <w:spacing w:after="0"/>
              <w:rPr>
                <w:sz w:val="1"/>
                <w:szCs w:val="1"/>
                <w:color w:val="auto"/>
              </w:rPr>
            </w:pPr>
          </w:p>
        </w:tc>
      </w:tr>
      <w:tr>
        <w:trPr>
          <w:trHeight w:val="122"/>
        </w:trPr>
        <w:tc>
          <w:tcPr>
            <w:tcW w:w="528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Net realized and unrealized (losses) gains on fixed maturity available-for-sale securities,</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and other invested assets</w:t>
            </w:r>
          </w:p>
        </w:tc>
        <w:tc>
          <w:tcPr>
            <w:tcW w:w="10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certain derivatives instruments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52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40" w:hanging="319"/>
        <w:spacing w:after="0" w:line="256" w:lineRule="auto"/>
        <w:tabs>
          <w:tab w:leader="none" w:pos="636"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and nine months ended September 30, 2022, net realized and unrealized gains (losses) on fixed maturity available-for-sale securities, equity securities and other invested assets is primarily the result of mark-to-market losses on our equity securities and realized losses on fixed maturity available-for-sale securities.</w:t>
      </w:r>
    </w:p>
    <w:p>
      <w:pPr>
        <w:spacing w:after="0" w:line="100" w:lineRule="exact"/>
        <w:rPr>
          <w:rFonts w:ascii="Times New Roman" w:cs="Times New Roman" w:eastAsia="Times New Roman" w:hAnsi="Times New Roman"/>
          <w:sz w:val="18"/>
          <w:szCs w:val="18"/>
          <w:i w:val="1"/>
          <w:iCs w:val="1"/>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and nine months ended September 30, 2021, net realized and unrealized gains (losses) on fixed maturity available-for-sale securities, equity securities and other invested assets is primarily the result of realized gains and losses on fixed maturity available-for-sale securities.</w:t>
      </w:r>
    </w:p>
    <w:p>
      <w:pPr>
        <w:spacing w:after="0" w:line="77" w:lineRule="exact"/>
        <w:rPr>
          <w:rFonts w:ascii="Times New Roman" w:cs="Times New Roman" w:eastAsia="Times New Roman" w:hAnsi="Times New Roman"/>
          <w:sz w:val="18"/>
          <w:szCs w:val="18"/>
          <w:i w:val="1"/>
          <w:iCs w:val="1"/>
          <w:color w:val="auto"/>
        </w:rPr>
      </w:pPr>
    </w:p>
    <w:p>
      <w:pPr>
        <w:jc w:val="both"/>
        <w:ind w:left="640" w:hanging="319"/>
        <w:spacing w:after="0" w:line="256"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options and futures used to hedge FIA and IUL products, including gains on option and futures expiration. See the table below for primary drivers of gains (losses) on certain derivatives.</w:t>
      </w:r>
    </w:p>
    <w:p>
      <w:pPr>
        <w:spacing w:after="0" w:line="8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("FWH") portfolio.</w:t>
      </w:r>
    </w:p>
    <w:p>
      <w:pPr>
        <w:spacing w:after="0" w:line="9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7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annuity and universal life products are summarized in the table below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84"/>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(Losses) gains on option expiration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303</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gains on futures contracts expiration</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gains (losses)</w:t>
            </w:r>
          </w:p>
        </w:tc>
        <w:tc>
          <w:tcPr>
            <w:tcW w:w="140" w:type="dxa"/>
            <w:vAlign w:val="bottom"/>
          </w:tcPr>
          <w:p>
            <w:pPr>
              <w:spacing w:after="0"/>
              <w:rPr>
                <w:sz w:val="16"/>
                <w:szCs w:val="16"/>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1"/>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Gains on foreign currency forward</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r>
      <w:tr>
        <w:trPr>
          <w:trHeight w:val="22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change in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7"/>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Annual Point-to-Point Change in S&amp;P 500 Index during the periods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bl>
    <w:p>
      <w:pPr>
        <w:spacing w:after="0" w:line="140" w:lineRule="exact"/>
        <w:rPr>
          <w:sz w:val="20"/>
          <w:szCs w:val="20"/>
          <w:color w:val="auto"/>
        </w:rPr>
      </w:pPr>
    </w:p>
    <w:p>
      <w:pPr>
        <w:jc w:val="both"/>
        <w:ind w:left="640" w:hanging="319"/>
        <w:spacing w:after="0" w:line="250"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each period on options settled during the respective period.</w:t>
      </w:r>
    </w:p>
    <w:p>
      <w:pPr>
        <w:spacing w:after="0" w:line="2"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gains (losses) due to fair value of call options is primarily driven by the underlying performance of the S&amp;P 500 Index during each respective period relative to the S&amp;P 500 Index on the policyholder buy dates.</w:t>
      </w:r>
    </w:p>
    <w:p>
      <w:pPr>
        <w:ind w:left="640" w:hanging="319"/>
        <w:spacing w:after="0" w:line="24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call options and futures contracts was primarily driven by movements in the S&amp;P 500 Index relative to the policyholder buy dates.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3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80" w:type="dxa"/>
            <w:vAlign w:val="bottom"/>
            <w:gridSpan w:val="3"/>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8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40" w:type="dxa"/>
            <w:vAlign w:val="bottom"/>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7"/>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15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Point-to-point strategy</w:t>
            </w:r>
          </w:p>
        </w:tc>
        <w:tc>
          <w:tcPr>
            <w:tcW w:w="16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Monthly average strategy</w:t>
            </w:r>
          </w:p>
        </w:tc>
        <w:tc>
          <w:tcPr>
            <w:tcW w:w="16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16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3"/>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 year high water mark</w:t>
            </w:r>
          </w:p>
        </w:tc>
        <w:tc>
          <w:tcPr>
            <w:tcW w:w="154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bl>
    <w:p>
      <w:pPr>
        <w:spacing w:after="0" w:line="233" w:lineRule="exact"/>
        <w:rPr>
          <w:sz w:val="20"/>
          <w:szCs w:val="20"/>
          <w:color w:val="auto"/>
        </w:rPr>
      </w:pPr>
    </w:p>
    <w:p>
      <w:pPr>
        <w:jc w:val="both"/>
        <w:ind w:left="64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FIA contracts and certain IUL contracts (caps, spreads and participation rates), which allow F&amp;G to manage the cost of the options purchased to fund the annual index credits.</w:t>
      </w:r>
    </w:p>
    <w:p>
      <w:pPr>
        <w:spacing w:after="0" w:line="100"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changes in policy reserves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7"/>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4"/>
                <w:szCs w:val="14"/>
                <w:color w:val="auto"/>
                <w:w w:val="95"/>
              </w:rPr>
              <w:t>371</w:t>
            </w: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FIA/IUL market related liability movements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890"/>
              <w:spacing w:after="0"/>
              <w:rPr>
                <w:sz w:val="20"/>
                <w:szCs w:val="20"/>
                <w:color w:val="auto"/>
              </w:rPr>
            </w:pPr>
            <w:r>
              <w:rPr>
                <w:rFonts w:ascii="Times New Roman" w:cs="Times New Roman" w:eastAsia="Times New Roman" w:hAnsi="Times New Roman"/>
                <w:sz w:val="14"/>
                <w:szCs w:val="14"/>
                <w:color w:val="auto"/>
                <w:w w:val="98"/>
              </w:rPr>
              <w:t>(611)</w:t>
            </w:r>
          </w:p>
        </w:tc>
      </w:tr>
      <w:tr>
        <w:trPr>
          <w:trHeight w:val="20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&amp; bonuses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4"/>
                <w:szCs w:val="14"/>
                <w:color w:val="auto"/>
                <w:w w:val="95"/>
              </w:rPr>
              <w:t>725</w:t>
            </w:r>
          </w:p>
        </w:tc>
      </w:tr>
      <w:tr>
        <w:trPr>
          <w:trHeight w:val="191"/>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Annuity payments and other</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4"/>
                <w:szCs w:val="14"/>
                <w:color w:val="auto"/>
                <w:w w:val="95"/>
              </w:rPr>
              <w:t>249</w:t>
            </w:r>
          </w:p>
        </w:tc>
      </w:tr>
      <w:tr>
        <w:trPr>
          <w:trHeight w:val="222"/>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benefits and other changes in policy reserves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4"/>
                <w:szCs w:val="14"/>
                <w:color w:val="auto"/>
                <w:w w:val="95"/>
              </w:rPr>
              <w:t>734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40" w:hanging="319"/>
        <w:spacing w:after="0" w:line="267"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increased for the three and nine months ended September 30, 2022, compared to the three and nine months ended September 30, 2021, and reflects F&amp;G's entrance into the PRT market in the second half of 2021. PRT agreements are subject to fluctuation period to period.</w:t>
      </w:r>
    </w:p>
    <w:p>
      <w:pPr>
        <w:jc w:val="both"/>
        <w:ind w:left="640" w:hanging="319"/>
        <w:spacing w:after="0" w:line="282" w:lineRule="auto"/>
        <w:tabs>
          <w:tab w:leader="none" w:pos="63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FIA/IUL market related liability movements during the three and nine months ended September 30, 2022 and September 30, 2021, respectively, are mainly driven by changes in the equity markets, non-performance spreads, and risk free rates during the periods. Additionally, the three and nine months ended September 2021 include the system implementation and assumption review process impacts discussed below. The change in risk free rates and non-performance spreads (decreased) the FIA market related liability by ($189) million and ($29) million during the three months ended September 30, 2022 and September 30, 2021, respectively. The change in risk free rates and non-performance spreads (decreased) the FIA market related liability by ($747) million and ($160) million during the nine months ended September 30, 2022 and September 30, 2021, respectively. The remaining changes in market value of the market related liability movements for all periods was driven by equity market impacts. See table in the net investment gains/losses discussion above for summary and discussion of net unrealized gains (losses) on certain derivative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40" w:hanging="319"/>
        <w:spacing w:after="0" w:line="249"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 There were no significant impacts during the third quarter of 2022. During the third quarter of 2021, we implemented a new actuarial valuation system, and as a result, our third quarter 2021 assumption updates include model refinements and assumption updates resulting from the implementation. The system implementation and assumption review process included refinements in the calculation of the fair value of the embedded derivative component of our fixed indexed annuities. These changes, taken together, resulted in a decrease in contractholder funds and future policy reserves of $397 million for the three and nine months ended September 30, 2021.</w:t>
      </w:r>
    </w:p>
    <w:p>
      <w:pPr>
        <w:spacing w:after="0" w:line="93"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&amp; bonuses for the three and nine months ended September 30, 2022 were lower compared to the three and nine months ended September 30, 2021 and primarily reflected lower index credits on FIA policies as a result of market movement during the respective periods. Refer to average policyholder index discussion above for details on drivers.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97"/>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other depreciation</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2"/>
        </w:trPr>
        <w:tc>
          <w:tcPr>
            <w:tcW w:w="4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depreciation and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64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VOBA, DAC and DSI is based on current and future expected gross margins (pre-tax operating income before amortization). The amortization for the periods presented is the result of actual gross profits ("AGPs") in the period.</w:t>
      </w:r>
    </w:p>
    <w:p>
      <w:pPr>
        <w:spacing w:after="0" w:line="24" w:lineRule="exact"/>
        <w:rPr>
          <w:rFonts w:ascii="Times New Roman" w:cs="Times New Roman" w:eastAsia="Times New Roman" w:hAnsi="Times New Roman"/>
          <w:sz w:val="18"/>
          <w:szCs w:val="18"/>
          <w:color w:val="auto"/>
        </w:rPr>
      </w:pPr>
    </w:p>
    <w:p>
      <w:pPr>
        <w:jc w:val="both"/>
        <w:ind w:left="640" w:hanging="319"/>
        <w:spacing w:after="0" w:line="252"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typically in the third quarter, we review assumptions associated with the amortization of intangibles. There were no significant impacts during the third quarter of 2022. During the third quarter of 2021, we implemented a new actuarial valuations system and as a result, our third quarter 2021 assumption updates include model refinements and assumption updates resulting from the implementation. The changes, taken together, increased amortization of intangibles by $136 million for the three and nine months ended September 30,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 affecting net earnings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income tax expense (benefit)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3"/>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774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before valuation allowance</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4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6"/>
                <w:szCs w:val="16"/>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Federal income tax expense (benefit)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Effective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25 %</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September 30, 2022 of $28 million, was lower compared to income tax expense of $96 million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spacing w:after="0" w:line="268" w:lineRule="auto"/>
        <w:rPr>
          <w:sz w:val="20"/>
          <w:szCs w:val="20"/>
          <w:color w:val="auto"/>
        </w:rPr>
      </w:pPr>
      <w:r>
        <w:rPr>
          <w:rFonts w:ascii="Times New Roman" w:cs="Times New Roman" w:eastAsia="Times New Roman" w:hAnsi="Times New Roman"/>
          <w:sz w:val="18"/>
          <w:szCs w:val="18"/>
          <w:color w:val="auto"/>
        </w:rPr>
        <w:t>reflecting lower income before taxes. The effective tax rate for the three months ended September 30, 2022, was 20%, in line with the effective tax rate for the three months ended September 30, 2021.</w:t>
      </w:r>
    </w:p>
    <w:p>
      <w:pPr>
        <w:spacing w:after="0" w:line="38" w:lineRule="exact"/>
        <w:rPr>
          <w:sz w:val="20"/>
          <w:szCs w:val="20"/>
          <w:color w:val="auto"/>
        </w:rPr>
      </w:pPr>
    </w:p>
    <w:p>
      <w:pPr>
        <w:jc w:val="both"/>
        <w:ind w:left="640" w:hanging="319"/>
        <w:spacing w:after="0" w:line="289" w:lineRule="auto"/>
        <w:tabs>
          <w:tab w:leader="none" w:pos="636"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Income tax expense for the nine months ended September 30, 2022 was $193 million, inclusive of a change in the valuation allowance of $38 million, compared to income tax expense of $189 million, inclusive of a change in the valuation allowance of $(14) million for the nine months ended September 30, 2021. The effective tax rate was 25% and 20% for the nine months ended September 30, 2022 and September 30, 2021, respectively. The increase in the effective tax rate for the nine months ended September 30, 2022 is primarily related to the valuation allowance recorded on realized capital losses on the sale of discontinued operations, for which it is more likely than not that we will not be able to realize for tax purposes.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(See Non-GAAP Financial Measures)</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shows the adjustments made to reconcile Net earnings from continuing operations to Adjusted net earnings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7"/>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 attributable to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Non-GAAP adjustments: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Net realized and unrealized gains (losses) on fixed maturity available-for-sale</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8"/>
        </w:trPr>
        <w:tc>
          <w:tcPr>
            <w:tcW w:w="4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securities, equity securities and other invested assets</w:t>
            </w: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4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5"/>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4"/>
        </w:trPr>
        <w:tc>
          <w:tcPr>
            <w:tcW w:w="49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product related derivatives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price amortization</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 and other non-recurring items (a)</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35"/>
        </w:trPr>
        <w:tc>
          <w:tcPr>
            <w:tcW w:w="4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Amortization of actuarial intangibles and SOP-03-1 reserve offset on non-GAAP</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8"/>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on non-GAAP adjustments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7"/>
        </w:trPr>
        <w:tc>
          <w:tcPr>
            <w:tcW w:w="4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Adjusted net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9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ind w:left="340" w:right="200" w:hanging="317"/>
        <w:spacing w:after="0" w:line="237"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2021, reflects a one-time favorable adjustment to benefits and other changes in policy reserves and depreciation and amortization resulting from an actuarial system conversion which reflects modeling enhancement and other refinements of $284..</w:t>
      </w:r>
    </w:p>
    <w:p>
      <w:pPr>
        <w:spacing w:after="0" w:line="387"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The commentary below is intended to provide additional information on the significant income and expense items that are reflected in ANE results for each time period. Those significant income and expense items are reported after actuarial intangibles and SOP 03-1 reserve offsets and taxes.</w:t>
      </w:r>
    </w:p>
    <w:p>
      <w:pPr>
        <w:spacing w:after="0" w:line="196" w:lineRule="exact"/>
        <w:rPr>
          <w:sz w:val="20"/>
          <w:szCs w:val="20"/>
          <w:color w:val="auto"/>
        </w:rPr>
      </w:pPr>
    </w:p>
    <w:p>
      <w:pPr>
        <w:jc w:val="both"/>
        <w:ind w:left="640" w:hanging="319"/>
        <w:spacing w:after="0" w:line="252"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of $12 million for the three months ended September 30, 2022 is comprised of alternative investments net investment loss of $(10) million. Alternative investments net investment income based on management’s long-term expected return of approximately 10% was $83 million. Actual net investment income was lower due to declines in fair value of these investments. Additionally, we recognized $(5) million expense from other net unfavorable items.</w:t>
      </w:r>
    </w:p>
    <w:p>
      <w:pPr>
        <w:spacing w:after="0" w:line="209" w:lineRule="exact"/>
        <w:rPr>
          <w:rFonts w:ascii="Times New Roman" w:cs="Times New Roman" w:eastAsia="Times New Roman" w:hAnsi="Times New Roman"/>
          <w:sz w:val="18"/>
          <w:szCs w:val="18"/>
          <w:color w:val="auto"/>
        </w:rPr>
      </w:pPr>
    </w:p>
    <w:p>
      <w:pPr>
        <w:jc w:val="both"/>
        <w:ind w:left="640" w:hanging="319"/>
        <w:spacing w:after="0" w:line="300" w:lineRule="auto"/>
        <w:tabs>
          <w:tab w:leader="none" w:pos="63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earnings of $160 million for the three months ended September 30, 2021 is comprised of alternative investments net investment income of $108 million. Alternative investments net investment income based on management’s long-term expected return of approximately 9% was $49</w:t>
      </w:r>
    </w:p>
    <w:p>
      <w:pPr>
        <w:ind w:left="6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million. Actual net investment income was higher due to increases in fair value of these investments. Additionally, we recognized $7 million income from net favorable mortality experience and other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reserve changes and $20 million of net favorable items, primarily income from CLO redemption and other income.</w:t>
      </w:r>
    </w:p>
    <w:p>
      <w:pPr>
        <w:spacing w:after="0" w:line="240" w:lineRule="exact"/>
        <w:rPr>
          <w:sz w:val="20"/>
          <w:szCs w:val="20"/>
          <w:color w:val="auto"/>
        </w:rPr>
      </w:pPr>
    </w:p>
    <w:p>
      <w:pPr>
        <w:jc w:val="both"/>
        <w:ind w:left="640" w:hanging="319"/>
        <w:spacing w:after="0" w:line="249"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of $207 million for the nine months ended September 30, 2022 is comprised of alternative investments net investment income of $66 million. Alternative investments net investment income based on management’s long-term expected return of approximately 10% was $174 million. Actual net investment income was lower due to declines in fair value of these investments. Additionally, we recognized $9 million income from net favorable mortality experience and other reserve changes, $33 million income from actuarial assumption updates and $20 million income from CLO redemption and other income; offset by $(47) million from other net unfavorable items, primarily income tax expense due to a valuation allowance recorded against deferred tax assets related to the past sale of discontinued operations.</w:t>
      </w:r>
    </w:p>
    <w:p>
      <w:pPr>
        <w:spacing w:after="0" w:line="211" w:lineRule="exact"/>
        <w:rPr>
          <w:rFonts w:ascii="Times New Roman" w:cs="Times New Roman" w:eastAsia="Times New Roman" w:hAnsi="Times New Roman"/>
          <w:sz w:val="18"/>
          <w:szCs w:val="18"/>
          <w:color w:val="auto"/>
        </w:rPr>
      </w:pPr>
    </w:p>
    <w:p>
      <w:pPr>
        <w:jc w:val="both"/>
        <w:ind w:left="640" w:hanging="319"/>
        <w:spacing w:after="0" w:line="300" w:lineRule="auto"/>
        <w:tabs>
          <w:tab w:leader="none" w:pos="636"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Adjusted net earnings of $409 million for the nine months ended September 30, 2021 is comprised of alternative investments net investment income of $241 million. Alternative investments net investment income based on management’s long-term expected return of approximately 10% was $103</w:t>
      </w:r>
    </w:p>
    <w:p>
      <w:pPr>
        <w:jc w:val="both"/>
        <w:ind w:left="640"/>
        <w:spacing w:after="0" w:line="256"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million. Actual net investment income was higher due to increases in fair value of these investments. Additionally, we recognized $17 million income from net favorable mortality experience and other reserve changes, $8 million income from actuarial intangibles unlocking and $36 million income of other net favorable items, primarily net investment income related to CLO gains.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65"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and balance risk across diverse asset classes and is primarily invested in high quality fixed income securities.</w:t>
      </w:r>
    </w:p>
    <w:p>
      <w:pPr>
        <w:spacing w:after="0" w:line="9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September 30, 2022 and December 31, 2021, the fair value of our investment portfolio was approximately $38 billion and $39 billion, respectively, and was divided among the following asset classes and sectors (dollars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1,441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5,109</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Wholesale/retail trade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Services, media and other</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3,349</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2,964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4,550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1"/>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Collateral loan obligations (“CLO”)</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29,962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97"/>
        </w:trPr>
        <w:tc>
          <w:tcPr>
            <w:tcW w:w="512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investments: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(primarily derivatives and company owned life insurance)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4"/>
        </w:trPr>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38,975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ind w:left="60"/>
        <w:spacing w:after="0"/>
        <w:rPr>
          <w:sz w:val="20"/>
          <w:szCs w:val="20"/>
          <w:color w:val="auto"/>
        </w:rPr>
      </w:pPr>
      <w:r>
        <w:rPr>
          <w:rFonts w:ascii="Times New Roman" w:cs="Times New Roman" w:eastAsia="Times New Roman" w:hAnsi="Times New Roman"/>
          <w:sz w:val="14"/>
          <w:szCs w:val="14"/>
          <w:color w:val="auto"/>
        </w:rPr>
        <w:t>(a) Includes investment grade non-redeemable preferred stocks ($724 million and $928 million as of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-93345</wp:posOffset>
            </wp:positionV>
            <wp:extent cx="383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35400" cy="8255"/>
                    </a:xfrm>
                    <a:prstGeom prst="rect">
                      <a:avLst/>
                    </a:prstGeom>
                    <a:noFill/>
                  </pic:spPr>
                </pic:pic>
              </a:graphicData>
            </a:graphic>
          </wp:anchor>
        </w:drawing>
      </w:r>
    </w:p>
    <w:p>
      <w:pPr>
        <w:spacing w:after="0" w:line="288" w:lineRule="exact"/>
        <w:rPr>
          <w:sz w:val="20"/>
          <w:szCs w:val="20"/>
          <w:color w:val="auto"/>
        </w:rPr>
      </w:pPr>
    </w:p>
    <w:p>
      <w:pPr>
        <w:ind w:firstLine="395"/>
        <w:spacing w:after="0" w:line="254"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spacing w:after="0" w:line="1" w:lineRule="exact"/>
        <w:rPr>
          <w:sz w:val="20"/>
          <w:szCs w:val="20"/>
          <w:color w:val="auto"/>
        </w:rPr>
      </w:pPr>
    </w:p>
    <w:p>
      <w:pPr>
        <w:ind w:firstLine="5"/>
        <w:spacing w:after="0" w:line="248"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and December 31, 2021, our fixed maturity available-for-sale ("AFS") securities portfolio was approximately $29 billion and $30 billion, respectively. The following table summarizes the credit quality, by NRSRO rating, of our fixed income portfolio (dollars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7,667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10,462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Not rated </w:t>
            </w:r>
            <w:r>
              <w:rPr>
                <w:rFonts w:ascii="Times New Roman" w:cs="Times New Roman" w:eastAsia="Times New Roman" w:hAnsi="Times New Roman"/>
                <w:sz w:val="9"/>
                <w:szCs w:val="9"/>
                <w:color w:val="auto"/>
              </w:rPr>
              <w:t>(b)</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6,642</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27,341</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27,612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B and below </w:t>
            </w:r>
            <w:r>
              <w:rPr>
                <w:rFonts w:ascii="Times New Roman" w:cs="Times New Roman" w:eastAsia="Times New Roman" w:hAnsi="Times New Roman"/>
                <w:sz w:val="9"/>
                <w:szCs w:val="9"/>
                <w:color w:val="auto"/>
              </w:rPr>
              <w:t>(a)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Not rated </w:t>
            </w:r>
            <w:r>
              <w:rPr>
                <w:rFonts w:ascii="Times New Roman" w:cs="Times New Roman" w:eastAsia="Times New Roman" w:hAnsi="Times New Roman"/>
                <w:sz w:val="9"/>
                <w:szCs w:val="9"/>
                <w:color w:val="auto"/>
              </w:rPr>
              <w:t>(b)</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2,350</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22"/>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29,962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5"/>
        <w:spacing w:after="0" w:line="287" w:lineRule="auto"/>
        <w:tabs>
          <w:tab w:leader="none" w:pos="21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 million and $68 million at September 30, 2022 and December 31, 2021, respectively, of non-agency residential mortgage-backed securities ("RMBS") that carry a NAIC 1 designation.</w:t>
      </w:r>
    </w:p>
    <w:p>
      <w:pPr>
        <w:spacing w:after="0" w:line="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denoted as not-rated by an NRSRO were classified as investment or non-investment grade according to the securities' respective NAIC designation.</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NRSRO Equivalent Rating</w:t>
            </w:r>
          </w:p>
        </w:tc>
      </w:tr>
      <w:tr>
        <w:trPr>
          <w:trHeight w:val="24"/>
        </w:trPr>
        <w:tc>
          <w:tcPr>
            <w:tcW w:w="5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91"/>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AAA/AA/A</w:t>
            </w:r>
          </w:p>
        </w:tc>
      </w:tr>
      <w:tr>
        <w:trPr>
          <w:trHeight w:val="190"/>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BBB</w:t>
            </w:r>
          </w:p>
        </w:tc>
      </w:tr>
      <w:tr>
        <w:trPr>
          <w:trHeight w:val="205"/>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BB</w:t>
            </w:r>
          </w:p>
        </w:tc>
      </w:tr>
      <w:tr>
        <w:trPr>
          <w:trHeight w:val="190"/>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w:t>
            </w:r>
          </w:p>
        </w:tc>
      </w:tr>
      <w:tr>
        <w:trPr>
          <w:trHeight w:val="205"/>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CCC and lower</w:t>
            </w:r>
          </w:p>
        </w:tc>
      </w:tr>
      <w:tr>
        <w:trPr>
          <w:trHeight w:val="183"/>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or near default</w:t>
            </w:r>
          </w:p>
        </w:tc>
      </w:tr>
    </w:tbl>
    <w:p>
      <w:pPr>
        <w:spacing w:after="0" w:line="20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NAIC uses designation methodologies for non-agency RMBS, including RMBS backed by subprime mortgage loans and for commercial mortgage-backed securities ("CMBS"). The NAIC’s objective with the designation methodologies for these structured securities is to increase accuracy in assessing expected losses and to use the improved assessment to determine a more appropriate capital requirement for such structured securities. Prior to 2021, the NAIC designations for structured securities, including subprime and Alternative A-paper ("Alt-A") RMBS, were based upon a comparison of the bond’s amortized cost to the NAIC’s loss expectation for each security. Securities where modeling does not generate an expected loss in all scenarios are given the highest designation of NAIC 1. In 2021, the NAIC eliminated the comparison of non-legacy (issued after 2012) bond's amortized cost to the NAIC's loss expectation and instead assigned a NAIC designation based on the loss expectation alone. Several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tables below presents our fixed maturity securities by NAIC designation as of September 30, 2022 and December 31, 2021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20" w:type="dxa"/>
            <w:vAlign w:val="bottom"/>
          </w:tcPr>
          <w:p>
            <w:pPr>
              <w:spacing w:after="0"/>
              <w:rPr>
                <w:sz w:val="16"/>
                <w:szCs w:val="16"/>
                <w:color w:val="auto"/>
              </w:rPr>
            </w:pPr>
          </w:p>
        </w:tc>
        <w:tc>
          <w:tcPr>
            <w:tcW w:w="22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Percent of Total Fair Value</w:t>
            </w:r>
          </w:p>
        </w:tc>
        <w:tc>
          <w:tcPr>
            <w:tcW w:w="0" w:type="dxa"/>
            <w:vAlign w:val="bottom"/>
          </w:tcPr>
          <w:p>
            <w:pPr>
              <w:spacing w:after="0"/>
              <w:rPr>
                <w:sz w:val="1"/>
                <w:szCs w:val="1"/>
                <w:color w:val="auto"/>
              </w:rPr>
            </w:pPr>
          </w:p>
        </w:tc>
      </w:tr>
      <w:tr>
        <w:trPr>
          <w:trHeight w:val="197"/>
        </w:trPr>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17,464</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29,359</w:t>
            </w:r>
          </w:p>
        </w:tc>
        <w:tc>
          <w:tcPr>
            <w:tcW w:w="1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40" w:type="dxa"/>
            <w:vAlign w:val="bottom"/>
          </w:tcPr>
          <w:p>
            <w:pPr>
              <w:spacing w:after="0"/>
              <w:rPr>
                <w:sz w:val="16"/>
                <w:szCs w:val="16"/>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Percent of Total Fair Value</w:t>
            </w:r>
          </w:p>
        </w:tc>
        <w:tc>
          <w:tcPr>
            <w:tcW w:w="0" w:type="dxa"/>
            <w:vAlign w:val="bottom"/>
          </w:tcPr>
          <w:p>
            <w:pPr>
              <w:spacing w:after="0"/>
              <w:rPr>
                <w:sz w:val="1"/>
                <w:szCs w:val="1"/>
                <w:color w:val="auto"/>
              </w:rPr>
            </w:pPr>
          </w:p>
        </w:tc>
      </w:tr>
      <w:tr>
        <w:trPr>
          <w:trHeight w:val="197"/>
        </w:trPr>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29,962</w:t>
            </w:r>
          </w:p>
        </w:tc>
        <w:tc>
          <w:tcPr>
            <w:tcW w:w="1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Industry Concentration</w:t>
      </w:r>
    </w:p>
    <w:p>
      <w:pPr>
        <w:spacing w:after="0" w:line="216"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tables below present the top ten industry categories of our fixed maturity and equity securities and FHLB common stock, including the fair value and percent of total fixed maturity and equity securities and FHLB common stock fair value as of September 30, 2022 and December 31, 2021 (dollars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33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50552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50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0552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33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 ("CMO")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Healthcare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50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tcBorders>
              <w:top w:val="single" w:sz="8" w:color="auto"/>
            </w:tcBorders>
          </w:tcPr>
          <w:p>
            <w:pPr>
              <w:jc w:val="right"/>
              <w:ind w:right="110"/>
              <w:spacing w:after="0" w:line="147"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1"/>
        </w:trPr>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22,662</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6"/>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tcBorders>
              <w:top w:val="single" w:sz="8" w:color="auto"/>
            </w:tcBorders>
          </w:tcPr>
          <w:p>
            <w:pPr>
              <w:jc w:val="right"/>
              <w:ind w:right="110"/>
              <w:spacing w:after="0" w:line="147"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1"/>
        </w:trPr>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21,812</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26"/>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September 30, 2022 and December 31, 2021 (in millions), are shown below. Actual maturities may differ from contractual maturities because issuers may have the right to call or prepay obligations.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3100" w:type="dxa"/>
            <w:vAlign w:val="bottom"/>
            <w:gridSpan w:val="4"/>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4"/>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Government securities: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r>
      <w:tr>
        <w:trPr>
          <w:trHeight w:val="183"/>
        </w:trPr>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18,251</w:t>
            </w:r>
          </w:p>
        </w:tc>
        <w:tc>
          <w:tcPr>
            <w:tcW w:w="10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14,481</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17,576</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10,844</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Structured hybrids</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8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12,386</w:t>
            </w:r>
          </w:p>
        </w:tc>
      </w:tr>
      <w:tr>
        <w:trPr>
          <w:trHeight w:val="222"/>
        </w:trPr>
        <w:tc>
          <w:tcPr>
            <w:tcW w:w="4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our investments in subprime and Alt-A RMBS securities was $42 million and $58 million as of September 30, 2022, respectively, and $52 million and $75 million as of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summarize our exposure to subprime and Alt-A RMBS by credit quality using NAIC designations, NRSRO ratings and vintage year as of September 30, 2022 and December 31, 2021 (dollars in millions):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9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NRSRO:</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rated - Above investment grade (a)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 and below</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197"/>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2007</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2005 and prior</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Securities denoted as not-rated by an NRSRO were classified as investment or non-investment grade according to the securities' respective NAIC designation.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September 30, 2022, the CLO and ABS positions were trading at a net unrealized loss position of $(307) million and $(445)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 CLO and ABS positions were trading at a net unrealized gain position of $145 million and $37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municipal bond exposure is a combination of general obligation bonds (fair value of $187 million and $258 million and an amortized cost of $232 million and $247 million as of September 30, 2022 and December 31, 2021, respectively) and special revenue bonds (fair value of $1,003 million and $1,183 million and an amortized cost of $1,232 million and $1,138 million as of September 30, 2022 and December 31, 2021, respectively).</w:t>
      </w:r>
    </w:p>
    <w:p>
      <w:pPr>
        <w:spacing w:after="0" w:line="8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Across all municipal bonds, the largest issuer represented 6% of the category, less than 1% of the entire portfolio and is rated NAIC 1. Our focus within municipal bonds is on NAIC 1 rated instruments, and 96%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LTV and DSC ratios are utilized to assess the risk and quality of CMLs. As of September 30, 2022 and December 31, 2021, our mortgage loans on real estate portfolio had a weighted average DSC ratio of 2.5 times and 2.4 times, respectively, and a weighted average LTV ratio of 57% and 56%, respectively. See Note D to the unaudited Condensed Consolidated Financial Statements included in this report for additional information on our CMLs, including our distribution by property type, geographic region and LTV and DSC ratios.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At September 30, 2022, we had one CML that was delinquent in principal or interest payments and none in the process of foreclosure. As of December 31, 2021, we had no CMLs that were delinquent in principal or interest payments or in process of foreclosure.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F&amp;G's residential mortgage loans ("RMLs") are closed end, amortizing loans and 100% of the properties are in the United States. F&amp;G diversifies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RML portfolio by state to attempt to reduce concentration risk. RMLs have a primary credit quality indicator of either a performing or nonperforming loan.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F&amp;G defines non-performing RMLs as those that are 90 or more days past due and/or in nonaccrual status.</w:t>
      </w:r>
    </w:p>
    <w:p>
      <w:pPr>
        <w:spacing w:after="0" w:line="9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Loans are placed on nonaccrual status when they are over 90 days delinquent. If a loan becomes over 90 days delinquent, it is our general policy to initiate foreclosure proceedings unless a workout arrangement to bring the loan current can be put in place. See Note D to the unaudited Condensed Consolidated Financial Statements included in this report for additional information on our RMLs.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4" w:lineRule="exact"/>
        <w:rPr>
          <w:sz w:val="20"/>
          <w:szCs w:val="20"/>
          <w:color w:val="auto"/>
        </w:rPr>
      </w:pPr>
    </w:p>
    <w:p>
      <w:pPr>
        <w:ind w:right="100" w:firstLine="316"/>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the fixed maturity securities and the equity securities that were in an unrealized loss position as of September 30, 2022 and December 31, 2021, were as follows (in millions):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20" w:type="dxa"/>
            <w:vAlign w:val="bottom"/>
          </w:tcPr>
          <w:p>
            <w:pPr>
              <w:spacing w:after="0"/>
              <w:rPr>
                <w:sz w:val="11"/>
                <w:szCs w:val="1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Expected Credit</w:t>
            </w: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 backed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3"/>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20" w:type="dxa"/>
            <w:vAlign w:val="bottom"/>
          </w:tcPr>
          <w:p>
            <w:pPr>
              <w:spacing w:after="0"/>
              <w:rPr>
                <w:sz w:val="11"/>
                <w:szCs w:val="1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Expected Credit</w:t>
            </w: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 backed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and equity portfolio was $5,060 million and $249 million as of September 30, 2022 and December 31, 2021, respectively. Most components of the portfolio exhibited price depreciation caused by higher treasury rates and wider spreads as of September 30, 2022. The total amortized cost of all securities in an unrealized loss position was $32,378 million and $11,968 million as of September 30, 2022 and December 31, 2021, respectively. The average market value/book value of the investment category with the largest unrealized loss position was 83% for Finance, insurance and real estate as of September 30, 2022. In the aggregate, Finance, insurance and real estate represented 19% of the total unrealized loss position as of September 30, 2022. The average market value/book value of the investment category with the largest unrealized loss position was 96% for Utilities, energy and related sectors as of December 31, 2021. In aggregate, Utilities, energy and related sectors represented 18% of the total unrealized loss position as of December 31, 2021.</w:t>
      </w:r>
    </w:p>
    <w:p>
      <w:pPr>
        <w:spacing w:after="0" w:line="99"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amortized cost and fair value of fixed maturity available for sale securities under watch list analysis and the number of months in a loss position with investment grade securities (NRSRO rating of BBB/Baa or higher) as of September 30, 2022 and December 31, 2021, were as follows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960" w:type="dxa"/>
            <w:vAlign w:val="bottom"/>
          </w:tcPr>
          <w:p>
            <w:pPr>
              <w:jc w:val="center"/>
              <w:ind w:left="23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0"/>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96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9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040" w:type="dxa"/>
            <w:vAlign w:val="bottom"/>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1"/>
        </w:trPr>
        <w:tc>
          <w:tcPr>
            <w:tcW w:w="4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tcPr>
          <w:p>
            <w:pPr>
              <w:spacing w:after="0"/>
              <w:rPr>
                <w:sz w:val="16"/>
                <w:szCs w:val="16"/>
                <w:color w:val="auto"/>
              </w:rPr>
            </w:pPr>
          </w:p>
        </w:tc>
        <w:tc>
          <w:tcPr>
            <w:tcW w:w="1040" w:type="dxa"/>
            <w:vAlign w:val="bottom"/>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spacing w:after="0"/>
              <w:rPr>
                <w:sz w:val="11"/>
                <w:szCs w:val="11"/>
                <w:color w:val="auto"/>
              </w:rPr>
            </w:pPr>
          </w:p>
        </w:tc>
        <w:tc>
          <w:tcPr>
            <w:tcW w:w="1000" w:type="dxa"/>
            <w:vAlign w:val="bottom"/>
            <w:shd w:val="clear" w:color="auto" w:fill="CCEEFF"/>
          </w:tcPr>
          <w:p>
            <w:pPr>
              <w:jc w:val="center"/>
              <w:ind w:left="190"/>
              <w:spacing w:after="0" w:line="13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84"/>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25"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September 30, 2022, our watch list included one hundred eighty-five securities in an unrealized loss position with an amortized cost of $2,051 million, allowance for expected credit losses of $0 million, unrealized losses of $683 million and a fair value of $1,368 million.</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our watch list included seven securities in an unrealized loss position with an amortized cost of $132 million, allowance for expected credit losses of $0 million, unrealized losses of $7 million and a fair value of $125 million.</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3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were 60 and 36 structured securities with a fair value of $150 million and $45 million to which we had potential credit exposure as of September 30, 2022 and December 31, 2021, respectively. Our analysis of these structured securities, which included cash flow testing, resulted in allowances for expected credit losses of $15 million and $8 million as of September 30, 2022 and December 31, 2021,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w:t>
      </w:r>
    </w:p>
    <w:p>
      <w:pPr>
        <w:spacing w:after="0" w:line="16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in the exposure to sovereign debt described in our Annual Report on Form 10-K for the year ended December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discussion regarding our net investment income and net investment gains (losses) refer to Note D to the unaudited Condensed Consolidated Financial Statements included in Item 1 of Part I of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2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September 30, 2022 and December 31, 2021, refer to Note D to the unaudited Condensed Consolidated Financial Statements included in Item 1 of Part I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244" w:lineRule="exact"/>
        <w:rPr>
          <w:sz w:val="20"/>
          <w:szCs w:val="20"/>
          <w:color w:val="auto"/>
        </w:rPr>
      </w:pPr>
    </w:p>
    <w:p>
      <w:pPr>
        <w:ind w:right="700" w:firstLine="316"/>
        <w:spacing w:after="0" w:line="268" w:lineRule="auto"/>
        <w:rPr>
          <w:sz w:val="20"/>
          <w:szCs w:val="20"/>
          <w:color w:val="auto"/>
        </w:rPr>
      </w:pPr>
      <w:r>
        <w:rPr>
          <w:rFonts w:ascii="Times New Roman" w:cs="Times New Roman" w:eastAsia="Times New Roman" w:hAnsi="Times New Roman"/>
          <w:sz w:val="18"/>
          <w:szCs w:val="18"/>
          <w:color w:val="auto"/>
        </w:rPr>
        <w:t>For certain information regarding our concentrations of financial instruments, refer to Note D to the unaudited Condensed Consolidated Financial Statements included in Item 1 of Part I of this Report.</w:t>
      </w:r>
    </w:p>
    <w:p>
      <w:pPr>
        <w:spacing w:after="0" w:line="11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other material changes in the concentrations of financial instruments described in our Annual Report on Form 10-K for the year ended December 31,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3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rated A1/P1, which are included in Cash and cash equivalents in the accompanying unaudited Condensed Consolidated Balance Sheets.</w:t>
      </w:r>
    </w:p>
    <w:p>
      <w:pPr>
        <w:spacing w:after="0" w:line="135" w:lineRule="exact"/>
        <w:rPr>
          <w:sz w:val="20"/>
          <w:szCs w:val="20"/>
          <w:color w:val="auto"/>
        </w:rPr>
      </w:pPr>
    </w:p>
    <w:p>
      <w:pPr>
        <w:jc w:val="both"/>
        <w:ind w:right="80" w:firstLine="395"/>
        <w:spacing w:after="0" w:line="268" w:lineRule="auto"/>
        <w:rPr>
          <w:sz w:val="20"/>
          <w:szCs w:val="20"/>
          <w:color w:val="auto"/>
        </w:rPr>
      </w:pPr>
      <w:r>
        <w:rPr>
          <w:rFonts w:ascii="Times New Roman" w:cs="Times New Roman" w:eastAsia="Times New Roman" w:hAnsi="Times New Roman"/>
          <w:sz w:val="18"/>
          <w:szCs w:val="18"/>
          <w:color w:val="auto"/>
        </w:rPr>
        <w:t>See Note E to the unaudited Condensed Consolidated Financial Statements included in Item 1 of Part I of this Report for additional information regarding our derivatives and our exposure to credit loss on call options.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5" w:lineRule="exact"/>
        <w:rPr>
          <w:sz w:val="20"/>
          <w:szCs w:val="20"/>
          <w:color w:val="auto"/>
        </w:rPr>
      </w:pPr>
    </w:p>
    <w:p>
      <w:pPr>
        <w:jc w:val="both"/>
        <w:ind w:right="80" w:firstLine="237"/>
        <w:spacing w:after="0" w:line="248"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 (in millions):</w:t>
      </w:r>
    </w:p>
    <w:p>
      <w:pPr>
        <w:spacing w:after="0" w:line="142"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8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4"/>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5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51"/>
        </w:trPr>
        <w:tc>
          <w:tcPr>
            <w:tcW w:w="56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Loss from continuing operations, before income taxes and equity in earnings</w:t>
            </w:r>
          </w:p>
        </w:tc>
        <w:tc>
          <w:tcPr>
            <w:tcW w:w="900" w:type="dxa"/>
            <w:vAlign w:val="bottom"/>
            <w:vMerge w:val="restart"/>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1"/>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unconsolidated affiliates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firstLine="237"/>
        <w:spacing w:after="0" w:line="268"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64" w:lineRule="exact"/>
        <w:rPr>
          <w:sz w:val="20"/>
          <w:szCs w:val="20"/>
          <w:color w:val="auto"/>
        </w:rPr>
      </w:pPr>
    </w:p>
    <w:p>
      <w:pPr>
        <w:jc w:val="both"/>
        <w:ind w:right="80" w:firstLine="237"/>
        <w:spacing w:after="0" w:line="249" w:lineRule="auto"/>
        <w:rPr>
          <w:sz w:val="20"/>
          <w:szCs w:val="20"/>
          <w:color w:val="auto"/>
        </w:rPr>
      </w:pPr>
      <w:r>
        <w:rPr>
          <w:rFonts w:ascii="Times New Roman" w:cs="Times New Roman" w:eastAsia="Times New Roman" w:hAnsi="Times New Roman"/>
          <w:sz w:val="18"/>
          <w:szCs w:val="18"/>
          <w:color w:val="auto"/>
        </w:rPr>
        <w:t>Total revenues in the Corporate and Other segment decreased $30 million, or 68%, in the three months ended September 30, 2022 and decreased $84 million, or 59% in the nine months ended September 30, 2022 from the corresponding periods in 2021. The decrease in the three-month period is primarily attributable to a $41 million dollar impairment of cost method investments in the 2022 period when compared to the corresponding period in 2021, partially offset by other immaterial items. The decrease in the nine-month period is primarily attributable to a $60 million decrease in valuations associated with our deferred compensation plan assets, which decreased both revenue and personnel costs and the aforementioned $41 million dollar impairment of cost method investments in the 2022 period when compared to the corresponding period in 2021, partially offset by other immaterial items.</w:t>
      </w:r>
    </w:p>
    <w:p>
      <w:pPr>
        <w:spacing w:after="0" w:line="80" w:lineRule="exact"/>
        <w:rPr>
          <w:sz w:val="20"/>
          <w:szCs w:val="20"/>
          <w:color w:val="auto"/>
        </w:rPr>
      </w:pPr>
    </w:p>
    <w:p>
      <w:pPr>
        <w:jc w:val="both"/>
        <w:ind w:right="80" w:firstLine="237"/>
        <w:spacing w:after="0" w:line="252" w:lineRule="auto"/>
        <w:rPr>
          <w:sz w:val="20"/>
          <w:szCs w:val="20"/>
          <w:color w:val="auto"/>
        </w:rPr>
      </w:pPr>
      <w:r>
        <w:rPr>
          <w:rFonts w:ascii="Times New Roman" w:cs="Times New Roman" w:eastAsia="Times New Roman" w:hAnsi="Times New Roman"/>
          <w:sz w:val="18"/>
          <w:szCs w:val="18"/>
          <w:color w:val="auto"/>
        </w:rPr>
        <w:t>Personnel costs in the Corporate and Other segment increased $1 million, or 4%, in the three months ended September 30, 2022, and decreased $59 million, or 69% in the nine months ended September 30, 2022 from the corresponding periods in 2021. The decreases in the three and nine-month periods were primarily attributable to the aforementioned $60 million decrease in valuations associated with our deferred compensation plan assets, which decreased both revenue and personnel costs.</w:t>
      </w:r>
    </w:p>
    <w:p>
      <w:pPr>
        <w:spacing w:after="0" w:line="78" w:lineRule="exact"/>
        <w:rPr>
          <w:sz w:val="20"/>
          <w:szCs w:val="20"/>
          <w:color w:val="auto"/>
        </w:rPr>
      </w:pPr>
    </w:p>
    <w:p>
      <w:pPr>
        <w:jc w:val="both"/>
        <w:ind w:right="80" w:firstLine="237"/>
        <w:spacing w:after="0" w:line="256"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$5 million, or 20%, in the three months ended September 30, 2022 and decreased $1 million, or 1% in the nine months ended September 30, 2022 from the corresponding periods in 2021. The increase in the three-month period and the decrease in the nine-month period were attributable to various immaterial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237"/>
        <w:spacing w:after="0" w:line="256" w:lineRule="auto"/>
        <w:rPr>
          <w:sz w:val="20"/>
          <w:szCs w:val="20"/>
          <w:color w:val="auto"/>
        </w:rPr>
      </w:pPr>
      <w:r>
        <w:rPr>
          <w:rFonts w:ascii="Times New Roman" w:cs="Times New Roman" w:eastAsia="Times New Roman" w:hAnsi="Times New Roman"/>
          <w:sz w:val="18"/>
          <w:szCs w:val="18"/>
          <w:color w:val="auto"/>
        </w:rPr>
        <w:t>Interest expense in the Corporate and Other segment increased $1 million, or 5%, in the three months ended September 30, 2022 and increased $4 million or 6%, in the nine months ended September 30, 2022 from the corresponding periods in 2021. The increases were primarily attributable to increased average debt outstanding in the three and nine months ended September 30, 2022 from the corresponding periods in 2021.</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$0.44 per share in the third quarter of 2022, or approximately $120 million to our common shareholders. On November 3, 2022, our Board of Directors declared cash dividends of $0.45 per share, payable on December 30, 2022, to FNF common shareholders of record as of December 16, 2022.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2"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$2,474 million, short term investments of $1,386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75"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2021, $2,375 million of our net assets were restricted from dividend payments without prior approval from the relevant departments of insurance. We anticipate that our title insurance subsidiaries will pay or make dividends in the remainder of 2022 of approximately $215 million. Our underwritten title companies and non-insurance subsidiaries are not regulated to the same extent as our insurance subsidiaries.</w:t>
      </w:r>
    </w:p>
    <w:p>
      <w:pPr>
        <w:spacing w:after="0" w:line="55"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nine months ended September 30, 2022 and 2021 totaled $2,977 million and $2,600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provided by operating activities in the period in 2022 of $377 million is primarily attributable to the increase in future policy benefits of $799 million, which was primarily related to cash received for PRT transactions, the change in funds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withheld from reinsurers of $566 million, the change in trade receivables of $195 million and the change in income taxes of $261 million, partially offset by the decrease in net earnings of $822 million and the timing of receipts and payments of prepaid assets and payables, and other individually immaterial items.</w:t>
      </w:r>
    </w:p>
    <w:p>
      <w:pPr>
        <w:spacing w:after="0" w:line="1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nine months ended September 30, 2022 and 2021 were $7,890 million and $4,863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used in investing activities in the period in 2022 of $3,027 million is primarily attributable to decreased proceeds from sales, calls and maturities of investment securities of $1,465 million and net purchases of short-term investments of $1,367 million in the period in 2022 as compared to net proceeds from sales and maturities of short-term investments of $92 million in the corresponding period in 2021, partially offset by other individually immaterial items.</w:t>
      </w:r>
    </w:p>
    <w:p>
      <w:pPr>
        <w:spacing w:after="0" w:line="80"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$107 million and $93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and 2021, respectively.</w:t>
      </w:r>
    </w:p>
    <w:p>
      <w:pPr>
        <w:spacing w:after="0" w:line="5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nine months ended September 30, 2022 and 2021 were $3,027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$4,692 million, respectively. The decrease in cash provided by financing activities in the period in 2022 of $1,665 million is primarily attributable to the repayment of our 5.50% Senior Notes of $400 million as compared to cash received associated with our 3.20% Notes offering in the corresponding period in 2021 of $449 million, the net change in secured trust deposits of $328 million, decreased cash inflows from contractholder account deposits of $251 million, and increased purchases of treasury stock of $143 million, partially offset by other individually immaterial items.</w:t>
      </w:r>
    </w:p>
    <w:p>
      <w:pPr>
        <w:spacing w:after="0" w:line="80"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2021.</w:t>
      </w:r>
    </w:p>
    <w:p>
      <w:pPr>
        <w:spacing w:after="0" w:line="59"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2021, our Board of Directors approved the 2021 Repurchase Program (the "Repurchase Program")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purchase up to 25 million shares of our FNF common stock through July 31, 2024. We repurchased 12,369,565 shares of FNF common stock during the nine months ended September 30, 2022 for approximately $511 million, at an average price of $41.31 per share. Subsequent to September 30, 2022 and through market close on November 7, 2022, we repurchased a total of 475,000 shares for approximately $18 million, at an average price of $38.39 under this program. Since the original commencement of the Repurchase Program, we repurchased a total of 15,824,565 FNF common shares for approximately $678 million, at an average price of $42.80 per share.</w:t>
      </w:r>
    </w:p>
    <w:p>
      <w:pPr>
        <w:spacing w:after="0" w:line="80"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2"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2021.</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September 30, 2022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for additional details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unfunded investment commitments.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described in our Annual Report on Form 10-K for the year ended December 31, 2021.</w:t>
      </w:r>
    </w:p>
    <w:p>
      <w:pPr>
        <w:spacing w:after="0" w:line="113"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9" w:lineRule="exact"/>
        <w:rPr>
          <w:sz w:val="20"/>
          <w:szCs w:val="20"/>
          <w:color w:val="auto"/>
        </w:rPr>
      </w:pPr>
    </w:p>
    <w:p>
      <w:pPr>
        <w:jc w:val="both"/>
        <w:ind w:right="80"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which is incorporated by reference into this Item 1 of Part II.</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jc w:val="both"/>
        <w:ind w:right="80" w:firstLine="316"/>
        <w:spacing w:after="0" w:line="268" w:lineRule="auto"/>
        <w:rPr>
          <w:sz w:val="20"/>
          <w:szCs w:val="20"/>
          <w:color w:val="auto"/>
        </w:rPr>
      </w:pPr>
      <w:r>
        <w:rPr>
          <w:rFonts w:ascii="Times New Roman" w:cs="Times New Roman" w:eastAsia="Times New Roman" w:hAnsi="Times New Roman"/>
          <w:sz w:val="18"/>
          <w:szCs w:val="18"/>
          <w:color w:val="auto"/>
        </w:rPr>
        <w:t>The risk factors disclosed in "Item 1A. Risk Factors" included in our Annual Report on Form 10-K for the year ended December 31, 2021, are hereby incorporated by reference. In addition, we identified the following additional risk factors during the nine months ended September 30,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F&amp;G Distribution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F&amp;G Distribution is subject to inherent risks</w:t>
      </w:r>
    </w:p>
    <w:p>
      <w:pPr>
        <w:spacing w:after="0" w:line="113"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As previously announced, we plan to dividend to our shareholders, on a pro rata basis, 15% of the common stock of our wholly-owned subsidiary, F&amp;G, targeted to be completed in the fourth quarter of 2022. The F&amp;G Distribution is subject to inherent risks and uncertainties, including, but not limited to: diversion of management's attention and the potential impact of the consummation of the F&amp;G Distribution on relationships, including with employees, suppliers, customers and competitors; our ability to successfully realize the anticipated benefits of the F&amp;G Distribution; the ability to satisfy any necessary conditions (including any applicable regulatory approvals) to consummate the F&amp;G Distribution within the estimated timeframe or at all; the final terms and conditions of the F&amp;G Distribution, including the nature of agreements and arrangements between FNF and F&amp;G following any such transaction, the costs of any such transaction, and the nature and amount of indebtedness incurred by F&amp;G. We cannot provide any assurances regarding the timeframe for completing the F&amp;G Distribution, nor can we provide any assurances that we will be successful in completing the proposed F&amp;G Distribution.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F&amp;G Distribution could adversely affect our earnings</w:t>
      </w:r>
    </w:p>
    <w:p>
      <w:pPr>
        <w:spacing w:after="0" w:line="11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F&amp;G contributes to a significant portion of our earnings. We have begun to pursue the F&amp;G Distribution. Although there can be no assurance that this process will result in a consummated transaction, any separation of a portion of F&amp;G's business could adversely affect our earnings.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September 30, 2022:</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that May Yet Be Purchased</w:t>
            </w:r>
          </w:p>
        </w:tc>
        <w:tc>
          <w:tcPr>
            <w:tcW w:w="0" w:type="dxa"/>
            <w:vAlign w:val="bottom"/>
          </w:tcPr>
          <w:p>
            <w:pPr>
              <w:spacing w:after="0"/>
              <w:rPr>
                <w:sz w:val="1"/>
                <w:szCs w:val="1"/>
                <w:color w:val="auto"/>
              </w:rPr>
            </w:pPr>
          </w:p>
        </w:tc>
      </w:tr>
      <w:tr>
        <w:trPr>
          <w:trHeight w:val="14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gridSpan w:val="2"/>
            <w:vMerge w:val="continue"/>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20" w:type="dxa"/>
            <w:vAlign w:val="bottom"/>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2"/>
        </w:trPr>
        <w:tc>
          <w:tcPr>
            <w:tcW w:w="3440" w:type="dxa"/>
            <w:vAlign w:val="bottom"/>
            <w:gridSpan w:val="2"/>
            <w:vMerge w:val="continue"/>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920" w:type="dxa"/>
            <w:vAlign w:val="bottom"/>
            <w:gridSpan w:val="3"/>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92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22"/>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07/1/2022 - 07/31/2022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631,945</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631,945</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14,313,055</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08/01/2022 - 08/31/2022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12,313,055</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09/01/2022 - 09/30/2022</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2,662,620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2,662,620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9,650,435</w:t>
            </w:r>
          </w:p>
        </w:tc>
        <w:tc>
          <w:tcPr>
            <w:tcW w:w="0" w:type="dxa"/>
            <w:vAlign w:val="bottom"/>
          </w:tcPr>
          <w:p>
            <w:pPr>
              <w:spacing w:after="0"/>
              <w:rPr>
                <w:sz w:val="1"/>
                <w:szCs w:val="1"/>
                <w:color w:val="auto"/>
              </w:rPr>
            </w:pPr>
          </w:p>
        </w:tc>
      </w:tr>
      <w:tr>
        <w:trPr>
          <w:trHeight w:val="22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5,294,565</w:t>
            </w:r>
          </w:p>
        </w:tc>
        <w:tc>
          <w:tcPr>
            <w:tcW w:w="1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5,294,565</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right="80" w:hanging="639"/>
        <w:spacing w:after="0" w:line="268" w:lineRule="auto"/>
        <w:tabs>
          <w:tab w:leader="none" w:pos="7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2021 our Board of Directors approved the Repurchase Program, under which we may purchase up to 25 million shares of our FNF common stock through July 31, 2024.</w:t>
      </w:r>
    </w:p>
    <w:p>
      <w:pPr>
        <w:spacing w:after="0" w:line="50" w:lineRule="exact"/>
        <w:rPr>
          <w:rFonts w:ascii="Times New Roman" w:cs="Times New Roman" w:eastAsia="Times New Roman" w:hAnsi="Times New Roman"/>
          <w:sz w:val="18"/>
          <w:szCs w:val="18"/>
          <w:color w:val="auto"/>
        </w:rPr>
      </w:pPr>
    </w:p>
    <w:p>
      <w:pPr>
        <w:ind w:left="700" w:hanging="379"/>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1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Investment Management Agreement, dated as of December 16, 2020, by and between F&amp;G Cayman Re Ltd. and Blackstone ISGI</w:t>
              </w:r>
            </w:hyperlink>
          </w:p>
        </w:tc>
      </w:tr>
      <w:tr>
        <w:trPr>
          <w:trHeight w:val="151"/>
        </w:trPr>
        <w:tc>
          <w:tcPr>
            <w:tcW w:w="130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Advisors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14"/>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Investment Management Agreement, dated as of January 4, 2021, by and between F&amp;G Annuities &amp; Life, Inc. and Blackstone ISG-I</w:t>
              </w:r>
            </w:hyperlink>
          </w:p>
        </w:tc>
      </w:tr>
      <w:tr>
        <w:trPr>
          <w:trHeight w:val="151"/>
        </w:trPr>
        <w:tc>
          <w:tcPr>
            <w:tcW w:w="1300" w:type="dxa"/>
            <w:vAlign w:val="bottom"/>
          </w:tcPr>
          <w:p>
            <w:pPr>
              <w:spacing w:after="0"/>
              <w:rPr>
                <w:sz w:val="13"/>
                <w:szCs w:val="13"/>
                <w:color w:val="auto"/>
              </w:rPr>
            </w:pPr>
          </w:p>
        </w:tc>
        <w:tc>
          <w:tcPr>
            <w:tcW w:w="970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Advisors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1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Investment Management Agreement, dated as of July 29, 2021, by and between Fidelity &amp; Guaranty Life Insurance Company and</w:t>
              </w:r>
            </w:hyperlink>
          </w:p>
        </w:tc>
      </w:tr>
      <w:tr>
        <w:trPr>
          <w:trHeight w:val="151"/>
        </w:trPr>
        <w:tc>
          <w:tcPr>
            <w:tcW w:w="130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Blackstone ISG-I Advisors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14"/>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Amendment to Investment Management Agreements; IMA Omnibus Termination Side Letter; SMA Fee</w:t>
              </w:r>
            </w:hyperlink>
          </w:p>
        </w:tc>
      </w:tr>
      <w:tr>
        <w:trPr>
          <w:trHeight w:val="151"/>
        </w:trPr>
        <w:tc>
          <w:tcPr>
            <w:tcW w:w="130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Agreement and Participation Fee Agreement, dated September 24, 2021, by and among F&amp;G Life &amp; Annuities, Inc., Fidelity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300" w:type="dxa"/>
            <w:vAlign w:val="bottom"/>
          </w:tcPr>
          <w:p>
            <w:pPr>
              <w:spacing w:after="0"/>
              <w:rPr>
                <w:sz w:val="14"/>
                <w:szCs w:val="14"/>
                <w:color w:val="auto"/>
              </w:rPr>
            </w:pPr>
          </w:p>
        </w:tc>
        <w:tc>
          <w:tcPr>
            <w:tcW w:w="3760" w:type="dxa"/>
            <w:vAlign w:val="bottom"/>
            <w:tcBorders>
              <w:bottom w:val="single" w:sz="8" w:color="0000FF"/>
            </w:tcBorders>
            <w:gridSpan w:val="4"/>
          </w:tcPr>
          <w:p>
            <w:pPr>
              <w:spacing w:after="0" w:line="164"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Financial, Inc. and Blackstone ISG-I Advisors L.L.C.</w:t>
              </w:r>
            </w:hyperlink>
          </w:p>
        </w:tc>
        <w:tc>
          <w:tcPr>
            <w:tcW w:w="602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9"/>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10.5</w:t>
            </w:r>
          </w:p>
        </w:tc>
        <w:tc>
          <w:tcPr>
            <w:tcW w:w="68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Amended and Restated Fidelity National Financial, Inc. 2013 Employee Stock Purchase Plan (1)</w:t>
              </w:r>
            </w:hyperlink>
          </w:p>
        </w:tc>
        <w:tc>
          <w:tcPr>
            <w:tcW w:w="3020" w:type="dxa"/>
            <w:vAlign w:val="bottom"/>
            <w:gridSpan w:val="9"/>
          </w:tcPr>
          <w:p>
            <w:pPr>
              <w:spacing w:after="0"/>
              <w:rPr>
                <w:sz w:val="24"/>
                <w:szCs w:val="24"/>
                <w:color w:val="auto"/>
              </w:rPr>
            </w:pPr>
          </w:p>
        </w:tc>
      </w:tr>
      <w:tr>
        <w:trPr>
          <w:trHeight w:val="309"/>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309"/>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31.2</w:t>
            </w:r>
          </w:p>
        </w:tc>
        <w:tc>
          <w:tcPr>
            <w:tcW w:w="70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780" w:type="dxa"/>
            <w:vAlign w:val="bottom"/>
            <w:gridSpan w:val="7"/>
          </w:tcPr>
          <w:p>
            <w:pPr>
              <w:spacing w:after="0"/>
              <w:rPr>
                <w:sz w:val="24"/>
                <w:szCs w:val="24"/>
                <w:color w:val="auto"/>
              </w:rPr>
            </w:pPr>
          </w:p>
        </w:tc>
      </w:tr>
      <w:tr>
        <w:trPr>
          <w:trHeight w:val="309"/>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1"/>
        </w:trPr>
        <w:tc>
          <w:tcPr>
            <w:tcW w:w="130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6"/>
                <w:szCs w:val="16"/>
                <w:color w:val="0000FF"/>
              </w:rPr>
              <w:t>U.S.C. Section 1350.</w:t>
            </w: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340" w:type="dxa"/>
            <w:vAlign w:val="bottom"/>
            <w:gridSpan w:val="12"/>
          </w:tcPr>
          <w:p>
            <w:pPr>
              <w:spacing w:after="0" w:line="20" w:lineRule="exact"/>
              <w:rPr>
                <w:sz w:val="1"/>
                <w:szCs w:val="1"/>
                <w:color w:val="auto"/>
              </w:rPr>
            </w:pPr>
          </w:p>
        </w:tc>
      </w:tr>
      <w:tr>
        <w:trPr>
          <w:trHeight w:val="362"/>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1"/>
        </w:trPr>
        <w:tc>
          <w:tcPr>
            <w:tcW w:w="1300" w:type="dxa"/>
            <w:vAlign w:val="bottom"/>
          </w:tcPr>
          <w:p>
            <w:pPr>
              <w:spacing w:after="0"/>
              <w:rPr>
                <w:sz w:val="13"/>
                <w:szCs w:val="13"/>
                <w:color w:val="auto"/>
              </w:rPr>
            </w:pPr>
          </w:p>
        </w:tc>
        <w:tc>
          <w:tcPr>
            <w:tcW w:w="970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6"/>
                <w:szCs w:val="16"/>
                <w:color w:val="0000FF"/>
              </w:rPr>
              <w:t>U.S.C. Section 1350.</w:t>
            </w:r>
          </w:p>
        </w:tc>
        <w:tc>
          <w:tcPr>
            <w:tcW w:w="120" w:type="dxa"/>
            <w:vAlign w:val="bottom"/>
            <w:gridSpan w:val="6"/>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340" w:type="dxa"/>
            <w:vAlign w:val="bottom"/>
            <w:gridSpan w:val="12"/>
          </w:tcPr>
          <w:p>
            <w:pPr>
              <w:spacing w:after="0" w:line="20" w:lineRule="exact"/>
              <w:rPr>
                <w:sz w:val="1"/>
                <w:szCs w:val="1"/>
                <w:color w:val="auto"/>
              </w:rPr>
            </w:pPr>
          </w:p>
        </w:tc>
      </w:tr>
      <w:tr>
        <w:trPr>
          <w:trHeight w:val="400"/>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9"/>
              </w:rPr>
              <w:t>101.INS</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0"/>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6"/>
              </w:rPr>
              <w:t>101.SCH</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8"/>
        </w:trPr>
        <w:tc>
          <w:tcPr>
            <w:tcW w:w="130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7"/>
              </w:rPr>
              <w:t>101.CAL</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8"/>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101.DEF</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8"/>
        </w:trPr>
        <w:tc>
          <w:tcPr>
            <w:tcW w:w="130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9"/>
              </w:rPr>
              <w:t>101.PRE</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8"/>
        </w:trPr>
        <w:tc>
          <w:tcPr>
            <w:tcW w:w="130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7"/>
              </w:rPr>
              <w:t>101.LAB</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0" w:lineRule="exact"/>
        <w:rPr>
          <w:sz w:val="20"/>
          <w:szCs w:val="20"/>
          <w:color w:val="auto"/>
        </w:rPr>
      </w:pPr>
    </w:p>
    <w:p>
      <w:pPr>
        <w:ind w:left="1520" w:hanging="1094"/>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157" w:lineRule="exact"/>
        <w:rPr>
          <w:rFonts w:ascii="Times New Roman" w:cs="Times New Roman" w:eastAsia="Times New Roman" w:hAnsi="Times New Roman"/>
          <w:sz w:val="18"/>
          <w:szCs w:val="18"/>
          <w:color w:val="auto"/>
        </w:rPr>
      </w:pPr>
    </w:p>
    <w:p>
      <w:pPr>
        <w:ind w:left="20" w:right="2540" w:firstLine="3"/>
        <w:spacing w:after="0" w:line="405" w:lineRule="auto"/>
        <w:tabs>
          <w:tab w:leader="none" w:pos="2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601(b)(10)(ii) of Regulation S-K.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09" w:lineRule="exact"/>
        <w:rPr>
          <w:sz w:val="20"/>
          <w:szCs w:val="20"/>
          <w:color w:val="auto"/>
        </w:rPr>
      </w:pPr>
    </w:p>
    <w:p>
      <w:pPr>
        <w:ind w:right="140" w:firstLine="15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320" w:top="121" w:right="359" w:bottom="1440" w:gutter="0" w:footer="0" w:header="0"/>
        </w:sectPr>
      </w:pPr>
    </w:p>
    <w:p>
      <w:pPr>
        <w:ind w:left="520"/>
        <w:spacing w:after="0"/>
        <w:rPr>
          <w:sz w:val="20"/>
          <w:szCs w:val="20"/>
          <w:color w:val="auto"/>
        </w:rPr>
      </w:pPr>
      <w:r>
        <w:rPr>
          <w:rFonts w:ascii="Times New Roman" w:cs="Times New Roman" w:eastAsia="Times New Roman" w:hAnsi="Times New Roman"/>
          <w:sz w:val="16"/>
          <w:szCs w:val="16"/>
          <w:color w:val="auto"/>
        </w:rPr>
        <w:t>Date: November 9,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FIDELITY NATIONAL FINANCIAL,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79" w:lineRule="exact"/>
        <w:rPr>
          <w:sz w:val="20"/>
          <w:szCs w:val="20"/>
          <w:color w:val="auto"/>
        </w:rPr>
      </w:pPr>
    </w:p>
    <w:p>
      <w:pPr>
        <w:sectPr>
          <w:pgSz w:w="11900" w:h="16838" w:orient="portrait"/>
          <w:cols w:equalWidth="0" w:num="2">
            <w:col w:w="4720" w:space="720"/>
            <w:col w:w="5780"/>
          </w:cols>
          <w:pgMar w:left="320" w:top="121" w:right="35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29845</wp:posOffset>
            </wp:positionV>
            <wp:extent cx="26987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269875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700" w:space="240"/>
            <w:col w:w="5280"/>
          </w:cols>
          <w:pgMar w:left="320" w:top="121" w:right="359" w:bottom="1440" w:gutter="0" w:footer="0" w:header="0"/>
          <w:type w:val="continuous"/>
        </w:sectPr>
      </w:pPr>
    </w:p>
    <w:p>
      <w:pPr>
        <w:ind w:left="5940"/>
        <w:spacing w:after="0"/>
        <w:rPr>
          <w:sz w:val="20"/>
          <w:szCs w:val="20"/>
          <w:color w:val="auto"/>
        </w:rPr>
      </w:pPr>
      <w:r>
        <w:rPr>
          <w:rFonts w:ascii="Times New Roman" w:cs="Times New Roman" w:eastAsia="Times New Roman" w:hAnsi="Times New Roman"/>
          <w:sz w:val="18"/>
          <w:szCs w:val="18"/>
          <w:color w:val="auto"/>
        </w:rPr>
        <w:t>Anthony J. Park</w:t>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ind w:left="59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21" w:right="35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4" w:lineRule="exact"/>
        <w:rPr>
          <w:sz w:val="20"/>
          <w:szCs w:val="20"/>
          <w:color w:val="auto"/>
        </w:rPr>
      </w:pPr>
    </w:p>
    <w:p>
      <w:pPr>
        <w:ind w:left="180" w:hanging="175"/>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41"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15240</wp:posOffset>
            </wp:positionV>
            <wp:extent cx="26238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Michael J. Nolan</w:t>
      </w:r>
    </w:p>
    <w:p>
      <w:pPr>
        <w:ind w:left="1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6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4" w:lineRule="exact"/>
        <w:rPr>
          <w:sz w:val="20"/>
          <w:szCs w:val="20"/>
          <w:color w:val="auto"/>
        </w:rPr>
      </w:pPr>
    </w:p>
    <w:p>
      <w:pPr>
        <w:ind w:left="180" w:hanging="175"/>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200"/>
        <w:spacing w:after="0"/>
        <w:tabs>
          <w:tab w:leader="none" w:pos="2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15240</wp:posOffset>
            </wp:positionV>
            <wp:extent cx="26238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2880"/>
        <w:spacing w:after="0"/>
        <w:rPr>
          <w:sz w:val="20"/>
          <w:szCs w:val="20"/>
          <w:color w:val="auto"/>
        </w:rPr>
      </w:pPr>
      <w:r>
        <w:rPr>
          <w:rFonts w:ascii="Times New Roman" w:cs="Times New Roman" w:eastAsia="Times New Roman" w:hAnsi="Times New Roman"/>
          <w:sz w:val="18"/>
          <w:szCs w:val="18"/>
          <w:color w:val="auto"/>
        </w:rPr>
        <w:t>Anthony J. Park</w:t>
      </w:r>
    </w:p>
    <w:p>
      <w:pPr>
        <w:ind w:left="2880"/>
        <w:spacing w:after="0" w:line="190"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November 9, 2022</w:t>
      </w:r>
    </w:p>
    <w:p>
      <w:pPr>
        <w:sectPr>
          <w:pgSz w:w="11900" w:h="16838" w:orient="portrait"/>
          <w:cols w:equalWidth="0" w:num="1">
            <w:col w:w="11240"/>
          </w:cols>
          <w:pgMar w:left="320" w:top="86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2" w:lineRule="exact"/>
        <w:rPr>
          <w:sz w:val="20"/>
          <w:szCs w:val="20"/>
          <w:color w:val="auto"/>
        </w:rPr>
      </w:pPr>
    </w:p>
    <w:p>
      <w:pPr>
        <w:ind w:firstLine="376"/>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28"/>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5"/>
        </w:trPr>
        <w:tc>
          <w:tcPr>
            <w:tcW w:w="258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3" w:lineRule="exact"/>
        <w:rPr>
          <w:sz w:val="20"/>
          <w:szCs w:val="20"/>
          <w:color w:val="auto"/>
        </w:rPr>
      </w:pPr>
    </w:p>
    <w:p>
      <w:pPr>
        <w:ind w:firstLine="221"/>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2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5"/>
        </w:trPr>
        <w:tc>
          <w:tcPr>
            <w:tcW w:w="252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lvl w:ilvl="1">
      <w:lvlJc w:val="left"/>
      <w:lvlText w:val="%2"/>
      <w:numFmt w:val="decimal"/>
      <w:start w:val="104"/>
    </w:lvl>
  </w:abstractNum>
  <w:abstractNum w:abstractNumId="31">
    <w:nsid w:val="614FD4A1"/>
    <w:multiLevelType w:val="hybridMultilevel"/>
    <w:lvl w:ilvl="0">
      <w:lvlJc w:val="left"/>
      <w:lvlText w:val="(%1)"/>
      <w:numFmt w:val="decimal"/>
      <w:start w:val="1"/>
    </w:lvl>
    <w:lvl w:ilvl="1">
      <w:lvlJc w:val="left"/>
      <w:lvlText w:val="%2"/>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76" Type="http://schemas.openxmlformats.org/officeDocument/2006/relationships/hyperlink" Target="https://www.sec.gov/Archives/edgar/data/1934850/000162828022025950/fidelity-ex1018xform10x12ba.htm" TargetMode="External"/><Relationship Id="rId177" Type="http://schemas.openxmlformats.org/officeDocument/2006/relationships/hyperlink" Target="https://www.sec.gov/Archives/edgar/data/1934850/000162828022025950/fidelity-ex1019xform10x12ba.htm" TargetMode="External"/><Relationship Id="rId178" Type="http://schemas.openxmlformats.org/officeDocument/2006/relationships/hyperlink" Target="https://www.sec.gov/Archives/edgar/data/1934850/000162828022025950/fidelity-ex1020xform10x12ba.htm" TargetMode="External"/><Relationship Id="rId179" Type="http://schemas.openxmlformats.org/officeDocument/2006/relationships/hyperlink" Target="https://www.sec.gov/Archives/edgar/data/1934850/000162828022025950/fidelity-ex1021xform10x12ba.htm" TargetMode="External"/><Relationship Id="rId180" Type="http://schemas.openxmlformats.org/officeDocument/2006/relationships/hyperlink" Target="https://www.sec.gov/Archives/edgar/data/1331875/000133187522000062/ex991-fnf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2022-11-10T08:35:45Z</dcterms:created>
  <dcterms:modified xsi:type="dcterms:W3CDTF">2022-11-10T08:35:45Z</dcterms:modified>
</cp:coreProperties>
</file>