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May 7, 2026</w:t>
      </w:r>
    </w:p>
    <w:p>
      <w:pPr>
        <w:spacing w:after="0" w:line="34" w:lineRule="exact"/>
        <w:rPr>
          <w:sz w:val="24"/>
          <w:szCs w:val="24"/>
          <w:color w:val="auto"/>
        </w:rPr>
      </w:pPr>
    </w:p>
    <w:p>
      <w:pPr>
        <w:jc w:val="right"/>
        <w:ind w:right="59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3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2540</wp:posOffset>
            </wp:positionV>
            <wp:extent cx="493077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0775" cy="1397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43180</wp:posOffset>
            </wp:positionV>
            <wp:extent cx="49307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0775" cy="6985"/>
                    </a:xfrm>
                    <a:prstGeom prst="rect">
                      <a:avLst/>
                    </a:prstGeom>
                    <a:noFill/>
                  </pic:spPr>
                </pic:pic>
              </a:graphicData>
            </a:graphic>
          </wp:anchor>
        </w:drawing>
      </w:r>
    </w:p>
    <w:p>
      <w:pPr>
        <w:spacing w:after="0" w:line="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128270</wp:posOffset>
            </wp:positionV>
            <wp:extent cx="9848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spacing w:after="0" w:line="10" w:lineRule="exact"/>
        <w:rPr>
          <w:sz w:val="24"/>
          <w:szCs w:val="24"/>
          <w:color w:val="auto"/>
        </w:rPr>
      </w:pPr>
    </w:p>
    <w:tbl>
      <w:tblPr>
        <w:tblLayout w:type="fixed"/>
        <w:tblInd w:w="62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8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i w:val="1"/>
                <w:iCs w:val="1"/>
                <w:color w:val="auto"/>
                <w:w w:val="99"/>
              </w:rPr>
              <w:t>UNDER</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61"/>
        </w:trPr>
        <w:tc>
          <w:tcPr>
            <w:tcW w:w="6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720" w:type="dxa"/>
            <w:vAlign w:val="bottom"/>
            <w:gridSpan w:val="3"/>
          </w:tcPr>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r>
              <w:rPr>
                <w:rFonts w:ascii="Times New Roman" w:cs="Times New Roman" w:eastAsia="Times New Roman" w:hAnsi="Times New Roman"/>
                <w:sz w:val="20"/>
                <w:szCs w:val="20"/>
                <w:color w:val="auto"/>
              </w:rPr>
              <w:t>​</w:t>
            </w:r>
          </w:p>
        </w:tc>
        <w:tc>
          <w:tcPr>
            <w:tcW w:w="17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94"/>
        </w:trPr>
        <w:tc>
          <w:tcPr>
            <w:tcW w:w="6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374"/>
        </w:trPr>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2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5"/>
              </w:rPr>
              <w:t>Fidelity National Financial, Inc.</w:t>
            </w: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7"/>
        </w:trPr>
        <w:tc>
          <w:tcPr>
            <w:tcW w:w="6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7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1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jc w:val="center"/>
              <w:ind w:left="541"/>
              <w:spacing w:after="0"/>
              <w:rPr>
                <w:sz w:val="20"/>
                <w:szCs w:val="20"/>
                <w:color w:val="auto"/>
              </w:rPr>
            </w:pPr>
            <w:r>
              <w:rPr>
                <w:rFonts w:ascii="Times New Roman" w:cs="Times New Roman" w:eastAsia="Times New Roman" w:hAnsi="Times New Roman"/>
                <w:sz w:val="12"/>
                <w:szCs w:val="12"/>
                <w:b w:val="1"/>
                <w:bCs w:val="1"/>
                <w:color w:val="auto"/>
                <w:w w:val="98"/>
              </w:rPr>
              <w:t>Nevada</w:t>
            </w:r>
          </w:p>
        </w:tc>
        <w:tc>
          <w:tcPr>
            <w:tcW w:w="540" w:type="dxa"/>
            <w:vAlign w:val="bottom"/>
          </w:tcPr>
          <w:p>
            <w:pPr>
              <w:spacing w:after="0"/>
              <w:rPr>
                <w:sz w:val="16"/>
                <w:szCs w:val="16"/>
                <w:color w:val="auto"/>
              </w:rPr>
            </w:pPr>
          </w:p>
        </w:tc>
        <w:tc>
          <w:tcPr>
            <w:tcW w:w="218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color w:val="auto"/>
              </w:rPr>
              <w:t>​ ​</w:t>
            </w:r>
          </w:p>
        </w:tc>
        <w:tc>
          <w:tcPr>
            <w:tcW w:w="1740" w:type="dxa"/>
            <w:vAlign w:val="bottom"/>
          </w:tcPr>
          <w:p>
            <w:pPr>
              <w:jc w:val="center"/>
              <w:ind w:right="561"/>
              <w:spacing w:after="0"/>
              <w:rPr>
                <w:sz w:val="20"/>
                <w:szCs w:val="20"/>
                <w:color w:val="auto"/>
              </w:rPr>
            </w:pPr>
            <w:r>
              <w:rPr>
                <w:rFonts w:ascii="Times New Roman" w:cs="Times New Roman" w:eastAsia="Times New Roman" w:hAnsi="Times New Roman"/>
                <w:sz w:val="12"/>
                <w:szCs w:val="12"/>
                <w:b w:val="1"/>
                <w:bCs w:val="1"/>
                <w:color w:val="auto"/>
                <w:w w:val="96"/>
              </w:rPr>
              <w:t>16-1725106</w:t>
            </w:r>
          </w:p>
        </w:tc>
        <w:tc>
          <w:tcPr>
            <w:tcW w:w="740" w:type="dxa"/>
            <w:vAlign w:val="bottom"/>
          </w:tcPr>
          <w:p>
            <w:pPr>
              <w:ind w:left="7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9"/>
        </w:trPr>
        <w:tc>
          <w:tcPr>
            <w:tcW w:w="600" w:type="dxa"/>
            <w:vAlign w:val="bottom"/>
          </w:tcPr>
          <w:p>
            <w:pPr>
              <w:spacing w:after="0"/>
              <w:rPr>
                <w:sz w:val="11"/>
                <w:szCs w:val="11"/>
                <w:color w:val="auto"/>
              </w:rPr>
            </w:pPr>
          </w:p>
        </w:tc>
        <w:tc>
          <w:tcPr>
            <w:tcW w:w="1980" w:type="dxa"/>
            <w:vAlign w:val="bottom"/>
          </w:tcPr>
          <w:p>
            <w:pPr>
              <w:jc w:val="center"/>
              <w:ind w:left="521"/>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tcPr>
          <w:p>
            <w:pPr>
              <w:jc w:val="center"/>
              <w:ind w:right="581"/>
              <w:spacing w:after="0"/>
              <w:rPr>
                <w:sz w:val="20"/>
                <w:szCs w:val="20"/>
                <w:color w:val="auto"/>
              </w:rPr>
            </w:pPr>
            <w:r>
              <w:rPr>
                <w:rFonts w:ascii="Times New Roman" w:cs="Times New Roman" w:eastAsia="Times New Roman" w:hAnsi="Times New Roman"/>
                <w:sz w:val="11"/>
                <w:szCs w:val="11"/>
                <w:color w:val="auto"/>
              </w:rPr>
              <w:t>(I.R.S. Employer</w:t>
            </w:r>
          </w:p>
        </w:tc>
        <w:tc>
          <w:tcPr>
            <w:tcW w:w="740" w:type="dxa"/>
            <w:vAlign w:val="bottom"/>
          </w:tcPr>
          <w:p>
            <w:pPr>
              <w:spacing w:after="0"/>
              <w:rPr>
                <w:sz w:val="11"/>
                <w:szCs w:val="11"/>
                <w:color w:val="auto"/>
              </w:rPr>
            </w:pPr>
          </w:p>
        </w:tc>
      </w:tr>
      <w:tr>
        <w:trPr>
          <w:trHeight w:val="161"/>
        </w:trPr>
        <w:tc>
          <w:tcPr>
            <w:tcW w:w="600" w:type="dxa"/>
            <w:vAlign w:val="bottom"/>
          </w:tcPr>
          <w:p>
            <w:pPr>
              <w:spacing w:after="0"/>
              <w:rPr>
                <w:sz w:val="14"/>
                <w:szCs w:val="14"/>
                <w:color w:val="auto"/>
              </w:rPr>
            </w:pPr>
          </w:p>
        </w:tc>
        <w:tc>
          <w:tcPr>
            <w:tcW w:w="4700" w:type="dxa"/>
            <w:vAlign w:val="bottom"/>
            <w:gridSpan w:val="4"/>
          </w:tcPr>
          <w:p>
            <w:pPr>
              <w:jc w:val="center"/>
              <w:ind w:right="210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1740" w:type="dxa"/>
            <w:vAlign w:val="bottom"/>
          </w:tcPr>
          <w:p>
            <w:pPr>
              <w:jc w:val="center"/>
              <w:ind w:right="581"/>
              <w:spacing w:after="0"/>
              <w:rPr>
                <w:sz w:val="20"/>
                <w:szCs w:val="20"/>
                <w:color w:val="auto"/>
              </w:rPr>
            </w:pPr>
            <w:r>
              <w:rPr>
                <w:rFonts w:ascii="Times New Roman" w:cs="Times New Roman" w:eastAsia="Times New Roman" w:hAnsi="Times New Roman"/>
                <w:sz w:val="11"/>
                <w:szCs w:val="11"/>
                <w:color w:val="auto"/>
              </w:rPr>
              <w:t>Identification No.)</w:t>
            </w:r>
          </w:p>
        </w:tc>
        <w:tc>
          <w:tcPr>
            <w:tcW w:w="740" w:type="dxa"/>
            <w:vAlign w:val="bottom"/>
          </w:tcPr>
          <w:p>
            <w:pPr>
              <w:spacing w:after="0"/>
              <w:rPr>
                <w:sz w:val="14"/>
                <w:szCs w:val="14"/>
                <w:color w:val="auto"/>
              </w:rPr>
            </w:pPr>
          </w:p>
        </w:tc>
      </w:tr>
    </w:tbl>
    <w:p>
      <w:pPr>
        <w:spacing w:after="0" w:line="1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601 Riverside Avenue</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Jacksonville, Florida 32204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(904) 854-8100</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Michael L. Gravelle</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Executive Vice President, General Counsel and Corporate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Fidelity National Financial, Inc.</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601 Riverside Avenue</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Jacksonville, Florida 32204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(904) 854-8100</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81280</wp:posOffset>
            </wp:positionV>
            <wp:extent cx="9848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Copies to:</w:t>
      </w:r>
    </w:p>
    <w:p>
      <w:pPr>
        <w:spacing w:after="0" w:line="5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2"/>
          <w:szCs w:val="12"/>
          <w:color w:val="auto"/>
        </w:rPr>
        <w:t>Frank R. Adams, Esq.</w:t>
      </w:r>
    </w:p>
    <w:p>
      <w:pPr>
        <w:spacing w:after="0" w:line="1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color w:val="auto"/>
        </w:rPr>
        <w:t>Ashley J. Butler,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Weil, Gotshal &amp; Manges LLP</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767 Fifth Avenue</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New York, New York 10153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Telephone: (212) 310-8000</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Approximate date of commencement of proposed sale to the public: From time to time after the effective date of this Registration Statement.</w:t>
      </w:r>
    </w:p>
    <w:p>
      <w:pPr>
        <w:spacing w:after="0" w:line="45" w:lineRule="exact"/>
        <w:rPr>
          <w:sz w:val="24"/>
          <w:szCs w:val="24"/>
          <w:color w:val="auto"/>
        </w:rPr>
      </w:pPr>
    </w:p>
    <w:p>
      <w:pPr>
        <w:ind w:left="620" w:right="1119" w:firstLine="287"/>
        <w:spacing w:after="0" w:line="165"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6" w:lineRule="exact"/>
        <w:rPr>
          <w:sz w:val="24"/>
          <w:szCs w:val="24"/>
          <w:color w:val="auto"/>
        </w:rPr>
      </w:pPr>
    </w:p>
    <w:p>
      <w:pPr>
        <w:ind w:left="620" w:right="719" w:firstLine="287"/>
        <w:spacing w:after="0" w:line="160"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620" w:right="799" w:firstLine="287"/>
        <w:spacing w:after="0" w:line="160"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5" w:lineRule="exact"/>
        <w:rPr>
          <w:sz w:val="24"/>
          <w:szCs w:val="24"/>
          <w:color w:val="auto"/>
        </w:rPr>
      </w:pPr>
    </w:p>
    <w:p>
      <w:pPr>
        <w:ind w:left="620" w:right="739" w:firstLine="287"/>
        <w:spacing w:after="0" w:line="165"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6" w:lineRule="exact"/>
        <w:rPr>
          <w:sz w:val="24"/>
          <w:szCs w:val="24"/>
          <w:color w:val="auto"/>
        </w:rPr>
      </w:pPr>
    </w:p>
    <w:p>
      <w:pPr>
        <w:ind w:left="620" w:right="639" w:firstLine="287"/>
        <w:spacing w:after="0" w:line="160"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620" w:right="1099" w:firstLine="287"/>
        <w:spacing w:after="0" w:line="160"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620" w:right="639" w:firstLine="287"/>
        <w:spacing w:after="0" w:line="27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3" w:lineRule="exact"/>
        <w:rPr>
          <w:sz w:val="24"/>
          <w:szCs w:val="24"/>
          <w:color w:val="auto"/>
        </w:rPr>
      </w:pPr>
    </w:p>
    <w:tbl>
      <w:tblPr>
        <w:tblLayout w:type="fixed"/>
        <w:tblInd w:w="900" w:type="dxa"/>
        <w:tblCellMar>
          <w:top w:w="0" w:type="dxa"/>
          <w:left w:w="0" w:type="dxa"/>
          <w:bottom w:w="0" w:type="dxa"/>
          <w:right w:w="0" w:type="dxa"/>
        </w:tblCellMar>
      </w:tblPr>
      <w:tr>
        <w:trPr>
          <w:trHeight w:val="149"/>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24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980" w:type="dxa"/>
            <w:vAlign w:val="bottom"/>
          </w:tcPr>
          <w:p>
            <w:pPr>
              <w:ind w:left="9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Accelerated filer</w:t>
            </w:r>
          </w:p>
        </w:tc>
        <w:tc>
          <w:tcPr>
            <w:tcW w:w="110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780" w:type="dxa"/>
            <w:vAlign w:val="bottom"/>
          </w:tcPr>
          <w:p>
            <w:pPr>
              <w:ind w:left="7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136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vMerge w:val="restart"/>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980" w:type="dxa"/>
            <w:vAlign w:val="bottom"/>
          </w:tcPr>
          <w:p>
            <w:pPr>
              <w:ind w:left="920"/>
              <w:spacing w:after="0" w:line="11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w:t>
            </w: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100" w:type="dxa"/>
            <w:vAlign w:val="bottom"/>
            <w:vMerge w:val="restart"/>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780" w:type="dxa"/>
            <w:vAlign w:val="bottom"/>
          </w:tcPr>
          <w:p>
            <w:pPr>
              <w:ind w:left="7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0"/>
        </w:trPr>
        <w:tc>
          <w:tcPr>
            <w:tcW w:w="13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Non-accelerated filer</w:t>
            </w:r>
          </w:p>
        </w:tc>
        <w:tc>
          <w:tcPr>
            <w:tcW w:w="12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spacing w:after="0"/>
              <w:rPr>
                <w:sz w:val="24"/>
                <w:szCs w:val="24"/>
                <w:color w:val="auto"/>
              </w:rPr>
            </w:pPr>
          </w:p>
        </w:tc>
        <w:tc>
          <w:tcPr>
            <w:tcW w:w="2740" w:type="dxa"/>
            <w:vAlign w:val="bottom"/>
            <w:gridSpan w:val="3"/>
          </w:tcPr>
          <w:p>
            <w:pPr>
              <w:ind w:left="920"/>
              <w:spacing w:after="0"/>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Emerging growth company</w:t>
            </w:r>
          </w:p>
        </w:tc>
        <w:tc>
          <w:tcPr>
            <w:tcW w:w="110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780" w:type="dxa"/>
            <w:vAlign w:val="bottom"/>
          </w:tcPr>
          <w:p>
            <w:pPr>
              <w:ind w:left="7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17145</wp:posOffset>
            </wp:positionV>
            <wp:extent cx="9848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111" w:lineRule="exact"/>
        <w:rPr>
          <w:sz w:val="24"/>
          <w:szCs w:val="24"/>
          <w:color w:val="auto"/>
        </w:rPr>
      </w:pPr>
    </w:p>
    <w:p>
      <w:pPr>
        <w:ind w:left="620" w:right="699" w:firstLine="287"/>
        <w:spacing w:after="0" w:line="16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46990</wp:posOffset>
            </wp:positionV>
            <wp:extent cx="49307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0775" cy="6985"/>
                    </a:xfrm>
                    <a:prstGeom prst="rect">
                      <a:avLst/>
                    </a:prstGeom>
                    <a:noFill/>
                  </pic:spPr>
                </pic:pic>
              </a:graphicData>
            </a:graphic>
          </wp:anchor>
        </w:drawing>
      </w:r>
    </w:p>
    <w:p>
      <w:pPr>
        <w:spacing w:after="0" w:line="8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2540</wp:posOffset>
            </wp:positionV>
            <wp:extent cx="493077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0775" cy="1397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 w:name="page2"/>
    <w:bookmarkEnd w:id="1"/>
    <w:p>
      <w:pPr>
        <w:ind w:left="240"/>
        <w:spacing w:after="0"/>
        <w:rPr>
          <w:sz w:val="20"/>
          <w:szCs w:val="20"/>
          <w:color w:val="auto"/>
        </w:rPr>
      </w:pPr>
      <w:r>
        <w:rPr>
          <w:rFonts w:ascii="Calibri" w:cs="Calibri" w:eastAsia="Calibri" w:hAnsi="Calibri"/>
          <w:sz w:val="11"/>
          <w:szCs w:val="11"/>
          <w:color w:val="003366"/>
        </w:rPr>
        <w:t>TABLE OF CONTENTS</w:t>
      </w:r>
    </w:p>
    <w:p>
      <w:pPr>
        <w:spacing w:after="0" w:line="3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106680</wp:posOffset>
            </wp:positionV>
            <wp:extent cx="2427605" cy="854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7605"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FIDELITY NATIONAL FINANCIAL,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22" w:lineRule="exact"/>
        <w:rPr>
          <w:sz w:val="20"/>
          <w:szCs w:val="20"/>
          <w:color w:val="auto"/>
        </w:rPr>
      </w:pPr>
    </w:p>
    <w:p>
      <w:pPr>
        <w:ind w:left="1240" w:right="1279" w:firstLine="287"/>
        <w:spacing w:after="0" w:line="294" w:lineRule="auto"/>
        <w:rPr>
          <w:sz w:val="20"/>
          <w:szCs w:val="20"/>
          <w:color w:val="auto"/>
        </w:rPr>
      </w:pPr>
      <w:r>
        <w:rPr>
          <w:rFonts w:ascii="Times New Roman" w:cs="Times New Roman" w:eastAsia="Times New Roman" w:hAnsi="Times New Roman"/>
          <w:sz w:val="14"/>
          <w:szCs w:val="14"/>
          <w:color w:val="auto"/>
        </w:rPr>
        <w:t>Fidelity National Financial, Inc. may from time to time in one or more offerings offer and sell senior or subordinated debt securities.</w:t>
      </w:r>
    </w:p>
    <w:p>
      <w:pPr>
        <w:spacing w:after="0" w:line="58" w:lineRule="exact"/>
        <w:rPr>
          <w:sz w:val="20"/>
          <w:szCs w:val="20"/>
          <w:color w:val="auto"/>
        </w:rPr>
      </w:pPr>
    </w:p>
    <w:p>
      <w:pPr>
        <w:jc w:val="both"/>
        <w:ind w:left="1240" w:right="1339" w:firstLine="287"/>
        <w:spacing w:after="0" w:line="275" w:lineRule="auto"/>
        <w:rPr>
          <w:sz w:val="20"/>
          <w:szCs w:val="20"/>
          <w:color w:val="auto"/>
        </w:rPr>
      </w:pPr>
      <w:r>
        <w:rPr>
          <w:rFonts w:ascii="Times New Roman" w:cs="Times New Roman" w:eastAsia="Times New Roman" w:hAnsi="Times New Roman"/>
          <w:sz w:val="14"/>
          <w:szCs w:val="14"/>
          <w:color w:val="auto"/>
        </w:rPr>
        <w:t>Fidelity National Financial, Inc. will provide the specific terms of these debt securities in supplements to this prospectus. You should read this prospectus and the accompanying prospectus supplement carefully before you make your investment decision.</w:t>
      </w:r>
    </w:p>
    <w:p>
      <w:pPr>
        <w:spacing w:after="0" w:line="82" w:lineRule="exact"/>
        <w:rPr>
          <w:sz w:val="20"/>
          <w:szCs w:val="20"/>
          <w:color w:val="auto"/>
        </w:rPr>
      </w:pPr>
    </w:p>
    <w:p>
      <w:pPr>
        <w:ind w:left="1240" w:right="1379" w:firstLine="287"/>
        <w:spacing w:after="0" w:line="275" w:lineRule="auto"/>
        <w:rPr>
          <w:sz w:val="20"/>
          <w:szCs w:val="20"/>
          <w:color w:val="auto"/>
        </w:rPr>
      </w:pPr>
      <w:r>
        <w:rPr>
          <w:rFonts w:ascii="Times New Roman" w:cs="Times New Roman" w:eastAsia="Times New Roman" w:hAnsi="Times New Roman"/>
          <w:sz w:val="14"/>
          <w:szCs w:val="14"/>
          <w:color w:val="auto"/>
        </w:rPr>
        <w:t>Fidelity National Financial, Inc. may sell these debt securities to or through one or more underwriters and also to other purchasers or through agents. The names of any underwriters or agents and the specific terms of a plan of distribution will be stated in an accompanying prospectus supplement.</w:t>
      </w:r>
    </w:p>
    <w:p>
      <w:pPr>
        <w:spacing w:after="0" w:line="80" w:lineRule="exact"/>
        <w:rPr>
          <w:sz w:val="20"/>
          <w:szCs w:val="20"/>
          <w:color w:val="auto"/>
        </w:rPr>
      </w:pPr>
    </w:p>
    <w:p>
      <w:pPr>
        <w:ind w:left="1240" w:right="1339" w:firstLine="287"/>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Please carefully consider the “Risk Factors” beginning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 and any similar section contained in the applicable prospectus supplement to read about factors you should consider before buying our securities.</w:t>
      </w:r>
    </w:p>
    <w:p>
      <w:pPr>
        <w:spacing w:after="0" w:line="69" w:lineRule="exact"/>
        <w:rPr>
          <w:sz w:val="20"/>
          <w:szCs w:val="20"/>
          <w:color w:val="auto"/>
        </w:rPr>
      </w:pPr>
    </w:p>
    <w:p>
      <w:pPr>
        <w:ind w:left="1240" w:right="1319" w:firstLine="287"/>
        <w:spacing w:after="0" w:line="27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82" w:lineRule="exact"/>
        <w:rPr>
          <w:sz w:val="20"/>
          <w:szCs w:val="20"/>
          <w:color w:val="auto"/>
        </w:rPr>
      </w:pPr>
    </w:p>
    <w:p>
      <w:pPr>
        <w:ind w:left="1240" w:right="1479" w:firstLine="287"/>
        <w:spacing w:after="0" w:line="294" w:lineRule="auto"/>
        <w:rPr>
          <w:sz w:val="20"/>
          <w:szCs w:val="20"/>
          <w:color w:val="auto"/>
        </w:rPr>
      </w:pPr>
      <w:r>
        <w:rPr>
          <w:rFonts w:ascii="Times New Roman" w:cs="Times New Roman" w:eastAsia="Times New Roman" w:hAnsi="Times New Roman"/>
          <w:sz w:val="14"/>
          <w:szCs w:val="14"/>
          <w:color w:val="auto"/>
        </w:rPr>
        <w:t>This prospectus may not be used to consummate sales of offered securities unless accompanied by a prospectus supplement.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2486025</wp:posOffset>
            </wp:positionV>
            <wp:extent cx="544830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8" w:lineRule="exact"/>
        <w:rPr>
          <w:sz w:val="20"/>
          <w:szCs w:val="20"/>
          <w:color w:val="auto"/>
        </w:rPr>
      </w:pPr>
    </w:p>
    <w:tbl>
      <w:tblPr>
        <w:tblLayout w:type="fixed"/>
        <w:tblInd w:w="1240" w:type="dxa"/>
        <w:tblCellMar>
          <w:top w:w="0" w:type="dxa"/>
          <w:left w:w="0" w:type="dxa"/>
          <w:bottom w:w="0" w:type="dxa"/>
          <w:right w:w="0" w:type="dxa"/>
        </w:tblCellMar>
      </w:tblPr>
      <w:tr>
        <w:trPr>
          <w:trHeight w:val="302"/>
        </w:trPr>
        <w:tc>
          <w:tcPr>
            <w:tcW w:w="238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840" w:type="dxa"/>
            <w:vAlign w:val="bottom"/>
          </w:tcPr>
          <w:p>
            <w:pPr>
              <w:jc w:val="center"/>
              <w:ind w:left="3650"/>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24"/>
                <w:szCs w:val="24"/>
                <w:color w:val="auto"/>
              </w:rPr>
            </w:pP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r>
      <w:tr>
        <w:trPr>
          <w:trHeight w:val="175"/>
        </w:trPr>
        <w:tc>
          <w:tcPr>
            <w:tcW w:w="20" w:type="dxa"/>
            <w:vAlign w:val="bottom"/>
          </w:tcPr>
          <w:p>
            <w:pPr>
              <w:spacing w:after="0"/>
              <w:rPr>
                <w:sz w:val="15"/>
                <w:szCs w:val="15"/>
                <w:color w:val="auto"/>
              </w:rPr>
            </w:pPr>
          </w:p>
        </w:tc>
        <w:tc>
          <w:tcPr>
            <w:tcW w:w="1340" w:type="dxa"/>
            <w:vAlign w:val="bottom"/>
            <w:tcBorders>
              <w:top w:val="single" w:sz="8" w:color="CCEEFF"/>
              <w:bottom w:val="single" w:sz="8" w:color="0000EE"/>
            </w:tcBorders>
            <w:gridSpan w:val="6"/>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0000EE"/>
              </w:rPr>
              <w:t>About This Prospectus</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3840" w:type="dxa"/>
            <w:vAlign w:val="bottom"/>
            <w:tcBorders>
              <w:top w:val="single" w:sz="8" w:color="CCEEFF"/>
              <w:bottom w:val="single" w:sz="8" w:color="CCEEFF"/>
            </w:tcBorders>
            <w:shd w:val="clear" w:color="auto" w:fill="CCEEFF"/>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0000EE"/>
              <w:right w:val="single" w:sz="8" w:color="CCEEFF"/>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8"/>
        </w:trPr>
        <w:tc>
          <w:tcPr>
            <w:tcW w:w="20" w:type="dxa"/>
            <w:vAlign w:val="bottom"/>
          </w:tcPr>
          <w:p>
            <w:pPr>
              <w:spacing w:after="0"/>
              <w:rPr>
                <w:sz w:val="15"/>
                <w:szCs w:val="15"/>
                <w:color w:val="auto"/>
              </w:rPr>
            </w:pPr>
          </w:p>
        </w:tc>
        <w:tc>
          <w:tcPr>
            <w:tcW w:w="1740" w:type="dxa"/>
            <w:vAlign w:val="bottom"/>
            <w:tcBorders>
              <w:bottom w:val="single" w:sz="8" w:color="0000EE"/>
            </w:tcBorders>
            <w:gridSpan w:val="7"/>
          </w:tcPr>
          <w:p>
            <w:pPr>
              <w:spacing w:after="0" w:line="153" w:lineRule="exact"/>
              <w:rPr>
                <w:sz w:val="20"/>
                <w:szCs w:val="20"/>
                <w:color w:val="auto"/>
              </w:rPr>
            </w:pPr>
            <w:r>
              <w:rPr>
                <w:rFonts w:ascii="Times New Roman" w:cs="Times New Roman" w:eastAsia="Times New Roman" w:hAnsi="Times New Roman"/>
                <w:sz w:val="14"/>
                <w:szCs w:val="14"/>
                <w:color w:val="0000EE"/>
              </w:rPr>
              <w:t>Forward-Looking Statements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40" w:type="dxa"/>
            <w:vAlign w:val="bottom"/>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20" w:type="dxa"/>
            <w:vAlign w:val="bottom"/>
          </w:tcPr>
          <w:p>
            <w:pPr>
              <w:spacing w:after="0"/>
              <w:rPr>
                <w:sz w:val="16"/>
                <w:szCs w:val="16"/>
                <w:color w:val="auto"/>
              </w:rPr>
            </w:pPr>
          </w:p>
        </w:tc>
        <w:tc>
          <w:tcPr>
            <w:tcW w:w="1900" w:type="dxa"/>
            <w:vAlign w:val="bottom"/>
            <w:tcBorders>
              <w:bottom w:val="single" w:sz="8" w:color="0000EE"/>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Fidelity National Financial, Inc.</w:t>
            </w:r>
          </w:p>
        </w:tc>
        <w:tc>
          <w:tcPr>
            <w:tcW w:w="460" w:type="dxa"/>
            <w:vAlign w:val="bottom"/>
            <w:tcBorders>
              <w:bottom w:val="single" w:sz="8" w:color="CCEEFF"/>
            </w:tcBorders>
            <w:shd w:val="clear" w:color="auto" w:fill="CCEEFF"/>
          </w:tcPr>
          <w:p>
            <w:pPr>
              <w:spacing w:after="0"/>
              <w:rPr>
                <w:sz w:val="16"/>
                <w:szCs w:val="16"/>
                <w:color w:val="auto"/>
              </w:rPr>
            </w:pPr>
          </w:p>
        </w:tc>
        <w:tc>
          <w:tcPr>
            <w:tcW w:w="3840" w:type="dxa"/>
            <w:vAlign w:val="bottom"/>
            <w:tcBorders>
              <w:bottom w:val="single" w:sz="8" w:color="CCEEFF"/>
            </w:tcBorders>
            <w:shd w:val="clear" w:color="auto" w:fill="CCEEFF"/>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EE"/>
                <w:w w:val="85"/>
              </w:rPr>
              <w:t>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8"/>
        </w:trPr>
        <w:tc>
          <w:tcPr>
            <w:tcW w:w="20" w:type="dxa"/>
            <w:vAlign w:val="bottom"/>
          </w:tcPr>
          <w:p>
            <w:pPr>
              <w:spacing w:after="0"/>
              <w:rPr>
                <w:sz w:val="15"/>
                <w:szCs w:val="15"/>
                <w:color w:val="auto"/>
              </w:rPr>
            </w:pPr>
          </w:p>
        </w:tc>
        <w:tc>
          <w:tcPr>
            <w:tcW w:w="720" w:type="dxa"/>
            <w:vAlign w:val="bottom"/>
            <w:tcBorders>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EE"/>
                <w:w w:val="99"/>
              </w:rPr>
              <w:t>Risk Factors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spacing w:after="0"/>
              <w:rPr>
                <w:sz w:val="15"/>
                <w:szCs w:val="15"/>
                <w:color w:val="auto"/>
              </w:rPr>
            </w:pPr>
          </w:p>
        </w:tc>
        <w:tc>
          <w:tcPr>
            <w:tcW w:w="560" w:type="dxa"/>
            <w:vAlign w:val="bottom"/>
            <w:gridSpan w:val="2"/>
          </w:tcPr>
          <w:p>
            <w:pPr>
              <w:spacing w:after="0"/>
              <w:rPr>
                <w:sz w:val="15"/>
                <w:szCs w:val="15"/>
                <w:color w:val="auto"/>
              </w:rPr>
            </w:pPr>
          </w:p>
        </w:tc>
        <w:tc>
          <w:tcPr>
            <w:tcW w:w="3840" w:type="dxa"/>
            <w:vAlign w:val="bottom"/>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0" w:type="dxa"/>
            <w:vAlign w:val="bottom"/>
          </w:tcPr>
          <w:p>
            <w:pPr>
              <w:spacing w:after="0"/>
              <w:rPr>
                <w:sz w:val="17"/>
                <w:szCs w:val="17"/>
                <w:color w:val="auto"/>
              </w:rPr>
            </w:pPr>
          </w:p>
        </w:tc>
        <w:tc>
          <w:tcPr>
            <w:tcW w:w="94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spacing w:after="0"/>
              <w:rPr>
                <w:sz w:val="17"/>
                <w:szCs w:val="17"/>
                <w:color w:val="auto"/>
              </w:rPr>
            </w:pPr>
          </w:p>
        </w:tc>
        <w:tc>
          <w:tcPr>
            <w:tcW w:w="3840" w:type="dxa"/>
            <w:vAlign w:val="bottom"/>
            <w:tcBorders>
              <w:bottom w:val="single" w:sz="8" w:color="CCEEFF"/>
            </w:tcBorders>
            <w:shd w:val="clear" w:color="auto" w:fill="CCEEFF"/>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20" w:type="dxa"/>
            <w:vAlign w:val="bottom"/>
          </w:tcPr>
          <w:p>
            <w:pPr>
              <w:spacing w:after="0"/>
              <w:rPr>
                <w:sz w:val="16"/>
                <w:szCs w:val="16"/>
                <w:color w:val="auto"/>
              </w:rPr>
            </w:pP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560" w:type="dxa"/>
            <w:vAlign w:val="bottom"/>
            <w:gridSpan w:val="2"/>
          </w:tcPr>
          <w:p>
            <w:pPr>
              <w:spacing w:after="0"/>
              <w:rPr>
                <w:sz w:val="16"/>
                <w:szCs w:val="16"/>
                <w:color w:val="auto"/>
              </w:rPr>
            </w:pPr>
          </w:p>
        </w:tc>
        <w:tc>
          <w:tcPr>
            <w:tcW w:w="3840" w:type="dxa"/>
            <w:vAlign w:val="bottom"/>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0" w:type="dxa"/>
            <w:vAlign w:val="bottom"/>
          </w:tcPr>
          <w:p>
            <w:pPr>
              <w:spacing w:after="0"/>
              <w:rPr>
                <w:sz w:val="17"/>
                <w:szCs w:val="17"/>
                <w:color w:val="auto"/>
              </w:rPr>
            </w:pPr>
          </w:p>
        </w:tc>
        <w:tc>
          <w:tcPr>
            <w:tcW w:w="116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00" w:type="dxa"/>
            <w:vAlign w:val="bottom"/>
            <w:tcBorders>
              <w:bottom w:val="single" w:sz="8" w:color="CCEEFF"/>
            </w:tcBorders>
            <w:gridSpan w:val="5"/>
            <w:shd w:val="clear" w:color="auto" w:fill="CCEEFF"/>
          </w:tcPr>
          <w:p>
            <w:pPr>
              <w:spacing w:after="0"/>
              <w:rPr>
                <w:sz w:val="17"/>
                <w:szCs w:val="17"/>
                <w:color w:val="auto"/>
              </w:rPr>
            </w:pPr>
          </w:p>
        </w:tc>
        <w:tc>
          <w:tcPr>
            <w:tcW w:w="3840" w:type="dxa"/>
            <w:vAlign w:val="bottom"/>
            <w:tcBorders>
              <w:bottom w:val="single" w:sz="8" w:color="CCEEFF"/>
            </w:tcBorders>
            <w:shd w:val="clear" w:color="auto" w:fill="CCEEFF"/>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20" w:type="dxa"/>
            <w:vAlign w:val="bottom"/>
          </w:tcPr>
          <w:p>
            <w:pPr>
              <w:spacing w:after="0"/>
              <w:rPr>
                <w:sz w:val="16"/>
                <w:szCs w:val="16"/>
                <w:color w:val="auto"/>
              </w:rPr>
            </w:pPr>
          </w:p>
        </w:tc>
        <w:tc>
          <w:tcPr>
            <w:tcW w:w="23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3840" w:type="dxa"/>
            <w:vAlign w:val="bottom"/>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17</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0" w:type="dxa"/>
            <w:vAlign w:val="bottom"/>
          </w:tcPr>
          <w:p>
            <w:pPr>
              <w:spacing w:after="0"/>
              <w:rPr>
                <w:sz w:val="17"/>
                <w:szCs w:val="17"/>
                <w:color w:val="auto"/>
              </w:rPr>
            </w:pPr>
          </w:p>
        </w:tc>
        <w:tc>
          <w:tcPr>
            <w:tcW w:w="8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Legal Matters</w:t>
            </w:r>
          </w:p>
        </w:tc>
        <w:tc>
          <w:tcPr>
            <w:tcW w:w="1560" w:type="dxa"/>
            <w:vAlign w:val="bottom"/>
            <w:tcBorders>
              <w:bottom w:val="single" w:sz="8" w:color="CCEEFF"/>
            </w:tcBorders>
            <w:gridSpan w:val="7"/>
            <w:shd w:val="clear" w:color="auto" w:fill="CCEEFF"/>
          </w:tcPr>
          <w:p>
            <w:pPr>
              <w:spacing w:after="0"/>
              <w:rPr>
                <w:sz w:val="17"/>
                <w:szCs w:val="17"/>
                <w:color w:val="auto"/>
              </w:rPr>
            </w:pPr>
          </w:p>
        </w:tc>
        <w:tc>
          <w:tcPr>
            <w:tcW w:w="3840" w:type="dxa"/>
            <w:vAlign w:val="bottom"/>
            <w:tcBorders>
              <w:bottom w:val="single" w:sz="8" w:color="CCEEFF"/>
            </w:tcBorders>
            <w:shd w:val="clear" w:color="auto" w:fill="CCEEFF"/>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Experts</w:t>
            </w:r>
          </w:p>
        </w:tc>
        <w:tc>
          <w:tcPr>
            <w:tcW w:w="1940" w:type="dxa"/>
            <w:vAlign w:val="bottom"/>
            <w:gridSpan w:val="9"/>
          </w:tcPr>
          <w:p>
            <w:pPr>
              <w:spacing w:after="0"/>
              <w:rPr>
                <w:sz w:val="15"/>
                <w:szCs w:val="15"/>
                <w:color w:val="auto"/>
              </w:rPr>
            </w:pPr>
          </w:p>
        </w:tc>
        <w:tc>
          <w:tcPr>
            <w:tcW w:w="3840" w:type="dxa"/>
            <w:vAlign w:val="bottom"/>
          </w:tcPr>
          <w:p>
            <w:pPr>
              <w:jc w:val="center"/>
              <w:ind w:left="367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-1332865</wp:posOffset>
            </wp:positionV>
            <wp:extent cx="39935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95" w:lineRule="exact"/>
        <w:rPr>
          <w:sz w:val="20"/>
          <w:szCs w:val="20"/>
          <w:color w:val="auto"/>
        </w:rPr>
      </w:pPr>
    </w:p>
    <w:p>
      <w:pPr>
        <w:ind w:left="1240" w:right="1259" w:firstLine="287"/>
        <w:spacing w:after="0" w:line="269" w:lineRule="auto"/>
        <w:rPr>
          <w:sz w:val="20"/>
          <w:szCs w:val="20"/>
          <w:color w:val="auto"/>
        </w:rPr>
      </w:pPr>
      <w:r>
        <w:rPr>
          <w:rFonts w:ascii="Times New Roman" w:cs="Times New Roman" w:eastAsia="Times New Roman" w:hAnsi="Times New Roman"/>
          <w:sz w:val="14"/>
          <w:szCs w:val="14"/>
          <w:color w:val="auto"/>
        </w:rPr>
        <w:t>You should rely only on the information contained in this document or to which we have referred you. We have not authorized anyone to provide you with information that is different. This document may only be used where it is legal to sell these debt securities. The information in this document may only be accurate on the date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ind w:left="1240" w:right="1259" w:firstLine="287"/>
        <w:spacing w:after="0" w:line="294" w:lineRule="auto"/>
        <w:rPr>
          <w:sz w:val="20"/>
          <w:szCs w:val="20"/>
          <w:color w:val="auto"/>
        </w:rPr>
      </w:pPr>
      <w:r>
        <w:rPr>
          <w:rFonts w:ascii="Times New Roman" w:cs="Times New Roman" w:eastAsia="Times New Roman" w:hAnsi="Times New Roman"/>
          <w:sz w:val="14"/>
          <w:szCs w:val="14"/>
          <w:color w:val="auto"/>
        </w:rPr>
        <w:t>Unless otherwise stated or the context otherwise requires, references in this prospectus to “FNF,” “we,” “our” or “us” refer to Fidelity National Financial, Inc., together with its subsidiaries.</w:t>
      </w:r>
    </w:p>
    <w:p>
      <w:pPr>
        <w:spacing w:after="0" w:line="69" w:lineRule="exact"/>
        <w:rPr>
          <w:sz w:val="20"/>
          <w:szCs w:val="20"/>
          <w:color w:val="auto"/>
        </w:rPr>
      </w:pPr>
    </w:p>
    <w:p>
      <w:pPr>
        <w:ind w:left="1240" w:right="1299" w:firstLine="287"/>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that FNF filed with the U.S. Securities and Exchange Commission, or the SEC, using a “shelf” registration process. Under this shelf process, FNF may issue the debt securities described in this prospectus from time to time and in an unlimited amount. This prospectus provides you with a general description of the debt securities FNF may offer. Each time we sell debt securities, a prospectus supplement that will contain specific information about the terms of that offering will be provided. The prospectus supplement may also add, update or change information contained or incorporated by reference in this prospectus. You should read both this prospectus and any prospectus supplement together with the additional information described under the heading “Where You Can Find More Information.”</w:t>
      </w:r>
    </w:p>
    <w:p>
      <w:pPr>
        <w:spacing w:after="0" w:line="258" w:lineRule="exact"/>
        <w:rPr>
          <w:sz w:val="20"/>
          <w:szCs w:val="20"/>
          <w:color w:val="auto"/>
        </w:rPr>
      </w:pPr>
    </w:p>
    <w:p>
      <w:pPr>
        <w:ind w:left="1240" w:right="1259" w:firstLine="287"/>
        <w:spacing w:after="0" w:line="266"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or in any permitted free writing prospectuses we have authorized for use with respect to the applicable offering or transaction. FNF has not authorized anyone to provide you with different information. If anyone provides you with different or inconsistent information, you should not rely on it. FNF is not making an offer to sell these debt securities in any jurisdiction where the offer or sale is not permitted.</w:t>
      </w:r>
    </w:p>
    <w:p>
      <w:pPr>
        <w:spacing w:after="0" w:line="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You should assume that the information in this prospectus is accurate as of the date of the prospectus.</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32" w:lineRule="exact"/>
        <w:rPr>
          <w:sz w:val="20"/>
          <w:szCs w:val="20"/>
          <w:color w:val="auto"/>
        </w:rPr>
      </w:pPr>
    </w:p>
    <w:p>
      <w:pPr>
        <w:ind w:left="1240" w:right="1299" w:firstLine="287"/>
        <w:spacing w:after="0" w:line="260" w:lineRule="auto"/>
        <w:rPr>
          <w:sz w:val="20"/>
          <w:szCs w:val="20"/>
          <w:color w:val="auto"/>
        </w:rPr>
      </w:pPr>
      <w:r>
        <w:rPr>
          <w:rFonts w:ascii="Times New Roman" w:cs="Times New Roman" w:eastAsia="Times New Roman" w:hAnsi="Times New Roman"/>
          <w:sz w:val="14"/>
          <w:szCs w:val="14"/>
          <w:color w:val="auto"/>
        </w:rPr>
        <w:t>The statements contained in this prospectus, any related prospectus supplement, or incorporated by reference in this prospectus or any related prospectus supplement, or in any permitted free writing prospectuses we have authorized for use with respect to the applicable offering or transaction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These statements relate to, among other things, our future financial and operating results.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238" w:lineRule="exact"/>
        <w:rPr>
          <w:sz w:val="20"/>
          <w:szCs w:val="20"/>
          <w:color w:val="auto"/>
        </w:rPr>
      </w:pPr>
    </w:p>
    <w:p>
      <w:pPr>
        <w:ind w:left="1660" w:right="1259" w:hanging="143"/>
        <w:spacing w:after="0" w:line="275"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the level of real estate activity, which may be caused by, among other things, high or increasing interest rates, a limited supply of mortgage funding, increased mortgage defaults, or a weak U.S. economy;</w:t>
      </w:r>
    </w:p>
    <w:p>
      <w:pPr>
        <w:spacing w:after="0" w:line="49"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our title insurance claims;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downgrade of our credit rating by rating agencies;</w:t>
      </w:r>
    </w:p>
    <w:p>
      <w:pPr>
        <w:spacing w:after="0" w:line="97" w:lineRule="exact"/>
        <w:rPr>
          <w:rFonts w:ascii="Times New Roman" w:cs="Times New Roman" w:eastAsia="Times New Roman" w:hAnsi="Times New Roman"/>
          <w:sz w:val="14"/>
          <w:szCs w:val="14"/>
          <w:color w:val="auto"/>
        </w:rPr>
      </w:pPr>
    </w:p>
    <w:p>
      <w:pPr>
        <w:ind w:left="1660" w:right="1319" w:hanging="143"/>
        <w:spacing w:after="0" w:line="29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extensive government regulation of our operating subsidiaries and adverse changes in applicable laws or regulations or in their application by regulators;</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investigations of the title insurance industry;</w:t>
      </w:r>
    </w:p>
    <w:p>
      <w:pPr>
        <w:spacing w:after="0" w:line="97" w:lineRule="exact"/>
        <w:rPr>
          <w:rFonts w:ascii="Times New Roman" w:cs="Times New Roman" w:eastAsia="Times New Roman" w:hAnsi="Times New Roman"/>
          <w:sz w:val="14"/>
          <w:szCs w:val="14"/>
          <w:color w:val="auto"/>
        </w:rPr>
      </w:pPr>
    </w:p>
    <w:p>
      <w:pPr>
        <w:ind w:left="1660" w:right="1639" w:hanging="143"/>
        <w:spacing w:after="0" w:line="29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that could negatively affect our financial results and impair our operating abilities;</w:t>
      </w:r>
    </w:p>
    <w:p>
      <w:pPr>
        <w:spacing w:after="0" w:line="36" w:lineRule="exact"/>
        <w:rPr>
          <w:rFonts w:ascii="Times New Roman" w:cs="Times New Roman" w:eastAsia="Times New Roman" w:hAnsi="Times New Roman"/>
          <w:sz w:val="14"/>
          <w:szCs w:val="14"/>
          <w:color w:val="auto"/>
        </w:rPr>
      </w:pPr>
    </w:p>
    <w:p>
      <w:pPr>
        <w:ind w:left="1660" w:right="1479" w:hanging="143"/>
        <w:spacing w:after="0" w:line="287"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concentration in the States of California and Texas, where we derived approximately 12.2% and 14.1%, respectively, of our title insurance premiums in the year ended December 31, 2025;</w:t>
      </w:r>
    </w:p>
    <w:p>
      <w:pPr>
        <w:spacing w:after="0" w:line="218" w:lineRule="exact"/>
        <w:rPr>
          <w:rFonts w:ascii="Times New Roman" w:cs="Times New Roman" w:eastAsia="Times New Roman" w:hAnsi="Times New Roman"/>
          <w:sz w:val="14"/>
          <w:szCs w:val="14"/>
          <w:color w:val="auto"/>
        </w:rPr>
      </w:pPr>
    </w:p>
    <w:p>
      <w:pPr>
        <w:ind w:left="1660" w:right="1359" w:hanging="143"/>
        <w:spacing w:after="0" w:line="275"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49" w:lineRule="exact"/>
        <w:rPr>
          <w:rFonts w:ascii="Times New Roman" w:cs="Times New Roman" w:eastAsia="Times New Roman" w:hAnsi="Times New Roman"/>
          <w:sz w:val="14"/>
          <w:szCs w:val="14"/>
          <w:color w:val="auto"/>
        </w:rPr>
      </w:pPr>
    </w:p>
    <w:p>
      <w:pPr>
        <w:ind w:left="1660" w:right="1539" w:hanging="143"/>
        <w:spacing w:after="0" w:line="267"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distributions from our title insurance underwriters as our main source of cash flow;</w:t>
      </w:r>
    </w:p>
    <w:p>
      <w:pPr>
        <w:spacing w:after="0" w:line="251"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title insurance companies;</w:t>
      </w:r>
    </w:p>
    <w:p>
      <w:pPr>
        <w:spacing w:after="0" w:line="97" w:lineRule="exact"/>
        <w:rPr>
          <w:rFonts w:ascii="Times New Roman" w:cs="Times New Roman" w:eastAsia="Times New Roman" w:hAnsi="Times New Roman"/>
          <w:sz w:val="14"/>
          <w:szCs w:val="14"/>
          <w:color w:val="auto"/>
        </w:rPr>
      </w:pPr>
    </w:p>
    <w:p>
      <w:pPr>
        <w:ind w:left="1660" w:right="1419" w:hanging="143"/>
        <w:spacing w:after="0" w:line="29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and political conditions, including changes in the financial markets related to inflation and geopolitical uncertainties;</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our business operations caused by the occurrence of a catastrophe or global crisis; and</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detailed elsewhere in this document and in our other filings with the SEC.</w:t>
      </w:r>
    </w:p>
    <w:p>
      <w:pPr>
        <w:spacing w:after="0" w:line="130" w:lineRule="exact"/>
        <w:rPr>
          <w:sz w:val="20"/>
          <w:szCs w:val="20"/>
          <w:color w:val="auto"/>
        </w:rPr>
      </w:pPr>
    </w:p>
    <w:p>
      <w:pPr>
        <w:ind w:left="1240" w:right="1319" w:firstLine="287"/>
        <w:spacing w:after="0" w:line="269" w:lineRule="auto"/>
        <w:rPr>
          <w:sz w:val="20"/>
          <w:szCs w:val="20"/>
          <w:color w:val="auto"/>
        </w:rPr>
      </w:pPr>
      <w:r>
        <w:rPr>
          <w:rFonts w:ascii="Times New Roman" w:cs="Times New Roman" w:eastAsia="Times New Roman" w:hAnsi="Times New Roman"/>
          <w:sz w:val="14"/>
          <w:szCs w:val="14"/>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 in or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132" w:lineRule="exact"/>
        <w:rPr>
          <w:sz w:val="20"/>
          <w:szCs w:val="20"/>
          <w:color w:val="auto"/>
        </w:rPr>
      </w:pPr>
    </w:p>
    <w:p>
      <w:pPr>
        <w:ind w:left="1240" w:right="1319" w:firstLine="287"/>
        <w:spacing w:after="0" w:line="260"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and (ii) transaction services to the real estate and mortgage industries. FNF is one of the nation’s largest title insurance companies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w:t>
      </w:r>
    </w:p>
    <w:p>
      <w:pPr>
        <w:spacing w:after="0" w:line="270" w:lineRule="exact"/>
        <w:rPr>
          <w:sz w:val="20"/>
          <w:szCs w:val="20"/>
          <w:color w:val="auto"/>
        </w:rPr>
      </w:pPr>
    </w:p>
    <w:p>
      <w:pPr>
        <w:ind w:left="1240" w:right="1719" w:firstLine="287"/>
        <w:spacing w:after="0" w:line="294" w:lineRule="auto"/>
        <w:rPr>
          <w:sz w:val="20"/>
          <w:szCs w:val="20"/>
          <w:color w:val="auto"/>
        </w:rPr>
      </w:pPr>
      <w:r>
        <w:rPr>
          <w:rFonts w:ascii="Times New Roman" w:cs="Times New Roman" w:eastAsia="Times New Roman" w:hAnsi="Times New Roman"/>
          <w:sz w:val="14"/>
          <w:szCs w:val="14"/>
          <w:color w:val="auto"/>
        </w:rPr>
        <w:t>Our executive offices are located at 601 Riverside Avenue, Jacksonville, Florida 32204, and our telephone number is (904) 854-8100.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ind w:left="1240" w:right="1259" w:firstLine="287"/>
        <w:spacing w:after="0" w:line="265"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An investment in our debt securities involves risks. Before making a decision to purchase our debt securities, you should carefully consider the risks, uncertainties and assumptions discussed in Item 1A. of </w:t>
      </w:r>
      <w:hyperlink r:id="rId23">
        <w:r>
          <w:rPr>
            <w:rFonts w:ascii="Times New Roman" w:cs="Times New Roman" w:eastAsia="Times New Roman" w:hAnsi="Times New Roman"/>
            <w:sz w:val="14"/>
            <w:szCs w:val="14"/>
            <w:color w:val="auto"/>
          </w:rPr>
          <w:t xml:space="preserve">our annual report on </w:t>
        </w:r>
        <w:r>
          <w:rPr>
            <w:rFonts w:ascii="Times New Roman" w:cs="Times New Roman" w:eastAsia="Times New Roman" w:hAnsi="Times New Roman"/>
            <w:sz w:val="14"/>
            <w:szCs w:val="14"/>
            <w:u w:val="single" w:color="auto"/>
            <w:color w:val="0000EE"/>
          </w:rPr>
          <w:t>Form 10-K for the year ended December 31, 2025, filed with the SEC on February 26,</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 and in other documents that we subsequently file with the SEC that update, supplement or supersede</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such information, which documents are incorporated by reference into this prospectus.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left="1240" w:right="1259" w:firstLine="287"/>
        <w:spacing w:after="0" w:line="269"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the net proceeds from the sale of debt securities offered by us will be used for working capital, capital expenditures, acquisitions and other general corporate purposes. Until we use the net proceeds in this manner, we may temporarily use them to make short-term investments or reduce short-term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2" w:lineRule="exact"/>
        <w:rPr>
          <w:sz w:val="20"/>
          <w:szCs w:val="20"/>
          <w:color w:val="auto"/>
        </w:rPr>
      </w:pPr>
    </w:p>
    <w:p>
      <w:pPr>
        <w:ind w:left="1240" w:right="1279" w:firstLine="287"/>
        <w:spacing w:after="0" w:line="259" w:lineRule="auto"/>
        <w:rPr>
          <w:sz w:val="20"/>
          <w:szCs w:val="20"/>
          <w:color w:val="auto"/>
        </w:rPr>
      </w:pPr>
      <w:r>
        <w:rPr>
          <w:rFonts w:ascii="Times New Roman" w:cs="Times New Roman" w:eastAsia="Times New Roman" w:hAnsi="Times New Roman"/>
          <w:sz w:val="14"/>
          <w:szCs w:val="14"/>
          <w:color w:val="auto"/>
        </w:rPr>
        <w:t>As used in this prospectus, debt securities means the debentures, notes, bonds and other evidences of indebtedness that we may issue from time to time. The debt securities will either be senior debt securities or subordinated debt securities. Unless the applicable prospectus supplement states otherwise, senior debt securities will be issued under the Indenture, dated as of December 8, 2005 (the “Base Indenture”), between Fidelity National Financial, Inc. (formerly Fidelity National Title Group, Inc.) and The Bank of New York Trust Company, N.A. (now known as The Bank of New York Mellon Trust Company, N.A.), as amended by a first supplemental indenture, dated as of January 6, 2006 (the “First Supplemental Indenture”), a second supplemental indenture, dated as of May 5, 2010 (the “Second Supplemental Indenture”), and a ninth supplemental indenture, dated as of June 4, 2025 (the “Ninth Supplemental Indenture” and, such Base Indenture, as amended by such First Supplemental Indenture, Second Supplemental Indenture and Ninth Supplemental Indenture, the “Senior Indenture”), and subordinated debt securities will be issued under a “Subordinated Indenture” to be entered into with The Bank of New York Mellon Trust Company, N.A. This prospectus sometimes refers to the Senior Indenture and the Subordinated Indenture collectively as the “Indentures” and each individually as an “Indenture.” Certain of such supplemental indentures contain terms that apply only to securities issued thereunder.</w:t>
      </w:r>
    </w:p>
    <w:p>
      <w:pPr>
        <w:spacing w:after="0" w:line="271" w:lineRule="exact"/>
        <w:rPr>
          <w:sz w:val="20"/>
          <w:szCs w:val="20"/>
          <w:color w:val="auto"/>
        </w:rPr>
      </w:pPr>
    </w:p>
    <w:p>
      <w:pPr>
        <w:ind w:left="1240" w:right="1339" w:firstLine="287"/>
        <w:spacing w:after="0" w:line="265" w:lineRule="auto"/>
        <w:rPr>
          <w:sz w:val="20"/>
          <w:szCs w:val="20"/>
          <w:color w:val="auto"/>
        </w:rPr>
      </w:pPr>
      <w:r>
        <w:rPr>
          <w:rFonts w:ascii="Times New Roman" w:cs="Times New Roman" w:eastAsia="Times New Roman" w:hAnsi="Times New Roman"/>
          <w:sz w:val="14"/>
          <w:szCs w:val="14"/>
          <w:color w:val="auto"/>
        </w:rPr>
        <w:t>The Senior Indenture and form of Subordinated Indenture are incorporated by reference as exhibits to the registration statement of which this prospectus forms a part. 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the debt securities, including the definitions therein of certain terms.</w:t>
      </w: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3" w:lineRule="exact"/>
        <w:rPr>
          <w:sz w:val="20"/>
          <w:szCs w:val="20"/>
          <w:color w:val="auto"/>
        </w:rPr>
      </w:pPr>
    </w:p>
    <w:p>
      <w:pPr>
        <w:jc w:val="both"/>
        <w:ind w:left="1240" w:right="1419" w:firstLine="287"/>
        <w:spacing w:after="0" w:line="269" w:lineRule="auto"/>
        <w:rPr>
          <w:sz w:val="20"/>
          <w:szCs w:val="20"/>
          <w:color w:val="auto"/>
        </w:rPr>
      </w:pPr>
      <w:r>
        <w:rPr>
          <w:rFonts w:ascii="Times New Roman" w:cs="Times New Roman" w:eastAsia="Times New Roman" w:hAnsi="Times New Roman"/>
          <w:sz w:val="14"/>
          <w:szCs w:val="14"/>
          <w:color w:val="auto"/>
        </w:rPr>
        <w:t>The debt securities will be unsecured obligations of ours. The senior debt securities will rank equally with all of our other senior and unsubordinated debt. The subordinated debt securities will be subordinate and junior in right of payment to all of our present and future senior indebtedness to the extent described herein and in the applicable prospectus supplement.</w:t>
      </w:r>
    </w:p>
    <w:p>
      <w:pPr>
        <w:spacing w:after="0" w:line="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Because we are a holding company that conducts our operations through our subsidiaries, holders of</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debt securities will generally have a junior position to claims of creditors of our subsidiaries, including trade</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creditors, debtholders, secured creditors, taxing authorities, beneficiaries under title insurance policies, and</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guarantee holders. As of December 31, 2025, our subsidiaries had total liabilities of approximately</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$97,046 million. Moreover, our ability to pay principal and interest on the debt securities is, to a large</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extent, dependent upon our receiving dividends, interest or other amounts from our subsidiaries. Certain of</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our principal operating subsidiaries are subject to insurance regulations that require minimum amounts of</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statutory surplus, which may restrict the amount of funds which are available to us from such subsidiaries,</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or require prior approval from the regulatory agency before those subsidiaries can pay us any extraordinary</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dividends.</w:t>
      </w:r>
    </w:p>
    <w:p>
      <w:pPr>
        <w:spacing w:after="0" w:line="116" w:lineRule="exact"/>
        <w:rPr>
          <w:sz w:val="20"/>
          <w:szCs w:val="20"/>
          <w:color w:val="auto"/>
        </w:rPr>
      </w:pPr>
    </w:p>
    <w:p>
      <w:pPr>
        <w:ind w:left="1240" w:right="1519" w:firstLine="287"/>
        <w:spacing w:after="0" w:line="275" w:lineRule="auto"/>
        <w:rPr>
          <w:sz w:val="20"/>
          <w:szCs w:val="20"/>
          <w:color w:val="auto"/>
        </w:rPr>
      </w:pPr>
      <w:r>
        <w:rPr>
          <w:rFonts w:ascii="Times New Roman" w:cs="Times New Roman" w:eastAsia="Times New Roman" w:hAnsi="Times New Roman"/>
          <w:sz w:val="14"/>
          <w:szCs w:val="14"/>
          <w:color w:val="auto"/>
        </w:rPr>
        <w:t>The Indentures do not limit the aggregate principal amount of debt securities that we may issue and provide that we may issue debt securities under them from time to time in one or more series. The Indentures also do not limit our ability to incur other debt.</w:t>
      </w:r>
    </w:p>
    <w:p>
      <w:pPr>
        <w:spacing w:after="0" w:line="71" w:lineRule="exact"/>
        <w:rPr>
          <w:sz w:val="20"/>
          <w:szCs w:val="20"/>
          <w:color w:val="auto"/>
        </w:rPr>
      </w:pPr>
    </w:p>
    <w:p>
      <w:pPr>
        <w:ind w:left="1240" w:right="1539" w:firstLine="287"/>
        <w:spacing w:after="0" w:line="294" w:lineRule="auto"/>
        <w:rPr>
          <w:sz w:val="20"/>
          <w:szCs w:val="20"/>
          <w:color w:val="auto"/>
        </w:rPr>
      </w:pPr>
      <w:r>
        <w:rPr>
          <w:rFonts w:ascii="Times New Roman" w:cs="Times New Roman" w:eastAsia="Times New Roman" w:hAnsi="Times New Roman"/>
          <w:sz w:val="14"/>
          <w:szCs w:val="14"/>
          <w:color w:val="auto"/>
        </w:rPr>
        <w:t>Each prospectus supplement will describe the terms relating to the specific series of debt securities being offered. These terms will include some or all of the following:</w:t>
      </w:r>
    </w:p>
    <w:p>
      <w:pPr>
        <w:spacing w:after="0" w:line="47" w:lineRule="exact"/>
        <w:rPr>
          <w:sz w:val="20"/>
          <w:szCs w:val="20"/>
          <w:color w:val="auto"/>
        </w:rPr>
      </w:pPr>
    </w:p>
    <w:p>
      <w:pPr>
        <w:ind w:left="1660" w:right="1479" w:hanging="143"/>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including CUSIP Numbers, and whether they are subordinated debt securities or senior debt securities;</w:t>
      </w:r>
    </w:p>
    <w:p>
      <w:pPr>
        <w:spacing w:after="0" w:line="36" w:lineRule="exact"/>
        <w:rPr>
          <w:rFonts w:ascii="Times New Roman" w:cs="Times New Roman" w:eastAsia="Times New Roman" w:hAnsi="Times New Roman"/>
          <w:sz w:val="14"/>
          <w:szCs w:val="14"/>
          <w:color w:val="auto"/>
        </w:rPr>
      </w:pPr>
    </w:p>
    <w:p>
      <w:pPr>
        <w:ind w:left="1660" w:right="1459" w:hanging="143"/>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 which may be authenticated and delivered under the applicable Indenture;</w:t>
      </w:r>
    </w:p>
    <w:p>
      <w:pPr>
        <w:spacing w:after="0" w:line="36" w:lineRule="exact"/>
        <w:rPr>
          <w:rFonts w:ascii="Times New Roman" w:cs="Times New Roman" w:eastAsia="Times New Roman" w:hAnsi="Times New Roman"/>
          <w:sz w:val="14"/>
          <w:szCs w:val="14"/>
          <w:color w:val="auto"/>
        </w:rPr>
      </w:pPr>
    </w:p>
    <w:p>
      <w:pPr>
        <w:ind w:left="1660" w:right="1399" w:hanging="143"/>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and premium, if any, on the debt securities is payable or the method of determination thereof;</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208915</wp:posOffset>
            </wp:positionV>
            <wp:extent cx="544830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right="129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variable or zero) at which the debt securities will bear interest, if any, or the method of calculating such rate or rates of interest;</w:t>
      </w:r>
    </w:p>
    <w:p>
      <w:pPr>
        <w:spacing w:after="0" w:line="36" w:lineRule="exact"/>
        <w:rPr>
          <w:rFonts w:ascii="Times New Roman" w:cs="Times New Roman" w:eastAsia="Times New Roman" w:hAnsi="Times New Roman"/>
          <w:sz w:val="14"/>
          <w:szCs w:val="14"/>
          <w:color w:val="auto"/>
        </w:rPr>
      </w:pPr>
    </w:p>
    <w:p>
      <w:pPr>
        <w:ind w:left="1660" w:right="141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will accrue or the method by which such date or dates will be determined;</w:t>
      </w:r>
    </w:p>
    <w:p>
      <w:pPr>
        <w:spacing w:after="0" w:line="36" w:lineRule="exact"/>
        <w:rPr>
          <w:rFonts w:ascii="Times New Roman" w:cs="Times New Roman" w:eastAsia="Times New Roman" w:hAnsi="Times New Roman"/>
          <w:sz w:val="14"/>
          <w:szCs w:val="14"/>
          <w:color w:val="auto"/>
        </w:rPr>
      </w:pPr>
    </w:p>
    <w:p>
      <w:pPr>
        <w:ind w:left="1660" w:right="163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be payable and with respect to registered securities, the regular record date for the interest payable on any interest payment date;</w:t>
      </w:r>
    </w:p>
    <w:p>
      <w:pPr>
        <w:spacing w:after="0" w:line="36" w:lineRule="exact"/>
        <w:rPr>
          <w:rFonts w:ascii="Times New Roman" w:cs="Times New Roman" w:eastAsia="Times New Roman" w:hAnsi="Times New Roman"/>
          <w:sz w:val="14"/>
          <w:szCs w:val="14"/>
          <w:color w:val="auto"/>
        </w:rPr>
      </w:pPr>
    </w:p>
    <w:p>
      <w:pPr>
        <w:ind w:left="1660" w:right="129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premium, if any, and interest on the debt securities will be payable;</w:t>
      </w:r>
    </w:p>
    <w:p>
      <w:pPr>
        <w:spacing w:after="0" w:line="36" w:lineRule="exact"/>
        <w:rPr>
          <w:rFonts w:ascii="Times New Roman" w:cs="Times New Roman" w:eastAsia="Times New Roman" w:hAnsi="Times New Roman"/>
          <w:sz w:val="14"/>
          <w:szCs w:val="14"/>
          <w:color w:val="auto"/>
        </w:rPr>
      </w:pPr>
    </w:p>
    <w:p>
      <w:pPr>
        <w:ind w:left="1660" w:right="1399" w:hanging="143"/>
        <w:spacing w:after="0" w:line="287"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the currency (if other than United States dollars) in which, and the other terms and conditions upon which, the debt securities may be redeemed;</w:t>
      </w:r>
    </w:p>
    <w:p>
      <w:pPr>
        <w:spacing w:after="0" w:line="218" w:lineRule="exact"/>
        <w:rPr>
          <w:rFonts w:ascii="Times New Roman" w:cs="Times New Roman" w:eastAsia="Times New Roman" w:hAnsi="Times New Roman"/>
          <w:sz w:val="14"/>
          <w:szCs w:val="14"/>
          <w:color w:val="auto"/>
        </w:rPr>
      </w:pPr>
    </w:p>
    <w:p>
      <w:pPr>
        <w:ind w:left="1660" w:right="1299" w:hanging="143"/>
        <w:spacing w:after="0" w:line="267"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or purchase debt securities pursuant to any sinking fund or analogous provisions or upon the happening of a specified event or at the option of holders of the debt securities and the period or periods within which, the price or prices at which, and the other terms and conditions upon which, debt securities will be redeemed or purchased, in whole or in part, pursuant to such obligation;</w:t>
      </w:r>
    </w:p>
    <w:p>
      <w:pPr>
        <w:spacing w:after="0" w:line="231" w:lineRule="exact"/>
        <w:rPr>
          <w:rFonts w:ascii="Times New Roman" w:cs="Times New Roman" w:eastAsia="Times New Roman" w:hAnsi="Times New Roman"/>
          <w:sz w:val="14"/>
          <w:szCs w:val="14"/>
          <w:color w:val="auto"/>
        </w:rPr>
      </w:pPr>
    </w:p>
    <w:p>
      <w:pPr>
        <w:ind w:left="1660" w:right="139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and any integral multiple thereof, if registered securities, the denominations in which debt securities will be issuable;</w:t>
      </w:r>
    </w:p>
    <w:p>
      <w:pPr>
        <w:spacing w:after="0" w:line="36" w:lineRule="exact"/>
        <w:rPr>
          <w:rFonts w:ascii="Times New Roman" w:cs="Times New Roman" w:eastAsia="Times New Roman" w:hAnsi="Times New Roman"/>
          <w:sz w:val="14"/>
          <w:szCs w:val="14"/>
          <w:color w:val="auto"/>
        </w:rPr>
      </w:pPr>
    </w:p>
    <w:p>
      <w:pPr>
        <w:ind w:left="1660" w:right="1319" w:hanging="143"/>
        <w:spacing w:after="0" w:line="267"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United States dollars, the currency for which the debt securities may be purchased or in which the debt securities will be denominated and/or the currency in which the principal of, premium, if any, and interest, if any, on the debt securities will be payable and the particular provisions applicable thereto in accordance with, in addition to, or in lieu of the provisions of the applicable Indenture;</w:t>
      </w:r>
    </w:p>
    <w:p>
      <w:pPr>
        <w:spacing w:after="0" w:line="231" w:lineRule="exact"/>
        <w:rPr>
          <w:rFonts w:ascii="Times New Roman" w:cs="Times New Roman" w:eastAsia="Times New Roman" w:hAnsi="Times New Roman"/>
          <w:sz w:val="14"/>
          <w:szCs w:val="14"/>
          <w:color w:val="auto"/>
        </w:rPr>
      </w:pPr>
    </w:p>
    <w:p>
      <w:pPr>
        <w:ind w:left="1660" w:right="1379" w:hanging="143"/>
        <w:spacing w:after="0" w:line="275"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premium, if any, or interest, if any, on the debt securities will be determined with reference to an index, formula or other method based on a currency or currencies, the index, formula or other method by which such amount will be determined;</w:t>
      </w:r>
    </w:p>
    <w:p>
      <w:pPr>
        <w:spacing w:after="0" w:line="49" w:lineRule="exact"/>
        <w:rPr>
          <w:rFonts w:ascii="Times New Roman" w:cs="Times New Roman" w:eastAsia="Times New Roman" w:hAnsi="Times New Roman"/>
          <w:sz w:val="14"/>
          <w:szCs w:val="14"/>
          <w:color w:val="auto"/>
        </w:rPr>
      </w:pPr>
    </w:p>
    <w:p>
      <w:pPr>
        <w:ind w:left="1660" w:right="1239" w:hanging="143"/>
        <w:spacing w:after="0" w:line="267"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premium, if any, or interest, if any, on the debt securities will be determined with reference to an index, formula or other method based on the prices of securities or commodities, with reference to changes in the prices of securities or commodities or otherwise by application of a formula, the index, formula or other method by which such amount will be determined;</w:t>
      </w:r>
    </w:p>
    <w:p>
      <w:pPr>
        <w:spacing w:after="0" w:line="231" w:lineRule="exact"/>
        <w:rPr>
          <w:rFonts w:ascii="Times New Roman" w:cs="Times New Roman" w:eastAsia="Times New Roman" w:hAnsi="Times New Roman"/>
          <w:sz w:val="14"/>
          <w:szCs w:val="14"/>
          <w:color w:val="auto"/>
        </w:rPr>
      </w:pPr>
    </w:p>
    <w:p>
      <w:pPr>
        <w:jc w:val="both"/>
        <w:ind w:left="1660" w:right="1519" w:hanging="143"/>
        <w:spacing w:after="0" w:line="275"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entire principal amount thereof, the portion of the principal amount of such debt securities which will be payable upon declaration of acceleration thereof or the method by which such portion will be determined;</w:t>
      </w:r>
    </w:p>
    <w:p>
      <w:pPr>
        <w:spacing w:after="0" w:line="49"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any registered debt securities will be payable;</w:t>
      </w:r>
    </w:p>
    <w:p>
      <w:pPr>
        <w:spacing w:after="0" w:line="97" w:lineRule="exact"/>
        <w:rPr>
          <w:rFonts w:ascii="Times New Roman" w:cs="Times New Roman" w:eastAsia="Times New Roman" w:hAnsi="Times New Roman"/>
          <w:sz w:val="14"/>
          <w:szCs w:val="14"/>
          <w:color w:val="auto"/>
        </w:rPr>
      </w:pPr>
    </w:p>
    <w:p>
      <w:pPr>
        <w:ind w:left="1660" w:right="153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the holders of debt securities upon the occurrence of specified events;</w:t>
      </w:r>
    </w:p>
    <w:p>
      <w:pPr>
        <w:spacing w:after="0" w:line="36" w:lineRule="exact"/>
        <w:rPr>
          <w:rFonts w:ascii="Times New Roman" w:cs="Times New Roman" w:eastAsia="Times New Roman" w:hAnsi="Times New Roman"/>
          <w:sz w:val="14"/>
          <w:szCs w:val="14"/>
          <w:color w:val="auto"/>
        </w:rPr>
      </w:pPr>
    </w:p>
    <w:p>
      <w:pPr>
        <w:ind w:left="1660" w:right="173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modification or deletion of any Events of Default or any covenants of FNF pertaining to the debt securities;</w:t>
      </w:r>
    </w:p>
    <w:p>
      <w:pPr>
        <w:spacing w:after="0" w:line="36" w:lineRule="exact"/>
        <w:rPr>
          <w:rFonts w:ascii="Times New Roman" w:cs="Times New Roman" w:eastAsia="Times New Roman" w:hAnsi="Times New Roman"/>
          <w:sz w:val="14"/>
          <w:szCs w:val="14"/>
          <w:color w:val="auto"/>
        </w:rPr>
      </w:pPr>
    </w:p>
    <w:p>
      <w:pPr>
        <w:ind w:left="1660" w:right="1519" w:hanging="143"/>
        <w:spacing w:after="0" w:line="269"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what circumstances, if any, we will pay additional amounts on the debt securities held by a person who is not a U.S. Person in respect of taxes, assessments or similar governmental charges withheld or deducted and, if so, whether we will have the option to redeem such debt securities rather than pay such additional amounts (and the terms of any such option);</w:t>
      </w:r>
    </w:p>
    <w:p>
      <w:pPr>
        <w:spacing w:after="0" w:line="53" w:lineRule="exact"/>
        <w:rPr>
          <w:rFonts w:ascii="Times New Roman" w:cs="Times New Roman" w:eastAsia="Times New Roman" w:hAnsi="Times New Roman"/>
          <w:sz w:val="14"/>
          <w:szCs w:val="14"/>
          <w:color w:val="auto"/>
        </w:rPr>
      </w:pPr>
    </w:p>
    <w:p>
      <w:pPr>
        <w:ind w:left="1660" w:right="163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provisions described below relating to defeasance and covenant defeasance will be applicable to the debt securities of such series;</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the identity of the registrar and any paying agent;</w:t>
      </w:r>
    </w:p>
    <w:p>
      <w:pPr>
        <w:spacing w:after="0" w:line="97" w:lineRule="exact"/>
        <w:rPr>
          <w:rFonts w:ascii="Times New Roman" w:cs="Times New Roman" w:eastAsia="Times New Roman" w:hAnsi="Times New Roman"/>
          <w:sz w:val="14"/>
          <w:szCs w:val="14"/>
          <w:color w:val="auto"/>
        </w:rPr>
      </w:pPr>
    </w:p>
    <w:p>
      <w:pPr>
        <w:ind w:left="1660" w:right="125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will be issued in whole or in part in global form, (i) the depository for such global securities, (ii) whether beneficial owners of interests in any debt securities in global form may</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right="1639"/>
        <w:spacing w:after="0" w:line="294" w:lineRule="auto"/>
        <w:rPr>
          <w:sz w:val="20"/>
          <w:szCs w:val="20"/>
          <w:color w:val="auto"/>
        </w:rPr>
      </w:pPr>
      <w:r>
        <w:rPr>
          <w:rFonts w:ascii="Times New Roman" w:cs="Times New Roman" w:eastAsia="Times New Roman" w:hAnsi="Times New Roman"/>
          <w:sz w:val="14"/>
          <w:szCs w:val="14"/>
          <w:color w:val="auto"/>
        </w:rPr>
        <w:t>exchange such interests for certificated debt securities of like tenor of any authorized form and denomination, and (iii) the circumstances under which any such exchange may occur; and</w:t>
      </w:r>
    </w:p>
    <w:p>
      <w:pPr>
        <w:spacing w:after="0" w:line="26" w:lineRule="exact"/>
        <w:rPr>
          <w:sz w:val="20"/>
          <w:szCs w:val="20"/>
          <w:color w:val="auto"/>
        </w:rPr>
      </w:pPr>
    </w:p>
    <w:p>
      <w:pPr>
        <w:ind w:left="1660" w:right="1439" w:hanging="143"/>
        <w:spacing w:after="0" w:line="29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and any deletions from or modifications or additions to the applicable Indenture, including terms (if any) relating to the redemption of the notes at our option.</w:t>
      </w:r>
    </w:p>
    <w:p>
      <w:pPr>
        <w:spacing w:after="0" w:line="58" w:lineRule="exact"/>
        <w:rPr>
          <w:sz w:val="20"/>
          <w:szCs w:val="20"/>
          <w:color w:val="auto"/>
        </w:rPr>
      </w:pPr>
    </w:p>
    <w:p>
      <w:pPr>
        <w:ind w:left="1240" w:right="1599" w:firstLine="287"/>
        <w:spacing w:after="0" w:line="294"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debt securities will not be listed on any securities exchange.</w:t>
      </w:r>
    </w:p>
    <w:p>
      <w:pPr>
        <w:spacing w:after="0" w:line="58" w:lineRule="exact"/>
        <w:rPr>
          <w:sz w:val="20"/>
          <w:szCs w:val="20"/>
          <w:color w:val="auto"/>
        </w:rPr>
      </w:pPr>
    </w:p>
    <w:p>
      <w:pPr>
        <w:ind w:left="1240" w:right="1399" w:firstLine="287"/>
        <w:spacing w:after="0" w:line="277"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debt securities will be issued only in registered form without coupons or in the form of one or more global securities.</w:t>
      </w:r>
    </w:p>
    <w:p>
      <w:pPr>
        <w:spacing w:after="0" w:line="70" w:lineRule="exact"/>
        <w:rPr>
          <w:sz w:val="20"/>
          <w:szCs w:val="20"/>
          <w:color w:val="auto"/>
        </w:rPr>
      </w:pPr>
    </w:p>
    <w:p>
      <w:pPr>
        <w:ind w:left="1240" w:right="1319" w:firstLine="287"/>
        <w:spacing w:after="0" w:line="250" w:lineRule="auto"/>
        <w:rPr>
          <w:sz w:val="20"/>
          <w:szCs w:val="20"/>
          <w:color w:val="auto"/>
        </w:rPr>
      </w:pPr>
      <w:r>
        <w:rPr>
          <w:rFonts w:ascii="Times New Roman" w:cs="Times New Roman" w:eastAsia="Times New Roman" w:hAnsi="Times New Roman"/>
          <w:sz w:val="14"/>
          <w:szCs w:val="14"/>
          <w:color w:val="auto"/>
        </w:rPr>
        <w:t>Debt securities may be sold at a substantial discount below their stated principal amount, bearing no interest or interest at a rate which at the time of issuance is below market rates. The applicable prospectus supplement will describe the federal income tax consequences and special considerations applicable to any such debt securities. The debt securities may also be issued as indexed securities or securities denominated in foreign currencies or currency units,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spacing w:after="0" w:line="3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Subordination</w:t>
      </w:r>
    </w:p>
    <w:p>
      <w:pPr>
        <w:spacing w:after="0" w:line="134" w:lineRule="exact"/>
        <w:rPr>
          <w:sz w:val="20"/>
          <w:szCs w:val="20"/>
          <w:color w:val="auto"/>
        </w:rPr>
      </w:pPr>
    </w:p>
    <w:p>
      <w:pPr>
        <w:ind w:left="1240" w:right="1499" w:firstLine="287"/>
        <w:spacing w:after="0" w:line="258" w:lineRule="auto"/>
        <w:rPr>
          <w:sz w:val="20"/>
          <w:szCs w:val="20"/>
          <w:color w:val="auto"/>
        </w:rPr>
      </w:pPr>
      <w:r>
        <w:rPr>
          <w:rFonts w:ascii="Times New Roman" w:cs="Times New Roman" w:eastAsia="Times New Roman" w:hAnsi="Times New Roman"/>
          <w:sz w:val="14"/>
          <w:szCs w:val="14"/>
          <w:color w:val="auto"/>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all of our Senior Indebtedness (as described below).</w:t>
      </w:r>
    </w:p>
    <w:p>
      <w:pPr>
        <w:spacing w:after="0" w:line="83" w:lineRule="exact"/>
        <w:rPr>
          <w:sz w:val="20"/>
          <w:szCs w:val="20"/>
          <w:color w:val="auto"/>
        </w:rPr>
      </w:pPr>
    </w:p>
    <w:p>
      <w:pPr>
        <w:jc w:val="both"/>
        <w:ind w:left="1240" w:right="1559" w:firstLine="287"/>
        <w:spacing w:after="0" w:line="267" w:lineRule="auto"/>
        <w:rPr>
          <w:sz w:val="20"/>
          <w:szCs w:val="20"/>
          <w:color w:val="auto"/>
        </w:rPr>
      </w:pPr>
      <w:r>
        <w:rPr>
          <w:rFonts w:ascii="Times New Roman" w:cs="Times New Roman" w:eastAsia="Times New Roman" w:hAnsi="Times New Roman"/>
          <w:sz w:val="14"/>
          <w:szCs w:val="14"/>
          <w:color w:val="auto"/>
        </w:rPr>
        <w:t>Under the Subordinated Indenture, “Senior Indebtedness” means all amounts due on obligations in connection with any of the following, whether outstanding at the date of execution of the Subordinated Indenture or thereafter incurred or created:</w:t>
      </w:r>
    </w:p>
    <w:p>
      <w:pPr>
        <w:spacing w:after="0" w:line="44" w:lineRule="exact"/>
        <w:rPr>
          <w:sz w:val="20"/>
          <w:szCs w:val="20"/>
          <w:color w:val="auto"/>
        </w:rPr>
      </w:pPr>
    </w:p>
    <w:p>
      <w:pPr>
        <w:ind w:left="1660" w:right="1359" w:hanging="143"/>
        <w:spacing w:after="0" w:line="287"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or any premium and interest in respect of indebtedness of FNF for borrowed money and indebtedness evidenced by securities, debentures, bonds or other similar instruments issued by FNF;</w:t>
      </w:r>
    </w:p>
    <w:p>
      <w:pPr>
        <w:spacing w:after="0" w:line="20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capital lease obligations of FNF;</w:t>
      </w:r>
    </w:p>
    <w:p>
      <w:pPr>
        <w:spacing w:after="0" w:line="97" w:lineRule="exact"/>
        <w:rPr>
          <w:rFonts w:ascii="Times New Roman" w:cs="Times New Roman" w:eastAsia="Times New Roman" w:hAnsi="Times New Roman"/>
          <w:sz w:val="14"/>
          <w:szCs w:val="14"/>
          <w:color w:val="auto"/>
        </w:rPr>
      </w:pPr>
    </w:p>
    <w:p>
      <w:pPr>
        <w:ind w:left="1660" w:right="1259" w:hanging="143"/>
        <w:spacing w:after="0" w:line="27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FNF issued or assumed as the deferred purchase price of property, all conditional sale obligations of FNF and all obligations of FNF under any title retention agreement (but excluding trade accounts payable arising in the ordinary course of business);</w:t>
      </w:r>
    </w:p>
    <w:p>
      <w:pPr>
        <w:spacing w:after="0" w:line="38" w:lineRule="exact"/>
        <w:rPr>
          <w:rFonts w:ascii="Times New Roman" w:cs="Times New Roman" w:eastAsia="Times New Roman" w:hAnsi="Times New Roman"/>
          <w:sz w:val="14"/>
          <w:szCs w:val="14"/>
          <w:color w:val="auto"/>
        </w:rPr>
      </w:pPr>
    </w:p>
    <w:p>
      <w:pPr>
        <w:ind w:left="1660" w:right="1459" w:hanging="143"/>
        <w:spacing w:after="0" w:line="29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FNF for the reimbursement on any letter of credit, banker’s acceptance, security purchase facility or similar credit transaction;</w:t>
      </w:r>
    </w:p>
    <w:p>
      <w:pPr>
        <w:spacing w:after="0" w:line="36" w:lineRule="exact"/>
        <w:rPr>
          <w:rFonts w:ascii="Times New Roman" w:cs="Times New Roman" w:eastAsia="Times New Roman" w:hAnsi="Times New Roman"/>
          <w:sz w:val="14"/>
          <w:szCs w:val="14"/>
          <w:color w:val="auto"/>
        </w:rPr>
      </w:pPr>
    </w:p>
    <w:p>
      <w:pPr>
        <w:ind w:left="1660" w:right="1279" w:hanging="143"/>
        <w:spacing w:after="0" w:line="27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FNF in respect of interest rate swap, cap or other agreements, interest rate future or options contracts, currency swap agreements, currency future or option contracts and other similar agreements;</w:t>
      </w:r>
    </w:p>
    <w:p>
      <w:pPr>
        <w:spacing w:after="0" w:line="49" w:lineRule="exact"/>
        <w:rPr>
          <w:rFonts w:ascii="Times New Roman" w:cs="Times New Roman" w:eastAsia="Times New Roman" w:hAnsi="Times New Roman"/>
          <w:sz w:val="14"/>
          <w:szCs w:val="14"/>
          <w:color w:val="auto"/>
        </w:rPr>
      </w:pPr>
    </w:p>
    <w:p>
      <w:pPr>
        <w:ind w:left="1660" w:right="1679" w:hanging="143"/>
        <w:spacing w:after="0" w:line="29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the types referred to above of other persons for the payment of which FNF is responsible or liable as obligor, guarantor or otherwise; and</w:t>
      </w:r>
    </w:p>
    <w:p>
      <w:pPr>
        <w:spacing w:after="0" w:line="25" w:lineRule="exact"/>
        <w:rPr>
          <w:rFonts w:ascii="Times New Roman" w:cs="Times New Roman" w:eastAsia="Times New Roman" w:hAnsi="Times New Roman"/>
          <w:sz w:val="14"/>
          <w:szCs w:val="14"/>
          <w:color w:val="auto"/>
        </w:rPr>
      </w:pPr>
    </w:p>
    <w:p>
      <w:pPr>
        <w:ind w:left="1660" w:right="1319" w:hanging="143"/>
        <w:spacing w:after="0" w:line="29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the types referred to above of other persons secured by any lien on any property or asset of FNF whether or not such obligation is assumed by FNF.</w:t>
      </w:r>
    </w:p>
    <w:p>
      <w:pPr>
        <w:spacing w:after="0" w:line="6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Senior Indebtedness does not include:</w:t>
      </w:r>
    </w:p>
    <w:p>
      <w:pPr>
        <w:spacing w:after="0" w:line="97" w:lineRule="exact"/>
        <w:rPr>
          <w:sz w:val="20"/>
          <w:szCs w:val="20"/>
          <w:color w:val="auto"/>
        </w:rPr>
      </w:pPr>
    </w:p>
    <w:p>
      <w:pPr>
        <w:ind w:left="1660" w:right="1439" w:hanging="143"/>
        <w:spacing w:after="0" w:line="29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or monetary obligations to trade creditors created or assumed by FNF in the ordinary course of business in connection with the obtaining of materials or services;</w:t>
      </w:r>
    </w:p>
    <w:p>
      <w:pPr>
        <w:spacing w:after="0" w:line="25" w:lineRule="exact"/>
        <w:rPr>
          <w:rFonts w:ascii="Times New Roman" w:cs="Times New Roman" w:eastAsia="Times New Roman" w:hAnsi="Times New Roman"/>
          <w:sz w:val="14"/>
          <w:szCs w:val="14"/>
          <w:color w:val="auto"/>
        </w:rPr>
      </w:pPr>
    </w:p>
    <w:p>
      <w:pPr>
        <w:ind w:left="1660" w:right="1659" w:hanging="143"/>
        <w:spacing w:after="0" w:line="29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that is, by its terms, subordinated to, or ranks equally with, the subordinated debt securities; and</w:t>
      </w:r>
    </w:p>
    <w:p>
      <w:pPr>
        <w:spacing w:after="0" w:line="36" w:lineRule="exact"/>
        <w:rPr>
          <w:rFonts w:ascii="Times New Roman" w:cs="Times New Roman" w:eastAsia="Times New Roman" w:hAnsi="Times New Roman"/>
          <w:sz w:val="14"/>
          <w:szCs w:val="14"/>
          <w:color w:val="auto"/>
        </w:rPr>
      </w:pPr>
    </w:p>
    <w:p>
      <w:pPr>
        <w:ind w:left="1660" w:right="1379" w:hanging="143"/>
        <w:spacing w:after="0" w:line="29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of FNF to its subsidiaries unless otherwise expressly provided in the terms of any such indebtedness.</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40" w:right="1299" w:firstLine="287"/>
        <w:spacing w:after="0" w:line="275" w:lineRule="auto"/>
        <w:rPr>
          <w:sz w:val="20"/>
          <w:szCs w:val="20"/>
          <w:color w:val="auto"/>
        </w:rPr>
      </w:pPr>
      <w:r>
        <w:rPr>
          <w:rFonts w:ascii="Times New Roman" w:cs="Times New Roman" w:eastAsia="Times New Roman" w:hAnsi="Times New Roman"/>
          <w:sz w:val="14"/>
          <w:szCs w:val="14"/>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82" w:lineRule="exact"/>
        <w:rPr>
          <w:sz w:val="20"/>
          <w:szCs w:val="20"/>
          <w:color w:val="auto"/>
        </w:rPr>
      </w:pPr>
    </w:p>
    <w:p>
      <w:pPr>
        <w:ind w:left="1240" w:right="1239" w:firstLine="287"/>
        <w:spacing w:after="0" w:line="260" w:lineRule="auto"/>
        <w:rPr>
          <w:sz w:val="20"/>
          <w:szCs w:val="20"/>
          <w:color w:val="auto"/>
        </w:rPr>
      </w:pPr>
      <w:r>
        <w:rPr>
          <w:rFonts w:ascii="Times New Roman" w:cs="Times New Roman" w:eastAsia="Times New Roman" w:hAnsi="Times New Roman"/>
          <w:sz w:val="14"/>
          <w:szCs w:val="14"/>
          <w:color w:val="auto"/>
        </w:rPr>
        <w:t xml:space="preserve">Unless otherwise noted in the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Further, if an event of default occurs under any Senior Indebtedness permitting the holders thereof to accelerate the maturity thereof and written notice of such event of default is given to FNF by the holders of such Senior Indebtedness, then until such event of default is cured or waived or ceases to exist, no payment may be made on the subordinated debt securities;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the holders of such Senior Indebtedness do not declare such Senior Indebtedness to be immediately due and payable within 180 days after the occurrence of such default, FNF may resume making payments on the subordinated debt securities. Only one such payment blockage period may be commenced in any 365 day period with respect to the subordinated debt securities of any series.</w:t>
      </w:r>
    </w:p>
    <w:p>
      <w:pPr>
        <w:spacing w:after="0" w:line="266" w:lineRule="exact"/>
        <w:rPr>
          <w:sz w:val="20"/>
          <w:szCs w:val="20"/>
          <w:color w:val="auto"/>
        </w:rPr>
      </w:pPr>
    </w:p>
    <w:p>
      <w:pPr>
        <w:ind w:left="1240" w:right="1279" w:firstLine="287"/>
        <w:spacing w:after="0" w:line="267" w:lineRule="auto"/>
        <w:rPr>
          <w:sz w:val="20"/>
          <w:szCs w:val="20"/>
          <w:color w:val="auto"/>
        </w:rPr>
      </w:pPr>
      <w:r>
        <w:rPr>
          <w:rFonts w:ascii="Times New Roman" w:cs="Times New Roman" w:eastAsia="Times New Roman" w:hAnsi="Times New Roman"/>
          <w:sz w:val="14"/>
          <w:szCs w:val="14"/>
          <w:color w:val="auto"/>
        </w:rPr>
        <w:t>In the event of the acceleration of the maturity of any subordinated debt securities, the holders of all senior debt securities outstanding at the time of such acceleration will first be entitled to receive payment in full of all amounts due on the senior debt securities before the holders of the subordinated debt securities will be entitled to receive any payment of principal of (and premium, if any) or interest on the subordinated debt securities.</w:t>
      </w:r>
    </w:p>
    <w:p>
      <w:pPr>
        <w:spacing w:after="0" w:line="253" w:lineRule="exact"/>
        <w:rPr>
          <w:sz w:val="20"/>
          <w:szCs w:val="20"/>
          <w:color w:val="auto"/>
        </w:rPr>
      </w:pPr>
    </w:p>
    <w:p>
      <w:pPr>
        <w:ind w:left="1240" w:right="1299" w:firstLine="287"/>
        <w:spacing w:after="0" w:line="275" w:lineRule="auto"/>
        <w:rPr>
          <w:sz w:val="20"/>
          <w:szCs w:val="20"/>
          <w:color w:val="auto"/>
        </w:rPr>
      </w:pPr>
      <w:r>
        <w:rPr>
          <w:rFonts w:ascii="Times New Roman" w:cs="Times New Roman" w:eastAsia="Times New Roman" w:hAnsi="Times New Roman"/>
          <w:sz w:val="14"/>
          <w:szCs w:val="14"/>
          <w:color w:val="auto"/>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spacing w:after="0" w:line="60" w:lineRule="exact"/>
        <w:rPr>
          <w:sz w:val="20"/>
          <w:szCs w:val="20"/>
          <w:color w:val="auto"/>
        </w:rPr>
      </w:pPr>
    </w:p>
    <w:p>
      <w:pPr>
        <w:ind w:left="1660" w:right="1819" w:hanging="143"/>
        <w:spacing w:after="0" w:line="29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dissolution or winding-up or liquidation or reorganization of FNF, whether voluntary or involuntary or in bankruptcy, insolvency or receivership;</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general assignment by FNF for the benefit of creditors; or</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marshaling of FNF’s assets or liabilities.</w:t>
      </w:r>
    </w:p>
    <w:p>
      <w:pPr>
        <w:spacing w:after="0" w:line="130" w:lineRule="exact"/>
        <w:rPr>
          <w:sz w:val="20"/>
          <w:szCs w:val="20"/>
          <w:color w:val="auto"/>
        </w:rPr>
      </w:pPr>
    </w:p>
    <w:p>
      <w:pPr>
        <w:ind w:left="1240" w:right="1239" w:firstLine="287"/>
        <w:spacing w:after="0" w:line="260" w:lineRule="auto"/>
        <w:rPr>
          <w:sz w:val="20"/>
          <w:szCs w:val="20"/>
          <w:color w:val="auto"/>
        </w:rPr>
      </w:pPr>
      <w:r>
        <w:rPr>
          <w:rFonts w:ascii="Times New Roman" w:cs="Times New Roman" w:eastAsia="Times New Roman" w:hAnsi="Times New Roman"/>
          <w:sz w:val="14"/>
          <w:szCs w:val="14"/>
          <w:color w:val="auto"/>
        </w:rPr>
        <w:t>In such event, any payment or distribution under the subordinated debt securities, whether in cash, securities or other property (other than certain permitted junior securities),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Senior Indebtedness has been paid in full, such payment or distribution or security will be received in trust for the benefit of, and paid over or delivered and transferred to, the holders of Senior Indebtedness at the time outstanding in accordance with the priorities then existing among such holders for application to the payment of all Senior Indebtedness remaining unpaid to the extent necessary to pay all such Senior Indebtedness in full.</w:t>
      </w:r>
    </w:p>
    <w:p>
      <w:pPr>
        <w:spacing w:after="0" w:line="25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Subordinated Indenture does not limit the issuance of additional Senior Indebtedness.</w:t>
      </w:r>
    </w:p>
    <w:p>
      <w:pPr>
        <w:spacing w:after="0" w:line="130" w:lineRule="exact"/>
        <w:rPr>
          <w:sz w:val="20"/>
          <w:szCs w:val="20"/>
          <w:color w:val="auto"/>
        </w:rPr>
      </w:pPr>
    </w:p>
    <w:p>
      <w:pPr>
        <w:ind w:left="1240" w:right="1259" w:firstLine="287"/>
        <w:spacing w:after="0" w:line="261" w:lineRule="auto"/>
        <w:rPr>
          <w:sz w:val="20"/>
          <w:szCs w:val="20"/>
          <w:color w:val="auto"/>
        </w:rPr>
      </w:pPr>
      <w:r>
        <w:rPr>
          <w:rFonts w:ascii="Times New Roman" w:cs="Times New Roman" w:eastAsia="Times New Roman" w:hAnsi="Times New Roman"/>
          <w:sz w:val="14"/>
          <w:szCs w:val="14"/>
          <w:color w:val="auto"/>
        </w:rPr>
        <w:t>In the event subordinated debt securities are issued pursuant to the Subordinated Indenture or any other subordinated indenture with a trustee which is also a trustee for senior debt securities pursuant to the Senior Indenture, the occurrence of any default under such subordinated indenture or such Senior Indenture could create a conflicting interest for the respective trustee under the Trust Indenture Act of 1939. If such default has not been cured or waived within 90 days after such trustee has or acquires a conflicting interest, such trustee generally is required by the Trust Indenture Act of 1939 to eliminate such conflicting interest or resign as trustee with respect to the debt securities issued under such Senior Indenture or such subordinated indenture. In the event of the trustee’s resignation, we will promptly appoint a successor trustee with respect to the affected securities.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Restrictive Covenant</w:t>
      </w:r>
    </w:p>
    <w:p>
      <w:pPr>
        <w:spacing w:after="0" w:line="134" w:lineRule="exact"/>
        <w:rPr>
          <w:sz w:val="20"/>
          <w:szCs w:val="20"/>
          <w:color w:val="auto"/>
        </w:rPr>
      </w:pPr>
    </w:p>
    <w:p>
      <w:pPr>
        <w:ind w:left="1240" w:right="1339" w:firstLine="287"/>
        <w:spacing w:after="0" w:line="277"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following restrictive covenant shall apply to each series of senior debt securities:</w:t>
      </w:r>
    </w:p>
    <w:p>
      <w:pPr>
        <w:spacing w:after="0" w:line="68" w:lineRule="exact"/>
        <w:rPr>
          <w:sz w:val="20"/>
          <w:szCs w:val="20"/>
          <w:color w:val="auto"/>
        </w:rPr>
      </w:pPr>
    </w:p>
    <w:p>
      <w:pPr>
        <w:ind w:left="1240" w:right="1419" w:firstLine="287"/>
        <w:spacing w:after="0" w:line="255" w:lineRule="auto"/>
        <w:rPr>
          <w:sz w:val="20"/>
          <w:szCs w:val="20"/>
          <w:color w:val="auto"/>
        </w:rPr>
      </w:pPr>
      <w:r>
        <w:rPr>
          <w:rFonts w:ascii="Times New Roman" w:cs="Times New Roman" w:eastAsia="Times New Roman" w:hAnsi="Times New Roman"/>
          <w:sz w:val="14"/>
          <w:szCs w:val="14"/>
          <w:i w:val="1"/>
          <w:iCs w:val="1"/>
          <w:color w:val="auto"/>
        </w:rPr>
        <w:t>Limitation on Liens</w:t>
      </w:r>
      <w:r>
        <w:rPr>
          <w:rFonts w:ascii="Times New Roman" w:cs="Times New Roman" w:eastAsia="Times New Roman" w:hAnsi="Times New Roman"/>
          <w:sz w:val="14"/>
          <w:szCs w:val="14"/>
          <w:color w:val="auto"/>
        </w:rPr>
        <w:t>. We shall not, and shall not permit any of our covered subsidiaries (as defined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below) to, incur, assume or guarantee any debt secured by any mortgage, pledge, lien, charge, security interest, conditional sale or other title retention agreement or other encumbrance (“lien”) on any voting stock issued by any of our covered subsidiaries, unless the senior debt of each series then outstanding are, for so long as such debt is so secured, secured by such voting stock equally and ratably with (or prior to) such debt. However, this requirement does not apply to:</w:t>
      </w:r>
    </w:p>
    <w:p>
      <w:pPr>
        <w:spacing w:after="0" w:line="53" w:lineRule="exact"/>
        <w:rPr>
          <w:sz w:val="20"/>
          <w:szCs w:val="20"/>
          <w:color w:val="auto"/>
        </w:rPr>
      </w:pPr>
    </w:p>
    <w:p>
      <w:pPr>
        <w:ind w:left="1660" w:right="1339" w:hanging="143"/>
        <w:spacing w:after="0" w:line="29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at the time a corporation or other entity becomes a covered subsidiary or any renewal, extension or replacement, in whole or in part, of any such liens;</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shares of subsidiaries that are not covered subsidiaries; and</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series of senior debt securities at any time when no securities of such series are outstanding.</w:t>
      </w:r>
    </w:p>
    <w:p>
      <w:pPr>
        <w:spacing w:after="0" w:line="119" w:lineRule="exact"/>
        <w:rPr>
          <w:sz w:val="20"/>
          <w:szCs w:val="20"/>
          <w:color w:val="auto"/>
        </w:rPr>
      </w:pPr>
    </w:p>
    <w:p>
      <w:pPr>
        <w:ind w:left="1240" w:right="1299" w:firstLine="287"/>
        <w:spacing w:after="0" w:line="259" w:lineRule="auto"/>
        <w:rPr>
          <w:sz w:val="20"/>
          <w:szCs w:val="20"/>
          <w:color w:val="auto"/>
        </w:rPr>
      </w:pPr>
      <w:r>
        <w:rPr>
          <w:rFonts w:ascii="Times New Roman" w:cs="Times New Roman" w:eastAsia="Times New Roman" w:hAnsi="Times New Roman"/>
          <w:sz w:val="14"/>
          <w:szCs w:val="14"/>
          <w:color w:val="auto"/>
        </w:rPr>
        <w:t>Each lien, if any, granted, pursuant to the provisions described above, to secure any senior debt securities shall automatically and unconditionally be deemed to be released and discharged upon the release and discharge of the lien whose existence caused such securities to be required to be so secured, provided such lien is not then otherwise required, by the provisions described above, to so secure such senior debt securities.</w:t>
      </w:r>
    </w:p>
    <w:p>
      <w:pPr>
        <w:spacing w:after="0" w:line="253" w:lineRule="exact"/>
        <w:rPr>
          <w:sz w:val="20"/>
          <w:szCs w:val="20"/>
          <w:color w:val="auto"/>
        </w:rPr>
      </w:pPr>
    </w:p>
    <w:p>
      <w:pPr>
        <w:ind w:left="1240" w:right="1259" w:firstLine="287"/>
        <w:spacing w:after="0" w:line="250" w:lineRule="auto"/>
        <w:rPr>
          <w:sz w:val="20"/>
          <w:szCs w:val="20"/>
          <w:color w:val="auto"/>
        </w:rPr>
      </w:pPr>
      <w:r>
        <w:rPr>
          <w:rFonts w:ascii="Times New Roman" w:cs="Times New Roman" w:eastAsia="Times New Roman" w:hAnsi="Times New Roman"/>
          <w:sz w:val="14"/>
          <w:szCs w:val="14"/>
          <w:color w:val="auto"/>
        </w:rPr>
        <w:t>“Covered subsidiaries” generally means any present or future subsidiary of us, the consolidated total assets of which, determined as of the last day of our most recent fiscal quarter ended at least thirty (30) days prior to the date of determination, for which fiscal quarter internal financial statements are available and have been prepared in accordance with generally accepted accounting principles in the United States as in effect on the last day of such fiscal quarter, constitute at least 15% of our total consolidated assets, and any successor to any such subsidiary whose consolidated total assets likewise satisfy such requirement. However covered subsidiaries does not in any event include any of our subsidiaries that is not itself an insurance company or the direct or indirect owner of one or more subsidiaries that is an insurance company.</w:t>
      </w:r>
    </w:p>
    <w:p>
      <w:pPr>
        <w:spacing w:after="0" w:line="14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Consolidation, Merger, Sale of Assets and Other Transactions</w:t>
      </w:r>
    </w:p>
    <w:p>
      <w:pPr>
        <w:spacing w:after="0" w:line="134" w:lineRule="exact"/>
        <w:rPr>
          <w:sz w:val="20"/>
          <w:szCs w:val="20"/>
          <w:color w:val="auto"/>
        </w:rPr>
      </w:pPr>
    </w:p>
    <w:p>
      <w:pPr>
        <w:ind w:left="1240" w:right="1379" w:firstLine="287"/>
        <w:spacing w:after="0" w:line="267"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we may not consolidate or merge with or into, or sell, convey, assign, transfer, lease or otherwise dispose of all or substantially all of our assets to, any person unless:</w:t>
      </w:r>
    </w:p>
    <w:p>
      <w:pPr>
        <w:spacing w:after="0" w:line="44" w:lineRule="exact"/>
        <w:rPr>
          <w:sz w:val="20"/>
          <w:szCs w:val="20"/>
          <w:color w:val="auto"/>
        </w:rPr>
      </w:pPr>
    </w:p>
    <w:p>
      <w:pPr>
        <w:jc w:val="both"/>
        <w:ind w:left="1660" w:right="1479" w:hanging="143"/>
        <w:spacing w:after="0" w:line="275"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surviving any such consolidation or merger (if other than FNF), or which acquires our assets, is a corporation organized and existing under the laws of the United States of America, any state thereof or the District of Columbia;</w:t>
      </w:r>
    </w:p>
    <w:p>
      <w:pPr>
        <w:spacing w:after="0" w:line="49" w:lineRule="exact"/>
        <w:rPr>
          <w:rFonts w:ascii="Times New Roman" w:cs="Times New Roman" w:eastAsia="Times New Roman" w:hAnsi="Times New Roman"/>
          <w:sz w:val="14"/>
          <w:szCs w:val="14"/>
          <w:color w:val="auto"/>
        </w:rPr>
      </w:pPr>
    </w:p>
    <w:p>
      <w:pPr>
        <w:jc w:val="both"/>
        <w:ind w:left="1660" w:right="1479" w:hanging="143"/>
        <w:spacing w:after="0" w:line="275"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surviving any such consolidation or merger (if other than FNF), or which acquires our assets, expressly assumes by supplemental indenture all of our obligations under the debt securities and the Indentures; and</w:t>
      </w:r>
    </w:p>
    <w:p>
      <w:pPr>
        <w:spacing w:after="0" w:line="49" w:lineRule="exact"/>
        <w:rPr>
          <w:rFonts w:ascii="Times New Roman" w:cs="Times New Roman" w:eastAsia="Times New Roman" w:hAnsi="Times New Roman"/>
          <w:sz w:val="14"/>
          <w:szCs w:val="14"/>
          <w:color w:val="auto"/>
        </w:rPr>
      </w:pPr>
    </w:p>
    <w:p>
      <w:pPr>
        <w:ind w:left="1660" w:right="1419" w:hanging="143"/>
        <w:spacing w:after="0" w:line="294"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58" w:lineRule="exact"/>
        <w:rPr>
          <w:sz w:val="20"/>
          <w:szCs w:val="20"/>
          <w:color w:val="auto"/>
        </w:rPr>
      </w:pPr>
    </w:p>
    <w:p>
      <w:pPr>
        <w:ind w:left="1240" w:right="1399" w:firstLine="287"/>
        <w:spacing w:after="0" w:line="269" w:lineRule="auto"/>
        <w:rPr>
          <w:sz w:val="20"/>
          <w:szCs w:val="20"/>
          <w:color w:val="auto"/>
        </w:rPr>
      </w:pPr>
      <w:r>
        <w:rPr>
          <w:rFonts w:ascii="Times New Roman" w:cs="Times New Roman" w:eastAsia="Times New Roman" w:hAnsi="Times New Roman"/>
          <w:sz w:val="14"/>
          <w:szCs w:val="14"/>
          <w:color w:val="auto"/>
        </w:rPr>
        <w:t>We shall deliver to the trustee prior to the proposed transaction an officers’ certificate and an opinion of counsel each stating that the proposed transaction and such supplemental indenture comply with the applicable Indenture and that all conditions precedent to the consummation of the transaction under the applicable Indenture have been met.</w:t>
      </w:r>
    </w:p>
    <w:p>
      <w:pPr>
        <w:spacing w:after="0" w:line="86" w:lineRule="exact"/>
        <w:rPr>
          <w:sz w:val="20"/>
          <w:szCs w:val="20"/>
          <w:color w:val="auto"/>
        </w:rPr>
      </w:pPr>
    </w:p>
    <w:p>
      <w:pPr>
        <w:ind w:left="1240" w:right="1239" w:firstLine="287"/>
        <w:spacing w:after="0" w:line="265" w:lineRule="auto"/>
        <w:rPr>
          <w:sz w:val="20"/>
          <w:szCs w:val="20"/>
          <w:color w:val="auto"/>
        </w:rPr>
      </w:pPr>
      <w:r>
        <w:rPr>
          <w:rFonts w:ascii="Times New Roman" w:cs="Times New Roman" w:eastAsia="Times New Roman" w:hAnsi="Times New Roman"/>
          <w:sz w:val="14"/>
          <w:szCs w:val="14"/>
          <w:color w:val="auto"/>
        </w:rPr>
        <w:t>If we consolidate or merge with or into any other corporation or sell all or substantially all of our assets according to the terms and conditions of the Indentures, the resulting or acquiring corporation will be substituted for us under the Indentures with the same effect as if it had been an original party to the Indentures. As a result, such successor corporation may exercise our rights and powers under the Indentures, in our name or its own name, and we will be released from all our liabilities and obligations under the Indentures and under the notes.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208915</wp:posOffset>
            </wp:positionV>
            <wp:extent cx="544830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 Notice and Waiver</w:t>
      </w:r>
    </w:p>
    <w:p>
      <w:pPr>
        <w:spacing w:after="0" w:line="134" w:lineRule="exact"/>
        <w:rPr>
          <w:sz w:val="20"/>
          <w:szCs w:val="20"/>
          <w:color w:val="auto"/>
        </w:rPr>
      </w:pPr>
    </w:p>
    <w:p>
      <w:pPr>
        <w:ind w:left="1240" w:right="1619" w:firstLine="287"/>
        <w:spacing w:after="0" w:line="294"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following shall constitute “Events of Default” under the Indentures with respect to debt securities of any series:</w:t>
      </w:r>
    </w:p>
    <w:p>
      <w:pPr>
        <w:spacing w:after="0" w:line="36" w:lineRule="exact"/>
        <w:rPr>
          <w:sz w:val="20"/>
          <w:szCs w:val="20"/>
          <w:color w:val="auto"/>
        </w:rPr>
      </w:pPr>
    </w:p>
    <w:p>
      <w:pPr>
        <w:ind w:left="1660" w:right="1399" w:hanging="143"/>
        <w:spacing w:after="0" w:line="294"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any debt security of such series when due and payable for 30 days;</w:t>
      </w:r>
    </w:p>
    <w:p>
      <w:pPr>
        <w:spacing w:after="0" w:line="47" w:lineRule="exact"/>
        <w:rPr>
          <w:rFonts w:ascii="Times New Roman" w:cs="Times New Roman" w:eastAsia="Times New Roman" w:hAnsi="Times New Roman"/>
          <w:sz w:val="14"/>
          <w:szCs w:val="14"/>
          <w:color w:val="auto"/>
        </w:rPr>
      </w:pPr>
    </w:p>
    <w:p>
      <w:pPr>
        <w:jc w:val="both"/>
        <w:ind w:left="1660" w:right="1539" w:hanging="143"/>
        <w:spacing w:after="0" w:line="275"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principal of or premium, if any, on any debt security of such series when due (whether at stated maturity, upon redemption, repurchase at the option of the holder or otherwise), or default in the making of any mandatory sinking fund payment;</w:t>
      </w:r>
    </w:p>
    <w:p>
      <w:pPr>
        <w:spacing w:after="0" w:line="49" w:lineRule="exact"/>
        <w:rPr>
          <w:rFonts w:ascii="Times New Roman" w:cs="Times New Roman" w:eastAsia="Times New Roman" w:hAnsi="Times New Roman"/>
          <w:sz w:val="14"/>
          <w:szCs w:val="14"/>
          <w:color w:val="auto"/>
        </w:rPr>
      </w:pPr>
    </w:p>
    <w:p>
      <w:pPr>
        <w:ind w:left="1660" w:right="1259" w:hanging="143"/>
        <w:spacing w:after="0" w:line="27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but in the Subordinated Indenture only default in any material respect, in the performance, or breach, of any covenant or warranty with respect to any debt security of such series, and the continuance of such default or breach for 60 days after we receive written notice of such default or breach;</w:t>
      </w:r>
    </w:p>
    <w:p>
      <w:pPr>
        <w:spacing w:after="0" w:line="228" w:lineRule="exact"/>
        <w:rPr>
          <w:rFonts w:ascii="Times New Roman" w:cs="Times New Roman" w:eastAsia="Times New Roman" w:hAnsi="Times New Roman"/>
          <w:sz w:val="14"/>
          <w:szCs w:val="14"/>
          <w:color w:val="auto"/>
        </w:rPr>
      </w:pPr>
    </w:p>
    <w:p>
      <w:pPr>
        <w:ind w:left="1660" w:right="1279" w:hanging="143"/>
        <w:spacing w:after="0" w:line="260"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under our indebtedness (other than securities of such series) in the payment by us, when due, of an aggregate principal amount of such indebtedness exceeding $100,000,000, or default under any such indebtedness (other than securities of such series) which results in such indebtedness in an aggregate principal amount exceeding $100,000,000 becoming or being declared due and payable prior to the date on which it would otherwise have become due and payable, in each case without such acceleration having been rescinded or annulled, or such indebtedness having been paid in full, or there having been deposited into trust a sum of money sufficient to pay in full such indebtedness, within 10 days after receipt of written notice of such default or breach (which notice shall state that such notice is a “Notice of Default” under the indenture) to the us (by registered or certified mail) by the trustee or to us and the Trustee (in each case by registered or certified mail) by holders of at least 25% in aggregate principal amount of the outstanding securities of such series;</w:t>
      </w:r>
    </w:p>
    <w:p>
      <w:pPr>
        <w:spacing w:after="0" w:line="63"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FNF; and</w:t>
      </w:r>
    </w:p>
    <w:p>
      <w:pPr>
        <w:spacing w:after="0" w:line="108" w:lineRule="exact"/>
        <w:rPr>
          <w:rFonts w:ascii="Times New Roman" w:cs="Times New Roman" w:eastAsia="Times New Roman" w:hAnsi="Times New Roman"/>
          <w:sz w:val="14"/>
          <w:szCs w:val="14"/>
          <w:color w:val="auto"/>
        </w:rPr>
      </w:pPr>
    </w:p>
    <w:p>
      <w:pPr>
        <w:ind w:left="1660" w:right="1639" w:hanging="143"/>
        <w:spacing w:after="0" w:line="294"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with respect to any debt security of such series including an event of default provided for in a supplemental indenture.</w:t>
      </w:r>
    </w:p>
    <w:p>
      <w:pPr>
        <w:spacing w:after="0" w:line="58" w:lineRule="exact"/>
        <w:rPr>
          <w:sz w:val="20"/>
          <w:szCs w:val="20"/>
          <w:color w:val="auto"/>
        </w:rPr>
      </w:pPr>
    </w:p>
    <w:p>
      <w:pPr>
        <w:ind w:left="1240" w:right="1279" w:firstLine="287"/>
        <w:spacing w:after="0" w:line="261" w:lineRule="auto"/>
        <w:rPr>
          <w:sz w:val="20"/>
          <w:szCs w:val="20"/>
          <w:color w:val="auto"/>
        </w:rPr>
      </w:pPr>
      <w:r>
        <w:rPr>
          <w:rFonts w:ascii="Times New Roman" w:cs="Times New Roman" w:eastAsia="Times New Roman" w:hAnsi="Times New Roman"/>
          <w:sz w:val="14"/>
          <w:szCs w:val="14"/>
          <w:color w:val="auto"/>
        </w:rPr>
        <w:t>If an Event of Default with respect to any debt securities of any series outstanding under either of the Indentures occurs and is continuing, the trustee under such Indenture or the holders of at least 25% in aggregate principal amount of all of the outstanding debt securities of such series may declare, by written notice to us (and if given by the holders, to the trustee), the principal of and accrued interest, if any, on all the debt securities of such series to be due and payable immediately; provided that, after such a declaration of acceleration, the holders of a majority in aggregate principal amount of the outstanding debt securities of that series may, by written notice to the trustee, rescind or annul such declaration and its consequences if all Events of Default, other than the non-payment of accelerated principal and interest, have been cured or waived.</w:t>
      </w:r>
    </w:p>
    <w:p>
      <w:pPr>
        <w:spacing w:after="0" w:line="269" w:lineRule="exact"/>
        <w:rPr>
          <w:sz w:val="20"/>
          <w:szCs w:val="20"/>
          <w:color w:val="auto"/>
        </w:rPr>
      </w:pPr>
    </w:p>
    <w:p>
      <w:pPr>
        <w:ind w:left="1240" w:right="1259" w:firstLine="287"/>
        <w:spacing w:after="0" w:line="263"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outstanding debt securities of any series, by written notice to the trustee, may waive any past default or event of default with respect to that series except (i) a default or event of default in the payment of the principal of, or premium, if any, or interest on, any debt security of such series or (ii) default in respect of a covenant or provision which may not be amended or modified without the consent of the holder of each outstanding debt security of such series affected. Upon any such waiver, such default shall cease to exist, and any event of default arising therefrom shall be deemed to have been cured.</w:t>
      </w:r>
    </w:p>
    <w:p>
      <w:pPr>
        <w:spacing w:after="0" w:line="266" w:lineRule="exact"/>
        <w:rPr>
          <w:sz w:val="20"/>
          <w:szCs w:val="20"/>
          <w:color w:val="auto"/>
        </w:rPr>
      </w:pPr>
    </w:p>
    <w:p>
      <w:pPr>
        <w:ind w:left="1240" w:right="1319" w:firstLine="287"/>
        <w:spacing w:after="0" w:line="263" w:lineRule="auto"/>
        <w:rPr>
          <w:sz w:val="20"/>
          <w:szCs w:val="20"/>
          <w:color w:val="auto"/>
        </w:rPr>
      </w:pPr>
      <w:r>
        <w:rPr>
          <w:rFonts w:ascii="Times New Roman" w:cs="Times New Roman" w:eastAsia="Times New Roman" w:hAnsi="Times New Roman"/>
          <w:sz w:val="14"/>
          <w:szCs w:val="14"/>
          <w:color w:val="auto"/>
        </w:rPr>
        <w:t>The trustee is not required to exercise any of the rights or powers vested in it by the applicable Indenture at the request or direction of any of the holders of debt securities of any series, unless the holders have offered the trustee security or indemnity reasonably satisfactory to the trustee. Subject to such right of indemnification and to certain other limitations, the holders of a majority in aggregate principal amount of the outstanding debt securities of any series may direct the time, method and place of conducting any proceeding for any remedy available to the trustee or exercising any trust or power conferred on the trustee with respect to the debt securities of such series.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40" w:right="1239" w:firstLine="287"/>
        <w:spacing w:after="0" w:line="254" w:lineRule="auto"/>
        <w:rPr>
          <w:sz w:val="20"/>
          <w:szCs w:val="20"/>
          <w:color w:val="auto"/>
        </w:rPr>
      </w:pPr>
      <w:r>
        <w:rPr>
          <w:rFonts w:ascii="Times New Roman" w:cs="Times New Roman" w:eastAsia="Times New Roman" w:hAnsi="Times New Roman"/>
          <w:sz w:val="14"/>
          <w:szCs w:val="14"/>
          <w:color w:val="auto"/>
        </w:rPr>
        <w:t>No holder of a debt security of any series may institute any proceeding with respect to the Indentures or for the appointment of a receiver or trustee or for any other remedy unless (i) the holder has given to the trustee written notice of a continuing Event of Default with respect to the debt securities of such series,</w:t>
      </w:r>
    </w:p>
    <w:p>
      <w:pPr>
        <w:ind w:left="1240" w:right="1279" w:hanging="10"/>
        <w:spacing w:after="0" w:line="248" w:lineRule="auto"/>
        <w:tabs>
          <w:tab w:leader="none" w:pos="146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debt securities of that series then outstanding shall have made a written request to the trustee to institute proceedings in respect of such Event of Default in its own name as trustee, (iii) the holders have offered to the trustee indemnity satisfactory to the trustee against any loss, liability or expense to be incurred in pursuing the remedy, (iv) the trustee has failed to institute any such proceedings for 60 days after its receipt of such request, and (v) during such 60 day period, the holders of a majority in aggregate principal amount of the debt securities of such series then outstanding have not given to the trustee a direction inconsistent with such written request.</w:t>
      </w:r>
    </w:p>
    <w:p>
      <w:pPr>
        <w:spacing w:after="0" w:line="90" w:lineRule="exact"/>
        <w:rPr>
          <w:sz w:val="20"/>
          <w:szCs w:val="20"/>
          <w:color w:val="auto"/>
        </w:rPr>
      </w:pPr>
    </w:p>
    <w:p>
      <w:pPr>
        <w:ind w:left="1240" w:right="1439" w:firstLine="287"/>
        <w:spacing w:after="0" w:line="254" w:lineRule="auto"/>
        <w:rPr>
          <w:sz w:val="20"/>
          <w:szCs w:val="20"/>
          <w:color w:val="auto"/>
        </w:rPr>
      </w:pPr>
      <w:r>
        <w:rPr>
          <w:rFonts w:ascii="Times New Roman" w:cs="Times New Roman" w:eastAsia="Times New Roman" w:hAnsi="Times New Roman"/>
          <w:sz w:val="14"/>
          <w:szCs w:val="14"/>
          <w:color w:val="auto"/>
        </w:rPr>
        <w:t>Each year, we will either certify to the relevant trustee that we are not in default of any of our obligations under the applicable Indenture or we will notify the relevant trustee of any default that exists under the applicable Indenture. In addition, we have agreed to deliver to the trustee, promptly after we become aware of the occurrence of a default or an event of default of the character specified in the fourth bullet point under the caption “Events of Default, Notice and Waiver” above, written notice of the occurrence of such default or event of default.</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Discharge, Defeasance and Covenant Defeasance</w:t>
      </w:r>
    </w:p>
    <w:p>
      <w:pPr>
        <w:spacing w:after="0" w:line="134" w:lineRule="exact"/>
        <w:rPr>
          <w:sz w:val="20"/>
          <w:szCs w:val="20"/>
          <w:color w:val="auto"/>
        </w:rPr>
      </w:pPr>
    </w:p>
    <w:p>
      <w:pPr>
        <w:ind w:left="1240" w:right="1439" w:firstLine="287"/>
        <w:spacing w:after="0" w:line="277" w:lineRule="auto"/>
        <w:rPr>
          <w:sz w:val="20"/>
          <w:szCs w:val="20"/>
          <w:color w:val="auto"/>
        </w:rPr>
      </w:pPr>
      <w:r>
        <w:rPr>
          <w:rFonts w:ascii="Times New Roman" w:cs="Times New Roman" w:eastAsia="Times New Roman" w:hAnsi="Times New Roman"/>
          <w:sz w:val="14"/>
          <w:szCs w:val="14"/>
          <w:color w:val="auto"/>
        </w:rPr>
        <w:t>Unless otherwise set forth in the applicable prospectus supplement, we may discharge or defease our obligations under each Indenture as set forth below.</w:t>
      </w:r>
    </w:p>
    <w:p>
      <w:pPr>
        <w:spacing w:after="0" w:line="70" w:lineRule="exact"/>
        <w:rPr>
          <w:sz w:val="20"/>
          <w:szCs w:val="20"/>
          <w:color w:val="auto"/>
        </w:rPr>
      </w:pPr>
    </w:p>
    <w:p>
      <w:pPr>
        <w:ind w:left="1240" w:right="1299" w:firstLine="287"/>
        <w:spacing w:after="0" w:line="252" w:lineRule="auto"/>
        <w:rPr>
          <w:sz w:val="20"/>
          <w:szCs w:val="20"/>
          <w:color w:val="auto"/>
        </w:rPr>
      </w:pPr>
      <w:r>
        <w:rPr>
          <w:rFonts w:ascii="Times New Roman" w:cs="Times New Roman" w:eastAsia="Times New Roman" w:hAnsi="Times New Roman"/>
          <w:sz w:val="14"/>
          <w:szCs w:val="14"/>
          <w:color w:val="auto"/>
        </w:rPr>
        <w:t>We may discharge certain obligations to holders of any series of debt securities which have not already been delivered to the trustee for cancellation and which have either become due and payable or are by their terms due and payable within one year (or scheduled for redemption within one year) by irrevocably depositing with the trustee cash or government obligations (as defined in either Indenture) or a combination thereof, as trust funds in an amount certified to be sufficient to pay and discharge when due, whether at maturity, upon redemption or otherwise, the principal of, and premium, if any, and interest, if any, on such debt securities and any mandatory sinking fund payments applicable to such debt securities.</w:t>
      </w:r>
    </w:p>
    <w:p>
      <w:pPr>
        <w:spacing w:after="0" w:line="88" w:lineRule="exact"/>
        <w:rPr>
          <w:sz w:val="20"/>
          <w:szCs w:val="20"/>
          <w:color w:val="auto"/>
        </w:rPr>
      </w:pPr>
    </w:p>
    <w:p>
      <w:pPr>
        <w:ind w:left="1240" w:right="1239" w:firstLine="287"/>
        <w:spacing w:after="0" w:line="248"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may elect either (i) to defease and be discharged from any and all obligations with respect to the debt securities of or within any series (except as otherwise provided in the relevant Indenture) (“defeasance”) or (ii) to be released from our obligations with respect to certain covenants applicable to the debt securities of or within any series (“covenant defeasance”), upon the deposit with the relevant trustee of money and/or government obligations in sufficient quantity that will provide money in an amount sufficient to pay the principal of and any premium or interest on such debt securities to maturity or redemption and any mandatory sinking fund payments thereon. As a condition to defeasance or covenant defeasance, we must deliver to the trustee an opinion of counsel to the effect that the holders of affected debt securities will not recognize income, gain or loss for federal income tax purposes as a result of such defeasance or covenant defeasance and will be subject to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federal income tax law occurring after the date of the relevant Indenture. In addition, in the case of either defeasance or covenant defeasance, we shall have delivered to the trustee an officers’ certificate and an opinion of counsel, each stating that all conditions precedent to such defeasance or covenant defeasance have been complied with.</w:t>
      </w:r>
    </w:p>
    <w:p>
      <w:pPr>
        <w:spacing w:after="0" w:line="257" w:lineRule="exact"/>
        <w:rPr>
          <w:sz w:val="20"/>
          <w:szCs w:val="20"/>
          <w:color w:val="auto"/>
        </w:rPr>
      </w:pPr>
    </w:p>
    <w:p>
      <w:pPr>
        <w:ind w:left="1240" w:right="1339" w:firstLine="287"/>
        <w:spacing w:after="0" w:line="294" w:lineRule="auto"/>
        <w:rPr>
          <w:sz w:val="20"/>
          <w:szCs w:val="20"/>
          <w:color w:val="auto"/>
        </w:rPr>
      </w:pPr>
      <w:r>
        <w:rPr>
          <w:rFonts w:ascii="Times New Roman" w:cs="Times New Roman" w:eastAsia="Times New Roman" w:hAnsi="Times New Roman"/>
          <w:sz w:val="14"/>
          <w:szCs w:val="14"/>
          <w:color w:val="auto"/>
        </w:rPr>
        <w:t>We may exercise our defeasance option notwithstanding our prior exercise of our covenant defeasance option.</w:t>
      </w:r>
    </w:p>
    <w:p>
      <w:pPr>
        <w:spacing w:after="0" w:line="1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the Indentures</w:t>
      </w:r>
    </w:p>
    <w:p>
      <w:pPr>
        <w:spacing w:after="0" w:line="134" w:lineRule="exact"/>
        <w:rPr>
          <w:sz w:val="20"/>
          <w:szCs w:val="20"/>
          <w:color w:val="auto"/>
        </w:rPr>
      </w:pPr>
    </w:p>
    <w:p>
      <w:pPr>
        <w:ind w:left="1240" w:right="1359" w:firstLine="287"/>
        <w:spacing w:after="0" w:line="277" w:lineRule="auto"/>
        <w:rPr>
          <w:sz w:val="20"/>
          <w:szCs w:val="20"/>
          <w:color w:val="auto"/>
        </w:rPr>
      </w:pPr>
      <w:r>
        <w:rPr>
          <w:rFonts w:ascii="Times New Roman" w:cs="Times New Roman" w:eastAsia="Times New Roman" w:hAnsi="Times New Roman"/>
          <w:sz w:val="14"/>
          <w:szCs w:val="14"/>
          <w:color w:val="auto"/>
        </w:rPr>
        <w:t>Under the Indentures, we and the applicable trustee, at any time and from time to time, may enter into supplemental indentures without the consent of any holders of debt securities to:</w:t>
      </w:r>
    </w:p>
    <w:p>
      <w:pPr>
        <w:spacing w:after="0" w:line="38" w:lineRule="exact"/>
        <w:rPr>
          <w:sz w:val="20"/>
          <w:szCs w:val="20"/>
          <w:color w:val="auto"/>
        </w:rPr>
      </w:pPr>
    </w:p>
    <w:p>
      <w:pPr>
        <w:ind w:left="1660" w:right="1399" w:hanging="143"/>
        <w:spacing w:after="0" w:line="294"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person to FNF and the assumption by any such successor of the covenants of FNF in the Indentures and in the debt securities; or</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208915</wp:posOffset>
            </wp:positionV>
            <wp:extent cx="544830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right="1499" w:hanging="143"/>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the covenants of FNF for the benefit of the holders of all or any series of debt securities or surrender any right or power conferred upon FNF in the Indentures; or</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 with respect to all or any series of debt securities; or</w:t>
      </w:r>
    </w:p>
    <w:p>
      <w:pPr>
        <w:spacing w:after="0" w:line="97" w:lineRule="exact"/>
        <w:rPr>
          <w:rFonts w:ascii="Times New Roman" w:cs="Times New Roman" w:eastAsia="Times New Roman" w:hAnsi="Times New Roman"/>
          <w:sz w:val="14"/>
          <w:szCs w:val="14"/>
          <w:color w:val="auto"/>
        </w:rPr>
      </w:pPr>
    </w:p>
    <w:p>
      <w:pPr>
        <w:ind w:left="1660" w:right="1319" w:hanging="143"/>
        <w:spacing w:after="0" w:line="275"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supplement any provision contained in the Indentures or in any supplemental indentures, provided that such amendment or supplement does not apply to any outstanding debt security issued prior to the date of such supplemental indenture and entitled to the benefits of such provision; or</w:t>
      </w:r>
    </w:p>
    <w:p>
      <w:pPr>
        <w:spacing w:after="0" w:line="38"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debt securities; or</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or terms of debt securities of any series as permitted by the Indentures; or</w:t>
      </w:r>
    </w:p>
    <w:p>
      <w:pPr>
        <w:spacing w:after="0" w:line="97" w:lineRule="exact"/>
        <w:rPr>
          <w:rFonts w:ascii="Times New Roman" w:cs="Times New Roman" w:eastAsia="Times New Roman" w:hAnsi="Times New Roman"/>
          <w:sz w:val="14"/>
          <w:szCs w:val="14"/>
          <w:color w:val="auto"/>
        </w:rPr>
      </w:pPr>
    </w:p>
    <w:p>
      <w:pPr>
        <w:ind w:left="1660" w:right="1299" w:hanging="143"/>
        <w:spacing w:after="0" w:line="269"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the acceptance of appointment by a successor trustee with respect to the debt securities of one or more series under the Indentures and add to or change any of the provisions of the Indentures as shall be necessary to provide for or facilitate the administration of the trusts by more than one trustee under the Indentures; or</w:t>
      </w:r>
    </w:p>
    <w:p>
      <w:pPr>
        <w:spacing w:after="0" w:line="53" w:lineRule="exact"/>
        <w:rPr>
          <w:rFonts w:ascii="Times New Roman" w:cs="Times New Roman" w:eastAsia="Times New Roman" w:hAnsi="Times New Roman"/>
          <w:sz w:val="14"/>
          <w:szCs w:val="14"/>
          <w:color w:val="auto"/>
        </w:rPr>
      </w:pPr>
    </w:p>
    <w:p>
      <w:pPr>
        <w:ind w:left="1660" w:right="1619" w:hanging="143"/>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allowed without penalty under applicable laws and regulations, permit payment in the United States of principal, premium, if any, or interest, if any, on coupons, if any; or</w:t>
      </w:r>
    </w:p>
    <w:p>
      <w:pPr>
        <w:spacing w:after="0" w:line="25" w:lineRule="exact"/>
        <w:rPr>
          <w:rFonts w:ascii="Times New Roman" w:cs="Times New Roman" w:eastAsia="Times New Roman" w:hAnsi="Times New Roman"/>
          <w:sz w:val="14"/>
          <w:szCs w:val="14"/>
          <w:color w:val="auto"/>
        </w:rPr>
      </w:pPr>
    </w:p>
    <w:p>
      <w:pPr>
        <w:ind w:left="1660" w:right="1399" w:hanging="143"/>
        <w:spacing w:after="0" w:line="269"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or correct any mistake or correct or supplement any provision in the Indentures which may be inconsistent with any other provision in the Indentures or make any other provisions with respect to matters or questions arising under the Indentures, provided such action shall not adversely affect the interests of any holder of debt securities of any series; or</w:t>
      </w:r>
    </w:p>
    <w:p>
      <w:pPr>
        <w:spacing w:after="0" w:line="53" w:lineRule="exact"/>
        <w:rPr>
          <w:rFonts w:ascii="Times New Roman" w:cs="Times New Roman" w:eastAsia="Times New Roman" w:hAnsi="Times New Roman"/>
          <w:sz w:val="14"/>
          <w:szCs w:val="14"/>
          <w:color w:val="auto"/>
        </w:rPr>
      </w:pPr>
    </w:p>
    <w:p>
      <w:pPr>
        <w:jc w:val="both"/>
        <w:ind w:left="1660" w:right="1359" w:hanging="143"/>
        <w:spacing w:after="0" w:line="275"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comply with the Trust Indenture Act of 1939 or any amendment thereof, or any requirement of the Securities and Exchange Commission in connection with the qualification of the Indentures under the Trust Indenture Act of 1939 or any amendment thereof.</w:t>
      </w:r>
    </w:p>
    <w:p>
      <w:pPr>
        <w:spacing w:after="0" w:line="82" w:lineRule="exact"/>
        <w:rPr>
          <w:sz w:val="20"/>
          <w:szCs w:val="20"/>
          <w:color w:val="auto"/>
        </w:rPr>
      </w:pPr>
    </w:p>
    <w:p>
      <w:pPr>
        <w:ind w:left="1240" w:right="1319" w:firstLine="287"/>
        <w:spacing w:after="0" w:line="254" w:lineRule="auto"/>
        <w:rPr>
          <w:sz w:val="20"/>
          <w:szCs w:val="20"/>
          <w:color w:val="auto"/>
        </w:rPr>
      </w:pPr>
      <w:r>
        <w:rPr>
          <w:rFonts w:ascii="Times New Roman" w:cs="Times New Roman" w:eastAsia="Times New Roman" w:hAnsi="Times New Roman"/>
          <w:sz w:val="14"/>
          <w:szCs w:val="14"/>
          <w:color w:val="auto"/>
        </w:rPr>
        <w:t>With the consent of the holders of a majority in aggregate principal amount of the outstanding debt securities of each series affected by such supplemental indenture, we and the applicable trustee may enter into supplemental indentures to add provisions to, or change or eliminate any provisions of either Indenture or any supplemental indenture or to modify the rights of the holders of the debt securities of each series so affected. However, we need the consent of the holder of each outstanding debt security affected in order to:</w:t>
      </w:r>
    </w:p>
    <w:p>
      <w:pPr>
        <w:spacing w:after="0" w:line="53" w:lineRule="exact"/>
        <w:rPr>
          <w:sz w:val="20"/>
          <w:szCs w:val="20"/>
          <w:color w:val="auto"/>
        </w:rPr>
      </w:pPr>
    </w:p>
    <w:p>
      <w:pPr>
        <w:ind w:left="1660" w:right="1359" w:hanging="143"/>
        <w:spacing w:after="0" w:line="287"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premium, if any, on or of any installment of principal of or premium, if any, or interest, if any, on, or additional amounts, if any, with respect to, any debt security; or</w:t>
      </w:r>
    </w:p>
    <w:p>
      <w:pPr>
        <w:spacing w:after="0" w:line="218" w:lineRule="exact"/>
        <w:rPr>
          <w:rFonts w:ascii="Times New Roman" w:cs="Times New Roman" w:eastAsia="Times New Roman" w:hAnsi="Times New Roman"/>
          <w:sz w:val="14"/>
          <w:szCs w:val="14"/>
          <w:color w:val="auto"/>
        </w:rPr>
      </w:pPr>
    </w:p>
    <w:p>
      <w:pPr>
        <w:ind w:left="1660" w:right="1259" w:hanging="143"/>
        <w:spacing w:after="0" w:line="275"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any installment of principal of, or premium, if any, or interest, if any, on, or any additional amounts payable with respect to, any debt security or the rate of interest on any debt security; or</w:t>
      </w:r>
    </w:p>
    <w:p>
      <w:pPr>
        <w:spacing w:after="0" w:line="49" w:lineRule="exact"/>
        <w:rPr>
          <w:rFonts w:ascii="Times New Roman" w:cs="Times New Roman" w:eastAsia="Times New Roman" w:hAnsi="Times New Roman"/>
          <w:sz w:val="14"/>
          <w:szCs w:val="14"/>
          <w:color w:val="auto"/>
        </w:rPr>
      </w:pPr>
    </w:p>
    <w:p>
      <w:pPr>
        <w:ind w:left="1660" w:right="187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premium, if any, payable upon redemption of any debt security or the repurchase by us of any debt security at the option of the holder of such debt security; or</w:t>
      </w:r>
    </w:p>
    <w:p>
      <w:pPr>
        <w:spacing w:after="0" w:line="25" w:lineRule="exact"/>
        <w:rPr>
          <w:rFonts w:ascii="Times New Roman" w:cs="Times New Roman" w:eastAsia="Times New Roman" w:hAnsi="Times New Roman"/>
          <w:sz w:val="14"/>
          <w:szCs w:val="14"/>
          <w:color w:val="auto"/>
        </w:rPr>
      </w:pPr>
    </w:p>
    <w:p>
      <w:pPr>
        <w:ind w:left="1660" w:right="159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manner in which the amount of any principal of or premium, if any, or interest on or additional amounts, if any, with respect to, any debt security is determined; or</w:t>
      </w:r>
    </w:p>
    <w:p>
      <w:pPr>
        <w:spacing w:after="0" w:line="36" w:lineRule="exact"/>
        <w:rPr>
          <w:rFonts w:ascii="Times New Roman" w:cs="Times New Roman" w:eastAsia="Times New Roman" w:hAnsi="Times New Roman"/>
          <w:sz w:val="14"/>
          <w:szCs w:val="14"/>
          <w:color w:val="auto"/>
        </w:rPr>
      </w:pPr>
    </w:p>
    <w:p>
      <w:pPr>
        <w:ind w:left="1660" w:right="149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the principal of any original issue discount security or indexed security that would be due and payable upon a declaration of acceleration of the maturity thereof; or</w:t>
      </w:r>
    </w:p>
    <w:p>
      <w:pPr>
        <w:spacing w:after="0" w:line="36" w:lineRule="exact"/>
        <w:rPr>
          <w:rFonts w:ascii="Times New Roman" w:cs="Times New Roman" w:eastAsia="Times New Roman" w:hAnsi="Times New Roman"/>
          <w:sz w:val="14"/>
          <w:szCs w:val="14"/>
          <w:color w:val="auto"/>
        </w:rPr>
      </w:pPr>
    </w:p>
    <w:p>
      <w:pPr>
        <w:ind w:left="1660" w:right="125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currency in which any debt securities or any premium or the interest thereon or additional amounts, if any, with respect thereto, is payable; or</w:t>
      </w:r>
    </w:p>
    <w:p>
      <w:pPr>
        <w:spacing w:after="0" w:line="25" w:lineRule="exact"/>
        <w:rPr>
          <w:rFonts w:ascii="Times New Roman" w:cs="Times New Roman" w:eastAsia="Times New Roman" w:hAnsi="Times New Roman"/>
          <w:sz w:val="14"/>
          <w:szCs w:val="14"/>
          <w:color w:val="auto"/>
        </w:rPr>
      </w:pPr>
    </w:p>
    <w:p>
      <w:pPr>
        <w:ind w:left="1660" w:right="153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index, securities or commodities with reference to which or the formula by which the amount of principal of or any premium or the interest on any debt security is determined; or</w:t>
      </w:r>
    </w:p>
    <w:p>
      <w:pPr>
        <w:spacing w:after="0" w:line="36" w:lineRule="exact"/>
        <w:rPr>
          <w:rFonts w:ascii="Times New Roman" w:cs="Times New Roman" w:eastAsia="Times New Roman" w:hAnsi="Times New Roman"/>
          <w:sz w:val="14"/>
          <w:szCs w:val="14"/>
          <w:color w:val="auto"/>
        </w:rPr>
      </w:pPr>
    </w:p>
    <w:p>
      <w:pPr>
        <w:ind w:left="1660" w:right="133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after the stated maturity thereof (or on or after the redemption date or on or after the repurchase date, as the case may be); or</w:t>
      </w:r>
    </w:p>
    <w:p>
      <w:pPr>
        <w:spacing w:after="0" w:line="36" w:lineRule="exact"/>
        <w:rPr>
          <w:rFonts w:ascii="Times New Roman" w:cs="Times New Roman" w:eastAsia="Times New Roman" w:hAnsi="Times New Roman"/>
          <w:sz w:val="14"/>
          <w:szCs w:val="14"/>
          <w:color w:val="auto"/>
        </w:rPr>
      </w:pPr>
    </w:p>
    <w:p>
      <w:pPr>
        <w:ind w:left="1660" w:right="163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debt securities of any series, the consent of whose holders is required for any such supplemental indenture or for any waiver (of</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right="1859"/>
        <w:spacing w:after="0" w:line="294" w:lineRule="auto"/>
        <w:rPr>
          <w:sz w:val="20"/>
          <w:szCs w:val="20"/>
          <w:color w:val="auto"/>
        </w:rPr>
      </w:pPr>
      <w:r>
        <w:rPr>
          <w:rFonts w:ascii="Times New Roman" w:cs="Times New Roman" w:eastAsia="Times New Roman" w:hAnsi="Times New Roman"/>
          <w:sz w:val="14"/>
          <w:szCs w:val="14"/>
          <w:color w:val="auto"/>
        </w:rPr>
        <w:t>compliance with certain provisions of the applicable Indenture or certain defaults under the applicable Indenture and their consequences) provided for in the applicable Indenture; or</w:t>
      </w:r>
    </w:p>
    <w:p>
      <w:pPr>
        <w:spacing w:after="0" w:line="36" w:lineRule="exact"/>
        <w:rPr>
          <w:sz w:val="20"/>
          <w:szCs w:val="20"/>
          <w:color w:val="auto"/>
        </w:rPr>
      </w:pPr>
    </w:p>
    <w:p>
      <w:pPr>
        <w:ind w:left="1660" w:right="157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of FNF to maintain an office or agency in the places and for the purposes specified in the Indentures; or</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 governing waiver of past defaults, except to increase</w:t>
      </w:r>
    </w:p>
    <w:p>
      <w:pPr>
        <w:spacing w:after="0" w:line="24" w:lineRule="exact"/>
        <w:rPr>
          <w:rFonts w:ascii="Times New Roman" w:cs="Times New Roman" w:eastAsia="Times New Roman" w:hAnsi="Times New Roman"/>
          <w:sz w:val="14"/>
          <w:szCs w:val="14"/>
          <w:color w:val="auto"/>
        </w:rPr>
      </w:pPr>
    </w:p>
    <w:p>
      <w:pPr>
        <w:ind w:left="1660" w:right="13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in principal amount of the outstanding debt securities of any series, the holders of which may waive past defaults on behalf of holders of all debt securities of such series, or make any change in the provision governing supplemental indentures that require consent of holders of debt securities, except to provide that certain other provisions of the applicable Indenture cannot be modified or waived without the consent of the holders of each outstanding debt security affected thereby.</w:t>
      </w: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134" w:lineRule="exact"/>
        <w:rPr>
          <w:sz w:val="20"/>
          <w:szCs w:val="20"/>
          <w:color w:val="auto"/>
        </w:rPr>
      </w:pPr>
    </w:p>
    <w:p>
      <w:pPr>
        <w:ind w:left="1240" w:right="1359" w:firstLine="287"/>
        <w:spacing w:after="0" w:line="294" w:lineRule="auto"/>
        <w:rPr>
          <w:sz w:val="20"/>
          <w:szCs w:val="20"/>
          <w:color w:val="auto"/>
        </w:rPr>
      </w:pPr>
      <w:r>
        <w:rPr>
          <w:rFonts w:ascii="Times New Roman" w:cs="Times New Roman" w:eastAsia="Times New Roman" w:hAnsi="Times New Roman"/>
          <w:sz w:val="14"/>
          <w:szCs w:val="14"/>
          <w:color w:val="auto"/>
        </w:rPr>
        <w:t>The Indentures and debt securities will be governed by, and construed in accordance with, the internal laws of the State of New York.</w:t>
      </w:r>
    </w:p>
    <w:p>
      <w:pPr>
        <w:spacing w:after="0" w:line="1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Relationship with the Trustee</w:t>
      </w:r>
    </w:p>
    <w:p>
      <w:pPr>
        <w:spacing w:after="0" w:line="134" w:lineRule="exact"/>
        <w:rPr>
          <w:sz w:val="20"/>
          <w:szCs w:val="20"/>
          <w:color w:val="auto"/>
        </w:rPr>
      </w:pPr>
    </w:p>
    <w:p>
      <w:pPr>
        <w:ind w:left="1240" w:right="1339" w:firstLine="287"/>
        <w:spacing w:after="0" w:line="275" w:lineRule="auto"/>
        <w:rPr>
          <w:sz w:val="20"/>
          <w:szCs w:val="20"/>
          <w:color w:val="auto"/>
        </w:rPr>
      </w:pPr>
      <w:r>
        <w:rPr>
          <w:rFonts w:ascii="Times New Roman" w:cs="Times New Roman" w:eastAsia="Times New Roman" w:hAnsi="Times New Roman"/>
          <w:sz w:val="14"/>
          <w:szCs w:val="14"/>
          <w:color w:val="auto"/>
        </w:rPr>
        <w:t>The trustee under the Indentures is The Bank of New York Mellon Trust Company, N.A. We and our subsidiaries maintain ordinary banking and trust relationships with a number of banks and trust companies, including the trustee under the Indentures.</w:t>
      </w:r>
    </w:p>
    <w:p>
      <w:pPr>
        <w:spacing w:after="0" w:line="1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Conversion or Exchange Rights</w:t>
      </w:r>
    </w:p>
    <w:p>
      <w:pPr>
        <w:spacing w:after="0" w:line="123" w:lineRule="exact"/>
        <w:rPr>
          <w:sz w:val="20"/>
          <w:szCs w:val="20"/>
          <w:color w:val="auto"/>
        </w:rPr>
      </w:pPr>
    </w:p>
    <w:p>
      <w:pPr>
        <w:ind w:left="1240" w:right="1379" w:firstLine="287"/>
        <w:spacing w:after="0" w:line="275" w:lineRule="auto"/>
        <w:rPr>
          <w:sz w:val="20"/>
          <w:szCs w:val="20"/>
          <w:color w:val="auto"/>
        </w:rPr>
      </w:pPr>
      <w:r>
        <w:rPr>
          <w:rFonts w:ascii="Times New Roman" w:cs="Times New Roman" w:eastAsia="Times New Roman" w:hAnsi="Times New Roman"/>
          <w:sz w:val="14"/>
          <w:szCs w:val="14"/>
          <w:color w:val="auto"/>
        </w:rPr>
        <w:t>The prospectus supplement will describe the terms, if any, on which a series of debt securities may be convertible into or exchangeable for securities described in this prospectus. These terms will include provisions as to whether conversion or exchange is mandatory, at the option of the holder or at our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ind w:left="1240" w:right="1279" w:firstLine="287"/>
        <w:spacing w:after="0" w:line="258" w:lineRule="auto"/>
        <w:rPr>
          <w:sz w:val="20"/>
          <w:szCs w:val="20"/>
          <w:color w:val="auto"/>
        </w:rPr>
      </w:pPr>
      <w:r>
        <w:rPr>
          <w:rFonts w:ascii="Times New Roman" w:cs="Times New Roman" w:eastAsia="Times New Roman" w:hAnsi="Times New Roman"/>
          <w:sz w:val="14"/>
          <w:szCs w:val="14"/>
          <w:color w:val="auto"/>
        </w:rPr>
        <w:t>We may sell the debt securities being offered hereby in one or more of the following ways from time to time:</w:t>
      </w:r>
    </w:p>
    <w:p>
      <w:pPr>
        <w:spacing w:after="0" w:line="236" w:lineRule="exact"/>
        <w:rPr>
          <w:sz w:val="20"/>
          <w:szCs w:val="20"/>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or dealers for resale to the public or to institutional investors;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institutional investors; or</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to the public or to institutional investors.</w:t>
      </w:r>
    </w:p>
    <w:p>
      <w:pPr>
        <w:spacing w:after="0" w:line="130" w:lineRule="exact"/>
        <w:rPr>
          <w:sz w:val="20"/>
          <w:szCs w:val="20"/>
          <w:color w:val="auto"/>
        </w:rPr>
      </w:pPr>
    </w:p>
    <w:p>
      <w:pPr>
        <w:ind w:left="1240" w:right="1379" w:firstLine="287"/>
        <w:spacing w:after="0" w:line="277" w:lineRule="auto"/>
        <w:rPr>
          <w:sz w:val="20"/>
          <w:szCs w:val="20"/>
          <w:color w:val="auto"/>
        </w:rPr>
      </w:pPr>
      <w:r>
        <w:rPr>
          <w:rFonts w:ascii="Times New Roman" w:cs="Times New Roman" w:eastAsia="Times New Roman" w:hAnsi="Times New Roman"/>
          <w:sz w:val="14"/>
          <w:szCs w:val="14"/>
          <w:color w:val="auto"/>
        </w:rPr>
        <w:t>The prospectus supplement with respect to each series of securities will state the terms of the offering of the debt securities, including:</w:t>
      </w:r>
    </w:p>
    <w:p>
      <w:pPr>
        <w:spacing w:after="0" w:line="38" w:lineRule="exact"/>
        <w:rPr>
          <w:sz w:val="20"/>
          <w:szCs w:val="20"/>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or agents;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debt securities and the proceeds to be received by us from the sale;</w:t>
      </w:r>
    </w:p>
    <w:p>
      <w:pPr>
        <w:spacing w:after="0" w:line="97" w:lineRule="exact"/>
        <w:rPr>
          <w:rFonts w:ascii="Times New Roman" w:cs="Times New Roman" w:eastAsia="Times New Roman" w:hAnsi="Times New Roman"/>
          <w:sz w:val="14"/>
          <w:szCs w:val="14"/>
          <w:color w:val="auto"/>
        </w:rPr>
      </w:pPr>
    </w:p>
    <w:p>
      <w:pPr>
        <w:ind w:left="1660" w:right="1619" w:hanging="143"/>
        <w:spacing w:after="0" w:line="294"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25"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on which the securities may be listed.</w:t>
      </w:r>
    </w:p>
    <w:p>
      <w:pPr>
        <w:spacing w:after="0" w:line="119" w:lineRule="exact"/>
        <w:rPr>
          <w:sz w:val="20"/>
          <w:szCs w:val="20"/>
          <w:color w:val="auto"/>
        </w:rPr>
      </w:pPr>
    </w:p>
    <w:p>
      <w:pPr>
        <w:ind w:left="1240" w:right="1299" w:firstLine="287"/>
        <w:spacing w:after="0" w:line="294" w:lineRule="auto"/>
        <w:rPr>
          <w:sz w:val="20"/>
          <w:szCs w:val="20"/>
          <w:color w:val="auto"/>
        </w:rPr>
      </w:pPr>
      <w:r>
        <w:rPr>
          <w:rFonts w:ascii="Times New Roman" w:cs="Times New Roman" w:eastAsia="Times New Roman" w:hAnsi="Times New Roman"/>
          <w:sz w:val="14"/>
          <w:szCs w:val="14"/>
          <w:color w:val="auto"/>
        </w:rPr>
        <w:t>If we use underwriters in the sale, the debt securities will be acquired by the underwriters for their own account and may be resold from time to time in one or more transactions, including:</w:t>
      </w:r>
    </w:p>
    <w:p>
      <w:pPr>
        <w:spacing w:after="0" w:line="26" w:lineRule="exact"/>
        <w:rPr>
          <w:sz w:val="20"/>
          <w:szCs w:val="20"/>
          <w:color w:val="auto"/>
        </w:rPr>
      </w:pPr>
    </w:p>
    <w:p>
      <w:pPr>
        <w:ind w:left="1660" w:hanging="143"/>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transactions;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public offering price or prices, which may be changed;</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19" w:lineRule="exact"/>
        <w:rPr>
          <w:sz w:val="20"/>
          <w:szCs w:val="20"/>
          <w:color w:val="auto"/>
        </w:rPr>
      </w:pPr>
    </w:p>
    <w:p>
      <w:pPr>
        <w:ind w:left="1240" w:right="1259" w:firstLine="287"/>
        <w:spacing w:after="0" w:line="258" w:lineRule="auto"/>
        <w:rPr>
          <w:sz w:val="20"/>
          <w:szCs w:val="20"/>
          <w:color w:val="auto"/>
        </w:rPr>
      </w:pPr>
      <w:r>
        <w:rPr>
          <w:rFonts w:ascii="Times New Roman" w:cs="Times New Roman" w:eastAsia="Times New Roman" w:hAnsi="Times New Roman"/>
          <w:sz w:val="14"/>
          <w:szCs w:val="14"/>
          <w:color w:val="auto"/>
        </w:rPr>
        <w:t>The debt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The prospectus supplement will identify any remarketing firm and will describe the terms of its agreement, if any, with us and its compensation.</w:t>
      </w:r>
    </w:p>
    <w:p>
      <w:pPr>
        <w:spacing w:after="0" w:line="82" w:lineRule="exact"/>
        <w:rPr>
          <w:sz w:val="20"/>
          <w:szCs w:val="20"/>
          <w:color w:val="auto"/>
        </w:rPr>
      </w:pPr>
    </w:p>
    <w:p>
      <w:pPr>
        <w:ind w:left="1240" w:right="1279" w:firstLine="287"/>
        <w:spacing w:after="0" w:line="259" w:lineRule="auto"/>
        <w:rPr>
          <w:sz w:val="20"/>
          <w:szCs w:val="20"/>
          <w:color w:val="auto"/>
        </w:rPr>
      </w:pPr>
      <w:r>
        <w:rPr>
          <w:rFonts w:ascii="Times New Roman" w:cs="Times New Roman" w:eastAsia="Times New Roman" w:hAnsi="Times New Roman"/>
          <w:sz w:val="14"/>
          <w:szCs w:val="14"/>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82" w:lineRule="exact"/>
        <w:rPr>
          <w:sz w:val="20"/>
          <w:szCs w:val="20"/>
          <w:color w:val="auto"/>
        </w:rPr>
      </w:pPr>
    </w:p>
    <w:p>
      <w:pPr>
        <w:ind w:left="1240" w:right="1479" w:firstLine="287"/>
        <w:spacing w:after="0" w:line="259" w:lineRule="auto"/>
        <w:rPr>
          <w:sz w:val="20"/>
          <w:szCs w:val="20"/>
          <w:color w:val="auto"/>
        </w:rPr>
      </w:pPr>
      <w:r>
        <w:rPr>
          <w:rFonts w:ascii="Times New Roman" w:cs="Times New Roman" w:eastAsia="Times New Roman" w:hAnsi="Times New Roman"/>
          <w:sz w:val="14"/>
          <w:szCs w:val="14"/>
          <w:color w:val="auto"/>
        </w:rPr>
        <w:t>If we sell the debt securities directly or through agents designated by us, we will identify any agent involved in the offering and sale of the debt securities and will list any commissions payable by us to the agent in the accompanying prospectus supplement. Unless indicated otherwise in the prospectus supplement, any such agent will be acting on a best efforts basis to solicit purchases for the period of its appointment.</w:t>
      </w:r>
    </w:p>
    <w:p>
      <w:pPr>
        <w:spacing w:after="0" w:line="253" w:lineRule="exact"/>
        <w:rPr>
          <w:sz w:val="20"/>
          <w:szCs w:val="20"/>
          <w:color w:val="auto"/>
        </w:rPr>
      </w:pPr>
    </w:p>
    <w:p>
      <w:pPr>
        <w:ind w:left="1240" w:right="1379" w:firstLine="287"/>
        <w:spacing w:after="0" w:line="252" w:lineRule="auto"/>
        <w:rPr>
          <w:sz w:val="20"/>
          <w:szCs w:val="20"/>
          <w:color w:val="auto"/>
        </w:rPr>
      </w:pPr>
      <w:r>
        <w:rPr>
          <w:rFonts w:ascii="Times New Roman" w:cs="Times New Roman" w:eastAsia="Times New Roman" w:hAnsi="Times New Roman"/>
          <w:sz w:val="14"/>
          <w:szCs w:val="14"/>
          <w:color w:val="auto"/>
        </w:rPr>
        <w:t>We may authorize agents, underwriters or dealers to solicit offers by certain institutional investors to purchase debt securities and provide for payment and delivery on a future date specified in an accompanying prospectus supplement. We will describe any such arrangement in the prospectus supplement. Any such institutional investor may be subject to limitations on the minimum amount of debt securities that it may purchase or on the portion of the aggregate principal amount of such debt securities that it may sell under such arrangements. Institutional investors from which such authorized offers may be solicited include:</w:t>
      </w:r>
    </w:p>
    <w:p>
      <w:pPr>
        <w:spacing w:after="0" w:line="224" w:lineRule="exact"/>
        <w:rPr>
          <w:sz w:val="20"/>
          <w:szCs w:val="20"/>
          <w:color w:val="auto"/>
        </w:rPr>
      </w:pPr>
    </w:p>
    <w:p>
      <w:pPr>
        <w:ind w:left="1660" w:hanging="143"/>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and savings banks;</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funds;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208915</wp:posOffset>
            </wp:positionV>
            <wp:extent cx="544830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hanging="143"/>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companies;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educational and charitable institutions; and</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institutions as we may approve.</w:t>
      </w:r>
    </w:p>
    <w:p>
      <w:pPr>
        <w:spacing w:after="0" w:line="130" w:lineRule="exact"/>
        <w:rPr>
          <w:sz w:val="20"/>
          <w:szCs w:val="20"/>
          <w:color w:val="auto"/>
        </w:rPr>
      </w:pPr>
    </w:p>
    <w:p>
      <w:pPr>
        <w:ind w:left="1240" w:right="1279" w:firstLine="287"/>
        <w:spacing w:after="0" w:line="264" w:lineRule="auto"/>
        <w:rPr>
          <w:sz w:val="20"/>
          <w:szCs w:val="20"/>
          <w:color w:val="auto"/>
        </w:rPr>
      </w:pPr>
      <w:r>
        <w:rPr>
          <w:rFonts w:ascii="Times New Roman" w:cs="Times New Roman" w:eastAsia="Times New Roman" w:hAnsi="Times New Roman"/>
          <w:sz w:val="14"/>
          <w:szCs w:val="14"/>
          <w:color w:val="auto"/>
        </w:rPr>
        <w:t>Underwriters, dealers, agents and remarketing firms, and their control persons,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dealers, agents and remarketing agents may be customers of, engage in transactions with, or perform services for us or our affiliates in the ordinary course of business.</w:t>
      </w:r>
    </w:p>
    <w:p>
      <w:pPr>
        <w:spacing w:after="0" w:line="90" w:lineRule="exact"/>
        <w:rPr>
          <w:sz w:val="20"/>
          <w:szCs w:val="20"/>
          <w:color w:val="auto"/>
        </w:rPr>
      </w:pPr>
    </w:p>
    <w:p>
      <w:pPr>
        <w:ind w:left="1240" w:right="1299" w:firstLine="287"/>
        <w:spacing w:after="0" w:line="267" w:lineRule="auto"/>
        <w:rPr>
          <w:sz w:val="20"/>
          <w:szCs w:val="20"/>
          <w:color w:val="auto"/>
        </w:rPr>
      </w:pPr>
      <w:r>
        <w:rPr>
          <w:rFonts w:ascii="Times New Roman" w:cs="Times New Roman" w:eastAsia="Times New Roman" w:hAnsi="Times New Roman"/>
          <w:sz w:val="14"/>
          <w:szCs w:val="14"/>
          <w:color w:val="auto"/>
        </w:rPr>
        <w:t>Each series of debt securities will be a new issue of securities and will have no established trading market. The debt securities may or may not be listed on a national securities exchange. Any underwriters to whom we sell debt securities for public offering and sale may make a market in the debt securities, but such underwriters will not be obligated to do so and may discontinue any market making at any time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jc w:val="both"/>
        <w:ind w:left="1240" w:right="1459" w:firstLine="287"/>
        <w:spacing w:after="0" w:line="275"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that contains our reports, proxy statements and other information regarding registrants that file electronically with the SEC. The address of such site is http://www.sec.gov.</w:t>
      </w:r>
    </w:p>
    <w:p>
      <w:pPr>
        <w:spacing w:after="0" w:line="82" w:lineRule="exact"/>
        <w:rPr>
          <w:sz w:val="20"/>
          <w:szCs w:val="20"/>
          <w:color w:val="auto"/>
        </w:rPr>
      </w:pPr>
    </w:p>
    <w:p>
      <w:pPr>
        <w:ind w:left="1240" w:right="1279" w:firstLine="287"/>
        <w:spacing w:after="0" w:line="260"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the SEC, which means that we can disclose important information to you by referring you to those documents. Statements made in this prospectus as to the contents of any contract, agreement or other document are not necessarily complete, and, in each instance, we refer you to a copy of such document filed as an exhibit to the registration statement, of which this prospectus is a part, or otherwise filed with the SEC. The information incorporated by reference is considered to be part of this prospectus. When we file information with the SEC in the future, that information will automatically update and, in some cases, supersede this information. We incorporate by reference the documents listed below and any filings we make with the SEC under Sections 13(a), 13(c), 14, or 15(d) of the Exchange Act after the initial filing of the registration statement that contains this prospectus and until the termination of the offering of the securities covered by this prospectus; provided, however, that we are not incorporating, in each case, any documents or information deemed to have been furnished and not filed in accordance with SEC rules:</w:t>
      </w:r>
    </w:p>
    <w:p>
      <w:pPr>
        <w:spacing w:after="0" w:line="61" w:lineRule="exact"/>
        <w:rPr>
          <w:sz w:val="20"/>
          <w:szCs w:val="20"/>
          <w:color w:val="auto"/>
        </w:rPr>
      </w:pPr>
    </w:p>
    <w:p>
      <w:pPr>
        <w:ind w:left="1660" w:right="1699" w:hanging="143"/>
        <w:spacing w:after="0" w:line="294" w:lineRule="auto"/>
        <w:tabs>
          <w:tab w:leader="none" w:pos="1660" w:val="left"/>
        </w:tabs>
        <w:numPr>
          <w:ilvl w:val="0"/>
          <w:numId w:val="21"/>
        </w:numPr>
        <w:rPr>
          <w:rFonts w:ascii="Times New Roman" w:cs="Times New Roman" w:eastAsia="Times New Roman" w:hAnsi="Times New Roman"/>
          <w:sz w:val="14"/>
          <w:szCs w:val="14"/>
          <w:color w:val="0000EE"/>
        </w:rPr>
      </w:pPr>
      <w:hyperlink r:id="rId23">
        <w:r>
          <w:rPr>
            <w:rFonts w:ascii="Times New Roman" w:cs="Times New Roman" w:eastAsia="Times New Roman" w:hAnsi="Times New Roman"/>
            <w:sz w:val="14"/>
            <w:szCs w:val="14"/>
            <w:u w:val="single" w:color="auto"/>
            <w:color w:val="0000EE"/>
          </w:rPr>
          <w:t>our annual report on Form 10-K for the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23">
        <w:r>
          <w:rPr>
            <w:rFonts w:ascii="Times New Roman" w:cs="Times New Roman" w:eastAsia="Times New Roman" w:hAnsi="Times New Roman"/>
            <w:sz w:val="14"/>
            <w:szCs w:val="14"/>
            <w:u w:val="single" w:color="auto"/>
            <w:color w:val="0000EE"/>
          </w:rPr>
          <w:t>February 26, 2026 (file no. 001-32630)</w:t>
        </w:r>
        <w:r>
          <w:rPr>
            <w:rFonts w:ascii="Times New Roman" w:cs="Times New Roman" w:eastAsia="Times New Roman" w:hAnsi="Times New Roman"/>
            <w:sz w:val="14"/>
            <w:szCs w:val="14"/>
            <w:color w:val="000000"/>
          </w:rPr>
          <w:t>; and</w:t>
        </w:r>
      </w:hyperlink>
    </w:p>
    <w:p>
      <w:pPr>
        <w:spacing w:after="0" w:line="36" w:lineRule="exact"/>
        <w:rPr>
          <w:rFonts w:ascii="Times New Roman" w:cs="Times New Roman" w:eastAsia="Times New Roman" w:hAnsi="Times New Roman"/>
          <w:sz w:val="14"/>
          <w:szCs w:val="14"/>
          <w:color w:val="0000EE"/>
        </w:rPr>
      </w:pPr>
    </w:p>
    <w:p>
      <w:pPr>
        <w:ind w:left="1660" w:right="1399" w:hanging="143"/>
        <w:spacing w:after="0" w:line="275" w:lineRule="auto"/>
        <w:tabs>
          <w:tab w:leader="none" w:pos="1660" w:val="left"/>
        </w:tabs>
        <w:numPr>
          <w:ilvl w:val="0"/>
          <w:numId w:val="21"/>
        </w:numPr>
        <w:rPr>
          <w:rFonts w:ascii="Times New Roman" w:cs="Times New Roman" w:eastAsia="Times New Roman" w:hAnsi="Times New Roman"/>
          <w:sz w:val="14"/>
          <w:szCs w:val="14"/>
          <w:color w:val="0000EE"/>
        </w:rPr>
      </w:pPr>
      <w:hyperlink r:id="rId37">
        <w:r>
          <w:rPr>
            <w:rFonts w:ascii="Times New Roman" w:cs="Times New Roman" w:eastAsia="Times New Roman" w:hAnsi="Times New Roman"/>
            <w:sz w:val="14"/>
            <w:szCs w:val="14"/>
            <w:color w:val="auto"/>
          </w:rPr>
          <w:t xml:space="preserve">the information in the </w:t>
        </w:r>
        <w:r>
          <w:rPr>
            <w:rFonts w:ascii="Times New Roman" w:cs="Times New Roman" w:eastAsia="Times New Roman" w:hAnsi="Times New Roman"/>
            <w:sz w:val="14"/>
            <w:szCs w:val="14"/>
            <w:u w:val="single" w:color="auto"/>
            <w:color w:val="0000EE"/>
          </w:rPr>
          <w:t>definitive proxy statement on Schedule 14A, filed with the SEC on April 29,</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2026 (file no. 001-32630)</w:t>
        </w:r>
        <w:r>
          <w:rPr>
            <w:rFonts w:ascii="Times New Roman" w:cs="Times New Roman" w:eastAsia="Times New Roman" w:hAnsi="Times New Roman"/>
            <w:sz w:val="14"/>
            <w:szCs w:val="14"/>
            <w:color w:val="000000"/>
          </w:rPr>
          <w:t>, that is incorporated by reference into Part III of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annual report on</w:t>
        </w:r>
      </w:hyperlink>
      <w:r>
        <w:rPr>
          <w:rFonts w:ascii="Times New Roman" w:cs="Times New Roman" w:eastAsia="Times New Roman" w:hAnsi="Times New Roman"/>
          <w:sz w:val="14"/>
          <w:szCs w:val="14"/>
          <w:color w:val="0000EE"/>
        </w:rPr>
        <w:t xml:space="preserve"> </w:t>
      </w:r>
      <w:hyperlink r:id="rId23">
        <w:r>
          <w:rPr>
            <w:rFonts w:ascii="Times New Roman" w:cs="Times New Roman" w:eastAsia="Times New Roman" w:hAnsi="Times New Roman"/>
            <w:sz w:val="14"/>
            <w:szCs w:val="14"/>
            <w:u w:val="single" w:color="auto"/>
            <w:color w:val="0000EE"/>
          </w:rPr>
          <w:t>Form 10-K for the fiscal year ended December 31, 2025, filed with the SEC on February 26, 2026</w:t>
        </w:r>
      </w:hyperlink>
      <w:r>
        <w:rPr>
          <w:rFonts w:ascii="Times New Roman" w:cs="Times New Roman" w:eastAsia="Times New Roman" w:hAnsi="Times New Roman"/>
          <w:sz w:val="14"/>
          <w:szCs w:val="14"/>
          <w:color w:val="000000"/>
        </w:rPr>
        <w:t>.</w:t>
      </w:r>
    </w:p>
    <w:p>
      <w:pPr>
        <w:spacing w:after="0" w:line="71" w:lineRule="exact"/>
        <w:rPr>
          <w:rFonts w:ascii="Times New Roman" w:cs="Times New Roman" w:eastAsia="Times New Roman" w:hAnsi="Times New Roman"/>
          <w:sz w:val="14"/>
          <w:szCs w:val="14"/>
          <w:color w:val="auto"/>
        </w:rPr>
      </w:pPr>
    </w:p>
    <w:p>
      <w:pPr>
        <w:ind w:left="1240" w:right="1259" w:firstLine="287"/>
        <w:spacing w:after="0" w:line="265" w:lineRule="auto"/>
        <w:rPr>
          <w:sz w:val="20"/>
          <w:szCs w:val="20"/>
          <w:color w:val="auto"/>
        </w:rPr>
      </w:pPr>
      <w:r>
        <w:rPr>
          <w:rFonts w:ascii="Times New Roman" w:cs="Times New Roman" w:eastAsia="Times New Roman" w:hAnsi="Times New Roman"/>
          <w:sz w:val="14"/>
          <w:szCs w:val="14"/>
          <w:color w:val="auto"/>
        </w:rPr>
        <w:t>You can obtain any of the filings incorporated by reference into this prospectus through our website (www.fnf.com) or from the SEC through the SEC’s website at http://www.sec.gov. 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w:t>
      </w:r>
    </w:p>
    <w:p>
      <w:pPr>
        <w:spacing w:after="0" w:line="264" w:lineRule="exact"/>
        <w:rPr>
          <w:rFonts w:ascii="Times New Roman" w:cs="Times New Roman" w:eastAsia="Times New Roman" w:hAnsi="Times New Roman"/>
          <w:sz w:val="14"/>
          <w:szCs w:val="14"/>
          <w:color w:val="auto"/>
        </w:rPr>
      </w:pPr>
    </w:p>
    <w:p>
      <w:pPr>
        <w:ind w:left="3520"/>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5" w:lineRule="exact"/>
        <w:rPr>
          <w:rFonts w:ascii="Times New Roman" w:cs="Times New Roman" w:eastAsia="Times New Roman" w:hAnsi="Times New Roman"/>
          <w:sz w:val="14"/>
          <w:szCs w:val="14"/>
          <w:color w:val="auto"/>
        </w:rPr>
      </w:pPr>
    </w:p>
    <w:p>
      <w:pPr>
        <w:ind w:left="3820"/>
        <w:spacing w:after="0"/>
        <w:rPr>
          <w:sz w:val="20"/>
          <w:szCs w:val="20"/>
          <w:color w:val="auto"/>
        </w:rPr>
      </w:pPr>
      <w:r>
        <w:rPr>
          <w:rFonts w:ascii="Times New Roman" w:cs="Times New Roman" w:eastAsia="Times New Roman" w:hAnsi="Times New Roman"/>
          <w:sz w:val="14"/>
          <w:szCs w:val="14"/>
          <w:color w:val="auto"/>
        </w:rPr>
        <w:t>601 Riverside Avenue</w:t>
      </w:r>
    </w:p>
    <w:p>
      <w:pPr>
        <w:spacing w:after="0" w:line="11" w:lineRule="exact"/>
        <w:rPr>
          <w:rFonts w:ascii="Times New Roman" w:cs="Times New Roman" w:eastAsia="Times New Roman" w:hAnsi="Times New Roman"/>
          <w:sz w:val="14"/>
          <w:szCs w:val="14"/>
          <w:color w:val="auto"/>
        </w:rPr>
      </w:pPr>
    </w:p>
    <w:p>
      <w:pPr>
        <w:ind w:left="3660"/>
        <w:spacing w:after="0"/>
        <w:rPr>
          <w:sz w:val="20"/>
          <w:szCs w:val="20"/>
          <w:color w:val="auto"/>
        </w:rPr>
      </w:pPr>
      <w:r>
        <w:rPr>
          <w:rFonts w:ascii="Times New Roman" w:cs="Times New Roman" w:eastAsia="Times New Roman" w:hAnsi="Times New Roman"/>
          <w:sz w:val="14"/>
          <w:szCs w:val="14"/>
          <w:color w:val="auto"/>
        </w:rPr>
        <w:t>Jacksonville, Florida 32204</w:t>
      </w:r>
    </w:p>
    <w:p>
      <w:pPr>
        <w:spacing w:after="0" w:line="11" w:lineRule="exact"/>
        <w:rPr>
          <w:rFonts w:ascii="Times New Roman" w:cs="Times New Roman" w:eastAsia="Times New Roman" w:hAnsi="Times New Roman"/>
          <w:sz w:val="14"/>
          <w:szCs w:val="14"/>
          <w:color w:val="auto"/>
        </w:rPr>
      </w:pPr>
    </w:p>
    <w:p>
      <w:pPr>
        <w:ind w:left="3820"/>
        <w:spacing w:after="0"/>
        <w:rPr>
          <w:sz w:val="20"/>
          <w:szCs w:val="20"/>
          <w:color w:val="auto"/>
        </w:rPr>
      </w:pPr>
      <w:r>
        <w:rPr>
          <w:rFonts w:ascii="Times New Roman" w:cs="Times New Roman" w:eastAsia="Times New Roman" w:hAnsi="Times New Roman"/>
          <w:sz w:val="14"/>
          <w:szCs w:val="14"/>
          <w:color w:val="auto"/>
        </w:rPr>
        <w:t>Attn: General Counsel</w:t>
      </w:r>
    </w:p>
    <w:p>
      <w:pPr>
        <w:spacing w:after="0" w:line="11" w:lineRule="exact"/>
        <w:rPr>
          <w:rFonts w:ascii="Times New Roman" w:cs="Times New Roman" w:eastAsia="Times New Roman" w:hAnsi="Times New Roman"/>
          <w:sz w:val="14"/>
          <w:szCs w:val="14"/>
          <w:color w:val="auto"/>
        </w:rPr>
      </w:pPr>
    </w:p>
    <w:p>
      <w:pPr>
        <w:ind w:left="3900"/>
        <w:spacing w:after="0"/>
        <w:rPr>
          <w:sz w:val="20"/>
          <w:szCs w:val="20"/>
          <w:color w:val="auto"/>
        </w:rPr>
      </w:pPr>
      <w:r>
        <w:rPr>
          <w:rFonts w:ascii="Times New Roman" w:cs="Times New Roman" w:eastAsia="Times New Roman" w:hAnsi="Times New Roman"/>
          <w:sz w:val="14"/>
          <w:szCs w:val="14"/>
          <w:color w:val="auto"/>
        </w:rPr>
        <w:t>Tel: (904) 854-8100</w:t>
      </w:r>
    </w:p>
    <w:p>
      <w:pPr>
        <w:spacing w:after="0" w:line="116" w:lineRule="exact"/>
        <w:rPr>
          <w:rFonts w:ascii="Times New Roman" w:cs="Times New Roman" w:eastAsia="Times New Roman" w:hAnsi="Times New Roman"/>
          <w:sz w:val="14"/>
          <w:szCs w:val="14"/>
          <w:color w:val="auto"/>
        </w:rPr>
      </w:pPr>
    </w:p>
    <w:p>
      <w:pPr>
        <w:ind w:left="1240" w:right="1259" w:firstLine="287"/>
        <w:spacing w:after="0" w:line="262"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and any supplements to this prospectus or in any permitted free writing prospectuses we have authorized for use with respect to the applicable offering or transaction. We have not authorized anyone to provide you with different information. If anyone provides you with different or inconsistent information, you should not rely on it. You should not assume that the information provided in this prospectus or incorporated by reference in this prospectus or in any such free writing prospectus we have authorized is accurate as of any date other than the date on the front of this prospectus or the date of those documents. Our business, financial condition, results of operations and prospects may have changed since those dates.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88"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left="1240" w:right="1259" w:firstLine="287"/>
        <w:spacing w:after="0" w:line="269"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validity of the debt securities offered hereby will be passed upon for Fidelity National Financial, Inc. by Weil, Gotshal &amp; Manges LLP, New York, New York, with respect to New York law and Brownstein Hyatt Farber Schreck, LLP, Las Vegas, Nevada, with respect to Nevada law.</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left="1240" w:right="1239" w:firstLine="287"/>
        <w:spacing w:after="0" w:line="261"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consolidated financial statements and schedules of Fidelity National Financial, Inc. and </w:t>
      </w:r>
      <w:hyperlink r:id="rId23">
        <w:r>
          <w:rPr>
            <w:rFonts w:ascii="Times New Roman" w:cs="Times New Roman" w:eastAsia="Times New Roman" w:hAnsi="Times New Roman"/>
            <w:sz w:val="14"/>
            <w:szCs w:val="14"/>
            <w:color w:val="auto"/>
          </w:rPr>
          <w:t xml:space="preserve">subsidiaries appearing in Fidelity National Financial, Inc.’s </w:t>
        </w:r>
        <w:r>
          <w:rPr>
            <w:rFonts w:ascii="Times New Roman" w:cs="Times New Roman" w:eastAsia="Times New Roman" w:hAnsi="Times New Roman"/>
            <w:sz w:val="14"/>
            <w:szCs w:val="14"/>
            <w:u w:val="single" w:color="auto"/>
            <w:color w:val="0000EE"/>
          </w:rPr>
          <w:t>Annual Report (Form 10-K) for the year ended</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00"/>
          </w:rPr>
          <w:t>, and the effectiveness of Fidelity National Financial, Inc. and subsidiaries’ internal</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control over financial reporting as of December 31, 2025 have been audited by Ernst &amp; Young LLP, independent registered public accounting firm, as set forth in their reports thereon, included therein, and incorporated herein by reference. Such consolidated financial statements and Fidelity National Financial, Inc. management’s assessment of the effectiveness of internal control over financial reporting as of December 31, 2025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Other Expenses of Issuance and Distribution</w:t>
      </w:r>
      <w:r>
        <w:rPr>
          <w:rFonts w:ascii="Times New Roman" w:cs="Times New Roman" w:eastAsia="Times New Roman" w:hAnsi="Times New Roman"/>
          <w:sz w:val="14"/>
          <w:szCs w:val="14"/>
          <w:b w:val="1"/>
          <w:bCs w:val="1"/>
          <w:color w:val="auto"/>
        </w:rPr>
        <w:t>.</w:t>
      </w:r>
    </w:p>
    <w:p>
      <w:pPr>
        <w:spacing w:after="0" w:line="134" w:lineRule="exact"/>
        <w:rPr>
          <w:sz w:val="20"/>
          <w:szCs w:val="20"/>
          <w:color w:val="auto"/>
        </w:rPr>
      </w:pPr>
    </w:p>
    <w:p>
      <w:pPr>
        <w:ind w:left="1240" w:right="1559" w:firstLine="287"/>
        <w:spacing w:after="0" w:line="277" w:lineRule="auto"/>
        <w:rPr>
          <w:sz w:val="20"/>
          <w:szCs w:val="20"/>
          <w:color w:val="auto"/>
        </w:rPr>
      </w:pPr>
      <w:r>
        <w:rPr>
          <w:rFonts w:ascii="Times New Roman" w:cs="Times New Roman" w:eastAsia="Times New Roman" w:hAnsi="Times New Roman"/>
          <w:sz w:val="14"/>
          <w:szCs w:val="14"/>
          <w:color w:val="auto"/>
        </w:rPr>
        <w:t>The expenses relating to the registration of the debt securities will be borne by the registrant. Such expenses are estimated to be as follows:</w:t>
      </w:r>
    </w:p>
    <w:p>
      <w:pPr>
        <w:spacing w:after="0" w:line="102" w:lineRule="exact"/>
        <w:rPr>
          <w:sz w:val="20"/>
          <w:szCs w:val="20"/>
          <w:color w:val="auto"/>
        </w:rPr>
      </w:pPr>
    </w:p>
    <w:tbl>
      <w:tblPr>
        <w:tblLayout w:type="fixed"/>
        <w:tblInd w:w="1520" w:type="dxa"/>
        <w:tblCellMar>
          <w:top w:w="0" w:type="dxa"/>
          <w:left w:w="0" w:type="dxa"/>
          <w:bottom w:w="0" w:type="dxa"/>
          <w:right w:w="0" w:type="dxa"/>
        </w:tblCellMar>
      </w:tblP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          *</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engraving fees and expenses</w:t>
            </w:r>
          </w:p>
        </w:tc>
        <w:tc>
          <w:tcPr>
            <w:tcW w:w="11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4280" w:type="dxa"/>
            <w:vAlign w:val="bottom"/>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16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4280" w:type="dxa"/>
            <w:vAlign w:val="bottom"/>
            <w:shd w:val="clear" w:color="auto" w:fill="CCEEFF"/>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1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4280" w:type="dxa"/>
            <w:vAlign w:val="bottom"/>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Blue sky fees and expenses</w:t>
            </w:r>
          </w:p>
        </w:tc>
        <w:tc>
          <w:tcPr>
            <w:tcW w:w="116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4280" w:type="dxa"/>
            <w:vAlign w:val="bottom"/>
            <w:shd w:val="clear" w:color="auto" w:fill="CCEEFF"/>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Trustee’s fees and expenses</w:t>
            </w:r>
          </w:p>
        </w:tc>
        <w:tc>
          <w:tcPr>
            <w:tcW w:w="11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4280" w:type="dxa"/>
            <w:vAlign w:val="bottom"/>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16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4280" w:type="dxa"/>
            <w:vAlign w:val="bottom"/>
            <w:shd w:val="clear" w:color="auto" w:fill="CCEEFF"/>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25400</wp:posOffset>
            </wp:positionV>
            <wp:extent cx="98488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113" w:lineRule="exact"/>
        <w:rPr>
          <w:sz w:val="20"/>
          <w:szCs w:val="20"/>
          <w:color w:val="auto"/>
        </w:rPr>
      </w:pPr>
    </w:p>
    <w:p>
      <w:pPr>
        <w:ind w:left="1520" w:right="1399" w:hanging="290"/>
        <w:spacing w:after="0" w:line="287" w:lineRule="auto"/>
        <w:tabs>
          <w:tab w:leader="none" w:pos="1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registering an indeterminate amount of debt securities under this Registration Statement and in accordance with Rules 456(b) and 457(r), the Registrant is deferring payment of the registration fee.</w:t>
      </w:r>
    </w:p>
    <w:p>
      <w:pPr>
        <w:spacing w:after="0" w:line="175" w:lineRule="exact"/>
        <w:rPr>
          <w:sz w:val="20"/>
          <w:szCs w:val="20"/>
          <w:color w:val="auto"/>
        </w:rPr>
      </w:pPr>
    </w:p>
    <w:p>
      <w:pPr>
        <w:ind w:left="1520" w:right="1279" w:hanging="290"/>
        <w:spacing w:after="0" w:line="272" w:lineRule="auto"/>
        <w:tabs>
          <w:tab w:leader="none" w:pos="1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an indeterminate amount of debt securities is covered by this registration statement, the expenses in connection with the issuance and distribution of the debt securities are not currently determinable. An estimate of the aggregate amount of these expenses will be reflected in the applicable prospectus supplement.</w:t>
      </w:r>
    </w:p>
    <w:p>
      <w:pPr>
        <w:spacing w:after="0" w:line="2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Indemnification of Directors and Officers</w:t>
      </w:r>
      <w:r>
        <w:rPr>
          <w:rFonts w:ascii="Times New Roman" w:cs="Times New Roman" w:eastAsia="Times New Roman" w:hAnsi="Times New Roman"/>
          <w:sz w:val="14"/>
          <w:szCs w:val="14"/>
          <w:b w:val="1"/>
          <w:bCs w:val="1"/>
          <w:color w:val="auto"/>
        </w:rPr>
        <w:t>.</w:t>
      </w:r>
    </w:p>
    <w:p>
      <w:pPr>
        <w:spacing w:after="0" w:line="134" w:lineRule="exact"/>
        <w:rPr>
          <w:sz w:val="20"/>
          <w:szCs w:val="20"/>
          <w:color w:val="auto"/>
        </w:rPr>
      </w:pPr>
    </w:p>
    <w:p>
      <w:pPr>
        <w:ind w:left="1240" w:right="1259" w:firstLine="287"/>
        <w:spacing w:after="0" w:line="248" w:lineRule="auto"/>
        <w:rPr>
          <w:sz w:val="20"/>
          <w:szCs w:val="20"/>
          <w:color w:val="auto"/>
        </w:rPr>
      </w:pPr>
      <w:r>
        <w:rPr>
          <w:rFonts w:ascii="Times New Roman" w:cs="Times New Roman" w:eastAsia="Times New Roman" w:hAnsi="Times New Roman"/>
          <w:sz w:val="14"/>
          <w:szCs w:val="14"/>
          <w:color w:val="auto"/>
        </w:rPr>
        <w:t>Nevada Revised Statutes (“NRS”) 78.7502(1) provides that a corporation may indemnify, pursuant to the provisions of that subsection,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 is not liable pursuant to NRS 78.138 or</w:t>
      </w:r>
    </w:p>
    <w:p>
      <w:pPr>
        <w:spacing w:after="0" w:line="5" w:lineRule="exact"/>
        <w:rPr>
          <w:sz w:val="20"/>
          <w:szCs w:val="20"/>
          <w:color w:val="auto"/>
        </w:rPr>
      </w:pPr>
    </w:p>
    <w:p>
      <w:pPr>
        <w:jc w:val="both"/>
        <w:ind w:left="1240" w:right="1399" w:hanging="10"/>
        <w:spacing w:after="0" w:line="247" w:lineRule="auto"/>
        <w:tabs>
          <w:tab w:leader="none" w:pos="146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36" w:lineRule="exact"/>
        <w:rPr>
          <w:sz w:val="20"/>
          <w:szCs w:val="20"/>
          <w:color w:val="auto"/>
        </w:rPr>
      </w:pPr>
    </w:p>
    <w:p>
      <w:pPr>
        <w:ind w:left="1240" w:right="1319" w:firstLine="287"/>
        <w:spacing w:after="0" w:line="250" w:lineRule="auto"/>
        <w:rPr>
          <w:sz w:val="20"/>
          <w:szCs w:val="20"/>
          <w:color w:val="auto"/>
        </w:rPr>
      </w:pPr>
      <w:r>
        <w:rPr>
          <w:rFonts w:ascii="Times New Roman" w:cs="Times New Roman" w:eastAsia="Times New Roman" w:hAnsi="Times New Roman"/>
          <w:sz w:val="14"/>
          <w:szCs w:val="14"/>
          <w:color w:val="auto"/>
        </w:rPr>
        <w:t>NRS 78.7502(2) further provides that a corporation may indemnify, pursuant to the provisions of that subsection,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(a) is not liable pursuant to NRS 78.138 or (b) acted in good faith and in a manner which he or she reasonably believed to be in or not opposed to the best interests of the corporation.</w:t>
      </w:r>
    </w:p>
    <w:p>
      <w:pPr>
        <w:spacing w:after="0" w:line="203" w:lineRule="exact"/>
        <w:rPr>
          <w:sz w:val="20"/>
          <w:szCs w:val="20"/>
          <w:color w:val="auto"/>
        </w:rPr>
      </w:pPr>
    </w:p>
    <w:p>
      <w:pPr>
        <w:ind w:left="1240" w:right="1399" w:firstLine="287"/>
        <w:spacing w:after="0" w:line="255" w:lineRule="auto"/>
        <w:rPr>
          <w:sz w:val="20"/>
          <w:szCs w:val="20"/>
          <w:color w:val="auto"/>
        </w:rPr>
      </w:pPr>
      <w:r>
        <w:rPr>
          <w:rFonts w:ascii="Times New Roman" w:cs="Times New Roman" w:eastAsia="Times New Roman" w:hAnsi="Times New Roman"/>
          <w:sz w:val="14"/>
          <w:szCs w:val="14"/>
          <w:color w:val="auto"/>
        </w:rPr>
        <w:t>NRS 78.751(1) provides that a corporation shall indemnify any person who is a director, officer, employee or agent to the extent that such person has been successful on the merits or otherwise in defense of any threatened, pending or completed action, suit or proceeding, or in defense of any claim, issue or matter therein, against expenses actually and reasonably incurred by the person in connection with defending the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40" w:right="1319"/>
        <w:spacing w:after="0" w:line="260" w:lineRule="auto"/>
        <w:rPr>
          <w:sz w:val="20"/>
          <w:szCs w:val="20"/>
          <w:color w:val="auto"/>
        </w:rPr>
      </w:pPr>
      <w:r>
        <w:rPr>
          <w:rFonts w:ascii="Times New Roman" w:cs="Times New Roman" w:eastAsia="Times New Roman" w:hAnsi="Times New Roman"/>
          <w:sz w:val="14"/>
          <w:szCs w:val="14"/>
          <w:color w:val="auto"/>
        </w:rPr>
        <w:t>action, including, without limitation, attorneys’ fees.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 Indemnification pursuant to NRS 78.7502 may not be made for any claim, issue or matter as to which such a person has been adjudged by a court of competent jurisdiction, after exhaustion of any appeals taken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214" w:lineRule="exact"/>
        <w:rPr>
          <w:sz w:val="20"/>
          <w:szCs w:val="20"/>
          <w:color w:val="auto"/>
        </w:rPr>
      </w:pPr>
    </w:p>
    <w:p>
      <w:pPr>
        <w:ind w:left="1240" w:right="1259" w:firstLine="287"/>
        <w:spacing w:after="0" w:line="259" w:lineRule="auto"/>
        <w:rPr>
          <w:sz w:val="20"/>
          <w:szCs w:val="20"/>
          <w:color w:val="auto"/>
        </w:rPr>
      </w:pPr>
      <w:r>
        <w:rPr>
          <w:rFonts w:ascii="Times New Roman" w:cs="Times New Roman" w:eastAsia="Times New Roman" w:hAnsi="Times New Roman"/>
          <w:sz w:val="14"/>
          <w:szCs w:val="14"/>
          <w:color w:val="auto"/>
        </w:rPr>
        <w:t>NRS 78.7502(3) provides that any discretionary indemnification pursuant to the statutory provisions of NRS 78.7502 (unless ordered by a court or advanced pursuant to NRS 78.751(2)), may be made by the corporation only as authorized in the specific case upon a determination that indemnification of the director, officer, employee or agent is proper under the circumstances. The determination must be made (i) by the stockholders; (ii) by the board of directors by majority vote of a quorum consisting of directors who were not parties to the action, suit or proceeding; or (iii) if a majority vote of a quorum consisting of directors who were not parties to the action, suit or proceeding so orders, or if a quorum consisting of directors who were not parties to the action, suit or proceeding cannot be obtained, by independent legal counsel in a written opinion. NRS 78.751(2) provides that unless otherwise restricted by the corporation’s articles of incorporation or bylaws, or an agreement made by the corporation, the corporation may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w:t>
      </w:r>
    </w:p>
    <w:p>
      <w:pPr>
        <w:spacing w:after="0" w:line="34" w:lineRule="exact"/>
        <w:rPr>
          <w:sz w:val="20"/>
          <w:szCs w:val="20"/>
          <w:color w:val="auto"/>
        </w:rPr>
      </w:pPr>
    </w:p>
    <w:p>
      <w:pPr>
        <w:ind w:left="1240" w:right="1259" w:firstLine="287"/>
        <w:spacing w:after="0" w:line="263" w:lineRule="auto"/>
        <w:rPr>
          <w:sz w:val="20"/>
          <w:szCs w:val="20"/>
          <w:color w:val="auto"/>
        </w:rPr>
      </w:pPr>
      <w:r>
        <w:rPr>
          <w:rFonts w:ascii="Times New Roman" w:cs="Times New Roman" w:eastAsia="Times New Roman" w:hAnsi="Times New Roman"/>
          <w:sz w:val="14"/>
          <w:szCs w:val="14"/>
          <w:color w:val="auto"/>
        </w:rPr>
        <w:t>The registrant’s articles of incorporation eliminate or limit the liability of its directors and officers to the fullest extent permitted by the NRS, provided that no such elimination or limitation of liability under the NRS shall apply to any director’s or officer’s act or failure to act that is proven to constitute a breach of such director’s or officer’s fiduciary duties as a director or officer, which breach (i) constitutes a breach of the duty of loyalty, (ii) involves acts or omissions not in good faith or which involve intentional misconduct or a knowing violation of law, or (iii) results in a transaction from which such director or officer derived an improper personal benefit.</w:t>
      </w:r>
    </w:p>
    <w:p>
      <w:pPr>
        <w:spacing w:after="0" w:line="202" w:lineRule="exact"/>
        <w:rPr>
          <w:sz w:val="20"/>
          <w:szCs w:val="20"/>
          <w:color w:val="auto"/>
        </w:rPr>
      </w:pPr>
    </w:p>
    <w:p>
      <w:pPr>
        <w:ind w:left="1240" w:right="1279" w:firstLine="287"/>
        <w:spacing w:after="0" w:line="269" w:lineRule="auto"/>
        <w:rPr>
          <w:sz w:val="20"/>
          <w:szCs w:val="20"/>
          <w:color w:val="auto"/>
        </w:rPr>
      </w:pPr>
      <w:r>
        <w:rPr>
          <w:rFonts w:ascii="Times New Roman" w:cs="Times New Roman" w:eastAsia="Times New Roman" w:hAnsi="Times New Roman"/>
          <w:sz w:val="14"/>
          <w:szCs w:val="14"/>
          <w:color w:val="auto"/>
        </w:rPr>
        <w:t>The registrant maintains standard policies of insurance under which coverage is provided (i) to its directors and officers against loss arising from claims made by reason of breach of duty or other wrongful act, and (ii) to the registrant with respect to payments which may be made by the registrant to such directors and officers pursuant to the above indemnification provisions or otherwise as a matter of law.</w:t>
      </w:r>
    </w:p>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List of Exhibits</w:t>
      </w:r>
      <w:r>
        <w:rPr>
          <w:rFonts w:ascii="Times New Roman" w:cs="Times New Roman" w:eastAsia="Times New Roman" w:hAnsi="Times New Roman"/>
          <w:sz w:val="14"/>
          <w:szCs w:val="14"/>
          <w:b w:val="1"/>
          <w:bCs w:val="1"/>
          <w:color w:val="auto"/>
        </w:rPr>
        <w:t>.</w:t>
      </w:r>
    </w:p>
    <w:p>
      <w:pPr>
        <w:spacing w:after="0" w:line="80" w:lineRule="exact"/>
        <w:rPr>
          <w:sz w:val="20"/>
          <w:szCs w:val="20"/>
          <w:color w:val="auto"/>
        </w:rPr>
      </w:pPr>
    </w:p>
    <w:p>
      <w:pPr>
        <w:ind w:left="1240" w:right="1639" w:firstLine="287"/>
        <w:spacing w:after="0" w:line="267" w:lineRule="auto"/>
        <w:rPr>
          <w:sz w:val="20"/>
          <w:szCs w:val="20"/>
          <w:color w:val="auto"/>
        </w:rPr>
      </w:pPr>
      <w:r>
        <w:rPr>
          <w:rFonts w:ascii="Times New Roman" w:cs="Times New Roman" w:eastAsia="Times New Roman" w:hAnsi="Times New Roman"/>
          <w:sz w:val="14"/>
          <w:szCs w:val="14"/>
          <w:color w:val="auto"/>
        </w:rPr>
        <w:t>The following exhibits are filed as part of this registration statement or incorporated by reference herein.</w:t>
      </w:r>
    </w:p>
    <w:p>
      <w:pPr>
        <w:sectPr>
          <w:pgSz w:w="11900" w:h="16838" w:orient="portrait"/>
          <w:cols w:equalWidth="0" w:num="1">
            <w:col w:w="9019"/>
          </w:cols>
          <w:pgMar w:left="1440" w:top="108" w:right="1440" w:bottom="1440" w:gutter="0" w:footer="0" w:header="0"/>
        </w:sectPr>
      </w:pPr>
    </w:p>
    <w:p>
      <w:pPr>
        <w:ind w:left="1240"/>
        <w:spacing w:after="0"/>
        <w:tabs>
          <w:tab w:leader="none" w:pos="450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Exhibit </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24765</wp:posOffset>
            </wp:positionV>
            <wp:extent cx="415099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4150995" cy="6985"/>
                    </a:xfrm>
                    <a:prstGeom prst="rect">
                      <a:avLst/>
                    </a:prstGeom>
                    <a:noFill/>
                  </pic:spPr>
                </pic:pic>
              </a:graphicData>
            </a:graphic>
          </wp:anchor>
        </w:drawing>
      </w:r>
    </w:p>
    <w:p>
      <w:pPr>
        <w:ind w:left="1300" w:hanging="70"/>
        <w:spacing w:after="0" w:line="183" w:lineRule="auto"/>
        <w:tabs>
          <w:tab w:leader="none" w:pos="13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Form of Underwriting Agreement.</w:t>
      </w:r>
    </w:p>
    <w:p>
      <w:pPr>
        <w:spacing w:after="0" w:line="1" w:lineRule="exact"/>
        <w:rPr>
          <w:rFonts w:ascii="Times New Roman" w:cs="Times New Roman" w:eastAsia="Times New Roman" w:hAnsi="Times New Roman"/>
          <w:sz w:val="29"/>
          <w:szCs w:val="29"/>
          <w:color w:val="auto"/>
          <w:vertAlign w:val="superscript"/>
        </w:rPr>
      </w:pPr>
    </w:p>
    <w:p>
      <w:pPr>
        <w:ind w:left="1820" w:right="200" w:hanging="590"/>
        <w:spacing w:after="0" w:line="255" w:lineRule="auto"/>
        <w:tabs>
          <w:tab w:leader="none" w:pos="1310" w:val="left"/>
        </w:tabs>
        <w:numPr>
          <w:ilvl w:val="0"/>
          <w:numId w:val="2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3.1**​ ​ </w:t>
      </w:r>
      <w:hyperlink r:id="rId43">
        <w:r>
          <w:rPr>
            <w:rFonts w:ascii="Times New Roman" w:cs="Times New Roman" w:eastAsia="Times New Roman" w:hAnsi="Times New Roman"/>
            <w:sz w:val="14"/>
            <w:szCs w:val="14"/>
            <w:u w:val="single" w:color="auto"/>
            <w:color w:val="0000EE"/>
          </w:rPr>
          <w:t>Articles of Incorporation of the Registrant (incorporated by reference to Exhibit 3.1 to the</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Registrant’s Current Report on Form 8-K, filed with the Commission on June 12, 2025).</w:t>
        </w:r>
      </w:hyperlink>
    </w:p>
    <w:p>
      <w:pPr>
        <w:ind w:left="1820" w:hanging="590"/>
        <w:spacing w:after="0" w:line="272" w:lineRule="auto"/>
        <w:tabs>
          <w:tab w:leader="none" w:pos="1310" w:val="left"/>
        </w:tabs>
        <w:numPr>
          <w:ilvl w:val="0"/>
          <w:numId w:val="2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3.2**​ ​ </w:t>
      </w:r>
      <w:hyperlink r:id="rId44">
        <w:r>
          <w:rPr>
            <w:rFonts w:ascii="Times New Roman" w:cs="Times New Roman" w:eastAsia="Times New Roman" w:hAnsi="Times New Roman"/>
            <w:sz w:val="14"/>
            <w:szCs w:val="14"/>
            <w:u w:val="single" w:color="auto"/>
            <w:color w:val="0000EE"/>
          </w:rPr>
          <w:t>Bylaws of the Registrant (incorporated by reference to Exhibit 3.2 to the Registrant’s Current</w:t>
        </w:r>
      </w:hyperlink>
      <w:r>
        <w:rPr>
          <w:rFonts w:ascii="Times New Roman" w:cs="Times New Roman" w:eastAsia="Times New Roman" w:hAnsi="Times New Roman"/>
          <w:sz w:val="14"/>
          <w:szCs w:val="14"/>
          <w:color w:val="auto"/>
        </w:rPr>
        <w:t xml:space="preserve"> </w:t>
      </w:r>
      <w:hyperlink r:id="rId44">
        <w:r>
          <w:rPr>
            <w:rFonts w:ascii="Times New Roman" w:cs="Times New Roman" w:eastAsia="Times New Roman" w:hAnsi="Times New Roman"/>
            <w:sz w:val="14"/>
            <w:szCs w:val="14"/>
            <w:u w:val="single" w:color="auto"/>
            <w:color w:val="0000EE"/>
          </w:rPr>
          <w:t>Report on Form 8-K, filed with the Commission on June 12, 2025).</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123" w:lineRule="exact"/>
        <w:rPr>
          <w:rFonts w:ascii="Times New Roman" w:cs="Times New Roman" w:eastAsia="Times New Roman" w:hAnsi="Times New Roman"/>
          <w:sz w:val="14"/>
          <w:szCs w:val="1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8" w:lineRule="exact"/>
        <w:rPr>
          <w:rFonts w:ascii="Times New Roman" w:cs="Times New Roman" w:eastAsia="Times New Roman" w:hAnsi="Times New Roman"/>
          <w:sz w:val="14"/>
          <w:szCs w:val="14"/>
          <w:color w:val="auto"/>
        </w:rPr>
      </w:pPr>
    </w:p>
    <w:p>
      <w:pPr>
        <w:sectPr>
          <w:pgSz w:w="11900" w:h="16838" w:orient="portrait"/>
          <w:cols w:equalWidth="0" w:num="2">
            <w:col w:w="7440" w:space="320"/>
            <w:col w:w="1259"/>
          </w:cols>
          <w:pgMar w:left="1440" w:top="108" w:right="1440" w:bottom="1440" w:gutter="0" w:footer="0" w:header="0"/>
          <w:type w:val="continuous"/>
        </w:sectPr>
      </w:pPr>
    </w:p>
    <w:tbl>
      <w:tblPr>
        <w:tblLayout w:type="fixed"/>
        <w:tblInd w:w="240" w:type="dxa"/>
        <w:tblCellMar>
          <w:top w:w="0" w:type="dxa"/>
          <w:left w:w="0" w:type="dxa"/>
          <w:bottom w:w="0" w:type="dxa"/>
          <w:right w:w="0" w:type="dxa"/>
        </w:tblCellMar>
      </w:tblPr>
      <w:tr>
        <w:trPr>
          <w:trHeight w:val="163"/>
        </w:trPr>
        <w:tc>
          <w:tcPr>
            <w:tcW w:w="7500" w:type="dxa"/>
            <w:vAlign w:val="bottom"/>
            <w:gridSpan w:val="6"/>
          </w:tcPr>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4.1**​ ​ </w:t>
            </w:r>
            <w:hyperlink r:id="rId45">
              <w:r>
                <w:rPr>
                  <w:rFonts w:ascii="Times New Roman" w:cs="Times New Roman" w:eastAsia="Times New Roman" w:hAnsi="Times New Roman"/>
                  <w:sz w:val="14"/>
                  <w:szCs w:val="14"/>
                  <w:color w:val="0000EE"/>
                </w:rPr>
                <w:t>Indenture between the Registrant (then known as Fidelity National Title Group, Inc.) and The</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5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2"/>
        </w:trPr>
        <w:tc>
          <w:tcPr>
            <w:tcW w:w="1580" w:type="dxa"/>
            <w:vAlign w:val="bottom"/>
          </w:tcPr>
          <w:p>
            <w:pPr>
              <w:spacing w:after="0"/>
              <w:rPr>
                <w:sz w:val="13"/>
                <w:szCs w:val="13"/>
                <w:color w:val="auto"/>
              </w:rPr>
            </w:pPr>
          </w:p>
        </w:tc>
        <w:tc>
          <w:tcPr>
            <w:tcW w:w="5920" w:type="dxa"/>
            <w:vAlign w:val="bottom"/>
            <w:tcBorders>
              <w:bottom w:val="single" w:sz="8" w:color="0000EE"/>
            </w:tcBorders>
            <w:gridSpan w:val="5"/>
          </w:tcPr>
          <w:p>
            <w:pPr>
              <w:spacing w:after="0" w:line="153"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Bank of New York Mellon Trust Company, N.A. (formerly known as The Bank of New York Trust</w:t>
              </w:r>
            </w:hyperlink>
          </w:p>
        </w:tc>
        <w:tc>
          <w:tcPr>
            <w:tcW w:w="1040" w:type="dxa"/>
            <w:vAlign w:val="bottom"/>
          </w:tcPr>
          <w:p>
            <w:pPr>
              <w:spacing w:after="0"/>
              <w:rPr>
                <w:sz w:val="13"/>
                <w:szCs w:val="13"/>
                <w:color w:val="auto"/>
              </w:rPr>
            </w:pPr>
          </w:p>
        </w:tc>
      </w:tr>
      <w:tr>
        <w:trPr>
          <w:trHeight w:val="152"/>
        </w:trPr>
        <w:tc>
          <w:tcPr>
            <w:tcW w:w="1580" w:type="dxa"/>
            <w:vAlign w:val="bottom"/>
          </w:tcPr>
          <w:p>
            <w:pPr>
              <w:spacing w:after="0"/>
              <w:rPr>
                <w:sz w:val="13"/>
                <w:szCs w:val="13"/>
                <w:color w:val="auto"/>
              </w:rPr>
            </w:pPr>
          </w:p>
        </w:tc>
        <w:tc>
          <w:tcPr>
            <w:tcW w:w="5740" w:type="dxa"/>
            <w:vAlign w:val="bottom"/>
            <w:tcBorders>
              <w:bottom w:val="single" w:sz="8" w:color="0000EE"/>
            </w:tcBorders>
            <w:gridSpan w:val="4"/>
          </w:tcPr>
          <w:p>
            <w:pPr>
              <w:spacing w:after="0" w:line="153"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Company, N.A.), dated as of December 8, 2005 (incorporated by reference to Exhibit 4.1 to the</w:t>
              </w:r>
            </w:hyperlink>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2"/>
        </w:trPr>
        <w:tc>
          <w:tcPr>
            <w:tcW w:w="1580" w:type="dxa"/>
            <w:vAlign w:val="bottom"/>
          </w:tcPr>
          <w:p>
            <w:pPr>
              <w:spacing w:after="0"/>
              <w:rPr>
                <w:sz w:val="13"/>
                <w:szCs w:val="13"/>
                <w:color w:val="auto"/>
              </w:rPr>
            </w:pPr>
          </w:p>
        </w:tc>
        <w:tc>
          <w:tcPr>
            <w:tcW w:w="5380" w:type="dxa"/>
            <w:vAlign w:val="bottom"/>
            <w:tcBorders>
              <w:bottom w:val="single" w:sz="8" w:color="0000EE"/>
            </w:tcBorders>
            <w:gridSpan w:val="2"/>
          </w:tcPr>
          <w:p>
            <w:pPr>
              <w:spacing w:after="0" w:line="153"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Registrant’s Annual Report on Form 10-K for the year ended December 31, 2005 filed on</w:t>
              </w:r>
            </w:hyperlink>
          </w:p>
        </w:tc>
        <w:tc>
          <w:tcPr>
            <w:tcW w:w="540" w:type="dxa"/>
            <w:vAlign w:val="bottom"/>
            <w:gridSpan w:val="3"/>
          </w:tcPr>
          <w:p>
            <w:pPr>
              <w:spacing w:after="0"/>
              <w:rPr>
                <w:sz w:val="13"/>
                <w:szCs w:val="13"/>
                <w:color w:val="auto"/>
              </w:rPr>
            </w:pPr>
          </w:p>
        </w:tc>
        <w:tc>
          <w:tcPr>
            <w:tcW w:w="1040" w:type="dxa"/>
            <w:vAlign w:val="bottom"/>
          </w:tcPr>
          <w:p>
            <w:pPr>
              <w:spacing w:after="0"/>
              <w:rPr>
                <w:sz w:val="13"/>
                <w:szCs w:val="13"/>
                <w:color w:val="auto"/>
              </w:rPr>
            </w:pPr>
          </w:p>
        </w:tc>
      </w:tr>
      <w:tr>
        <w:trPr>
          <w:trHeight w:val="152"/>
        </w:trPr>
        <w:tc>
          <w:tcPr>
            <w:tcW w:w="1580" w:type="dxa"/>
            <w:vAlign w:val="bottom"/>
          </w:tcPr>
          <w:p>
            <w:pPr>
              <w:spacing w:after="0"/>
              <w:rPr>
                <w:sz w:val="13"/>
                <w:szCs w:val="13"/>
                <w:color w:val="auto"/>
              </w:rPr>
            </w:pPr>
          </w:p>
        </w:tc>
        <w:tc>
          <w:tcPr>
            <w:tcW w:w="5920" w:type="dxa"/>
            <w:vAlign w:val="bottom"/>
            <w:gridSpan w:val="5"/>
          </w:tcPr>
          <w:p>
            <w:pPr>
              <w:spacing w:after="0" w:line="153"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March 16, 2006).</w:t>
              </w:r>
            </w:hyperlink>
          </w:p>
        </w:tc>
        <w:tc>
          <w:tcPr>
            <w:tcW w:w="1040" w:type="dxa"/>
            <w:vAlign w:val="bottom"/>
          </w:tcPr>
          <w:p>
            <w:pPr>
              <w:spacing w:after="0"/>
              <w:rPr>
                <w:sz w:val="13"/>
                <w:szCs w:val="13"/>
                <w:color w:val="auto"/>
              </w:rPr>
            </w:pPr>
          </w:p>
        </w:tc>
      </w:tr>
      <w:tr>
        <w:trPr>
          <w:trHeight w:val="496"/>
        </w:trPr>
        <w:tc>
          <w:tcPr>
            <w:tcW w:w="158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880" w:type="dxa"/>
            <w:vAlign w:val="bottom"/>
            <w:gridSpan w:val="4"/>
          </w:tcPr>
          <w:p>
            <w:pPr>
              <w:ind w:left="1520"/>
              <w:spacing w:after="0"/>
              <w:rPr>
                <w:sz w:val="20"/>
                <w:szCs w:val="20"/>
                <w:color w:val="auto"/>
              </w:rPr>
            </w:pPr>
            <w:r>
              <w:rPr>
                <w:rFonts w:ascii="Times New Roman" w:cs="Times New Roman" w:eastAsia="Times New Roman" w:hAnsi="Times New Roman"/>
                <w:sz w:val="14"/>
                <w:szCs w:val="14"/>
                <w:color w:val="auto"/>
              </w:rPr>
              <w:t>II-2</w:t>
            </w:r>
          </w:p>
        </w:tc>
        <w:tc>
          <w:tcPr>
            <w:tcW w:w="1040" w:type="dxa"/>
            <w:vAlign w:val="bottom"/>
          </w:tcPr>
          <w:p>
            <w:pPr>
              <w:spacing w:after="0"/>
              <w:rPr>
                <w:sz w:val="24"/>
                <w:szCs w:val="24"/>
                <w:color w:val="auto"/>
              </w:rPr>
            </w:pPr>
          </w:p>
        </w:tc>
      </w:tr>
      <w:tr>
        <w:trPr>
          <w:trHeight w:val="315"/>
        </w:trPr>
        <w:tc>
          <w:tcPr>
            <w:tcW w:w="1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23" w:name="page24"/>
    <w:bookmarkEnd w:id="23"/>
    <w:p>
      <w:pPr>
        <w:ind w:left="2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240"/>
        <w:spacing w:after="0"/>
        <w:tabs>
          <w:tab w:leader="none" w:pos="450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Exhibit </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31115</wp:posOffset>
            </wp:positionV>
            <wp:extent cx="41509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150995" cy="6985"/>
                    </a:xfrm>
                    <a:prstGeom prst="rect">
                      <a:avLst/>
                    </a:prstGeom>
                    <a:noFill/>
                  </pic:spPr>
                </pic:pic>
              </a:graphicData>
            </a:graphic>
          </wp:anchor>
        </w:drawing>
      </w:r>
    </w:p>
    <w:p>
      <w:pPr>
        <w:spacing w:after="0" w:line="31" w:lineRule="exact"/>
        <w:rPr>
          <w:sz w:val="20"/>
          <w:szCs w:val="20"/>
          <w:color w:val="auto"/>
        </w:rPr>
      </w:pPr>
    </w:p>
    <w:p>
      <w:pPr>
        <w:ind w:left="1820" w:hanging="590"/>
        <w:spacing w:after="0" w:line="267" w:lineRule="auto"/>
        <w:tabs>
          <w:tab w:leader="none" w:pos="1310" w:val="left"/>
        </w:tabs>
        <w:numPr>
          <w:ilvl w:val="0"/>
          <w:numId w:val="2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4.2**​ ​ </w:t>
      </w:r>
      <w:hyperlink r:id="rId49">
        <w:r>
          <w:rPr>
            <w:rFonts w:ascii="Times New Roman" w:cs="Times New Roman" w:eastAsia="Times New Roman" w:hAnsi="Times New Roman"/>
            <w:sz w:val="14"/>
            <w:szCs w:val="14"/>
            <w:u w:val="single" w:color="auto"/>
            <w:color w:val="0000EE"/>
          </w:rPr>
          <w:t>First Supplemental Indenture between the Registrant (then known as Fidelity National Title</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Group, Inc.) and The Bank of New York Mellon Trust Company, N.A. (formerly known as The</w:t>
        </w:r>
      </w:hyperlink>
      <w:r>
        <w:rPr>
          <w:rFonts w:ascii="Times New Roman" w:cs="Times New Roman" w:eastAsia="Times New Roman" w:hAnsi="Times New Roman"/>
          <w:sz w:val="14"/>
          <w:szCs w:val="14"/>
          <w:u w:val="single" w:color="auto"/>
          <w:color w:val="0000EE"/>
        </w:rPr>
        <w:t xml:space="preserve"> </w:t>
      </w:r>
      <w:hyperlink r:id="rId49">
        <w:r>
          <w:rPr>
            <w:rFonts w:ascii="Times New Roman" w:cs="Times New Roman" w:eastAsia="Times New Roman" w:hAnsi="Times New Roman"/>
            <w:sz w:val="14"/>
            <w:szCs w:val="14"/>
            <w:u w:val="single" w:color="auto"/>
            <w:color w:val="0000EE"/>
          </w:rPr>
          <w:t>Bank of New York Trust Company, N.A.), dated as of January 6, 2006 (incorporated by reference</w:t>
        </w:r>
      </w:hyperlink>
      <w:r>
        <w:rPr>
          <w:rFonts w:ascii="Times New Roman" w:cs="Times New Roman" w:eastAsia="Times New Roman" w:hAnsi="Times New Roman"/>
          <w:sz w:val="14"/>
          <w:szCs w:val="14"/>
          <w:u w:val="single" w:color="auto"/>
          <w:color w:val="0000EE"/>
        </w:rPr>
        <w:t xml:space="preserve"> </w:t>
      </w:r>
      <w:hyperlink r:id="rId49">
        <w:r>
          <w:rPr>
            <w:rFonts w:ascii="Times New Roman" w:cs="Times New Roman" w:eastAsia="Times New Roman" w:hAnsi="Times New Roman"/>
            <w:sz w:val="14"/>
            <w:szCs w:val="14"/>
            <w:u w:val="single" w:color="auto"/>
            <w:color w:val="0000EE"/>
          </w:rPr>
          <w:t>to Exhibit 4.1 to the Registrant’s Current Report on Form 8-K filed on January 24, 2006).</w:t>
        </w:r>
      </w:hyperlink>
    </w:p>
    <w:p>
      <w:pPr>
        <w:spacing w:after="0" w:line="2" w:lineRule="exact"/>
        <w:rPr>
          <w:rFonts w:ascii="Times New Roman" w:cs="Times New Roman" w:eastAsia="Times New Roman" w:hAnsi="Times New Roman"/>
          <w:sz w:val="14"/>
          <w:szCs w:val="14"/>
          <w:u w:val="single" w:color="auto"/>
          <w:color w:val="0000EE"/>
        </w:rPr>
      </w:pPr>
    </w:p>
    <w:p>
      <w:pPr>
        <w:ind w:left="1300" w:hanging="70"/>
        <w:spacing w:after="0"/>
        <w:tabs>
          <w:tab w:leader="none" w:pos="1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4.3**​ ​ </w:t>
      </w:r>
      <w:hyperlink r:id="rId50">
        <w:r>
          <w:rPr>
            <w:rFonts w:ascii="Times New Roman" w:cs="Times New Roman" w:eastAsia="Times New Roman" w:hAnsi="Times New Roman"/>
            <w:sz w:val="14"/>
            <w:szCs w:val="14"/>
            <w:u w:val="single" w:color="auto"/>
            <w:color w:val="0000EE"/>
          </w:rPr>
          <w:t>Second Supplemental Indenture between the Registrant and The Bank of New York Mellon Trust</w:t>
        </w:r>
      </w:hyperlink>
    </w:p>
    <w:p>
      <w:pPr>
        <w:spacing w:after="0" w:line="43" w:lineRule="exact"/>
        <w:rPr>
          <w:rFonts w:ascii="Times New Roman" w:cs="Times New Roman" w:eastAsia="Times New Roman" w:hAnsi="Times New Roman"/>
          <w:sz w:val="14"/>
          <w:szCs w:val="14"/>
          <w:color w:val="auto"/>
        </w:rPr>
      </w:pPr>
    </w:p>
    <w:p>
      <w:pPr>
        <w:ind w:left="1820" w:right="520"/>
        <w:spacing w:after="0" w:line="256" w:lineRule="auto"/>
        <w:rPr>
          <w:rFonts w:ascii="Times New Roman" w:cs="Times New Roman" w:eastAsia="Times New Roman" w:hAnsi="Times New Roman"/>
          <w:sz w:val="14"/>
          <w:szCs w:val="14"/>
          <w:u w:val="single" w:color="auto"/>
          <w:color w:val="0000EE"/>
        </w:rPr>
      </w:pPr>
      <w:hyperlink r:id="rId50">
        <w:r>
          <w:rPr>
            <w:rFonts w:ascii="Times New Roman" w:cs="Times New Roman" w:eastAsia="Times New Roman" w:hAnsi="Times New Roman"/>
            <w:sz w:val="14"/>
            <w:szCs w:val="14"/>
            <w:u w:val="single" w:color="auto"/>
            <w:color w:val="0000EE"/>
          </w:rPr>
          <w:t>Company, N.A., dated as of May 5, 2010 (incorporated by reference to Exhibit 4.1 to the</w:t>
        </w:r>
      </w:hyperlink>
      <w:r>
        <w:rPr>
          <w:rFonts w:ascii="Times New Roman" w:cs="Times New Roman" w:eastAsia="Times New Roman" w:hAnsi="Times New Roman"/>
          <w:sz w:val="14"/>
          <w:szCs w:val="14"/>
          <w:u w:val="single" w:color="auto"/>
          <w:color w:val="0000EE"/>
        </w:rPr>
        <w:t xml:space="preserve"> </w:t>
      </w:r>
      <w:hyperlink r:id="rId50">
        <w:r>
          <w:rPr>
            <w:rFonts w:ascii="Times New Roman" w:cs="Times New Roman" w:eastAsia="Times New Roman" w:hAnsi="Times New Roman"/>
            <w:sz w:val="14"/>
            <w:szCs w:val="14"/>
            <w:u w:val="single" w:color="auto"/>
            <w:color w:val="0000EE"/>
          </w:rPr>
          <w:t>Registrant’s Current Report on Form 8-K filed on May 5, 2010).</w:t>
        </w:r>
      </w:hyperlink>
    </w:p>
    <w:p>
      <w:pPr>
        <w:spacing w:after="0" w:line="1" w:lineRule="exact"/>
        <w:rPr>
          <w:rFonts w:ascii="Times New Roman" w:cs="Times New Roman" w:eastAsia="Times New Roman" w:hAnsi="Times New Roman"/>
          <w:sz w:val="14"/>
          <w:szCs w:val="14"/>
          <w:u w:val="single" w:color="auto"/>
          <w:color w:val="0000EE"/>
        </w:rPr>
      </w:pPr>
    </w:p>
    <w:p>
      <w:pPr>
        <w:ind w:left="1820" w:hanging="590"/>
        <w:spacing w:after="0" w:line="272" w:lineRule="auto"/>
        <w:tabs>
          <w:tab w:leader="none" w:pos="1310" w:val="left"/>
        </w:tabs>
        <w:numPr>
          <w:ilvl w:val="0"/>
          <w:numId w:val="2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4.4**​ ​ </w:t>
      </w:r>
      <w:hyperlink r:id="rId51">
        <w:r>
          <w:rPr>
            <w:rFonts w:ascii="Times New Roman" w:cs="Times New Roman" w:eastAsia="Times New Roman" w:hAnsi="Times New Roman"/>
            <w:sz w:val="14"/>
            <w:szCs w:val="14"/>
            <w:u w:val="single" w:color="auto"/>
            <w:color w:val="0000EE"/>
          </w:rPr>
          <w:t>Eighth Supplemental Indenture, dated as of April 22, 2024, between the Registrant and The Bank</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of New York Mellon Trust Company, N.A. (incorporated by reference to Exhibit 4.1 to</w:t>
        </w:r>
      </w:hyperlink>
      <w:r>
        <w:rPr>
          <w:rFonts w:ascii="Times New Roman" w:cs="Times New Roman" w:eastAsia="Times New Roman" w:hAnsi="Times New Roman"/>
          <w:sz w:val="14"/>
          <w:szCs w:val="14"/>
          <w:u w:val="single" w:color="auto"/>
          <w:color w:val="0000EE"/>
        </w:rPr>
        <w:t xml:space="preserve"> </w:t>
      </w:r>
      <w:hyperlink r:id="rId51">
        <w:r>
          <w:rPr>
            <w:rFonts w:ascii="Times New Roman" w:cs="Times New Roman" w:eastAsia="Times New Roman" w:hAnsi="Times New Roman"/>
            <w:sz w:val="14"/>
            <w:szCs w:val="14"/>
            <w:u w:val="single" w:color="auto"/>
            <w:color w:val="0000EE"/>
          </w:rPr>
          <w:t>Registrant’s Current Report on Form 8-K filed on April 23, 2024).</w:t>
        </w:r>
      </w:hyperlink>
    </w:p>
    <w:p>
      <w:pPr>
        <w:spacing w:after="0" w:line="1" w:lineRule="exact"/>
        <w:rPr>
          <w:rFonts w:ascii="Times New Roman" w:cs="Times New Roman" w:eastAsia="Times New Roman" w:hAnsi="Times New Roman"/>
          <w:sz w:val="14"/>
          <w:szCs w:val="14"/>
          <w:u w:val="single" w:color="auto"/>
          <w:color w:val="0000EE"/>
        </w:rPr>
      </w:pPr>
    </w:p>
    <w:p>
      <w:pPr>
        <w:ind w:left="1820" w:right="20" w:hanging="590"/>
        <w:spacing w:after="0" w:line="276" w:lineRule="auto"/>
        <w:tabs>
          <w:tab w:leader="none" w:pos="1310" w:val="left"/>
        </w:tabs>
        <w:numPr>
          <w:ilvl w:val="0"/>
          <w:numId w:val="2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4.5**​ ​ </w:t>
      </w:r>
      <w:hyperlink r:id="rId52">
        <w:r>
          <w:rPr>
            <w:rFonts w:ascii="Times New Roman" w:cs="Times New Roman" w:eastAsia="Times New Roman" w:hAnsi="Times New Roman"/>
            <w:sz w:val="14"/>
            <w:szCs w:val="14"/>
            <w:u w:val="single" w:color="auto"/>
            <w:color w:val="0000EE"/>
          </w:rPr>
          <w:t>Ninth Supplemental Indenture, dated as of June 4, 2025, between the Registrant and The Bank of</w:t>
        </w:r>
      </w:hyperlink>
      <w:r>
        <w:rPr>
          <w:rFonts w:ascii="Times New Roman" w:cs="Times New Roman" w:eastAsia="Times New Roman" w:hAnsi="Times New Roman"/>
          <w:sz w:val="14"/>
          <w:szCs w:val="14"/>
          <w:color w:val="auto"/>
        </w:rPr>
        <w:t xml:space="preserve"> </w:t>
      </w:r>
      <w:hyperlink r:id="rId52">
        <w:r>
          <w:rPr>
            <w:rFonts w:ascii="Times New Roman" w:cs="Times New Roman" w:eastAsia="Times New Roman" w:hAnsi="Times New Roman"/>
            <w:sz w:val="14"/>
            <w:szCs w:val="14"/>
            <w:u w:val="single" w:color="auto"/>
            <w:color w:val="0000EE"/>
          </w:rPr>
          <w:t>New York Mellon Trust Company, N.A. (incorporated by reference to Exhibit No. 4.1 to the</w:t>
        </w:r>
      </w:hyperlink>
      <w:r>
        <w:rPr>
          <w:rFonts w:ascii="Times New Roman" w:cs="Times New Roman" w:eastAsia="Times New Roman" w:hAnsi="Times New Roman"/>
          <w:sz w:val="14"/>
          <w:szCs w:val="14"/>
          <w:u w:val="single" w:color="auto"/>
          <w:color w:val="0000EE"/>
        </w:rPr>
        <w:t xml:space="preserve"> </w:t>
      </w:r>
      <w:hyperlink r:id="rId52">
        <w:r>
          <w:rPr>
            <w:rFonts w:ascii="Times New Roman" w:cs="Times New Roman" w:eastAsia="Times New Roman" w:hAnsi="Times New Roman"/>
            <w:sz w:val="14"/>
            <w:szCs w:val="14"/>
            <w:u w:val="single" w:color="auto"/>
            <w:color w:val="0000EE"/>
          </w:rPr>
          <w:t>Registrant’s Current Report on Form 8-K filed with the Commission on June 4, 2025).</w:t>
        </w:r>
      </w:hyperlink>
    </w:p>
    <w:p>
      <w:pPr>
        <w:spacing w:after="0" w:line="1" w:lineRule="exact"/>
        <w:rPr>
          <w:rFonts w:ascii="Times New Roman" w:cs="Times New Roman" w:eastAsia="Times New Roman" w:hAnsi="Times New Roman"/>
          <w:sz w:val="14"/>
          <w:szCs w:val="14"/>
          <w:u w:val="single" w:color="auto"/>
          <w:color w:val="0000EE"/>
        </w:rPr>
      </w:pPr>
    </w:p>
    <w:p>
      <w:pPr>
        <w:ind w:left="1820" w:hanging="590"/>
        <w:spacing w:after="0" w:line="269" w:lineRule="auto"/>
        <w:tabs>
          <w:tab w:leader="none" w:pos="1310" w:val="left"/>
        </w:tabs>
        <w:numPr>
          <w:ilvl w:val="0"/>
          <w:numId w:val="2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4.6**​ ​ </w:t>
      </w:r>
      <w:hyperlink r:id="rId53">
        <w:r>
          <w:rPr>
            <w:rFonts w:ascii="Times New Roman" w:cs="Times New Roman" w:eastAsia="Times New Roman" w:hAnsi="Times New Roman"/>
            <w:sz w:val="14"/>
            <w:szCs w:val="14"/>
            <w:u w:val="single" w:color="auto"/>
            <w:color w:val="0000EE"/>
          </w:rPr>
          <w:t>Form of Subordinated Indenture between the Registrant and The Bank of New York Mellon Trust</w:t>
        </w:r>
      </w:hyperlink>
      <w:r>
        <w:rPr>
          <w:rFonts w:ascii="Times New Roman" w:cs="Times New Roman" w:eastAsia="Times New Roman" w:hAnsi="Times New Roman"/>
          <w:sz w:val="14"/>
          <w:szCs w:val="14"/>
          <w:color w:val="auto"/>
        </w:rPr>
        <w:t xml:space="preserve"> </w:t>
      </w:r>
      <w:hyperlink r:id="rId53">
        <w:r>
          <w:rPr>
            <w:rFonts w:ascii="Times New Roman" w:cs="Times New Roman" w:eastAsia="Times New Roman" w:hAnsi="Times New Roman"/>
            <w:sz w:val="14"/>
            <w:szCs w:val="14"/>
            <w:u w:val="single" w:color="auto"/>
            <w:color w:val="0000EE"/>
          </w:rPr>
          <w:t>Company, N.A. (formerly known as The Bank of New York Trust Company, N.A.) (incorporated</w:t>
        </w:r>
      </w:hyperlink>
      <w:r>
        <w:rPr>
          <w:rFonts w:ascii="Times New Roman" w:cs="Times New Roman" w:eastAsia="Times New Roman" w:hAnsi="Times New Roman"/>
          <w:sz w:val="14"/>
          <w:szCs w:val="14"/>
          <w:u w:val="single" w:color="auto"/>
          <w:color w:val="0000EE"/>
        </w:rPr>
        <w:t xml:space="preserve"> </w:t>
      </w:r>
      <w:hyperlink r:id="rId53">
        <w:r>
          <w:rPr>
            <w:rFonts w:ascii="Times New Roman" w:cs="Times New Roman" w:eastAsia="Times New Roman" w:hAnsi="Times New Roman"/>
            <w:sz w:val="14"/>
            <w:szCs w:val="14"/>
            <w:u w:val="single" w:color="auto"/>
            <w:color w:val="0000EE"/>
          </w:rPr>
          <w:t>by reference to Exhibit 4.2(A) to the Registrant’s Registration Statement on Form S-3 filed on</w:t>
        </w:r>
      </w:hyperlink>
      <w:r>
        <w:rPr>
          <w:rFonts w:ascii="Times New Roman" w:cs="Times New Roman" w:eastAsia="Times New Roman" w:hAnsi="Times New Roman"/>
          <w:sz w:val="14"/>
          <w:szCs w:val="14"/>
          <w:u w:val="single" w:color="auto"/>
          <w:color w:val="0000EE"/>
        </w:rPr>
        <w:t xml:space="preserve"> </w:t>
      </w:r>
      <w:hyperlink r:id="rId53">
        <w:r>
          <w:rPr>
            <w:rFonts w:ascii="Times New Roman" w:cs="Times New Roman" w:eastAsia="Times New Roman" w:hAnsi="Times New Roman"/>
            <w:sz w:val="14"/>
            <w:szCs w:val="14"/>
            <w:u w:val="single" w:color="auto"/>
            <w:color w:val="0000EE"/>
          </w:rPr>
          <w:t>November 14, 2007).</w:t>
        </w:r>
      </w:hyperlink>
    </w:p>
    <w:tbl>
      <w:tblPr>
        <w:tblLayout w:type="fixed"/>
        <w:tblInd w:w="1240" w:type="dxa"/>
        <w:tblCellMar>
          <w:top w:w="0" w:type="dxa"/>
          <w:left w:w="0" w:type="dxa"/>
          <w:bottom w:w="0" w:type="dxa"/>
          <w:right w:w="0" w:type="dxa"/>
        </w:tblCellMar>
      </w:tblPr>
      <w:tr>
        <w:trPr>
          <w:trHeight w:val="198"/>
        </w:trPr>
        <w:tc>
          <w:tcPr>
            <w:tcW w:w="3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5.1</w:t>
            </w:r>
          </w:p>
        </w:tc>
        <w:tc>
          <w:tcPr>
            <w:tcW w:w="6060" w:type="dxa"/>
            <w:vAlign w:val="bottom"/>
            <w:gridSpan w:val="11"/>
          </w:tcPr>
          <w:p>
            <w:pPr>
              <w:ind w:left="80"/>
              <w:spacing w:after="0" w:line="198"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Weil, Gotshal &amp; Manges LLP.</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5.2</w:t>
            </w:r>
          </w:p>
        </w:tc>
        <w:tc>
          <w:tcPr>
            <w:tcW w:w="6060" w:type="dxa"/>
            <w:vAlign w:val="bottom"/>
            <w:gridSpan w:val="11"/>
          </w:tcPr>
          <w:p>
            <w:pPr>
              <w:ind w:left="8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Brownstein Hyatt Farber Schreck, LLP.</w:t>
            </w:r>
          </w:p>
        </w:tc>
        <w:tc>
          <w:tcPr>
            <w:tcW w:w="0" w:type="dxa"/>
            <w:vAlign w:val="bottom"/>
          </w:tcPr>
          <w:p>
            <w:pPr>
              <w:spacing w:after="0"/>
              <w:rPr>
                <w:sz w:val="1"/>
                <w:szCs w:val="1"/>
                <w:color w:val="auto"/>
              </w:rPr>
            </w:pPr>
          </w:p>
        </w:tc>
      </w:tr>
      <w:tr>
        <w:trPr>
          <w:trHeight w:val="142"/>
        </w:trPr>
        <w:tc>
          <w:tcPr>
            <w:tcW w:w="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9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1140" w:type="dxa"/>
            <w:vAlign w:val="bottom"/>
            <w:tcBorders>
              <w:top w:val="single" w:sz="8" w:color="0000EE"/>
            </w:tcBorders>
            <w:gridSpan w:val="3"/>
            <w:vMerge w:val="restart"/>
          </w:tcPr>
          <w:p>
            <w:pPr>
              <w:spacing w:after="0"/>
              <w:rPr>
                <w:sz w:val="12"/>
                <w:szCs w:val="12"/>
                <w:color w:val="auto"/>
              </w:rPr>
            </w:pPr>
          </w:p>
        </w:tc>
        <w:tc>
          <w:tcPr>
            <w:tcW w:w="274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23.1</w:t>
            </w:r>
          </w:p>
        </w:tc>
        <w:tc>
          <w:tcPr>
            <w:tcW w:w="260" w:type="dxa"/>
            <w:vAlign w:val="bottom"/>
          </w:tcPr>
          <w:p>
            <w:pPr>
              <w:spacing w:after="0"/>
              <w:rPr>
                <w:sz w:val="4"/>
                <w:szCs w:val="4"/>
                <w:color w:val="auto"/>
              </w:rPr>
            </w:pPr>
          </w:p>
        </w:tc>
        <w:tc>
          <w:tcPr>
            <w:tcW w:w="1920" w:type="dxa"/>
            <w:vAlign w:val="bottom"/>
            <w:tcBorders>
              <w:bottom w:val="single" w:sz="8" w:color="0000EE"/>
            </w:tcBorders>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58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Consent of Weil, Gotshal &amp; Manges LLP (Included in Exhibit 5.1).</w:t>
            </w:r>
          </w:p>
        </w:tc>
        <w:tc>
          <w:tcPr>
            <w:tcW w:w="0" w:type="dxa"/>
            <w:vAlign w:val="bottom"/>
          </w:tcPr>
          <w:p>
            <w:pPr>
              <w:spacing w:after="0"/>
              <w:rPr>
                <w:sz w:val="1"/>
                <w:szCs w:val="1"/>
                <w:color w:val="auto"/>
              </w:rPr>
            </w:pPr>
          </w:p>
        </w:tc>
      </w:tr>
      <w:tr>
        <w:trPr>
          <w:trHeight w:val="54"/>
        </w:trPr>
        <w:tc>
          <w:tcPr>
            <w:tcW w:w="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23.2</w:t>
            </w:r>
          </w:p>
        </w:tc>
        <w:tc>
          <w:tcPr>
            <w:tcW w:w="260" w:type="dxa"/>
            <w:vAlign w:val="bottom"/>
          </w:tcPr>
          <w:p>
            <w:pPr>
              <w:spacing w:after="0"/>
              <w:rPr>
                <w:sz w:val="4"/>
                <w:szCs w:val="4"/>
                <w:color w:val="auto"/>
              </w:rPr>
            </w:pPr>
          </w:p>
        </w:tc>
        <w:tc>
          <w:tcPr>
            <w:tcW w:w="58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8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Consent of Brownstein Hyatt Farber Schreck, LLP (Included in Exhibit 5.2).</w:t>
            </w:r>
          </w:p>
        </w:tc>
        <w:tc>
          <w:tcPr>
            <w:tcW w:w="0" w:type="dxa"/>
            <w:vAlign w:val="bottom"/>
          </w:tcPr>
          <w:p>
            <w:pPr>
              <w:spacing w:after="0"/>
              <w:rPr>
                <w:sz w:val="1"/>
                <w:szCs w:val="1"/>
                <w:color w:val="auto"/>
              </w:rPr>
            </w:pPr>
          </w:p>
        </w:tc>
      </w:tr>
      <w:tr>
        <w:trPr>
          <w:trHeight w:val="54"/>
        </w:trPr>
        <w:tc>
          <w:tcPr>
            <w:tcW w:w="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23.3</w:t>
            </w:r>
          </w:p>
        </w:tc>
        <w:tc>
          <w:tcPr>
            <w:tcW w:w="260" w:type="dxa"/>
            <w:vAlign w:val="bottom"/>
          </w:tcPr>
          <w:p>
            <w:pPr>
              <w:spacing w:after="0"/>
              <w:rPr>
                <w:sz w:val="4"/>
                <w:szCs w:val="4"/>
                <w:color w:val="auto"/>
              </w:rPr>
            </w:pPr>
          </w:p>
        </w:tc>
        <w:tc>
          <w:tcPr>
            <w:tcW w:w="58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8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Powers of Attorney (Included on signature page of this Registration Statement).</w:t>
            </w:r>
          </w:p>
        </w:tc>
        <w:tc>
          <w:tcPr>
            <w:tcW w:w="0" w:type="dxa"/>
            <w:vAlign w:val="bottom"/>
          </w:tcPr>
          <w:p>
            <w:pPr>
              <w:spacing w:after="0"/>
              <w:rPr>
                <w:sz w:val="1"/>
                <w:szCs w:val="1"/>
                <w:color w:val="auto"/>
              </w:rPr>
            </w:pPr>
          </w:p>
        </w:tc>
      </w:tr>
      <w:tr>
        <w:trPr>
          <w:trHeight w:val="54"/>
        </w:trPr>
        <w:tc>
          <w:tcPr>
            <w:tcW w:w="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24.1</w:t>
            </w:r>
          </w:p>
        </w:tc>
        <w:tc>
          <w:tcPr>
            <w:tcW w:w="260" w:type="dxa"/>
            <w:vAlign w:val="bottom"/>
          </w:tcPr>
          <w:p>
            <w:pPr>
              <w:spacing w:after="0"/>
              <w:rPr>
                <w:sz w:val="4"/>
                <w:szCs w:val="4"/>
                <w:color w:val="auto"/>
              </w:rPr>
            </w:pPr>
          </w:p>
        </w:tc>
        <w:tc>
          <w:tcPr>
            <w:tcW w:w="58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8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Statement of Eligibility on Form T-1 of The Bank of New York Mellon Trust Company, N.A., as</w:t>
            </w:r>
          </w:p>
        </w:tc>
        <w:tc>
          <w:tcPr>
            <w:tcW w:w="0" w:type="dxa"/>
            <w:vAlign w:val="bottom"/>
          </w:tcPr>
          <w:p>
            <w:pPr>
              <w:spacing w:after="0"/>
              <w:rPr>
                <w:sz w:val="1"/>
                <w:szCs w:val="1"/>
                <w:color w:val="auto"/>
              </w:rPr>
            </w:pPr>
          </w:p>
        </w:tc>
      </w:tr>
      <w:tr>
        <w:trPr>
          <w:trHeight w:val="37"/>
        </w:trPr>
        <w:tc>
          <w:tcPr>
            <w:tcW w:w="32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25.1</w:t>
            </w:r>
          </w:p>
        </w:tc>
        <w:tc>
          <w:tcPr>
            <w:tcW w:w="260" w:type="dxa"/>
            <w:vAlign w:val="bottom"/>
          </w:tcPr>
          <w:p>
            <w:pPr>
              <w:spacing w:after="0"/>
              <w:rPr>
                <w:sz w:val="2"/>
                <w:szCs w:val="2"/>
                <w:color w:val="auto"/>
              </w:rPr>
            </w:pPr>
          </w:p>
        </w:tc>
        <w:tc>
          <w:tcPr>
            <w:tcW w:w="5800" w:type="dxa"/>
            <w:vAlign w:val="bottom"/>
            <w:tcBorders>
              <w:bottom w:val="single" w:sz="8" w:color="0000EE"/>
            </w:tcBorders>
            <w:gridSpan w:val="10"/>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Borders>
              <w:bottom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4"/>
                <w:szCs w:val="14"/>
                <w:color w:val="0000EE"/>
              </w:rPr>
              <w:t>Trustee for the Senior Indenture, dated as of December 8, 2005.</w:t>
            </w:r>
          </w:p>
        </w:tc>
        <w:tc>
          <w:tcPr>
            <w:tcW w:w="19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8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Statement of Eligibility on Form T-1 of The Bank of New York Mellon Trust Company, N.A., as</w:t>
            </w:r>
          </w:p>
        </w:tc>
        <w:tc>
          <w:tcPr>
            <w:tcW w:w="0" w:type="dxa"/>
            <w:vAlign w:val="bottom"/>
          </w:tcPr>
          <w:p>
            <w:pPr>
              <w:spacing w:after="0"/>
              <w:rPr>
                <w:sz w:val="1"/>
                <w:szCs w:val="1"/>
                <w:color w:val="auto"/>
              </w:rPr>
            </w:pPr>
          </w:p>
        </w:tc>
      </w:tr>
      <w:tr>
        <w:trPr>
          <w:trHeight w:val="37"/>
        </w:trPr>
        <w:tc>
          <w:tcPr>
            <w:tcW w:w="32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25.2</w:t>
            </w:r>
          </w:p>
        </w:tc>
        <w:tc>
          <w:tcPr>
            <w:tcW w:w="260" w:type="dxa"/>
            <w:vAlign w:val="bottom"/>
          </w:tcPr>
          <w:p>
            <w:pPr>
              <w:spacing w:after="0"/>
              <w:rPr>
                <w:sz w:val="2"/>
                <w:szCs w:val="2"/>
                <w:color w:val="auto"/>
              </w:rPr>
            </w:pPr>
          </w:p>
        </w:tc>
        <w:tc>
          <w:tcPr>
            <w:tcW w:w="5800" w:type="dxa"/>
            <w:vAlign w:val="bottom"/>
            <w:tcBorders>
              <w:bottom w:val="single" w:sz="8" w:color="0000EE"/>
            </w:tcBorders>
            <w:gridSpan w:val="10"/>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60" w:type="dxa"/>
            <w:vAlign w:val="bottom"/>
            <w:tcBorders>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rPr>
              <w:t>Trustee for the form of Subordinated Indenture.</w:t>
            </w:r>
          </w:p>
        </w:tc>
        <w:tc>
          <w:tcPr>
            <w:tcW w:w="29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4780" w:type="dxa"/>
            <w:vAlign w:val="bottom"/>
            <w:gridSpan w:val="9"/>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107</w:t>
            </w:r>
          </w:p>
        </w:tc>
        <w:tc>
          <w:tcPr>
            <w:tcW w:w="260" w:type="dxa"/>
            <w:vAlign w:val="bottom"/>
          </w:tcPr>
          <w:p>
            <w:pPr>
              <w:spacing w:after="0"/>
              <w:rPr>
                <w:sz w:val="4"/>
                <w:szCs w:val="4"/>
                <w:color w:val="auto"/>
              </w:rPr>
            </w:pPr>
          </w:p>
        </w:tc>
        <w:tc>
          <w:tcPr>
            <w:tcW w:w="1020" w:type="dxa"/>
            <w:vAlign w:val="bottom"/>
            <w:tcBorders>
              <w:bottom w:val="single" w:sz="8" w:color="0000EE"/>
            </w:tcBorders>
            <w:vMerge w:val="continue"/>
          </w:tcPr>
          <w:p>
            <w:pPr>
              <w:spacing w:after="0"/>
              <w:rPr>
                <w:sz w:val="4"/>
                <w:szCs w:val="4"/>
                <w:color w:val="auto"/>
              </w:rPr>
            </w:pPr>
          </w:p>
        </w:tc>
        <w:tc>
          <w:tcPr>
            <w:tcW w:w="478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784225</wp:posOffset>
            </wp:positionH>
            <wp:positionV relativeFrom="paragraph">
              <wp:posOffset>136525</wp:posOffset>
            </wp:positionV>
            <wp:extent cx="98488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310" w:lineRule="exact"/>
        <w:rPr>
          <w:rFonts w:ascii="Times New Roman" w:cs="Times New Roman" w:eastAsia="Times New Roman" w:hAnsi="Times New Roman"/>
          <w:sz w:val="14"/>
          <w:szCs w:val="14"/>
          <w:u w:val="single" w:color="auto"/>
          <w:color w:val="0000EE"/>
        </w:rPr>
      </w:pPr>
    </w:p>
    <w:p>
      <w:pPr>
        <w:ind w:left="1240" w:right="780" w:hanging="10"/>
        <w:spacing w:after="0" w:line="406" w:lineRule="auto"/>
        <w:tabs>
          <w:tab w:leader="none" w:pos="152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 a document that will be incorporated by reference herein. ** Previously filed.</w:t>
      </w:r>
    </w:p>
    <w:p>
      <w:pPr>
        <w:spacing w:after="0" w:line="44" w:lineRule="exact"/>
        <w:rPr>
          <w:rFonts w:ascii="Times New Roman" w:cs="Times New Roman" w:eastAsia="Times New Roman" w:hAnsi="Times New Roman"/>
          <w:sz w:val="14"/>
          <w:szCs w:val="14"/>
          <w:u w:val="single" w:color="auto"/>
          <w:color w:val="0000EE"/>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Item 17. </w:t>
      </w:r>
      <w:r>
        <w:rPr>
          <w:rFonts w:ascii="Times New Roman" w:cs="Times New Roman" w:eastAsia="Times New Roman" w:hAnsi="Times New Roman"/>
          <w:sz w:val="14"/>
          <w:szCs w:val="14"/>
          <w:b w:val="1"/>
          <w:bCs w:val="1"/>
          <w:i w:val="1"/>
          <w:iCs w:val="1"/>
          <w:color w:val="auto"/>
        </w:rPr>
        <w:t>Undertakings</w:t>
      </w:r>
      <w:r>
        <w:rPr>
          <w:rFonts w:ascii="Times New Roman" w:cs="Times New Roman" w:eastAsia="Times New Roman" w:hAnsi="Times New Roman"/>
          <w:sz w:val="14"/>
          <w:szCs w:val="14"/>
          <w:b w:val="1"/>
          <w:bCs w:val="1"/>
          <w:color w:val="auto"/>
        </w:rPr>
        <w:t>.</w:t>
      </w:r>
    </w:p>
    <w:p>
      <w:pPr>
        <w:spacing w:after="0" w:line="134" w:lineRule="exact"/>
        <w:rPr>
          <w:rFonts w:ascii="Times New Roman" w:cs="Times New Roman" w:eastAsia="Times New Roman" w:hAnsi="Times New Roman"/>
          <w:sz w:val="14"/>
          <w:szCs w:val="14"/>
          <w:u w:val="single" w:color="auto"/>
          <w:color w:val="0000EE"/>
        </w:rPr>
      </w:pPr>
    </w:p>
    <w:p>
      <w:pPr>
        <w:ind w:left="1800" w:hanging="283"/>
        <w:spacing w:after="0"/>
        <w:tabs>
          <w:tab w:leader="none" w:pos="1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9" w:lineRule="exact"/>
        <w:rPr>
          <w:rFonts w:ascii="Times New Roman" w:cs="Times New Roman" w:eastAsia="Times New Roman" w:hAnsi="Times New Roman"/>
          <w:sz w:val="14"/>
          <w:szCs w:val="14"/>
          <w:color w:val="auto"/>
        </w:rPr>
      </w:pPr>
    </w:p>
    <w:p>
      <w:pPr>
        <w:ind w:left="1520" w:right="640" w:firstLine="284"/>
        <w:spacing w:after="0" w:line="294" w:lineRule="auto"/>
        <w:tabs>
          <w:tab w:leader="none" w:pos="2097"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8" w:lineRule="exact"/>
        <w:rPr>
          <w:rFonts w:ascii="Times New Roman" w:cs="Times New Roman" w:eastAsia="Times New Roman" w:hAnsi="Times New Roman"/>
          <w:sz w:val="14"/>
          <w:szCs w:val="14"/>
          <w:color w:val="auto"/>
        </w:rPr>
      </w:pPr>
    </w:p>
    <w:p>
      <w:pPr>
        <w:ind w:left="2340" w:hanging="248"/>
        <w:spacing w:after="0"/>
        <w:tabs>
          <w:tab w:leader="none" w:pos="234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br w:type="column"/>
      </w: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66" w:lineRule="exact"/>
        <w:rPr>
          <w:rFonts w:ascii="Times New Roman" w:cs="Times New Roman" w:eastAsia="Times New Roman" w:hAnsi="Times New Roman"/>
          <w:sz w:val="14"/>
          <w:szCs w:val="14"/>
          <w:u w:val="single" w:color="auto"/>
          <w:color w:val="0000EE"/>
        </w:rPr>
      </w:pPr>
    </w:p>
    <w:p>
      <w:pPr>
        <w:ind w:left="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4"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u w:val="single" w:color="auto"/>
          <w:color w:val="0000EE"/>
        </w:rPr>
      </w:pPr>
    </w:p>
    <w:p>
      <w:pPr>
        <w:spacing w:after="0" w:line="355"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8"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8"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99"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u w:val="single" w:color="auto"/>
          <w:color w:val="0000EE"/>
        </w:rPr>
      </w:pPr>
    </w:p>
    <w:p>
      <w:pPr>
        <w:spacing w:after="0" w:line="361"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7"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6"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94" w:lineRule="exact"/>
        <w:rPr>
          <w:rFonts w:ascii="Times New Roman" w:cs="Times New Roman" w:eastAsia="Times New Roman" w:hAnsi="Times New Roman"/>
          <w:sz w:val="14"/>
          <w:szCs w:val="14"/>
          <w:u w:val="single" w:color="auto"/>
          <w:color w:val="0000EE"/>
        </w:rPr>
      </w:pPr>
    </w:p>
    <w:p>
      <w:pPr>
        <w:sectPr>
          <w:pgSz w:w="11900" w:h="16838" w:orient="portrait"/>
          <w:cols w:equalWidth="0" w:num="2">
            <w:col w:w="7680" w:space="80"/>
            <w:col w:w="1259"/>
          </w:cols>
          <w:pgMar w:left="1440" w:top="108" w:right="1440" w:bottom="1440" w:gutter="0" w:footer="0" w:header="0"/>
          <w:type w:val="continuous"/>
        </w:sectPr>
      </w:pPr>
    </w:p>
    <w:p>
      <w:pPr>
        <w:ind w:left="1800" w:right="1259" w:firstLine="292"/>
        <w:spacing w:after="0" w:line="261" w:lineRule="auto"/>
        <w:tabs>
          <w:tab w:leader="none" w:pos="238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0" w:lineRule="exact"/>
        <w:rPr>
          <w:rFonts w:ascii="Times New Roman" w:cs="Times New Roman" w:eastAsia="Times New Roman" w:hAnsi="Times New Roman"/>
          <w:sz w:val="14"/>
          <w:szCs w:val="14"/>
          <w:u w:val="single" w:color="auto"/>
          <w:color w:val="0000EE"/>
        </w:rPr>
      </w:pPr>
    </w:p>
    <w:p>
      <w:pPr>
        <w:spacing w:after="0" w:line="260" w:lineRule="exact"/>
        <w:rPr>
          <w:rFonts w:ascii="Times New Roman" w:cs="Times New Roman" w:eastAsia="Times New Roman" w:hAnsi="Times New Roman"/>
          <w:sz w:val="14"/>
          <w:szCs w:val="14"/>
          <w:u w:val="single" w:color="auto"/>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24" w:name="page25"/>
    <w:bookmarkEnd w:id="24"/>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0" w:right="1259" w:firstLine="292"/>
        <w:spacing w:after="0" w:line="267" w:lineRule="auto"/>
        <w:tabs>
          <w:tab w:leader="none" w:pos="243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7" w:lineRule="exact"/>
        <w:rPr>
          <w:sz w:val="20"/>
          <w:szCs w:val="20"/>
          <w:color w:val="auto"/>
        </w:rPr>
      </w:pPr>
    </w:p>
    <w:p>
      <w:pPr>
        <w:ind w:left="1240" w:right="1279" w:firstLine="287"/>
        <w:spacing w:after="0" w:line="254" w:lineRule="auto"/>
        <w:rPr>
          <w:sz w:val="20"/>
          <w:szCs w:val="20"/>
          <w:color w:val="auto"/>
        </w:rPr>
      </w:pPr>
      <w:r>
        <w:rPr>
          <w:rFonts w:ascii="Times New Roman" w:cs="Times New Roman" w:eastAsia="Times New Roman" w:hAnsi="Times New Roman"/>
          <w:sz w:val="14"/>
          <w:szCs w:val="14"/>
          <w:color w:val="auto"/>
        </w:rPr>
        <w:t>Provided, however, 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1520" w:right="1319" w:firstLine="284"/>
        <w:spacing w:after="0" w:line="258" w:lineRule="auto"/>
        <w:tabs>
          <w:tab w:leader="none" w:pos="20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4"/>
          <w:szCs w:val="14"/>
          <w:color w:val="auto"/>
        </w:rPr>
      </w:pPr>
    </w:p>
    <w:p>
      <w:pPr>
        <w:ind w:left="1520" w:right="1499" w:firstLine="284"/>
        <w:spacing w:after="0" w:line="294" w:lineRule="auto"/>
        <w:tabs>
          <w:tab w:leader="none" w:pos="20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7" w:lineRule="exact"/>
        <w:rPr>
          <w:rFonts w:ascii="Times New Roman" w:cs="Times New Roman" w:eastAsia="Times New Roman" w:hAnsi="Times New Roman"/>
          <w:sz w:val="14"/>
          <w:szCs w:val="14"/>
          <w:color w:val="auto"/>
        </w:rPr>
      </w:pPr>
    </w:p>
    <w:p>
      <w:pPr>
        <w:ind w:left="1520" w:right="1819" w:firstLine="284"/>
        <w:spacing w:after="0" w:line="277" w:lineRule="auto"/>
        <w:tabs>
          <w:tab w:leader="none" w:pos="20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69" w:lineRule="exact"/>
        <w:rPr>
          <w:rFonts w:ascii="Times New Roman" w:cs="Times New Roman" w:eastAsia="Times New Roman" w:hAnsi="Times New Roman"/>
          <w:sz w:val="14"/>
          <w:szCs w:val="14"/>
          <w:color w:val="auto"/>
        </w:rPr>
      </w:pPr>
    </w:p>
    <w:p>
      <w:pPr>
        <w:ind w:left="1800" w:right="1299" w:firstLine="292"/>
        <w:spacing w:after="0" w:line="267" w:lineRule="auto"/>
        <w:tabs>
          <w:tab w:leader="none" w:pos="227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Each prospectus filed by the registrant pursuant to Rule 424(b)(3) shall be deemed to be part of the registration statement as of the date the filed prospectus was deemed part of and included in the registration statement; and</w:t>
      </w:r>
    </w:p>
    <w:p>
      <w:pPr>
        <w:spacing w:after="0" w:line="66" w:lineRule="exact"/>
        <w:rPr>
          <w:sz w:val="20"/>
          <w:szCs w:val="20"/>
          <w:color w:val="auto"/>
        </w:rPr>
      </w:pPr>
    </w:p>
    <w:p>
      <w:pPr>
        <w:ind w:left="1800" w:right="1259" w:firstLine="292"/>
        <w:spacing w:after="0" w:line="248" w:lineRule="auto"/>
        <w:tabs>
          <w:tab w:leader="none" w:pos="2403"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61" w:lineRule="exact"/>
        <w:rPr>
          <w:rFonts w:ascii="Times New Roman" w:cs="Times New Roman" w:eastAsia="Times New Roman" w:hAnsi="Times New Roman"/>
          <w:sz w:val="14"/>
          <w:szCs w:val="14"/>
          <w:color w:val="auto"/>
        </w:rPr>
      </w:pPr>
    </w:p>
    <w:p>
      <w:pPr>
        <w:ind w:left="2100" w:hanging="296"/>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w:t>
      </w:r>
    </w:p>
    <w:p>
      <w:pPr>
        <w:spacing w:after="0" w:line="24" w:lineRule="exact"/>
        <w:rPr>
          <w:rFonts w:ascii="Times New Roman" w:cs="Times New Roman" w:eastAsia="Times New Roman" w:hAnsi="Times New Roman"/>
          <w:sz w:val="14"/>
          <w:szCs w:val="14"/>
          <w:color w:val="auto"/>
        </w:rPr>
      </w:pPr>
    </w:p>
    <w:p>
      <w:pPr>
        <w:ind w:left="1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1933 to any purchaser in the initial distribution of the securities:</w:t>
      </w:r>
    </w:p>
    <w:p>
      <w:pPr>
        <w:spacing w:after="0" w:line="105" w:lineRule="exact"/>
        <w:rPr>
          <w:sz w:val="20"/>
          <w:szCs w:val="20"/>
          <w:color w:val="auto"/>
        </w:rPr>
      </w:pPr>
    </w:p>
    <w:p>
      <w:pPr>
        <w:ind w:left="1520" w:right="1279" w:firstLine="287"/>
        <w:spacing w:after="0" w:line="254"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800" w:right="1499" w:firstLine="292"/>
        <w:spacing w:after="0" w:line="277" w:lineRule="auto"/>
        <w:tabs>
          <w:tab w:leader="none" w:pos="233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9" w:lineRule="exact"/>
        <w:rPr>
          <w:rFonts w:ascii="Times New Roman" w:cs="Times New Roman" w:eastAsia="Times New Roman" w:hAnsi="Times New Roman"/>
          <w:sz w:val="14"/>
          <w:szCs w:val="14"/>
          <w:color w:val="auto"/>
        </w:rPr>
      </w:pPr>
    </w:p>
    <w:p>
      <w:pPr>
        <w:ind w:left="1800" w:right="1639" w:firstLine="292"/>
        <w:spacing w:after="0" w:line="294" w:lineRule="auto"/>
        <w:tabs>
          <w:tab w:leader="none" w:pos="238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7" w:lineRule="exact"/>
        <w:rPr>
          <w:rFonts w:ascii="Times New Roman" w:cs="Times New Roman" w:eastAsia="Times New Roman" w:hAnsi="Times New Roman"/>
          <w:sz w:val="14"/>
          <w:szCs w:val="14"/>
          <w:color w:val="auto"/>
        </w:rPr>
      </w:pPr>
    </w:p>
    <w:p>
      <w:pPr>
        <w:ind w:left="1800" w:right="1359" w:firstLine="292"/>
        <w:spacing w:after="0" w:line="259" w:lineRule="auto"/>
        <w:tabs>
          <w:tab w:leader="none" w:pos="243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0" w:right="1679" w:firstLine="292"/>
        <w:spacing w:after="0" w:line="294" w:lineRule="auto"/>
        <w:tabs>
          <w:tab w:leader="none" w:pos="2414"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8" w:lineRule="exact"/>
        <w:rPr>
          <w:rFonts w:ascii="Times New Roman" w:cs="Times New Roman" w:eastAsia="Times New Roman" w:hAnsi="Times New Roman"/>
          <w:sz w:val="14"/>
          <w:szCs w:val="14"/>
          <w:color w:val="auto"/>
        </w:rPr>
      </w:pPr>
    </w:p>
    <w:p>
      <w:pPr>
        <w:ind w:left="1240" w:right="1299" w:firstLine="277"/>
        <w:spacing w:after="0" w:line="263" w:lineRule="auto"/>
        <w:tabs>
          <w:tab w:leader="none" w:pos="181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266" w:lineRule="exact"/>
        <w:rPr>
          <w:rFonts w:ascii="Times New Roman" w:cs="Times New Roman" w:eastAsia="Times New Roman" w:hAnsi="Times New Roman"/>
          <w:sz w:val="14"/>
          <w:szCs w:val="14"/>
          <w:color w:val="auto"/>
        </w:rPr>
      </w:pPr>
    </w:p>
    <w:p>
      <w:pPr>
        <w:ind w:left="1240" w:right="1279" w:firstLine="277"/>
        <w:spacing w:after="0" w:line="260" w:lineRule="auto"/>
        <w:tabs>
          <w:tab w:leader="none" w:pos="181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2" w:lineRule="exact"/>
        <w:rPr>
          <w:sz w:val="20"/>
          <w:szCs w:val="20"/>
          <w:color w:val="auto"/>
        </w:rPr>
      </w:pPr>
    </w:p>
    <w:p>
      <w:pPr>
        <w:ind w:left="1240" w:right="1259" w:firstLine="287"/>
        <w:spacing w:after="0" w:line="26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Jacksonville, State of Florida on May 7, 2026.</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43815</wp:posOffset>
            </wp:positionV>
            <wp:extent cx="16414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641475" cy="6985"/>
                    </a:xfrm>
                    <a:prstGeom prst="rect">
                      <a:avLst/>
                    </a:prstGeom>
                    <a:noFill/>
                  </pic:spPr>
                </pic:pic>
              </a:graphicData>
            </a:graphic>
          </wp:anchor>
        </w:drawing>
      </w:r>
    </w:p>
    <w:p>
      <w:pPr>
        <w:spacing w:after="0" w:line="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Name: Michael L. Gravelle</w:t>
      </w:r>
    </w:p>
    <w:p>
      <w:pPr>
        <w:spacing w:after="0" w:line="6" w:lineRule="exact"/>
        <w:rPr>
          <w:sz w:val="20"/>
          <w:szCs w:val="20"/>
          <w:color w:val="auto"/>
        </w:rPr>
      </w:pPr>
    </w:p>
    <w:p>
      <w:pPr>
        <w:ind w:left="1520"/>
        <w:spacing w:after="0"/>
        <w:tabs>
          <w:tab w:leader="none" w:pos="1940" w:val="left"/>
        </w:tabs>
        <w:rPr>
          <w:sz w:val="20"/>
          <w:szCs w:val="20"/>
          <w:color w:val="auto"/>
        </w:rPr>
      </w:pPr>
      <w:r>
        <w:rPr>
          <w:rFonts w:ascii="Times New Roman" w:cs="Times New Roman" w:eastAsia="Times New Roman" w:hAnsi="Times New Roman"/>
          <w:sz w:val="14"/>
          <w:szCs w:val="14"/>
          <w:color w:val="auto"/>
        </w:rPr>
        <w:t>Title:</w:t>
        <w:tab/>
        <w:t>Executive Vice President, General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32" w:lineRule="exact"/>
        <w:rPr>
          <w:sz w:val="20"/>
          <w:szCs w:val="20"/>
          <w:color w:val="auto"/>
        </w:rPr>
      </w:pPr>
    </w:p>
    <w:p>
      <w:pPr>
        <w:ind w:left="1240" w:right="1259" w:firstLine="287"/>
        <w:spacing w:after="0" w:line="260" w:lineRule="auto"/>
        <w:rPr>
          <w:sz w:val="20"/>
          <w:szCs w:val="20"/>
          <w:color w:val="auto"/>
        </w:rPr>
      </w:pPr>
      <w:r>
        <w:rPr>
          <w:rFonts w:ascii="Times New Roman" w:cs="Times New Roman" w:eastAsia="Times New Roman" w:hAnsi="Times New Roman"/>
          <w:sz w:val="14"/>
          <w:szCs w:val="14"/>
          <w:color w:val="auto"/>
        </w:rPr>
        <w:t>KNOW ALL MEN BY THESE PRESENTS, that the undersigned hereby constitutes and appoints Michael L. Gravelle and Anthony J. Park, or any of them, as such person’s true and lawful attorney-in-fact and agent, with full power of substitution and resubstitution, for such person and in such person’s name, place and stead, in any and all capacities, to sign any and all amendments to this Registration Statement on Form S-3, including post-effective amendments, and registration statements filed pursuant to Rule 462 under the Securities Act of 1933, and to file the same, with all exhibits thereto, and other documents in connection therewith, with the Securities and Exchange Commission, and does hereby grant unto each such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each said attorney-in-fact and agent, or any substitute therefor, may lawfully do or cause to be done by virtue hereof.</w:t>
      </w:r>
    </w:p>
    <w:p>
      <w:pPr>
        <w:spacing w:after="0" w:line="270" w:lineRule="exact"/>
        <w:rPr>
          <w:sz w:val="20"/>
          <w:szCs w:val="20"/>
          <w:color w:val="auto"/>
        </w:rPr>
      </w:pPr>
    </w:p>
    <w:p>
      <w:pPr>
        <w:ind w:left="1240" w:right="1379" w:firstLine="287"/>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9019"/>
          </w:cols>
          <w:pgMar w:left="1440" w:top="108" w:right="1440" w:bottom="1440" w:gutter="0" w:footer="0" w:header="0"/>
        </w:sectPr>
      </w:pPr>
    </w:p>
    <w:p>
      <w:pPr>
        <w:ind w:left="2040" w:hanging="810"/>
        <w:spacing w:after="0" w:line="237" w:lineRule="auto"/>
        <w:tabs>
          <w:tab w:leader="none" w:pos="2040" w:val="left"/>
        </w:tabs>
        <w:numPr>
          <w:ilvl w:val="0"/>
          <w:numId w:val="37"/>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19685</wp:posOffset>
            </wp:positionV>
            <wp:extent cx="131318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640" w:val="left"/>
          <w:tab w:leader="none" w:pos="3420" w:val="left"/>
          <w:tab w:leader="none" w:pos="3880" w:val="left"/>
          <w:tab w:leader="none" w:pos="442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17145</wp:posOffset>
            </wp:positionV>
            <wp:extent cx="273558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5679"/>
          </w:cols>
          <w:pgMar w:left="1440" w:top="108" w:right="1440" w:bottom="1440" w:gutter="0" w:footer="0" w:header="0"/>
          <w:type w:val="continuous"/>
        </w:sectPr>
      </w:pPr>
    </w:p>
    <w:p>
      <w:pPr>
        <w:spacing w:after="0" w:line="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Michael J. Nolan</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Anthony J. Park</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William P. Foley, II</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Raymond R. Quirk</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Douglas K. Ammerman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Douglas K. Ammerman</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Halim Dhanidina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Halim Dhanidina</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Thomas M. Hagerty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Thomas M. Hagerty</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Daniel D. (Ron)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Daniel D. (Ron) Lane</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Sandra D.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50800</wp:posOffset>
            </wp:positionV>
            <wp:extent cx="13131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13180"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Sandra D. Morgan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0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50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0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0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0" w:type="dxa"/>
            <w:vAlign w:val="bottom"/>
          </w:tcPr>
          <w:p>
            <w:pPr>
              <w:spacing w:after="0"/>
              <w:rPr>
                <w:sz w:val="1"/>
                <w:szCs w:val="1"/>
                <w:color w:val="auto"/>
              </w:rPr>
            </w:pPr>
          </w:p>
        </w:tc>
      </w:tr>
      <w:tr>
        <w:trPr>
          <w:trHeight w:val="47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0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ind w:left="200"/>
        <w:spacing w:after="0"/>
        <w:rPr>
          <w:sz w:val="20"/>
          <w:szCs w:val="20"/>
          <w:color w:val="auto"/>
        </w:rPr>
      </w:pPr>
      <w:r>
        <w:rPr>
          <w:rFonts w:ascii="Times New Roman" w:cs="Times New Roman" w:eastAsia="Times New Roman" w:hAnsi="Times New Roman"/>
          <w:sz w:val="14"/>
          <w:szCs w:val="14"/>
          <w:color w:val="auto"/>
        </w:rPr>
        <w:t>Director and Executive Vice Chairman of the Board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ind w:left="1520"/>
        <w:spacing w:after="0"/>
        <w:rPr>
          <w:sz w:val="20"/>
          <w:szCs w:val="20"/>
          <w:color w:val="auto"/>
        </w:rPr>
      </w:pPr>
      <w:r>
        <w:rPr>
          <w:rFonts w:ascii="Times New Roman" w:cs="Times New Roman" w:eastAsia="Times New Roman" w:hAnsi="Times New Roman"/>
          <w:sz w:val="14"/>
          <w:szCs w:val="14"/>
          <w:color w:val="auto"/>
        </w:rPr>
        <w:t>Director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ind w:left="1520"/>
        <w:spacing w:after="0"/>
        <w:rPr>
          <w:sz w:val="20"/>
          <w:szCs w:val="20"/>
          <w:color w:val="auto"/>
        </w:rPr>
      </w:pPr>
      <w:r>
        <w:rPr>
          <w:rFonts w:ascii="Times New Roman" w:cs="Times New Roman" w:eastAsia="Times New Roman" w:hAnsi="Times New Roman"/>
          <w:sz w:val="14"/>
          <w:szCs w:val="14"/>
          <w:color w:val="auto"/>
        </w:rPr>
        <w:t>Director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ind w:left="1520"/>
        <w:spacing w:after="0"/>
        <w:rPr>
          <w:sz w:val="20"/>
          <w:szCs w:val="20"/>
          <w:color w:val="auto"/>
        </w:rPr>
      </w:pPr>
      <w:r>
        <w:rPr>
          <w:rFonts w:ascii="Times New Roman" w:cs="Times New Roman" w:eastAsia="Times New Roman" w:hAnsi="Times New Roman"/>
          <w:sz w:val="14"/>
          <w:szCs w:val="14"/>
          <w:color w:val="auto"/>
        </w:rPr>
        <w:t>Director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ind w:left="1520"/>
        <w:spacing w:after="0"/>
        <w:rPr>
          <w:sz w:val="20"/>
          <w:szCs w:val="20"/>
          <w:color w:val="auto"/>
        </w:rPr>
      </w:pPr>
      <w:r>
        <w:rPr>
          <w:rFonts w:ascii="Times New Roman" w:cs="Times New Roman" w:eastAsia="Times New Roman" w:hAnsi="Times New Roman"/>
          <w:sz w:val="14"/>
          <w:szCs w:val="14"/>
          <w:color w:val="auto"/>
        </w:rPr>
        <w:t>Director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ind w:left="15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3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201930</wp:posOffset>
            </wp:positionV>
            <wp:extent cx="544830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ind w:left="180"/>
        <w:spacing w:after="0"/>
        <w:rPr>
          <w:sz w:val="20"/>
          <w:szCs w:val="20"/>
          <w:color w:val="auto"/>
        </w:rPr>
      </w:pPr>
      <w:r>
        <w:rPr>
          <w:rFonts w:ascii="Times New Roman" w:cs="Times New Roman" w:eastAsia="Times New Roman" w:hAnsi="Times New Roman"/>
          <w:sz w:val="14"/>
          <w:szCs w:val="14"/>
          <w:color w:val="auto"/>
        </w:rPr>
        <w:t>May 7, 2026</w:t>
      </w:r>
    </w:p>
    <w:p>
      <w:pPr>
        <w:sectPr>
          <w:pgSz w:w="11900" w:h="16838" w:orient="portrait"/>
          <w:cols w:equalWidth="0" w:num="3">
            <w:col w:w="2840" w:space="500"/>
            <w:col w:w="3320" w:space="120"/>
            <w:col w:w="2239"/>
          </w:cols>
          <w:pgMar w:left="1440" w:top="108" w:right="1440" w:bottom="1440" w:gutter="0" w:footer="0" w:header="0"/>
          <w:type w:val="continuous"/>
        </w:sectPr>
      </w:pPr>
    </w:p>
    <w:bookmarkStart w:id="28" w:name="page29"/>
    <w:bookmarkEnd w:id="28"/>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240" w:type="dxa"/>
        <w:tblCellMar>
          <w:top w:w="0" w:type="dxa"/>
          <w:left w:w="0" w:type="dxa"/>
          <w:bottom w:w="0" w:type="dxa"/>
          <w:right w:w="0" w:type="dxa"/>
        </w:tblCellMar>
      </w:tblPr>
      <w:tr>
        <w:trPr>
          <w:trHeight w:val="181"/>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r>
      <w:tr>
        <w:trPr>
          <w:trHeight w:val="43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Heather H. Miller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44"/>
        </w:trPr>
        <w:tc>
          <w:tcPr>
            <w:tcW w:w="206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r>
      <w:tr>
        <w:trPr>
          <w:trHeight w:val="194"/>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Heather H. Miller</w:t>
            </w:r>
          </w:p>
        </w:tc>
        <w:tc>
          <w:tcPr>
            <w:tcW w:w="160" w:type="dxa"/>
            <w:vAlign w:val="bottom"/>
          </w:tcPr>
          <w:p>
            <w:pPr>
              <w:spacing w:after="0"/>
              <w:rPr>
                <w:sz w:val="16"/>
                <w:szCs w:val="16"/>
                <w:color w:val="auto"/>
              </w:rPr>
            </w:pPr>
          </w:p>
        </w:tc>
      </w:tr>
      <w:tr>
        <w:trPr>
          <w:trHeight w:val="43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John D. Rood</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44"/>
        </w:trPr>
        <w:tc>
          <w:tcPr>
            <w:tcW w:w="206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r>
      <w:tr>
        <w:trPr>
          <w:trHeight w:val="194"/>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D. Rood</w:t>
            </w:r>
          </w:p>
        </w:tc>
        <w:tc>
          <w:tcPr>
            <w:tcW w:w="160" w:type="dxa"/>
            <w:vAlign w:val="bottom"/>
          </w:tcPr>
          <w:p>
            <w:pPr>
              <w:spacing w:after="0"/>
              <w:rPr>
                <w:sz w:val="16"/>
                <w:szCs w:val="16"/>
                <w:color w:val="auto"/>
              </w:rPr>
            </w:pPr>
          </w:p>
        </w:tc>
      </w:tr>
      <w:tr>
        <w:trPr>
          <w:trHeight w:val="43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Peter O. Shea</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44"/>
        </w:trPr>
        <w:tc>
          <w:tcPr>
            <w:tcW w:w="206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r>
      <w:tr>
        <w:trPr>
          <w:trHeight w:val="194"/>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Peter O. Shea</w:t>
            </w:r>
          </w:p>
        </w:tc>
        <w:tc>
          <w:tcPr>
            <w:tcW w:w="160" w:type="dxa"/>
            <w:vAlign w:val="bottom"/>
          </w:tcPr>
          <w:p>
            <w:pPr>
              <w:spacing w:after="0"/>
              <w:rPr>
                <w:sz w:val="16"/>
                <w:szCs w:val="16"/>
                <w:color w:val="auto"/>
              </w:rPr>
            </w:pPr>
          </w:p>
        </w:tc>
      </w:tr>
      <w:tr>
        <w:trPr>
          <w:trHeight w:val="43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Cary H. Thompson</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44"/>
        </w:trPr>
        <w:tc>
          <w:tcPr>
            <w:tcW w:w="206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r>
      <w:tr>
        <w:trPr>
          <w:trHeight w:val="194"/>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Cary H. Thompson</w:t>
            </w:r>
          </w:p>
        </w:tc>
        <w:tc>
          <w:tcPr>
            <w:tcW w:w="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20"/>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7,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2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0"/>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7,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2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0"/>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7,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2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0"/>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7,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2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201930</wp:posOffset>
            </wp:positionV>
            <wp:extent cx="544830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2">
            <w:col w:w="3460" w:space="20"/>
            <w:col w:w="5539"/>
          </w:cols>
          <w:pgMar w:left="1440" w:top="108"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5146675</wp:posOffset>
            </wp:positionH>
            <wp:positionV relativeFrom="paragraph">
              <wp:posOffset>137795</wp:posOffset>
            </wp:positionV>
            <wp:extent cx="2017395" cy="205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017395" cy="20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767 Fifth Avenue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New York, NY 10153-0119</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+1 212 310 8000 tel</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+1 212 310 8007 fax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601 Riverside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 32204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We have acted as counsel to Fidelity National Financial, Inc., a Nevada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preparation and filing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the Company’s Registration Statement on Form S-3 filed on the date hereof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relating to the issuance and/or sale by the Company from time to time of an indeterminate amount of the Company’s senior and/or subordinated debt securities (the “</w:t>
      </w:r>
      <w:r>
        <w:rPr>
          <w:rFonts w:ascii="Times New Roman" w:cs="Times New Roman" w:eastAsia="Times New Roman" w:hAnsi="Times New Roman"/>
          <w:sz w:val="14"/>
          <w:szCs w:val="14"/>
          <w:u w:val="single" w:color="auto"/>
          <w:color w:val="auto"/>
        </w:rPr>
        <w:t>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In so acting, we have examined originals or copies (certified or otherwise identified to our satisfaction) of (i) the Registration Statement; (ii) the prospectus contained within the Registration Statement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(iii) the indenture, dated as of December 8, 2005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between the Company and The Bank of New York Mellon Trust Company, N.A. (formerly known as The Bank of New York Trust Company, N.A.),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as amended and supplemented by (a) that certain first supplemental indenture, dated as of January 6, 2006 (the “</w:t>
      </w:r>
      <w:r>
        <w:rPr>
          <w:rFonts w:ascii="Times New Roman" w:cs="Times New Roman" w:eastAsia="Times New Roman" w:hAnsi="Times New Roman"/>
          <w:sz w:val="14"/>
          <w:szCs w:val="14"/>
          <w:u w:val="single" w:color="auto"/>
          <w:color w:val="auto"/>
        </w:rPr>
        <w:t>First Supplemental Indenture</w:t>
      </w:r>
      <w:r>
        <w:rPr>
          <w:rFonts w:ascii="Times New Roman" w:cs="Times New Roman" w:eastAsia="Times New Roman" w:hAnsi="Times New Roman"/>
          <w:sz w:val="14"/>
          <w:szCs w:val="14"/>
          <w:color w:val="auto"/>
        </w:rPr>
        <w:t>”), (b) that certain second supplemental indenture, dated as of May 5, 2010 (the “</w:t>
      </w:r>
      <w:r>
        <w:rPr>
          <w:rFonts w:ascii="Times New Roman" w:cs="Times New Roman" w:eastAsia="Times New Roman" w:hAnsi="Times New Roman"/>
          <w:sz w:val="14"/>
          <w:szCs w:val="14"/>
          <w:u w:val="single" w:color="auto"/>
          <w:color w:val="auto"/>
        </w:rPr>
        <w:t>Second Supplemental Indenture</w:t>
      </w:r>
      <w:r>
        <w:rPr>
          <w:rFonts w:ascii="Times New Roman" w:cs="Times New Roman" w:eastAsia="Times New Roman" w:hAnsi="Times New Roman"/>
          <w:sz w:val="14"/>
          <w:szCs w:val="14"/>
          <w:color w:val="auto"/>
        </w:rPr>
        <w:t>”), and (c) that certain ninth supplemental indenture, dated as of June 4, 2025 (the “</w:t>
      </w:r>
      <w:r>
        <w:rPr>
          <w:rFonts w:ascii="Times New Roman" w:cs="Times New Roman" w:eastAsia="Times New Roman" w:hAnsi="Times New Roman"/>
          <w:sz w:val="14"/>
          <w:szCs w:val="14"/>
          <w:u w:val="single" w:color="auto"/>
          <w:color w:val="auto"/>
        </w:rPr>
        <w:t>Ninth Supplemental Indenture</w:t>
      </w:r>
      <w:r>
        <w:rPr>
          <w:rFonts w:ascii="Times New Roman" w:cs="Times New Roman" w:eastAsia="Times New Roman" w:hAnsi="Times New Roman"/>
          <w:sz w:val="14"/>
          <w:szCs w:val="14"/>
          <w:color w:val="auto"/>
        </w:rPr>
        <w:t>” and, the Base Indenture, as amended by the First Supplemental Indenture, the Second Supplemental Indenture and the Ninth Supplemental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(iv) that certain form of Subordinated Indenture between the Company and the Trustee (the “</w:t>
      </w:r>
      <w:r>
        <w:rPr>
          <w:rFonts w:ascii="Times New Roman" w:cs="Times New Roman" w:eastAsia="Times New Roman" w:hAnsi="Times New Roman"/>
          <w:sz w:val="14"/>
          <w:szCs w:val="14"/>
          <w:u w:val="single" w:color="auto"/>
          <w:color w:val="auto"/>
        </w:rPr>
        <w:t>Subordinated Indenture</w:t>
      </w:r>
      <w:r>
        <w:rPr>
          <w:rFonts w:ascii="Times New Roman" w:cs="Times New Roman" w:eastAsia="Times New Roman" w:hAnsi="Times New Roman"/>
          <w:sz w:val="14"/>
          <w:szCs w:val="14"/>
          <w:color w:val="auto"/>
        </w:rPr>
        <w:t>”) and</w:t>
      </w:r>
    </w:p>
    <w:p>
      <w:pPr>
        <w:spacing w:after="0" w:line="1" w:lineRule="exact"/>
        <w:rPr>
          <w:sz w:val="20"/>
          <w:szCs w:val="20"/>
          <w:color w:val="auto"/>
        </w:rPr>
      </w:pPr>
    </w:p>
    <w:p>
      <w:pPr>
        <w:ind w:firstLine="6"/>
        <w:spacing w:after="0" w:line="273" w:lineRule="auto"/>
        <w:tabs>
          <w:tab w:leader="none" w:pos="20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w:t>
      </w:r>
    </w:p>
    <w:p>
      <w:pPr>
        <w:spacing w:after="0" w:line="137"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 We have also assumed (i) the valid existence of the Company and (ii) that each of the Company and the Trustee has the requisite organizational power and authority to enter into and perform its obligations, as applicable, under the Indenture and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71602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5488305</wp:posOffset>
            </wp:positionH>
            <wp:positionV relativeFrom="paragraph">
              <wp:posOffset>-92075</wp:posOffset>
            </wp:positionV>
            <wp:extent cx="1675765" cy="143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675765" cy="1435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70"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We have further assumed that (i) the Registration Statement and any amendments thereto (including any post-effective amendments) will have become effective and comply with all applicable laws and no stop order suspending the Registration Statement’s effectiveness will have been issued and remain in effect, in each case, at the time the Debt Securities are offered or issued, as contemplated by the Registration Statement; (ii) a prospectus supplement will have been prepared and filed with the Commission describing the Debt Securities offered thereby and will at all relevant times comply with all applicable laws; (iii) the Company has timely filed all necessary reports pursuant to the Securities Exchange Act of 1934, as amended, which are incorporated into the Registration Statement by reference; (iv) all Debt Securities will be issued and sold in compliance with applicable federal and state securities laws and in the manner stated in the Registration Statement, the Prospectus, the applicable prospectus supplement and the applicable definitive purchase, underwriting or similar agreement; (v) a definitive purchase, underwriting or similar agreement and any other necessary agreement with respect to any Debt Securities will have been duly authorized and validly executed and delivered by the Company and the other party or parties thereto; (vi) any legally required consents, approvals, authorizations or orders of the Commission and any other regulatory authority will have been issued; (vii) the Subordinated Indenture has been duly authorized and validly executed and delivered by the Company and the other party or parties thereto; (viii) the issuance (including the execution, delivery and performance thereof) and the terms of the Debt Securities and the terms of the offering and sale thereof will have been duly authorized; (ix) the terms of any Debt Securities and their issuance and sale will have been duly established so as not to violate any applicable law or result in a default under or breach of any agreement or instrument binding on the Company, and so as to comply with any requirements or restrictions imposed by any court or governmental body having jurisdiction over the Company; (x) the Debt Securities will have been duly executed and authenticated in accordance with the Indenture and any applicable supplemental indenture and issued and sold as contemplated in the Registration Statement or any applicable purchase, underwriting or similar agreement relating thereto; and (xi) the Company will have received the consideration therefor.</w:t>
      </w:r>
    </w:p>
    <w:p>
      <w:pPr>
        <w:spacing w:after="0" w:line="152"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Based on and subject to the foregoing, and subject to the qualifications stated herein, we advise you that in our opinion, when (i) the terms of the Debt Securities to be issued under the Indenture and any applicable supplemental indenture or officers’ certificate and their issuance and sale have been duly established in conformity with such Indenture and such supplemental indenture or officers’ certificate; (ii) such supplemental indenture or officers’ certificate has been duly executed and delivered; and (iii) the Debt Securities have been duly executed and authenticated in accordance with the Indenture or the Subordinated Indenture, as the case may be, and any applicable supplemental indenture or officers’ certificate and issued, sold and paid for as contemplated in the Registration Statement, Prospectus and any prospectus supplement relating thereto and in accordance with any applicable definitive purchase, underwriting or similar agreement, then such Debt Securities will constitute valid and binding obligations of the Company, enforceable against the Company in accordance with their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334010</wp:posOffset>
            </wp:positionV>
            <wp:extent cx="71602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-92075</wp:posOffset>
            </wp:positionV>
            <wp:extent cx="1675765" cy="143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675765" cy="1435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70"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opinions expressed herein are limited to the corporate laws of the State of New York and the federal laws of the United States, and we express no opinion as to the effect on the matters covered by this letter of the laws of any other jurisdiction.</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hereby consent to the use of this letter as an exhibit to the Registration Statement and to any and all references to our firm in the Prospectus which is a part of the Registration Statement. In giving such consent we do not hereby admit that we are in the category of persons whose consent is required under Section 7 of the Securities Act or the rules and regulations of the Securities and Exchange Commission.</w:t>
      </w:r>
    </w:p>
    <w:p>
      <w:pPr>
        <w:spacing w:after="0" w:line="1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Weil, Gotshal &amp; Manges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71602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2" w:name="page33"/>
    <w:bookmarkEnd w:id="32"/>
    <w:p>
      <w:pPr>
        <w:ind w:left="10480"/>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20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051C2C"/>
        </w:rPr>
        <w:t>Brownstein Hyatt Farber Schreck,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1436370" cy="21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436370" cy="212090"/>
                    </a:xfrm>
                    <a:prstGeom prst="rect">
                      <a:avLst/>
                    </a:prstGeom>
                    <a:noFill/>
                  </pic:spPr>
                </pic:pic>
              </a:graphicData>
            </a:graphic>
          </wp:anchor>
        </w:drawing>
      </w:r>
    </w:p>
    <w:p>
      <w:pPr>
        <w:spacing w:after="0" w:line="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702.382.2101 main</w:t>
      </w:r>
    </w:p>
    <w:p>
      <w:pPr>
        <w:spacing w:after="0" w:line="1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100 North City Parkway, Suite 1600</w:t>
      </w:r>
    </w:p>
    <w:p>
      <w:pPr>
        <w:spacing w:after="0" w:line="1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Las Vegas, Nevada 89106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601 Riverside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 32204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We have acted as local Nevada counsel to Fidelity National Financial Inc., a Nevada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filing by the Company of a registration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on Form S-3 (including the Prospectus (as defined below) contained therein,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relating to the registration for offering and sale from time to time by the Company, pursuant to the base prospectus included therein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of an indeterminate amount of senior or subordinated debt securities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 to be issued pursuant to and in accordance with either (i) that certain Indenture, dated as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8, 2005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by and between the Company and The Bank of New York Mellon Trust Company, N.A. (formerly known as The Bank of New York Trust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as amended and supplemented by that certain First Supplemental Indenture, dated as of January 6, 2006 (the “</w:t>
      </w:r>
      <w:r>
        <w:rPr>
          <w:rFonts w:ascii="Times New Roman" w:cs="Times New Roman" w:eastAsia="Times New Roman" w:hAnsi="Times New Roman"/>
          <w:sz w:val="14"/>
          <w:szCs w:val="14"/>
          <w:u w:val="single" w:color="auto"/>
          <w:color w:val="auto"/>
        </w:rPr>
        <w:t>First Supplemental Indenture</w:t>
      </w:r>
      <w:r>
        <w:rPr>
          <w:rFonts w:ascii="Times New Roman" w:cs="Times New Roman" w:eastAsia="Times New Roman" w:hAnsi="Times New Roman"/>
          <w:sz w:val="14"/>
          <w:szCs w:val="14"/>
          <w:color w:val="auto"/>
        </w:rPr>
        <w:t>”), that certain Second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Indenture, dated as of May 5, 2010 (the “</w:t>
      </w:r>
      <w:r>
        <w:rPr>
          <w:rFonts w:ascii="Times New Roman" w:cs="Times New Roman" w:eastAsia="Times New Roman" w:hAnsi="Times New Roman"/>
          <w:sz w:val="14"/>
          <w:szCs w:val="14"/>
          <w:u w:val="single" w:color="auto"/>
          <w:color w:val="auto"/>
        </w:rPr>
        <w:t>Second Supplemental Indenture</w:t>
      </w:r>
      <w:r>
        <w:rPr>
          <w:rFonts w:ascii="Times New Roman" w:cs="Times New Roman" w:eastAsia="Times New Roman" w:hAnsi="Times New Roman"/>
          <w:sz w:val="14"/>
          <w:szCs w:val="14"/>
          <w:color w:val="auto"/>
        </w:rPr>
        <w:t>”), and that certain Ninth Supplemental Indenture, dated as of June 4, 2025 (the “</w:t>
      </w:r>
      <w:r>
        <w:rPr>
          <w:rFonts w:ascii="Times New Roman" w:cs="Times New Roman" w:eastAsia="Times New Roman" w:hAnsi="Times New Roman"/>
          <w:sz w:val="14"/>
          <w:szCs w:val="14"/>
          <w:u w:val="single" w:color="auto"/>
          <w:color w:val="auto"/>
        </w:rPr>
        <w:t>Ninth Supplemental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the Base Indenture, as amended and supplemented by the First Supplemental Indenture, the Second Supplemental Indenture and the Ninth Supplemental Indenture, the “</w:t>
      </w:r>
      <w:r>
        <w:rPr>
          <w:rFonts w:ascii="Times New Roman" w:cs="Times New Roman" w:eastAsia="Times New Roman" w:hAnsi="Times New Roman"/>
          <w:sz w:val="14"/>
          <w:szCs w:val="14"/>
          <w:u w:val="single" w:color="auto"/>
          <w:color w:val="auto"/>
        </w:rPr>
        <w:t>Senior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or (ii) that certain form of Subordinated Indenture, by and between the Company and the Trustee (the “</w:t>
      </w:r>
      <w:r>
        <w:rPr>
          <w:rFonts w:ascii="Times New Roman" w:cs="Times New Roman" w:eastAsia="Times New Roman" w:hAnsi="Times New Roman"/>
          <w:sz w:val="14"/>
          <w:szCs w:val="14"/>
          <w:u w:val="single" w:color="auto"/>
          <w:color w:val="auto"/>
        </w:rPr>
        <w:t>Subordinated Indenture</w:t>
      </w:r>
      <w:r>
        <w:rPr>
          <w:rFonts w:ascii="Times New Roman" w:cs="Times New Roman" w:eastAsia="Times New Roman" w:hAnsi="Times New Roman"/>
          <w:sz w:val="14"/>
          <w:szCs w:val="14"/>
          <w:color w:val="auto"/>
        </w:rPr>
        <w:t>”; the Senior Indenture and the Subordinated Indenture,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as amended or supplemented through and including the date of each issuance of Debt Securities, an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each of which is filed as an exhibit to the Registration Statement. This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opinion letter is being delivered at your request in accordance with the requirements of Item 601(b)(5) of Regulation S-K under the Act.</w:t>
      </w:r>
    </w:p>
    <w:p>
      <w:pPr>
        <w:spacing w:after="0" w:line="170"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In our capacity as such counsel, we are familiar with the proceedings taken and proposed to be taken by the Company in connection with the registration of the Debt Securities as described in the Registration Statement. For purposes of this opinion letter, and except to the extent set forth in the opinions expressed below, we have assumed that all such proceedings have been or will be timely completed in the manner presently proposed in the Registration Statement and the Prospectus.</w:t>
      </w:r>
    </w:p>
    <w:p>
      <w:pPr>
        <w:spacing w:after="0" w:line="136" w:lineRule="exact"/>
        <w:rPr>
          <w:sz w:val="20"/>
          <w:szCs w:val="20"/>
          <w:color w:val="auto"/>
        </w:rPr>
      </w:pPr>
    </w:p>
    <w:p>
      <w:pPr>
        <w:ind w:right="120" w:firstLine="517"/>
        <w:spacing w:after="0" w:line="266" w:lineRule="auto"/>
        <w:rPr>
          <w:sz w:val="20"/>
          <w:szCs w:val="20"/>
          <w:color w:val="auto"/>
        </w:rPr>
      </w:pPr>
      <w:r>
        <w:rPr>
          <w:rFonts w:ascii="Times New Roman" w:cs="Times New Roman" w:eastAsia="Times New Roman" w:hAnsi="Times New Roman"/>
          <w:sz w:val="14"/>
          <w:szCs w:val="14"/>
          <w:color w:val="auto"/>
        </w:rPr>
        <w:t>For purposes of issuing this opinion letter, we have (a) made such legal and factual examinations and inquiries, including an examination of originals or copies certified or otherwise identified to our satisfaction as being true copies, of (i) the Registration Statement, including the Prospectus, (ii) the Company’s articles of incorporation and bylaws (collectively, the “</w:t>
      </w:r>
      <w:r>
        <w:rPr>
          <w:rFonts w:ascii="Times New Roman" w:cs="Times New Roman" w:eastAsia="Times New Roman" w:hAnsi="Times New Roman"/>
          <w:sz w:val="14"/>
          <w:szCs w:val="14"/>
          <w:u w:val="single" w:color="auto"/>
          <w:color w:val="auto"/>
        </w:rPr>
        <w:t>Governing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and (iii) such other agreements, instruments, corporate records (including, without limitation, resolutions adopted by the board of directors and any committee thereof and by the stockholders of the Company) and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716026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70" w:lineRule="exact"/>
        <w:rPr>
          <w:sz w:val="20"/>
          <w:szCs w:val="20"/>
          <w:color w:val="auto"/>
        </w:rPr>
      </w:pPr>
    </w:p>
    <w:p>
      <w:pPr>
        <w:ind w:firstLine="517"/>
        <w:spacing w:after="0" w:line="259" w:lineRule="auto"/>
        <w:rPr>
          <w:sz w:val="20"/>
          <w:szCs w:val="20"/>
          <w:color w:val="auto"/>
        </w:rPr>
      </w:pPr>
      <w:r>
        <w:rPr>
          <w:rFonts w:ascii="Times New Roman" w:cs="Times New Roman" w:eastAsia="Times New Roman" w:hAnsi="Times New Roman"/>
          <w:sz w:val="14"/>
          <w:szCs w:val="14"/>
          <w:color w:val="auto"/>
        </w:rPr>
        <w:t>Without limiting the generality of the foregoing, we have, with your permission, assumed without independent verification that (i) (a) any and all agreements, instruments and other documents relating to the offering, issuance, registration or sale of any Debt Securities, including, without limitation, the Indentures, including any officer’s certificate(s) or supplemental indenture(s) relating thereto (collectively, the “</w:t>
      </w:r>
      <w:r>
        <w:rPr>
          <w:rFonts w:ascii="Times New Roman" w:cs="Times New Roman" w:eastAsia="Times New Roman" w:hAnsi="Times New Roman"/>
          <w:sz w:val="14"/>
          <w:szCs w:val="14"/>
          <w:u w:val="single" w:color="auto"/>
          <w:color w:val="auto"/>
        </w:rPr>
        <w:t>Securities Documents</w:t>
      </w:r>
      <w:r>
        <w:rPr>
          <w:rFonts w:ascii="Times New Roman" w:cs="Times New Roman" w:eastAsia="Times New Roman" w:hAnsi="Times New Roman"/>
          <w:sz w:val="14"/>
          <w:szCs w:val="14"/>
          <w:color w:val="auto"/>
        </w:rPr>
        <w:t>”), have been or will be duly authorized, executed and delivered by the Company and the other parties thereto; (b) the Company has taken or will take all corporate action required under applicable law to authorize and approve the specific terms (including, without limitation, the title and aggregate principal amount), and the offering, issuance and sale, of any Debt Securities (including, without limitation, any Debt Securities underlying, or issued or sold pursuant to or upon conversion, exchange or exercise of, any agreement) and all supplements to the Prospectus setting forth such terms, and (c) all Debt Securities will be offered, issued and sold in compliance with all applicable laws and the Governing Documents and in accordance with all applicable terms and conditions set forth in the relevant Securities Documents in effect at all relevant times (romanettes (i)(a) through (i)(c) above are referred to collectively herein as the “</w:t>
      </w:r>
      <w:r>
        <w:rPr>
          <w:rFonts w:ascii="Times New Roman" w:cs="Times New Roman" w:eastAsia="Times New Roman" w:hAnsi="Times New Roman"/>
          <w:sz w:val="14"/>
          <w:szCs w:val="14"/>
          <w:u w:val="single" w:color="auto"/>
          <w:color w:val="auto"/>
        </w:rPr>
        <w:t>Corporate Proceedings</w:t>
      </w:r>
      <w:r>
        <w:rPr>
          <w:rFonts w:ascii="Times New Roman" w:cs="Times New Roman" w:eastAsia="Times New Roman" w:hAnsi="Times New Roman"/>
          <w:sz w:val="14"/>
          <w:szCs w:val="14"/>
          <w:color w:val="auto"/>
        </w:rPr>
        <w:t>”); (ii) each Indenture, or form thereof, has been filed as an exhibit to the Registration Statement and has been or will be executed and delivered in substantially the form of such exhibit; (iii) the obligations of each party set forth in each Indenture are and will be its valid and binding obligations, enforceable in accordance with their respective terms; (iv) no Debt Securities will be offered, issued or sold in violation, contravention or breach of, nor will any such offering, issuance or sale result in a default under, any agreement or instrument that is binding upon the Company, or any requirement or restriction imposed by any governmental or regulatory agency, authority or body, or any court; (vi) the statements of fact and representations and warranties set forth in the documents we have reviewed are, and at all relevant times will be, true and correct as to factual matters; (vii) each natural person executing a document will have sufficient legal capacity to do so; (viii) all documents submitted to us as originals are authentic, the signatures on all documents we reviewed are genuine, and any document submitted to us as certified, conformed, photostatic, electronic or facsimile copies conform to the original document; and (ix) all corporate records made available to us by the Company, and all public records we have reviewed, are accurate and complete.</w:t>
      </w:r>
    </w:p>
    <w:p>
      <w:pPr>
        <w:spacing w:after="0" w:line="325" w:lineRule="exact"/>
        <w:rPr>
          <w:sz w:val="20"/>
          <w:szCs w:val="20"/>
          <w:color w:val="auto"/>
        </w:rPr>
      </w:pPr>
    </w:p>
    <w:p>
      <w:pPr>
        <w:ind w:right="40" w:firstLine="517"/>
        <w:spacing w:after="0" w:line="269" w:lineRule="auto"/>
        <w:rPr>
          <w:sz w:val="20"/>
          <w:szCs w:val="20"/>
          <w:color w:val="auto"/>
        </w:rPr>
      </w:pPr>
      <w:r>
        <w:rPr>
          <w:rFonts w:ascii="Times New Roman" w:cs="Times New Roman" w:eastAsia="Times New Roman" w:hAnsi="Times New Roman"/>
          <w:sz w:val="14"/>
          <w:szCs w:val="14"/>
          <w:color w:val="auto"/>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330835</wp:posOffset>
            </wp:positionV>
            <wp:extent cx="71602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upon the foregoing and in reliance thereon, and having regard to legal considerations and other information that we deem relevant, we are of the opinion that: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The Company is validly existing as a corporation and in good standing under the laws of the State of Nevada.</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            If and when all Corporate Proceedings have been taken and completed in respect of any offering, issuance or sale of Debt Securities, such Debt Securities will be duly authorized.</w:t>
      </w:r>
    </w:p>
    <w:p>
      <w:pPr>
        <w:spacing w:after="0" w:line="184"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The opinions expressed herein are based upon the applicable laws of the State of Nevada and the facts in existence on the date of this opinion letter. In delivering this opinion letter to you, we disclaim any obligation to update or supplement the opinions set forth herein or to apprise you of any changes in any laws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136" w:lineRule="exact"/>
        <w:rPr>
          <w:sz w:val="20"/>
          <w:szCs w:val="20"/>
          <w:color w:val="auto"/>
        </w:rPr>
      </w:pPr>
    </w:p>
    <w:p>
      <w:pPr>
        <w:ind w:right="140" w:firstLine="517"/>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the reference to our firm therein under the heading “Legal Matters”. In giving this consent, we do not admit that we are within the category of persons whose consent is required under Section 7 of the Act or the rules and regulations of the Commission promulgated thereunder. Subject to all of the qualifications, limitations, restrictions, exceptions and assumptions set forth herein, Weil, Gotshal &amp; Manges LLP may rely on this opinion letter as if it were an addressee hereof on this date for the sole purpose of issuing its opinion letter to the Company relating to the validity of any Debt Securities, as filed with the Commission as an exhibit to the Registration Statement.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Brownstein Hyatt Farber Schreck,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602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this Registration Statement (Form S-3) and related prospectus of Fidelity National Financial, Inc. for the registration of debt securities and to the incorporation by reference therein of our reports dated February 26, 2026, with respect to the consolidated financial statements of Fidelity National Financial, Inc. and subsidiaries, and the effectiveness of internal control over financial reporting of Fidelity National Financial, Inc. and subsidiaries, included in its Annual Report (Form 10-K) for the year ended December 31, 2025, filed with the Securities and Exchange Commission.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602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36" w:name="page37"/>
    <w:bookmarkEnd w:id="36"/>
    <w:p>
      <w:pPr>
        <w:ind w:left="10400"/>
        <w:spacing w:after="0"/>
        <w:rPr>
          <w:sz w:val="20"/>
          <w:szCs w:val="20"/>
          <w:color w:val="auto"/>
        </w:rPr>
      </w:pPr>
      <w:r>
        <w:rPr>
          <w:rFonts w:ascii="Times New Roman" w:cs="Times New Roman" w:eastAsia="Times New Roman" w:hAnsi="Times New Roman"/>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6026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165100</wp:posOffset>
            </wp:positionV>
            <wp:extent cx="71602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 OF ELIGIBILITY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TRUST INDENTURE ACT OF 1939 OF 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CORPORATION DESIGNATED TO ACT AS TRUSTEE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ELIGIBILITY OF A TRUSTEE PURSUANT TO</w:t>
      </w:r>
    </w:p>
    <w:p>
      <w:pPr>
        <w:spacing w:after="0" w:line="8" w:lineRule="exact"/>
        <w:rPr>
          <w:sz w:val="20"/>
          <w:szCs w:val="20"/>
          <w:color w:val="auto"/>
        </w:rPr>
      </w:pPr>
    </w:p>
    <w:p>
      <w:pPr>
        <w:jc w:val="center"/>
        <w:spacing w:after="0" w:line="161" w:lineRule="exact"/>
        <w:tabs>
          <w:tab w:leader="none" w:pos="380" w:val="left"/>
        </w:tabs>
        <w:rPr>
          <w:sz w:val="20"/>
          <w:szCs w:val="20"/>
          <w:color w:val="auto"/>
        </w:rPr>
      </w:pPr>
      <w:r>
        <w:rPr>
          <w:rFonts w:ascii="Times New Roman" w:cs="Times New Roman" w:eastAsia="Times New Roman" w:hAnsi="Times New Roman"/>
          <w:sz w:val="14"/>
          <w:szCs w:val="14"/>
          <w:color w:val="auto"/>
        </w:rPr>
        <w:t>SECTION 305(b)(2)</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119380</wp:posOffset>
            </wp:positionV>
            <wp:extent cx="178498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180" w:type="dxa"/>
            <w:vAlign w:val="bottom"/>
          </w:tcPr>
          <w:p>
            <w:pPr>
              <w:spacing w:after="0"/>
              <w:rPr>
                <w:sz w:val="20"/>
                <w:szCs w:val="20"/>
                <w:color w:val="auto"/>
              </w:rPr>
            </w:pPr>
          </w:p>
        </w:tc>
        <w:tc>
          <w:tcPr>
            <w:tcW w:w="8120" w:type="dxa"/>
            <w:vAlign w:val="bottom"/>
            <w:gridSpan w:val="4"/>
          </w:tcPr>
          <w:p>
            <w:pPr>
              <w:jc w:val="center"/>
              <w:ind w:right="3128"/>
              <w:spacing w:after="0"/>
              <w:rPr>
                <w:sz w:val="20"/>
                <w:szCs w:val="20"/>
                <w:color w:val="auto"/>
              </w:rPr>
            </w:pPr>
            <w:r>
              <w:rPr>
                <w:rFonts w:ascii="Times New Roman" w:cs="Times New Roman" w:eastAsia="Times New Roman" w:hAnsi="Times New Roman"/>
                <w:sz w:val="20"/>
                <w:szCs w:val="20"/>
                <w:color w:val="auto"/>
              </w:rPr>
              <w:t>THE BANK OF NEW YORK MELLON</w:t>
            </w:r>
          </w:p>
        </w:tc>
      </w:tr>
      <w:tr>
        <w:trPr>
          <w:trHeight w:val="240"/>
        </w:trPr>
        <w:tc>
          <w:tcPr>
            <w:tcW w:w="3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60" w:type="dxa"/>
            <w:vAlign w:val="bottom"/>
            <w:gridSpan w:val="3"/>
          </w:tcPr>
          <w:p>
            <w:pPr>
              <w:jc w:val="center"/>
              <w:ind w:right="4168"/>
              <w:spacing w:after="0"/>
              <w:rPr>
                <w:sz w:val="20"/>
                <w:szCs w:val="20"/>
                <w:color w:val="auto"/>
              </w:rPr>
            </w:pPr>
            <w:r>
              <w:rPr>
                <w:rFonts w:ascii="Times New Roman" w:cs="Times New Roman" w:eastAsia="Times New Roman" w:hAnsi="Times New Roman"/>
                <w:sz w:val="20"/>
                <w:szCs w:val="20"/>
                <w:color w:val="auto"/>
                <w:w w:val="98"/>
              </w:rPr>
              <w:t>TRUST COMPANY, N.A.</w:t>
            </w:r>
          </w:p>
        </w:tc>
      </w:tr>
      <w:tr>
        <w:trPr>
          <w:trHeight w:val="186"/>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60" w:type="dxa"/>
            <w:vAlign w:val="bottom"/>
            <w:gridSpan w:val="3"/>
          </w:tcPr>
          <w:p>
            <w:pPr>
              <w:jc w:val="center"/>
              <w:ind w:right="4188"/>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73"/>
        </w:trPr>
        <w:tc>
          <w:tcPr>
            <w:tcW w:w="3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148"/>
        </w:trPr>
        <w:tc>
          <w:tcPr>
            <w:tcW w:w="318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(Jurisdiction of incorporation</w:t>
            </w:r>
          </w:p>
        </w:tc>
        <w:tc>
          <w:tcPr>
            <w:tcW w:w="1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95-3571558</w:t>
            </w:r>
          </w:p>
        </w:tc>
      </w:tr>
      <w:tr>
        <w:trPr>
          <w:trHeight w:val="172"/>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31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9"/>
        </w:trPr>
        <w:tc>
          <w:tcPr>
            <w:tcW w:w="318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333 South Hope Street</w:t>
            </w:r>
          </w:p>
        </w:tc>
        <w:tc>
          <w:tcPr>
            <w:tcW w:w="1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72"/>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spacing w:after="0"/>
              <w:rPr>
                <w:sz w:val="14"/>
                <w:szCs w:val="14"/>
                <w:color w:val="auto"/>
              </w:rPr>
            </w:pPr>
          </w:p>
        </w:tc>
      </w:tr>
      <w:tr>
        <w:trPr>
          <w:trHeight w:val="172"/>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90071</w:t>
            </w:r>
          </w:p>
        </w:tc>
      </w:tr>
      <w:tr>
        <w:trPr>
          <w:trHeight w:val="186"/>
        </w:trPr>
        <w:tc>
          <w:tcPr>
            <w:tcW w:w="31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4"/>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600" w:type="dxa"/>
            <w:vAlign w:val="bottom"/>
          </w:tcPr>
          <w:p>
            <w:pPr>
              <w:spacing w:after="0"/>
              <w:rPr>
                <w:sz w:val="14"/>
                <w:szCs w:val="14"/>
                <w:color w:val="auto"/>
              </w:rPr>
            </w:pPr>
          </w:p>
        </w:tc>
      </w:tr>
    </w:tbl>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60" w:type="dxa"/>
            <w:vAlign w:val="bottom"/>
            <w:gridSpan w:val="3"/>
          </w:tcPr>
          <w:p>
            <w:pPr>
              <w:jc w:val="center"/>
              <w:ind w:right="4168"/>
              <w:spacing w:after="0"/>
              <w:rPr>
                <w:sz w:val="20"/>
                <w:szCs w:val="20"/>
                <w:color w:val="auto"/>
              </w:rPr>
            </w:pPr>
            <w:r>
              <w:rPr>
                <w:rFonts w:ascii="Times New Roman" w:cs="Times New Roman" w:eastAsia="Times New Roman" w:hAnsi="Times New Roman"/>
                <w:sz w:val="20"/>
                <w:szCs w:val="20"/>
                <w:color w:val="auto"/>
              </w:rPr>
              <w:t>Fidelity National Financial, Inc.</w:t>
            </w:r>
          </w:p>
        </w:tc>
      </w:tr>
      <w:tr>
        <w:trPr>
          <w:trHeight w:val="186"/>
        </w:trPr>
        <w:tc>
          <w:tcPr>
            <w:tcW w:w="3300" w:type="dxa"/>
            <w:vAlign w:val="bottom"/>
          </w:tcPr>
          <w:p>
            <w:pPr>
              <w:spacing w:after="0"/>
              <w:rPr>
                <w:sz w:val="16"/>
                <w:szCs w:val="16"/>
                <w:color w:val="auto"/>
              </w:rPr>
            </w:pPr>
          </w:p>
        </w:tc>
        <w:tc>
          <w:tcPr>
            <w:tcW w:w="8000" w:type="dxa"/>
            <w:vAlign w:val="bottom"/>
            <w:gridSpan w:val="4"/>
          </w:tcPr>
          <w:p>
            <w:pPr>
              <w:jc w:val="center"/>
              <w:ind w:right="3248"/>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73"/>
        </w:trPr>
        <w:tc>
          <w:tcPr>
            <w:tcW w:w="3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148"/>
        </w:trPr>
        <w:tc>
          <w:tcPr>
            <w:tcW w:w="330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16-1725106</w:t>
            </w:r>
          </w:p>
        </w:tc>
      </w:tr>
      <w:tr>
        <w:trPr>
          <w:trHeight w:val="172"/>
        </w:trPr>
        <w:tc>
          <w:tcPr>
            <w:tcW w:w="3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3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9"/>
        </w:trPr>
        <w:tc>
          <w:tcPr>
            <w:tcW w:w="330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601 Riverside Avenue</w:t>
            </w: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72"/>
        </w:trPr>
        <w:tc>
          <w:tcPr>
            <w:tcW w:w="3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Jacksonville, Florida</w:t>
            </w:r>
          </w:p>
        </w:tc>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32204</w:t>
            </w:r>
          </w:p>
        </w:tc>
      </w:tr>
      <w:tr>
        <w:trPr>
          <w:trHeight w:val="186"/>
        </w:trPr>
        <w:tc>
          <w:tcPr>
            <w:tcW w:w="3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4"/>
        </w:trPr>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4260" w:type="dxa"/>
            <w:vAlign w:val="bottom"/>
            <w:gridSpan w:val="2"/>
          </w:tcPr>
          <w:p>
            <w:pPr>
              <w:spacing w:after="0"/>
              <w:rPr>
                <w:sz w:val="14"/>
                <w:szCs w:val="14"/>
                <w:color w:val="auto"/>
              </w:rPr>
            </w:pPr>
          </w:p>
        </w:tc>
      </w:tr>
      <w:tr>
        <w:trPr>
          <w:trHeight w:val="331"/>
        </w:trPr>
        <w:tc>
          <w:tcPr>
            <w:tcW w:w="3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60" w:type="dxa"/>
            <w:vAlign w:val="bottom"/>
            <w:gridSpan w:val="3"/>
          </w:tcPr>
          <w:p>
            <w:pPr>
              <w:jc w:val="center"/>
              <w:ind w:right="4188"/>
              <w:spacing w:after="0"/>
              <w:rPr>
                <w:sz w:val="20"/>
                <w:szCs w:val="20"/>
                <w:color w:val="auto"/>
              </w:rPr>
            </w:pPr>
            <w:r>
              <w:rPr>
                <w:rFonts w:ascii="Times New Roman" w:cs="Times New Roman" w:eastAsia="Times New Roman" w:hAnsi="Times New Roman"/>
                <w:sz w:val="14"/>
                <w:szCs w:val="14"/>
                <w:color w:val="auto"/>
              </w:rPr>
              <w:t>Debt Securities</w:t>
            </w:r>
          </w:p>
        </w:tc>
      </w:tr>
      <w:tr>
        <w:trPr>
          <w:trHeight w:val="186"/>
        </w:trPr>
        <w:tc>
          <w:tcPr>
            <w:tcW w:w="3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60" w:type="dxa"/>
            <w:vAlign w:val="bottom"/>
            <w:gridSpan w:val="3"/>
          </w:tcPr>
          <w:p>
            <w:pPr>
              <w:jc w:val="center"/>
              <w:ind w:right="4188"/>
              <w:spacing w:after="0"/>
              <w:rPr>
                <w:sz w:val="20"/>
                <w:szCs w:val="20"/>
                <w:color w:val="auto"/>
              </w:rPr>
            </w:pPr>
            <w:r>
              <w:rPr>
                <w:rFonts w:ascii="Times New Roman" w:cs="Times New Roman" w:eastAsia="Times New Roman" w:hAnsi="Times New Roman"/>
                <w:sz w:val="14"/>
                <w:szCs w:val="14"/>
                <w:color w:val="auto"/>
              </w:rPr>
              <w:t>(Title of the indenture securities)</w:t>
            </w:r>
          </w:p>
        </w:tc>
      </w:tr>
      <w:tr>
        <w:trPr>
          <w:trHeight w:val="173"/>
        </w:trPr>
        <w:tc>
          <w:tcPr>
            <w:tcW w:w="3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532"/>
        </w:trPr>
        <w:tc>
          <w:tcPr>
            <w:tcW w:w="3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9" w:right="319" w:bottom="1440" w:gutter="0" w:footer="0" w:header="0"/>
        </w:sectPr>
      </w:pPr>
    </w:p>
    <w:bookmarkStart w:id="37" w:name="page38"/>
    <w:bookmarkEnd w:id="37"/>
    <w:p>
      <w:pPr>
        <w:ind w:left="520" w:hanging="514"/>
        <w:spacing w:after="0"/>
        <w:tabs>
          <w:tab w:leader="none" w:pos="52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83" w:lineRule="exact"/>
        <w:rPr>
          <w:rFonts w:ascii="Times New Roman" w:cs="Times New Roman" w:eastAsia="Times New Roman" w:hAnsi="Times New Roman"/>
          <w:sz w:val="14"/>
          <w:szCs w:val="14"/>
          <w:b w:val="1"/>
          <w:bCs w:val="1"/>
          <w:color w:val="auto"/>
        </w:rPr>
      </w:pPr>
    </w:p>
    <w:p>
      <w:pPr>
        <w:ind w:left="1040" w:hanging="517"/>
        <w:spacing w:after="0"/>
        <w:tabs>
          <w:tab w:leader="none" w:pos="1040" w:val="left"/>
        </w:tabs>
        <w:numPr>
          <w:ilvl w:val="1"/>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Borders>
              <w:top w:val="single" w:sz="8" w:color="auto"/>
              <w:bottom w:val="single" w:sz="8" w:color="auto"/>
            </w:tcBorders>
          </w:tcPr>
          <w:p>
            <w:pPr>
              <w:ind w:left="3160"/>
              <w:spacing w:after="0"/>
              <w:rPr>
                <w:sz w:val="20"/>
                <w:szCs w:val="20"/>
                <w:color w:val="auto"/>
              </w:rPr>
            </w:pPr>
            <w:r>
              <w:rPr>
                <w:rFonts w:ascii="Times New Roman" w:cs="Times New Roman" w:eastAsia="Times New Roman" w:hAnsi="Times New Roman"/>
                <w:sz w:val="14"/>
                <w:szCs w:val="14"/>
                <w:color w:val="auto"/>
              </w:rPr>
              <w:t>Name</w:t>
            </w:r>
          </w:p>
        </w:tc>
        <w:tc>
          <w:tcPr>
            <w:tcW w:w="5600" w:type="dxa"/>
            <w:vAlign w:val="bottom"/>
            <w:tcBorders>
              <w:top w:val="single" w:sz="8" w:color="auto"/>
              <w:bottom w:val="single" w:sz="8" w:color="auto"/>
            </w:tcBorders>
          </w:tcPr>
          <w:p>
            <w:pPr>
              <w:ind w:left="3060"/>
              <w:spacing w:after="0"/>
              <w:rPr>
                <w:sz w:val="20"/>
                <w:szCs w:val="20"/>
                <w:color w:val="auto"/>
              </w:rPr>
            </w:pPr>
            <w:r>
              <w:rPr>
                <w:rFonts w:ascii="Times New Roman" w:cs="Times New Roman" w:eastAsia="Times New Roman" w:hAnsi="Times New Roman"/>
                <w:sz w:val="14"/>
                <w:szCs w:val="14"/>
                <w:color w:val="auto"/>
              </w:rPr>
              <w:t>Address</w:t>
            </w:r>
          </w:p>
        </w:tc>
      </w:tr>
      <w:tr>
        <w:trPr>
          <w:trHeight w:val="177"/>
        </w:trPr>
        <w:tc>
          <w:tcPr>
            <w:tcW w:w="5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Comptroller of the Currency United States Department of the Treasury</w:t>
            </w:r>
          </w:p>
        </w:tc>
        <w:tc>
          <w:tcPr>
            <w:tcW w:w="5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Washington, DC 20219</w:t>
            </w:r>
          </w:p>
        </w:tc>
      </w:tr>
      <w:tr>
        <w:trPr>
          <w:trHeight w:val="330"/>
        </w:trPr>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Federal Reserve Bank</w:t>
            </w:r>
          </w:p>
        </w:tc>
        <w:tc>
          <w:tcPr>
            <w:tcW w:w="5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45"/>
        </w:trPr>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5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7" w:lineRule="exact"/>
        <w:rPr>
          <w:sz w:val="20"/>
          <w:szCs w:val="20"/>
          <w:color w:val="auto"/>
        </w:rPr>
      </w:pPr>
    </w:p>
    <w:p>
      <w:pPr>
        <w:ind w:left="1040" w:hanging="517"/>
        <w:spacing w:after="0"/>
        <w:tabs>
          <w:tab w:leader="none" w:pos="104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Yes.</w:t>
      </w:r>
    </w:p>
    <w:p>
      <w:pPr>
        <w:spacing w:after="0" w:line="182" w:lineRule="exact"/>
        <w:rPr>
          <w:sz w:val="20"/>
          <w:szCs w:val="20"/>
          <w:color w:val="auto"/>
        </w:rPr>
      </w:pPr>
    </w:p>
    <w:p>
      <w:pPr>
        <w:ind w:left="520" w:hanging="514"/>
        <w:spacing w:after="0"/>
        <w:tabs>
          <w:tab w:leader="none" w:pos="52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83"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ind w:left="520" w:hanging="514"/>
        <w:spacing w:after="0"/>
        <w:tabs>
          <w:tab w:leader="none" w:pos="52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83"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0" w:lineRule="exact"/>
        <w:rPr>
          <w:rFonts w:ascii="Times New Roman" w:cs="Times New Roman" w:eastAsia="Times New Roman" w:hAnsi="Times New Roman"/>
          <w:sz w:val="14"/>
          <w:szCs w:val="14"/>
          <w:b w:val="1"/>
          <w:bCs w:val="1"/>
          <w:color w:val="auto"/>
        </w:rPr>
      </w:pPr>
    </w:p>
    <w:p>
      <w:pPr>
        <w:ind w:left="1040" w:hanging="517"/>
        <w:spacing w:after="0" w:line="294" w:lineRule="auto"/>
        <w:tabs>
          <w:tab w:leader="none" w:pos="10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2"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83"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55" w:lineRule="exact"/>
        <w:rPr>
          <w:rFonts w:ascii="Times New Roman" w:cs="Times New Roman" w:eastAsia="Times New Roman" w:hAnsi="Times New Roman"/>
          <w:sz w:val="14"/>
          <w:szCs w:val="14"/>
          <w:color w:val="auto"/>
        </w:rPr>
      </w:pPr>
    </w:p>
    <w:p>
      <w:pPr>
        <w:ind w:left="5600" w:hanging="93"/>
        <w:spacing w:after="0"/>
        <w:tabs>
          <w:tab w:leader="none" w:pos="560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38" w:name="page39"/>
    <w:bookmarkEnd w:id="38"/>
    <w:p>
      <w:pPr>
        <w:ind w:left="517" w:hanging="517"/>
        <w:spacing w:after="0"/>
        <w:tabs>
          <w:tab w:leader="none" w:pos="51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84" w:lineRule="exact"/>
        <w:rPr>
          <w:sz w:val="20"/>
          <w:szCs w:val="20"/>
          <w:color w:val="auto"/>
        </w:rPr>
      </w:pPr>
    </w:p>
    <w:p>
      <w:pPr>
        <w:ind w:left="517" w:hanging="517"/>
        <w:spacing w:after="0"/>
        <w:tabs>
          <w:tab w:leader="none" w:pos="51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83" w:lineRule="exact"/>
        <w:rPr>
          <w:rFonts w:ascii="Times New Roman" w:cs="Times New Roman" w:eastAsia="Times New Roman" w:hAnsi="Times New Roman"/>
          <w:sz w:val="14"/>
          <w:szCs w:val="14"/>
          <w:color w:val="auto"/>
        </w:rPr>
      </w:pPr>
    </w:p>
    <w:p>
      <w:pPr>
        <w:ind w:left="517" w:hanging="517"/>
        <w:spacing w:after="0"/>
        <w:tabs>
          <w:tab w:leader="none" w:pos="51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4"/>
          <w:szCs w:val="14"/>
          <w:color w:val="auto"/>
        </w:rPr>
      </w:pPr>
    </w:p>
    <w:p>
      <w:pPr>
        <w:ind w:left="5077" w:hanging="93"/>
        <w:spacing w:after="0"/>
        <w:tabs>
          <w:tab w:leader="none" w:pos="5077"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16510</wp:posOffset>
            </wp:positionV>
            <wp:extent cx="71602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9636"/>
          </w:cols>
          <w:pgMar w:left="823" w:top="749"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30th day of April, 2026.</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84"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4"/>
          <w:szCs w:val="14"/>
          <w:color w:val="auto"/>
        </w:rPr>
        <w:t>By:</w:t>
        <w:tab/>
        <w:t>/s/ Peggy Guel</w:t>
      </w:r>
    </w:p>
    <w:p>
      <w:pPr>
        <w:spacing w:after="0" w:line="25"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4"/>
          <w:szCs w:val="14"/>
          <w:color w:val="auto"/>
        </w:rPr>
        <w:t>Name:</w:t>
        <w:tab/>
        <w:t>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-100965</wp:posOffset>
            </wp:positionV>
            <wp:extent cx="33578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357880" cy="6985"/>
                    </a:xfrm>
                    <a:prstGeom prst="rect">
                      <a:avLst/>
                    </a:prstGeom>
                    <a:noFill/>
                  </pic:spPr>
                </pic:pic>
              </a:graphicData>
            </a:graphic>
          </wp:anchor>
        </w:drawing>
      </w:r>
    </w:p>
    <w:p>
      <w:pPr>
        <w:spacing w:after="0" w:line="2"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close of business December 31, 2025, published in accordance with Federal regulatory authority instructions.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44"/>
        </w:trPr>
        <w:tc>
          <w:tcPr>
            <w:tcW w:w="506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ASSETS</w:t>
            </w:r>
          </w:p>
        </w:tc>
        <w:tc>
          <w:tcPr>
            <w:tcW w:w="4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Borders>
              <w:top w:val="single" w:sz="8" w:color="auto"/>
            </w:tcBorders>
          </w:tcPr>
          <w:p>
            <w:pPr>
              <w:spacing w:after="0"/>
              <w:rPr>
                <w:sz w:val="14"/>
                <w:szCs w:val="14"/>
                <w:color w:val="auto"/>
              </w:rPr>
            </w:pPr>
          </w:p>
        </w:tc>
        <w:tc>
          <w:tcPr>
            <w:tcW w:w="4540" w:type="dxa"/>
            <w:vAlign w:val="bottom"/>
            <w:tcBorders>
              <w:top w:val="single" w:sz="8" w:color="CCEEFF"/>
            </w:tcBorders>
          </w:tcPr>
          <w:p>
            <w:pPr>
              <w:spacing w:after="0"/>
              <w:rPr>
                <w:sz w:val="14"/>
                <w:szCs w:val="14"/>
                <w:color w:val="auto"/>
              </w:rPr>
            </w:pPr>
          </w:p>
        </w:tc>
        <w:tc>
          <w:tcPr>
            <w:tcW w:w="48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34,663</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Interest-bearing balances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219,768</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98,977</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13,036</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856,313</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128,734</w:t>
            </w:r>
          </w:p>
        </w:tc>
        <w:tc>
          <w:tcPr>
            <w:tcW w:w="0" w:type="dxa"/>
            <w:vAlign w:val="bottom"/>
          </w:tcPr>
          <w:p>
            <w:pPr>
              <w:spacing w:after="0"/>
              <w:rPr>
                <w:sz w:val="1"/>
                <w:szCs w:val="1"/>
                <w:color w:val="auto"/>
              </w:rPr>
            </w:pPr>
          </w:p>
        </w:tc>
      </w:tr>
      <w:tr>
        <w:trPr>
          <w:trHeight w:val="163"/>
        </w:trPr>
        <w:tc>
          <w:tcPr>
            <w:tcW w:w="52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1,351,491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80" w:type="dxa"/>
            <w:vAlign w:val="bottom"/>
            <w:vMerge w:val="restart"/>
          </w:tcPr>
          <w:p>
            <w:pPr>
              <w:jc w:val="right"/>
              <w:ind w:right="418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7" w:right="31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3"/>
        </w:trPr>
        <w:tc>
          <w:tcPr>
            <w:tcW w:w="82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876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Noninterest-bearing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Interest-bearing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72"/>
        </w:trPr>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7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268,400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269,820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9940" w:type="dxa"/>
            <w:vAlign w:val="bottom"/>
            <w:gridSpan w:val="3"/>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EQUITY CAPITAL</w:t>
            </w: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2"/>
        </w:trPr>
        <w:tc>
          <w:tcPr>
            <w:tcW w:w="8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76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108,284</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972,372</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1,081,671</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83"/>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1,081,671</w:t>
            </w:r>
          </w:p>
        </w:tc>
        <w:tc>
          <w:tcPr>
            <w:tcW w:w="80" w:type="dxa"/>
            <w:vAlign w:val="bottom"/>
            <w:shd w:val="clear" w:color="auto" w:fill="CCEEFF"/>
          </w:tcPr>
          <w:p>
            <w:pPr>
              <w:spacing w:after="0"/>
              <w:rPr>
                <w:sz w:val="15"/>
                <w:szCs w:val="15"/>
                <w:color w:val="auto"/>
              </w:rPr>
            </w:pPr>
          </w:p>
        </w:tc>
      </w:tr>
      <w:tr>
        <w:trPr>
          <w:trHeight w:val="174"/>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-1374140</wp:posOffset>
            </wp:positionV>
            <wp:extent cx="228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38"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3" w:lineRule="exact"/>
        <w:rPr>
          <w:sz w:val="20"/>
          <w:szCs w:val="20"/>
          <w:color w:val="auto"/>
        </w:rPr>
      </w:pPr>
    </w:p>
    <w:p>
      <w:pPr>
        <w:ind w:left="520"/>
        <w:spacing w:after="0"/>
        <w:tabs>
          <w:tab w:leader="none" w:pos="1560" w:val="left"/>
          <w:tab w:leader="none" w:pos="1780" w:val="left"/>
        </w:tabs>
        <w:rPr>
          <w:sz w:val="20"/>
          <w:szCs w:val="20"/>
          <w:color w:val="auto"/>
        </w:rPr>
      </w:pPr>
      <w:r>
        <w:rPr>
          <w:rFonts w:ascii="Times New Roman" w:cs="Times New Roman" w:eastAsia="Times New Roman" w:hAnsi="Times New Roman"/>
          <w:sz w:val="14"/>
          <w:szCs w:val="14"/>
          <w:color w:val="auto"/>
        </w:rPr>
        <w:t>Natalie Bobnar</w:t>
        <w:tab/>
        <w:t>)</w:t>
        <w:tab/>
        <w:t>CFO</w:t>
      </w:r>
    </w:p>
    <w:p>
      <w:pPr>
        <w:spacing w:after="0" w:line="184"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280"/>
          </w:cols>
          <w:pgMar w:left="300" w:top="743" w:right="319" w:bottom="1440" w:gutter="0" w:footer="0" w:header="0"/>
        </w:sectPr>
      </w:pP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Elizabeth Lyndon, Managing Director</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Kevin C. Weeks, President</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Fernando A. Costa, Managing Director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(Trustees)</w:t>
      </w:r>
    </w:p>
    <w:p>
      <w:pPr>
        <w:spacing w:after="0" w:line="385" w:lineRule="exact"/>
        <w:rPr>
          <w:sz w:val="20"/>
          <w:szCs w:val="20"/>
          <w:color w:val="auto"/>
        </w:rPr>
      </w:pPr>
    </w:p>
    <w:p>
      <w:pPr>
        <w:sectPr>
          <w:pgSz w:w="11900" w:h="16838" w:orient="portrait"/>
          <w:cols w:equalWidth="0" w:num="3">
            <w:col w:w="2780" w:space="220"/>
            <w:col w:w="40" w:space="160"/>
            <w:col w:w="8080"/>
          </w:cols>
          <w:pgMar w:left="300" w:top="743" w:right="319" w:bottom="1440" w:gutter="0" w:footer="0" w:header="0"/>
          <w:type w:val="continuous"/>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type w:val="continuous"/>
        </w:sectPr>
      </w:pPr>
    </w:p>
    <w:bookmarkStart w:id="42" w:name="page43"/>
    <w:bookmarkEnd w:id="42"/>
    <w:p>
      <w:pPr>
        <w:ind w:left="10400"/>
        <w:spacing w:after="0"/>
        <w:rPr>
          <w:sz w:val="20"/>
          <w:szCs w:val="20"/>
          <w:color w:val="auto"/>
        </w:rPr>
      </w:pPr>
      <w:r>
        <w:rPr>
          <w:rFonts w:ascii="Times New Roman" w:cs="Times New Roman" w:eastAsia="Times New Roman" w:hAnsi="Times New Roman"/>
          <w:sz w:val="17"/>
          <w:szCs w:val="17"/>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6026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165100</wp:posOffset>
            </wp:positionV>
            <wp:extent cx="71602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 OF ELIGIBILITY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TRUST INDENTURE ACT OF 1939 OF 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CORPORATION DESIGNATED TO ACT AS TRUSTEE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ELIGIBILITY OF A TRUSTEE PURSUANT TO</w:t>
      </w:r>
    </w:p>
    <w:p>
      <w:pPr>
        <w:spacing w:after="0" w:line="8" w:lineRule="exact"/>
        <w:rPr>
          <w:sz w:val="20"/>
          <w:szCs w:val="20"/>
          <w:color w:val="auto"/>
        </w:rPr>
      </w:pPr>
    </w:p>
    <w:p>
      <w:pPr>
        <w:jc w:val="center"/>
        <w:spacing w:after="0" w:line="161" w:lineRule="exact"/>
        <w:tabs>
          <w:tab w:leader="none" w:pos="380" w:val="left"/>
        </w:tabs>
        <w:rPr>
          <w:sz w:val="20"/>
          <w:szCs w:val="20"/>
          <w:color w:val="auto"/>
        </w:rPr>
      </w:pPr>
      <w:r>
        <w:rPr>
          <w:rFonts w:ascii="Times New Roman" w:cs="Times New Roman" w:eastAsia="Times New Roman" w:hAnsi="Times New Roman"/>
          <w:sz w:val="14"/>
          <w:szCs w:val="14"/>
          <w:color w:val="auto"/>
        </w:rPr>
        <w:t>SECTION 305(b)(2)</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119380</wp:posOffset>
            </wp:positionV>
            <wp:extent cx="178498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180" w:type="dxa"/>
            <w:vAlign w:val="bottom"/>
          </w:tcPr>
          <w:p>
            <w:pPr>
              <w:spacing w:after="0"/>
              <w:rPr>
                <w:sz w:val="20"/>
                <w:szCs w:val="20"/>
                <w:color w:val="auto"/>
              </w:rPr>
            </w:pPr>
          </w:p>
        </w:tc>
        <w:tc>
          <w:tcPr>
            <w:tcW w:w="8120" w:type="dxa"/>
            <w:vAlign w:val="bottom"/>
            <w:gridSpan w:val="4"/>
          </w:tcPr>
          <w:p>
            <w:pPr>
              <w:jc w:val="center"/>
              <w:ind w:right="3128"/>
              <w:spacing w:after="0"/>
              <w:rPr>
                <w:sz w:val="20"/>
                <w:szCs w:val="20"/>
                <w:color w:val="auto"/>
              </w:rPr>
            </w:pPr>
            <w:r>
              <w:rPr>
                <w:rFonts w:ascii="Times New Roman" w:cs="Times New Roman" w:eastAsia="Times New Roman" w:hAnsi="Times New Roman"/>
                <w:sz w:val="20"/>
                <w:szCs w:val="20"/>
                <w:color w:val="auto"/>
              </w:rPr>
              <w:t>THE BANK OF NEW YORK MELLON</w:t>
            </w:r>
          </w:p>
        </w:tc>
      </w:tr>
      <w:tr>
        <w:trPr>
          <w:trHeight w:val="240"/>
        </w:trPr>
        <w:tc>
          <w:tcPr>
            <w:tcW w:w="3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60" w:type="dxa"/>
            <w:vAlign w:val="bottom"/>
            <w:gridSpan w:val="3"/>
          </w:tcPr>
          <w:p>
            <w:pPr>
              <w:jc w:val="center"/>
              <w:ind w:right="4168"/>
              <w:spacing w:after="0"/>
              <w:rPr>
                <w:sz w:val="20"/>
                <w:szCs w:val="20"/>
                <w:color w:val="auto"/>
              </w:rPr>
            </w:pPr>
            <w:r>
              <w:rPr>
                <w:rFonts w:ascii="Times New Roman" w:cs="Times New Roman" w:eastAsia="Times New Roman" w:hAnsi="Times New Roman"/>
                <w:sz w:val="20"/>
                <w:szCs w:val="20"/>
                <w:color w:val="auto"/>
                <w:w w:val="98"/>
              </w:rPr>
              <w:t>TRUST COMPANY, N.A.</w:t>
            </w:r>
          </w:p>
        </w:tc>
      </w:tr>
      <w:tr>
        <w:trPr>
          <w:trHeight w:val="186"/>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60" w:type="dxa"/>
            <w:vAlign w:val="bottom"/>
            <w:gridSpan w:val="3"/>
          </w:tcPr>
          <w:p>
            <w:pPr>
              <w:jc w:val="center"/>
              <w:ind w:right="4188"/>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73"/>
        </w:trPr>
        <w:tc>
          <w:tcPr>
            <w:tcW w:w="3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148"/>
        </w:trPr>
        <w:tc>
          <w:tcPr>
            <w:tcW w:w="318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(Jurisdiction of incorporation</w:t>
            </w:r>
          </w:p>
        </w:tc>
        <w:tc>
          <w:tcPr>
            <w:tcW w:w="1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95-3571558</w:t>
            </w:r>
          </w:p>
        </w:tc>
      </w:tr>
      <w:tr>
        <w:trPr>
          <w:trHeight w:val="172"/>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31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9"/>
        </w:trPr>
        <w:tc>
          <w:tcPr>
            <w:tcW w:w="318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333 South Hope Street</w:t>
            </w:r>
          </w:p>
        </w:tc>
        <w:tc>
          <w:tcPr>
            <w:tcW w:w="1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72"/>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spacing w:after="0"/>
              <w:rPr>
                <w:sz w:val="14"/>
                <w:szCs w:val="14"/>
                <w:color w:val="auto"/>
              </w:rPr>
            </w:pPr>
          </w:p>
        </w:tc>
      </w:tr>
      <w:tr>
        <w:trPr>
          <w:trHeight w:val="172"/>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90071</w:t>
            </w:r>
          </w:p>
        </w:tc>
      </w:tr>
      <w:tr>
        <w:trPr>
          <w:trHeight w:val="186"/>
        </w:trPr>
        <w:tc>
          <w:tcPr>
            <w:tcW w:w="31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4"/>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600" w:type="dxa"/>
            <w:vAlign w:val="bottom"/>
          </w:tcPr>
          <w:p>
            <w:pPr>
              <w:spacing w:after="0"/>
              <w:rPr>
                <w:sz w:val="14"/>
                <w:szCs w:val="14"/>
                <w:color w:val="auto"/>
              </w:rPr>
            </w:pPr>
          </w:p>
        </w:tc>
      </w:tr>
    </w:tbl>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60" w:type="dxa"/>
            <w:vAlign w:val="bottom"/>
            <w:gridSpan w:val="3"/>
          </w:tcPr>
          <w:p>
            <w:pPr>
              <w:jc w:val="center"/>
              <w:ind w:right="4168"/>
              <w:spacing w:after="0"/>
              <w:rPr>
                <w:sz w:val="20"/>
                <w:szCs w:val="20"/>
                <w:color w:val="auto"/>
              </w:rPr>
            </w:pPr>
            <w:r>
              <w:rPr>
                <w:rFonts w:ascii="Times New Roman" w:cs="Times New Roman" w:eastAsia="Times New Roman" w:hAnsi="Times New Roman"/>
                <w:sz w:val="20"/>
                <w:szCs w:val="20"/>
                <w:color w:val="auto"/>
              </w:rPr>
              <w:t>Fidelity National Financial, Inc.</w:t>
            </w:r>
          </w:p>
        </w:tc>
      </w:tr>
      <w:tr>
        <w:trPr>
          <w:trHeight w:val="186"/>
        </w:trPr>
        <w:tc>
          <w:tcPr>
            <w:tcW w:w="3300" w:type="dxa"/>
            <w:vAlign w:val="bottom"/>
          </w:tcPr>
          <w:p>
            <w:pPr>
              <w:spacing w:after="0"/>
              <w:rPr>
                <w:sz w:val="16"/>
                <w:szCs w:val="16"/>
                <w:color w:val="auto"/>
              </w:rPr>
            </w:pPr>
          </w:p>
        </w:tc>
        <w:tc>
          <w:tcPr>
            <w:tcW w:w="8000" w:type="dxa"/>
            <w:vAlign w:val="bottom"/>
            <w:gridSpan w:val="4"/>
          </w:tcPr>
          <w:p>
            <w:pPr>
              <w:jc w:val="center"/>
              <w:ind w:right="3248"/>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73"/>
        </w:trPr>
        <w:tc>
          <w:tcPr>
            <w:tcW w:w="3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148"/>
        </w:trPr>
        <w:tc>
          <w:tcPr>
            <w:tcW w:w="330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16-1725106</w:t>
            </w:r>
          </w:p>
        </w:tc>
      </w:tr>
      <w:tr>
        <w:trPr>
          <w:trHeight w:val="172"/>
        </w:trPr>
        <w:tc>
          <w:tcPr>
            <w:tcW w:w="3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3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9"/>
        </w:trPr>
        <w:tc>
          <w:tcPr>
            <w:tcW w:w="3300" w:type="dxa"/>
            <w:vAlign w:val="bottom"/>
            <w:tcBorders>
              <w:lef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601 Riverside Avenue</w:t>
            </w: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72"/>
        </w:trPr>
        <w:tc>
          <w:tcPr>
            <w:tcW w:w="3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Jacksonville, Florida</w:t>
            </w:r>
          </w:p>
        </w:tc>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32204</w:t>
            </w:r>
          </w:p>
        </w:tc>
      </w:tr>
      <w:tr>
        <w:trPr>
          <w:trHeight w:val="186"/>
        </w:trPr>
        <w:tc>
          <w:tcPr>
            <w:tcW w:w="3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73"/>
        </w:trPr>
        <w:tc>
          <w:tcPr>
            <w:tcW w:w="3300" w:type="dxa"/>
            <w:vAlign w:val="bottom"/>
            <w:tcBorders>
              <w:left w:val="single" w:sz="8" w:color="auto"/>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r>
      <w:tr>
        <w:trPr>
          <w:trHeight w:val="185"/>
        </w:trPr>
        <w:tc>
          <w:tcPr>
            <w:tcW w:w="3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4260" w:type="dxa"/>
            <w:vAlign w:val="bottom"/>
            <w:gridSpan w:val="2"/>
          </w:tcPr>
          <w:p>
            <w:pPr>
              <w:spacing w:after="0"/>
              <w:rPr>
                <w:sz w:val="16"/>
                <w:szCs w:val="16"/>
                <w:color w:val="auto"/>
              </w:rPr>
            </w:pPr>
          </w:p>
        </w:tc>
      </w:tr>
      <w:tr>
        <w:trPr>
          <w:trHeight w:val="353"/>
        </w:trPr>
        <w:tc>
          <w:tcPr>
            <w:tcW w:w="3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60" w:type="dxa"/>
            <w:vAlign w:val="bottom"/>
            <w:gridSpan w:val="3"/>
          </w:tcPr>
          <w:p>
            <w:pPr>
              <w:jc w:val="center"/>
              <w:ind w:right="4188"/>
              <w:spacing w:after="0"/>
              <w:rPr>
                <w:sz w:val="20"/>
                <w:szCs w:val="20"/>
                <w:color w:val="auto"/>
              </w:rPr>
            </w:pPr>
            <w:r>
              <w:rPr>
                <w:rFonts w:ascii="Times New Roman" w:cs="Times New Roman" w:eastAsia="Times New Roman" w:hAnsi="Times New Roman"/>
                <w:sz w:val="14"/>
                <w:szCs w:val="14"/>
                <w:color w:val="auto"/>
              </w:rPr>
              <w:t>Subordinated Debt Securities</w:t>
            </w:r>
          </w:p>
        </w:tc>
      </w:tr>
      <w:tr>
        <w:trPr>
          <w:trHeight w:val="186"/>
        </w:trPr>
        <w:tc>
          <w:tcPr>
            <w:tcW w:w="3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60" w:type="dxa"/>
            <w:vAlign w:val="bottom"/>
            <w:gridSpan w:val="3"/>
          </w:tcPr>
          <w:p>
            <w:pPr>
              <w:jc w:val="center"/>
              <w:ind w:right="4188"/>
              <w:spacing w:after="0"/>
              <w:rPr>
                <w:sz w:val="20"/>
                <w:szCs w:val="20"/>
                <w:color w:val="auto"/>
              </w:rPr>
            </w:pPr>
            <w:r>
              <w:rPr>
                <w:rFonts w:ascii="Times New Roman" w:cs="Times New Roman" w:eastAsia="Times New Roman" w:hAnsi="Times New Roman"/>
                <w:sz w:val="14"/>
                <w:szCs w:val="14"/>
                <w:color w:val="auto"/>
              </w:rPr>
              <w:t>(Title of the indenture securities)</w:t>
            </w:r>
          </w:p>
        </w:tc>
      </w:tr>
      <w:tr>
        <w:trPr>
          <w:trHeight w:val="173"/>
        </w:trPr>
        <w:tc>
          <w:tcPr>
            <w:tcW w:w="3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532"/>
        </w:trPr>
        <w:tc>
          <w:tcPr>
            <w:tcW w:w="3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9" w:right="319" w:bottom="1440" w:gutter="0" w:footer="0" w:header="0"/>
        </w:sectPr>
      </w:pPr>
    </w:p>
    <w:bookmarkStart w:id="43" w:name="page44"/>
    <w:bookmarkEnd w:id="43"/>
    <w:p>
      <w:pPr>
        <w:ind w:left="520" w:hanging="514"/>
        <w:spacing w:after="0"/>
        <w:tabs>
          <w:tab w:leader="none" w:pos="52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83" w:lineRule="exact"/>
        <w:rPr>
          <w:rFonts w:ascii="Times New Roman" w:cs="Times New Roman" w:eastAsia="Times New Roman" w:hAnsi="Times New Roman"/>
          <w:sz w:val="14"/>
          <w:szCs w:val="14"/>
          <w:b w:val="1"/>
          <w:bCs w:val="1"/>
          <w:color w:val="auto"/>
        </w:rPr>
      </w:pPr>
    </w:p>
    <w:p>
      <w:pPr>
        <w:ind w:left="1040" w:hanging="517"/>
        <w:spacing w:after="0"/>
        <w:tabs>
          <w:tab w:leader="none" w:pos="1040"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Borders>
              <w:top w:val="single" w:sz="8" w:color="auto"/>
              <w:bottom w:val="single" w:sz="8" w:color="auto"/>
            </w:tcBorders>
          </w:tcPr>
          <w:p>
            <w:pPr>
              <w:ind w:left="3160"/>
              <w:spacing w:after="0"/>
              <w:rPr>
                <w:sz w:val="20"/>
                <w:szCs w:val="20"/>
                <w:color w:val="auto"/>
              </w:rPr>
            </w:pPr>
            <w:r>
              <w:rPr>
                <w:rFonts w:ascii="Times New Roman" w:cs="Times New Roman" w:eastAsia="Times New Roman" w:hAnsi="Times New Roman"/>
                <w:sz w:val="14"/>
                <w:szCs w:val="14"/>
                <w:color w:val="auto"/>
              </w:rPr>
              <w:t>Name</w:t>
            </w:r>
          </w:p>
        </w:tc>
        <w:tc>
          <w:tcPr>
            <w:tcW w:w="5600" w:type="dxa"/>
            <w:vAlign w:val="bottom"/>
            <w:tcBorders>
              <w:top w:val="single" w:sz="8" w:color="auto"/>
              <w:bottom w:val="single" w:sz="8" w:color="auto"/>
            </w:tcBorders>
          </w:tcPr>
          <w:p>
            <w:pPr>
              <w:ind w:left="3060"/>
              <w:spacing w:after="0"/>
              <w:rPr>
                <w:sz w:val="20"/>
                <w:szCs w:val="20"/>
                <w:color w:val="auto"/>
              </w:rPr>
            </w:pPr>
            <w:r>
              <w:rPr>
                <w:rFonts w:ascii="Times New Roman" w:cs="Times New Roman" w:eastAsia="Times New Roman" w:hAnsi="Times New Roman"/>
                <w:sz w:val="14"/>
                <w:szCs w:val="14"/>
                <w:color w:val="auto"/>
              </w:rPr>
              <w:t>Address</w:t>
            </w:r>
          </w:p>
        </w:tc>
      </w:tr>
      <w:tr>
        <w:trPr>
          <w:trHeight w:val="177"/>
        </w:trPr>
        <w:tc>
          <w:tcPr>
            <w:tcW w:w="5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Comptroller of the Currency United States Department of the Treasury</w:t>
            </w:r>
          </w:p>
        </w:tc>
        <w:tc>
          <w:tcPr>
            <w:tcW w:w="5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Washington, DC 20219</w:t>
            </w:r>
          </w:p>
        </w:tc>
      </w:tr>
      <w:tr>
        <w:trPr>
          <w:trHeight w:val="330"/>
        </w:trPr>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Federal Reserve Bank</w:t>
            </w:r>
          </w:p>
        </w:tc>
        <w:tc>
          <w:tcPr>
            <w:tcW w:w="5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45"/>
        </w:trPr>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5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7" w:lineRule="exact"/>
        <w:rPr>
          <w:sz w:val="20"/>
          <w:szCs w:val="20"/>
          <w:color w:val="auto"/>
        </w:rPr>
      </w:pPr>
    </w:p>
    <w:p>
      <w:pPr>
        <w:ind w:left="1040" w:hanging="517"/>
        <w:spacing w:after="0"/>
        <w:tabs>
          <w:tab w:leader="none" w:pos="104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Yes.</w:t>
      </w:r>
    </w:p>
    <w:p>
      <w:pPr>
        <w:spacing w:after="0" w:line="182" w:lineRule="exact"/>
        <w:rPr>
          <w:sz w:val="20"/>
          <w:szCs w:val="20"/>
          <w:color w:val="auto"/>
        </w:rPr>
      </w:pPr>
    </w:p>
    <w:p>
      <w:pPr>
        <w:ind w:left="520" w:hanging="514"/>
        <w:spacing w:after="0"/>
        <w:tabs>
          <w:tab w:leader="none" w:pos="52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83"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ind w:left="520" w:hanging="514"/>
        <w:spacing w:after="0"/>
        <w:tabs>
          <w:tab w:leader="none" w:pos="52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83"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0" w:lineRule="exact"/>
        <w:rPr>
          <w:rFonts w:ascii="Times New Roman" w:cs="Times New Roman" w:eastAsia="Times New Roman" w:hAnsi="Times New Roman"/>
          <w:sz w:val="14"/>
          <w:szCs w:val="14"/>
          <w:b w:val="1"/>
          <w:bCs w:val="1"/>
          <w:color w:val="auto"/>
        </w:rPr>
      </w:pPr>
    </w:p>
    <w:p>
      <w:pPr>
        <w:ind w:left="1040" w:hanging="517"/>
        <w:spacing w:after="0" w:line="294" w:lineRule="auto"/>
        <w:tabs>
          <w:tab w:leader="none" w:pos="10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2"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83"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55" w:lineRule="exact"/>
        <w:rPr>
          <w:rFonts w:ascii="Times New Roman" w:cs="Times New Roman" w:eastAsia="Times New Roman" w:hAnsi="Times New Roman"/>
          <w:sz w:val="14"/>
          <w:szCs w:val="14"/>
          <w:color w:val="auto"/>
        </w:rPr>
      </w:pPr>
    </w:p>
    <w:p>
      <w:pPr>
        <w:ind w:left="5600" w:hanging="93"/>
        <w:spacing w:after="0"/>
        <w:tabs>
          <w:tab w:leader="none" w:pos="560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44" w:name="page45"/>
    <w:bookmarkEnd w:id="44"/>
    <w:p>
      <w:pPr>
        <w:ind w:left="517" w:hanging="517"/>
        <w:spacing w:after="0"/>
        <w:tabs>
          <w:tab w:leader="none" w:pos="51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84" w:lineRule="exact"/>
        <w:rPr>
          <w:sz w:val="20"/>
          <w:szCs w:val="20"/>
          <w:color w:val="auto"/>
        </w:rPr>
      </w:pPr>
    </w:p>
    <w:p>
      <w:pPr>
        <w:ind w:left="517" w:hanging="517"/>
        <w:spacing w:after="0"/>
        <w:tabs>
          <w:tab w:leader="none" w:pos="51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83" w:lineRule="exact"/>
        <w:rPr>
          <w:rFonts w:ascii="Times New Roman" w:cs="Times New Roman" w:eastAsia="Times New Roman" w:hAnsi="Times New Roman"/>
          <w:sz w:val="14"/>
          <w:szCs w:val="14"/>
          <w:color w:val="auto"/>
        </w:rPr>
      </w:pPr>
    </w:p>
    <w:p>
      <w:pPr>
        <w:ind w:left="517" w:hanging="517"/>
        <w:spacing w:after="0"/>
        <w:tabs>
          <w:tab w:leader="none" w:pos="51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4"/>
          <w:szCs w:val="14"/>
          <w:color w:val="auto"/>
        </w:rPr>
      </w:pPr>
    </w:p>
    <w:p>
      <w:pPr>
        <w:ind w:left="5077" w:hanging="93"/>
        <w:spacing w:after="0"/>
        <w:tabs>
          <w:tab w:leader="none" w:pos="5077"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16510</wp:posOffset>
            </wp:positionV>
            <wp:extent cx="71602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9636"/>
          </w:cols>
          <w:pgMar w:left="823" w:top="749"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30th day of April, 2026.</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84"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4"/>
          <w:szCs w:val="14"/>
          <w:color w:val="auto"/>
        </w:rPr>
        <w:t>By:</w:t>
        <w:tab/>
        <w:t>/s/ Peggy Guel</w:t>
      </w:r>
    </w:p>
    <w:p>
      <w:pPr>
        <w:spacing w:after="0" w:line="25"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4"/>
          <w:szCs w:val="14"/>
          <w:color w:val="auto"/>
        </w:rPr>
        <w:t>Name:</w:t>
        <w:tab/>
        <w:t>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-100965</wp:posOffset>
            </wp:positionV>
            <wp:extent cx="335788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357880" cy="6985"/>
                    </a:xfrm>
                    <a:prstGeom prst="rect">
                      <a:avLst/>
                    </a:prstGeom>
                    <a:noFill/>
                  </pic:spPr>
                </pic:pic>
              </a:graphicData>
            </a:graphic>
          </wp:anchor>
        </w:drawing>
      </w:r>
    </w:p>
    <w:p>
      <w:pPr>
        <w:spacing w:after="0" w:line="2"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close of business December 31, 2025, published in accordance with Federal regulatory authority instructions.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44"/>
        </w:trPr>
        <w:tc>
          <w:tcPr>
            <w:tcW w:w="506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ASSETS</w:t>
            </w:r>
          </w:p>
        </w:tc>
        <w:tc>
          <w:tcPr>
            <w:tcW w:w="4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Borders>
              <w:top w:val="single" w:sz="8" w:color="auto"/>
            </w:tcBorders>
          </w:tcPr>
          <w:p>
            <w:pPr>
              <w:spacing w:after="0"/>
              <w:rPr>
                <w:sz w:val="14"/>
                <w:szCs w:val="14"/>
                <w:color w:val="auto"/>
              </w:rPr>
            </w:pPr>
          </w:p>
        </w:tc>
        <w:tc>
          <w:tcPr>
            <w:tcW w:w="4540" w:type="dxa"/>
            <w:vAlign w:val="bottom"/>
            <w:tcBorders>
              <w:top w:val="single" w:sz="8" w:color="CCEEFF"/>
            </w:tcBorders>
          </w:tcPr>
          <w:p>
            <w:pPr>
              <w:spacing w:after="0"/>
              <w:rPr>
                <w:sz w:val="14"/>
                <w:szCs w:val="14"/>
                <w:color w:val="auto"/>
              </w:rPr>
            </w:pPr>
          </w:p>
        </w:tc>
        <w:tc>
          <w:tcPr>
            <w:tcW w:w="48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34,663</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Interest-bearing balances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219,768</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98,977</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13,036</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856,313</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128,734</w:t>
            </w:r>
          </w:p>
        </w:tc>
        <w:tc>
          <w:tcPr>
            <w:tcW w:w="0" w:type="dxa"/>
            <w:vAlign w:val="bottom"/>
          </w:tcPr>
          <w:p>
            <w:pPr>
              <w:spacing w:after="0"/>
              <w:rPr>
                <w:sz w:val="1"/>
                <w:szCs w:val="1"/>
                <w:color w:val="auto"/>
              </w:rPr>
            </w:pPr>
          </w:p>
        </w:tc>
      </w:tr>
      <w:tr>
        <w:trPr>
          <w:trHeight w:val="163"/>
        </w:trPr>
        <w:tc>
          <w:tcPr>
            <w:tcW w:w="52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1,351,491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80" w:type="dxa"/>
            <w:vAlign w:val="bottom"/>
            <w:vMerge w:val="restart"/>
          </w:tcPr>
          <w:p>
            <w:pPr>
              <w:jc w:val="right"/>
              <w:ind w:right="418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69" w:right="31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3"/>
        </w:trPr>
        <w:tc>
          <w:tcPr>
            <w:tcW w:w="82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876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Noninterest-bearing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Interest-bearing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72"/>
        </w:trPr>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7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268,400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269,820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9940" w:type="dxa"/>
            <w:vAlign w:val="bottom"/>
            <w:gridSpan w:val="3"/>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EQUITY CAPITAL</w:t>
            </w: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2"/>
        </w:trPr>
        <w:tc>
          <w:tcPr>
            <w:tcW w:w="8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76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108,284</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972,372</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9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1,081,671</w:t>
            </w:r>
          </w:p>
        </w:tc>
        <w:tc>
          <w:tcPr>
            <w:tcW w:w="80" w:type="dxa"/>
            <w:vAlign w:val="bottom"/>
            <w:shd w:val="clear" w:color="auto" w:fill="CCEEFF"/>
          </w:tcPr>
          <w:p>
            <w:pPr>
              <w:spacing w:after="0"/>
              <w:rPr>
                <w:sz w:val="14"/>
                <w:szCs w:val="14"/>
                <w:color w:val="auto"/>
              </w:rPr>
            </w:pPr>
          </w:p>
        </w:tc>
      </w:tr>
      <w:tr>
        <w:trPr>
          <w:trHeight w:val="172"/>
        </w:trPr>
        <w:tc>
          <w:tcPr>
            <w:tcW w:w="9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83"/>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1,081,671</w:t>
            </w:r>
          </w:p>
        </w:tc>
        <w:tc>
          <w:tcPr>
            <w:tcW w:w="80" w:type="dxa"/>
            <w:vAlign w:val="bottom"/>
            <w:shd w:val="clear" w:color="auto" w:fill="CCEEFF"/>
          </w:tcPr>
          <w:p>
            <w:pPr>
              <w:spacing w:after="0"/>
              <w:rPr>
                <w:sz w:val="15"/>
                <w:szCs w:val="15"/>
                <w:color w:val="auto"/>
              </w:rPr>
            </w:pPr>
          </w:p>
        </w:tc>
      </w:tr>
      <w:tr>
        <w:trPr>
          <w:trHeight w:val="174"/>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-1374140</wp:posOffset>
            </wp:positionV>
            <wp:extent cx="228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38"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3" w:lineRule="exact"/>
        <w:rPr>
          <w:sz w:val="20"/>
          <w:szCs w:val="20"/>
          <w:color w:val="auto"/>
        </w:rPr>
      </w:pPr>
    </w:p>
    <w:p>
      <w:pPr>
        <w:ind w:left="520"/>
        <w:spacing w:after="0"/>
        <w:tabs>
          <w:tab w:leader="none" w:pos="1560" w:val="left"/>
          <w:tab w:leader="none" w:pos="1780" w:val="left"/>
        </w:tabs>
        <w:rPr>
          <w:sz w:val="20"/>
          <w:szCs w:val="20"/>
          <w:color w:val="auto"/>
        </w:rPr>
      </w:pPr>
      <w:r>
        <w:rPr>
          <w:rFonts w:ascii="Times New Roman" w:cs="Times New Roman" w:eastAsia="Times New Roman" w:hAnsi="Times New Roman"/>
          <w:sz w:val="14"/>
          <w:szCs w:val="14"/>
          <w:color w:val="auto"/>
        </w:rPr>
        <w:t>Natalie Bobnar</w:t>
        <w:tab/>
        <w:t>)</w:t>
        <w:tab/>
        <w:t>CFO</w:t>
      </w:r>
    </w:p>
    <w:p>
      <w:pPr>
        <w:spacing w:after="0" w:line="184" w:lineRule="exact"/>
        <w:rPr>
          <w:sz w:val="20"/>
          <w:szCs w:val="20"/>
          <w:color w:val="auto"/>
        </w:rPr>
      </w:pPr>
    </w:p>
    <w:p>
      <w:pPr>
        <w:ind w:right="80" w:firstLine="517"/>
        <w:spacing w:after="0" w:line="294"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280"/>
          </w:cols>
          <w:pgMar w:left="300" w:top="743" w:right="319" w:bottom="1440" w:gutter="0" w:footer="0" w:header="0"/>
        </w:sectPr>
      </w:pP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Elizabeth Lyndon, Managing Director</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Kevin C. Weeks, President</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Fernando A. Costa, Managing Director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(Trustees)</w:t>
      </w:r>
    </w:p>
    <w:p>
      <w:pPr>
        <w:spacing w:after="0" w:line="385" w:lineRule="exact"/>
        <w:rPr>
          <w:sz w:val="20"/>
          <w:szCs w:val="20"/>
          <w:color w:val="auto"/>
        </w:rPr>
      </w:pPr>
    </w:p>
    <w:p>
      <w:pPr>
        <w:sectPr>
          <w:pgSz w:w="11900" w:h="16838" w:orient="portrait"/>
          <w:cols w:equalWidth="0" w:num="3">
            <w:col w:w="2780" w:space="220"/>
            <w:col w:w="40" w:space="160"/>
            <w:col w:w="8080"/>
          </w:cols>
          <w:pgMar w:left="300" w:top="743" w:right="319" w:bottom="1440" w:gutter="0" w:footer="0" w:header="0"/>
          <w:type w:val="continuous"/>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type w:val="continuous"/>
        </w:sectPr>
      </w:pPr>
    </w:p>
    <w:bookmarkStart w:id="48" w:name="page49"/>
    <w:bookmarkEnd w:id="48"/>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Fidelity National Financial,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3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14"/>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19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40" w:type="dxa"/>
            <w:vAlign w:val="bottom"/>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3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right="120"/>
        <w:spacing w:after="0" w:line="247" w:lineRule="auto"/>
        <w:rPr>
          <w:sz w:val="20"/>
          <w:szCs w:val="20"/>
          <w:color w:val="auto"/>
        </w:rPr>
      </w:pPr>
      <w:r>
        <w:rPr>
          <w:rFonts w:ascii="Arial" w:cs="Arial" w:eastAsia="Arial" w:hAnsi="Arial"/>
          <w:sz w:val="17"/>
          <w:szCs w:val="17"/>
          <w:color w:val="auto"/>
        </w:rPr>
        <w:t>An indeterminate aggregate initial offering price or unspecified number or amount of debt securities of the registrant, which may be senior or subordinated, is being registered as may from time to time be issued at unspecified prices. In accordance with Rules 456(b) and 457(r) under the Securities Act of 1933, as amended, the registrant is deferring payment of the entire registration fee. Registration fees will be paid subsequently on a "pay as you go" basis. The registrant will calculate the registration fee applicable to an offer of securities pursuant to this Registration Statement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wp:posOffset>
            </wp:positionV>
            <wp:extent cx="714438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2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9ADAF6"/>
            </w:tcBorders>
            <w:gridSpan w:val="2"/>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jc w:val="center"/>
              <w:ind w:right="274"/>
              <w:spacing w:after="0" w:line="194"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5"/>
          </w:tcPr>
          <w:p>
            <w:pPr>
              <w:jc w:val="center"/>
              <w:ind w:right="137"/>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8"/>
          </w:tcPr>
          <w:p>
            <w:pPr>
              <w:jc w:val="center"/>
              <w:ind w:right="20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2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1240" w:type="dxa"/>
            <w:vAlign w:val="bottom"/>
            <w:gridSpan w:val="5"/>
            <w:shd w:val="clear" w:color="auto" w:fill="9ADAF6"/>
          </w:tcPr>
          <w:p>
            <w:pPr>
              <w:ind w:left="4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7"/>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97"/>
              <w:spacing w:after="0" w:line="194"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20" w:type="dxa"/>
            <w:vAlign w:val="bottom"/>
            <w:gridSpan w:val="5"/>
            <w:vMerge w:val="restart"/>
            <w:shd w:val="clear" w:color="auto" w:fill="9ADAF6"/>
          </w:tcPr>
          <w:p>
            <w:pPr>
              <w:jc w:val="center"/>
              <w:ind w:right="17"/>
              <w:spacing w:after="0" w:line="194" w:lineRule="exact"/>
              <w:rPr>
                <w:sz w:val="20"/>
                <w:szCs w:val="20"/>
                <w:color w:val="auto"/>
              </w:rPr>
            </w:pPr>
            <w:r>
              <w:rPr>
                <w:rFonts w:ascii="Arial" w:cs="Arial" w:eastAsia="Arial" w:hAnsi="Arial"/>
                <w:sz w:val="17"/>
                <w:szCs w:val="17"/>
                <w:b w:val="1"/>
                <w:bCs w:val="1"/>
                <w:color w:val="auto"/>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2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shd w:val="clear" w:color="auto" w:fill="9ADAF6"/>
          </w:tcPr>
          <w:p>
            <w:pPr>
              <w:spacing w:after="0"/>
              <w:rPr>
                <w:sz w:val="12"/>
                <w:szCs w:val="12"/>
                <w:color w:val="auto"/>
              </w:rPr>
            </w:pPr>
          </w:p>
        </w:tc>
        <w:tc>
          <w:tcPr>
            <w:tcW w:w="1240" w:type="dxa"/>
            <w:vAlign w:val="bottom"/>
            <w:gridSpan w:val="5"/>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60" w:type="dxa"/>
            <w:vAlign w:val="bottom"/>
            <w:tcBorders>
              <w:bottom w:val="single" w:sz="8" w:color="E7E7E2"/>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5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Roman"/>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Roman"/>
      <w:start w:val="2"/>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8">
    <w:nsid w:val="51EAD36B"/>
    <w:multiLevelType w:val="hybridMultilevel"/>
    <w:lvl w:ilvl="0">
      <w:lvlJc w:val="left"/>
      <w:lvlText w:val="(%1)"/>
      <w:numFmt w:val="lowerRoman"/>
      <w:start w:val="2"/>
    </w:lvl>
  </w:abstractNum>
  <w:abstractNum w:abstractNumId="29">
    <w:nsid w:val="2D517796"/>
    <w:multiLevelType w:val="hybridMultilevel"/>
    <w:lvl w:ilvl="0">
      <w:lvlJc w:val="left"/>
      <w:lvlText w:val="(%1)"/>
      <w:numFmt w:val="lowerRoman"/>
      <w:start w:val="3"/>
    </w:lvl>
  </w:abstractNum>
  <w:abstractNum w:abstractNumId="30">
    <w:nsid w:val="580BD78F"/>
    <w:multiLevelType w:val="hybridMultilevel"/>
    <w:lvl w:ilvl="0">
      <w:lvlJc w:val="left"/>
      <w:lvlText w:val="(%1)"/>
      <w:numFmt w:val="decimal"/>
      <w:start w:val="2"/>
    </w:lvl>
    <w:lvl w:ilvl="1">
      <w:lvlJc w:val="left"/>
      <w:lvlText w:val="(%2)"/>
      <w:numFmt w:val="lowerRoman"/>
      <w:start w:val="1"/>
    </w:lvl>
  </w:abstractNum>
  <w:abstractNum w:abstractNumId="31">
    <w:nsid w:val="153EA438"/>
    <w:multiLevelType w:val="hybridMultilevel"/>
    <w:lvl w:ilvl="0">
      <w:lvlJc w:val="left"/>
      <w:lvlText w:val="%1"/>
      <w:numFmt w:val="decimal"/>
      <w:start w:val="1"/>
    </w:lvl>
    <w:lvl w:ilvl="1">
      <w:lvlJc w:val="left"/>
      <w:lvlText w:val="(%2)"/>
      <w:numFmt w:val="upperLetter"/>
      <w:start w:val="2"/>
    </w:lvl>
  </w:abstractNum>
  <w:abstractNum w:abstractNumId="32">
    <w:nsid w:val="3855585C"/>
    <w:multiLevelType w:val="hybridMultilevel"/>
    <w:lvl w:ilvl="0">
      <w:lvlJc w:val="left"/>
      <w:lvlText w:val="(%1)"/>
      <w:numFmt w:val="decimal"/>
      <w:start w:val="5"/>
    </w:lvl>
    <w:lvl w:ilvl="1">
      <w:lvlJc w:val="left"/>
      <w:lvlText w:val="%2"/>
      <w:numFmt w:val="upperLetter"/>
      <w:start w:val="1"/>
    </w:lvl>
  </w:abstractNum>
  <w:abstractNum w:abstractNumId="33">
    <w:nsid w:val="70A64E2A"/>
    <w:multiLevelType w:val="hybridMultilevel"/>
    <w:lvl w:ilvl="0">
      <w:lvlJc w:val="left"/>
      <w:lvlText w:val="(%1)"/>
      <w:numFmt w:val="lowerRoman"/>
      <w:start w:val="1"/>
    </w:lvl>
  </w:abstractNum>
  <w:abstractNum w:abstractNumId="34">
    <w:nsid w:val="6A2342EC"/>
    <w:multiLevelType w:val="hybridMultilevel"/>
    <w:lvl w:ilvl="0">
      <w:lvlJc w:val="left"/>
      <w:lvlText w:val="%1"/>
      <w:numFmt w:val="lowerLetter"/>
      <w:start w:val="1"/>
    </w:lvl>
    <w:lvl w:ilvl="1">
      <w:lvlJc w:val="left"/>
      <w:lvlText w:val="(%2)"/>
      <w:numFmt w:val="lowerRoman"/>
      <w:start w:val="4"/>
    </w:lvl>
  </w:abstractNum>
  <w:abstractNum w:abstractNumId="35">
    <w:nsid w:val="2A487CB0"/>
    <w:multiLevelType w:val="hybridMultilevel"/>
    <w:lvl w:ilvl="0">
      <w:lvlJc w:val="left"/>
      <w:lvlText w:val="(%1)"/>
      <w:numFmt w:val="lowerLetter"/>
      <w:start w:val="2"/>
    </w:lvl>
    <w:lvl w:ilvl="1">
      <w:lvlJc w:val="left"/>
      <w:lvlText w:val="%2"/>
      <w:numFmt w:val="lowerRoman"/>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Roman"/>
      <w:start w:val="5"/>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decimal"/>
      <w:start w:val="2"/>
    </w:lvl>
  </w:abstractNum>
  <w:abstractNum w:abstractNumId="41">
    <w:nsid w:val="4B588F54"/>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42">
    <w:nsid w:val="542289EC"/>
    <w:multiLevelType w:val="hybridMultilevel"/>
    <w:lvl w:ilvl="0">
      <w:lvlJc w:val="left"/>
      <w:lvlText w:val="%1."/>
      <w:numFmt w:val="decimal"/>
      <w:start w:val="4"/>
    </w:lvl>
  </w:abstractNum>
  <w:abstractNum w:abstractNumId="43">
    <w:nsid w:val="6DE91B18"/>
    <w:multiLevelType w:val="hybridMultilevel"/>
    <w:lvl w:ilvl="0">
      <w:lvlJc w:val="left"/>
      <w:lvlText w:val="%1."/>
      <w:numFmt w:val="decimal"/>
      <w:start w:val="6"/>
    </w:lvl>
    <w:lvl w:ilvl="1">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decimal"/>
      <w:start w:val="2"/>
    </w:lvl>
  </w:abstractNum>
  <w:abstractNum w:abstractNumId="47">
    <w:nsid w:val="684A481A"/>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48">
    <w:nsid w:val="579478FE"/>
    <w:multiLevelType w:val="hybridMultilevel"/>
    <w:lvl w:ilvl="0">
      <w:lvlJc w:val="left"/>
      <w:lvlText w:val="%1."/>
      <w:numFmt w:val="decimal"/>
      <w:start w:val="4"/>
    </w:lvl>
  </w:abstractNum>
  <w:abstractNum w:abstractNumId="49">
    <w:nsid w:val="749ABB43"/>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jpeg"/><Relationship Id="rId74" Type="http://schemas.openxmlformats.org/officeDocument/2006/relationships/image" Target="media/image57.png"/><Relationship Id="rId75" Type="http://schemas.openxmlformats.org/officeDocument/2006/relationships/image" Target="media/image58.jpeg"/><Relationship Id="rId76" Type="http://schemas.openxmlformats.org/officeDocument/2006/relationships/image" Target="media/image59.png"/><Relationship Id="rId77" Type="http://schemas.openxmlformats.org/officeDocument/2006/relationships/image" Target="media/image60.jpeg"/><Relationship Id="rId78" Type="http://schemas.openxmlformats.org/officeDocument/2006/relationships/image" Target="media/image61.png"/><Relationship Id="rId79" Type="http://schemas.openxmlformats.org/officeDocument/2006/relationships/image" Target="media/image62.jpe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23" Type="http://schemas.openxmlformats.org/officeDocument/2006/relationships/hyperlink" Target="http://www.sec.gov/ix?doc=/Archives/edgar/data/1331875/000133187526000026/fnf-20251231.htm" TargetMode="External"/><Relationship Id="rId37" Type="http://schemas.openxmlformats.org/officeDocument/2006/relationships/hyperlink" Target="http://www.sec.gov/ix?doc=/Archives/edgar/data/1331875/000110465926051485/tm261429d4_def14a.htm" TargetMode="External"/><Relationship Id="rId43" Type="http://schemas.openxmlformats.org/officeDocument/2006/relationships/hyperlink" Target="https://www.sec.gov/Archives/edgar/data/1331875/000133187525000046/fidelitynationalfinancia.htm" TargetMode="External"/><Relationship Id="rId44" Type="http://schemas.openxmlformats.org/officeDocument/2006/relationships/hyperlink" Target="https://www.sec.gov/Archives/edgar/data/1331875/000133187525000046/fnf-bylawsnevadafinal339.htm" TargetMode="External"/><Relationship Id="rId45" Type="http://schemas.openxmlformats.org/officeDocument/2006/relationships/hyperlink" Target="https://www.sec.gov/Archives/edgar/data/1331875/000095013406005246/a16815exv4w1.txt" TargetMode="External"/><Relationship Id="rId49" Type="http://schemas.openxmlformats.org/officeDocument/2006/relationships/hyperlink" Target="https://www.sec.gov/Archives/edgar/data/1331875/000089256906000049/a16429exv4w1.htm" TargetMode="External"/><Relationship Id="rId50" Type="http://schemas.openxmlformats.org/officeDocument/2006/relationships/hyperlink" Target="https://www.sec.gov/Archives/edgar/data/1331875/000095012310044230/g23229exv4w1.htm" TargetMode="External"/><Relationship Id="rId51" Type="http://schemas.openxmlformats.org/officeDocument/2006/relationships/hyperlink" Target="https://www.sec.gov/Archives/edgar/data/1331875/000110465924050345/tm2412437d1_ex4-1.htm" TargetMode="External"/><Relationship Id="rId52" Type="http://schemas.openxmlformats.org/officeDocument/2006/relationships/hyperlink" Target="https://www.sec.gov/Archives/edgar/data/1331875/000133187525000039/fnf-ninthsupplementalind.htm" TargetMode="External"/><Relationship Id="rId53" Type="http://schemas.openxmlformats.org/officeDocument/2006/relationships/hyperlink" Target="https://www.sec.gov/Archives/edgar/data/1331875/000089256907001411/a35688exv4w2x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2026-05-07T15:23:08Z</dcterms:created>
  <dcterms:modified xsi:type="dcterms:W3CDTF">2026-05-07T15:23:08Z</dcterms:modified>
</cp:coreProperties>
</file>