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206375</wp:posOffset>
            </wp:positionH>
            <wp:positionV relativeFrom="page">
              <wp:posOffset>757555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723900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t>UNITED STATES</w:t>
      </w:r>
    </w:p>
    <w:p>
      <w:pPr>
        <w:spacing w:after="0" w:line="4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85725</wp:posOffset>
            </wp:positionV>
            <wp:extent cx="2381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11"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111125</wp:posOffset>
            </wp:positionV>
            <wp:extent cx="2381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68" w:lineRule="exact"/>
        <w:rPr>
          <w:sz w:val="24"/>
          <w:szCs w:val="24"/>
          <w:color w:val="auto"/>
        </w:rPr>
      </w:pPr>
    </w:p>
    <w:p>
      <w:pPr>
        <w:ind w:left="47"/>
        <w:spacing w:after="0"/>
        <w:rPr>
          <w:sz w:val="20"/>
          <w:szCs w:val="20"/>
          <w:color w:val="auto"/>
        </w:rPr>
      </w:pPr>
      <w:r>
        <w:rPr>
          <w:rFonts w:ascii="Times New Roman" w:cs="Times New Roman" w:eastAsia="Times New Roman" w:hAnsi="Times New Roman"/>
          <w:sz w:val="18"/>
          <w:szCs w:val="18"/>
          <w:color w:val="auto"/>
        </w:rPr>
        <w:t>(Mark One)</w:t>
      </w:r>
    </w:p>
    <w:p>
      <w:pPr>
        <w:spacing w:after="0" w:line="175" w:lineRule="exact"/>
        <w:rPr>
          <w:sz w:val="24"/>
          <w:szCs w:val="24"/>
          <w:color w:val="auto"/>
        </w:rPr>
      </w:pPr>
    </w:p>
    <w:p>
      <w:pPr>
        <w:ind w:left="527" w:hanging="457"/>
        <w:spacing w:after="0"/>
        <w:tabs>
          <w:tab w:leader="none" w:pos="527"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12"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8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08" w:lineRule="exact"/>
        <w:rPr>
          <w:sz w:val="24"/>
          <w:szCs w:val="24"/>
          <w:color w:val="auto"/>
        </w:rPr>
      </w:pPr>
    </w:p>
    <w:p>
      <w:pPr>
        <w:ind w:left="547" w:hanging="547"/>
        <w:spacing w:after="0"/>
        <w:tabs>
          <w:tab w:leader="none" w:pos="547"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98"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90170</wp:posOffset>
            </wp:positionV>
            <wp:extent cx="3659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5950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182245</wp:posOffset>
            </wp:positionV>
            <wp:extent cx="1671320" cy="693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1320" cy="6934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867" w:type="dxa"/>
        <w:tblCellMar>
          <w:top w:w="0" w:type="dxa"/>
          <w:left w:w="0" w:type="dxa"/>
          <w:bottom w:w="0" w:type="dxa"/>
          <w:right w:w="0" w:type="dxa"/>
        </w:tblCellMar>
      </w:tblPr>
      <w:tr>
        <w:trPr>
          <w:trHeight w:val="280"/>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60" w:type="dxa"/>
            <w:vAlign w:val="bottom"/>
            <w:gridSpan w:val="7"/>
          </w:tcPr>
          <w:p>
            <w:pPr>
              <w:jc w:val="center"/>
              <w:ind w:right="2120"/>
              <w:spacing w:after="0"/>
              <w:rPr>
                <w:sz w:val="20"/>
                <w:szCs w:val="20"/>
                <w:color w:val="auto"/>
              </w:rPr>
            </w:pPr>
            <w:r>
              <w:rPr>
                <w:rFonts w:ascii="Times New Roman" w:cs="Times New Roman" w:eastAsia="Times New Roman" w:hAnsi="Times New Roman"/>
                <w:sz w:val="21"/>
                <w:szCs w:val="21"/>
                <w:b w:val="1"/>
                <w:bCs w:val="1"/>
                <w:color w:val="auto"/>
                <w:w w:val="99"/>
              </w:rPr>
              <w:t>FIDELITY NATIONAL FINANCIAL, INC.</w:t>
            </w:r>
          </w:p>
        </w:tc>
      </w:tr>
      <w:tr>
        <w:trPr>
          <w:trHeight w:val="238"/>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60" w:type="dxa"/>
            <w:vAlign w:val="bottom"/>
            <w:gridSpan w:val="7"/>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r>
      <w:tr>
        <w:trPr>
          <w:trHeight w:val="119"/>
        </w:trPr>
        <w:tc>
          <w:tcPr>
            <w:tcW w:w="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350"/>
        </w:trPr>
        <w:tc>
          <w:tcPr>
            <w:tcW w:w="580" w:type="dxa"/>
            <w:vAlign w:val="bottom"/>
          </w:tcPr>
          <w:p>
            <w:pPr>
              <w:spacing w:after="0"/>
              <w:rPr>
                <w:sz w:val="24"/>
                <w:szCs w:val="24"/>
                <w:color w:val="auto"/>
              </w:rPr>
            </w:pPr>
          </w:p>
        </w:tc>
        <w:tc>
          <w:tcPr>
            <w:tcW w:w="196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40" w:type="dxa"/>
            <w:vAlign w:val="bottom"/>
            <w:gridSpan w:val="4"/>
          </w:tcPr>
          <w:p>
            <w:pPr>
              <w:jc w:val="center"/>
              <w:ind w:left="1981"/>
              <w:spacing w:after="0"/>
              <w:rPr>
                <w:sz w:val="20"/>
                <w:szCs w:val="20"/>
                <w:color w:val="auto"/>
              </w:rPr>
            </w:pPr>
            <w:r>
              <w:rPr>
                <w:rFonts w:ascii="Times New Roman" w:cs="Times New Roman" w:eastAsia="Times New Roman" w:hAnsi="Times New Roman"/>
                <w:sz w:val="18"/>
                <w:szCs w:val="18"/>
                <w:b w:val="1"/>
                <w:bCs w:val="1"/>
                <w:color w:val="auto"/>
                <w:w w:val="96"/>
              </w:rPr>
              <w:t>16-1725106</w:t>
            </w:r>
          </w:p>
        </w:tc>
      </w:tr>
      <w:tr>
        <w:trPr>
          <w:trHeight w:val="145"/>
        </w:trPr>
        <w:tc>
          <w:tcPr>
            <w:tcW w:w="2540" w:type="dxa"/>
            <w:vAlign w:val="bottom"/>
            <w:gridSpan w:val="4"/>
          </w:tcPr>
          <w:p>
            <w:pPr>
              <w:jc w:val="center"/>
              <w:ind w:right="66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20" w:type="dxa"/>
            <w:vAlign w:val="bottom"/>
            <w:gridSpan w:val="2"/>
          </w:tcPr>
          <w:p>
            <w:pPr>
              <w:jc w:val="center"/>
              <w:ind w:left="37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4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20" w:type="dxa"/>
            <w:vAlign w:val="bottom"/>
            <w:gridSpan w:val="2"/>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93"/>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601 Riverside Avenue</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6"/>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Jacksonville, Florida, 32204</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85"/>
        </w:trPr>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6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457"/>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20" w:type="dxa"/>
            <w:vAlign w:val="bottom"/>
            <w:gridSpan w:val="3"/>
          </w:tcPr>
          <w:p>
            <w:pPr>
              <w:jc w:val="center"/>
              <w:ind w:left="940"/>
              <w:spacing w:after="0"/>
              <w:rPr>
                <w:sz w:val="20"/>
                <w:szCs w:val="20"/>
                <w:color w:val="auto"/>
              </w:rPr>
            </w:pPr>
            <w:r>
              <w:rPr>
                <w:rFonts w:ascii="Times New Roman" w:cs="Times New Roman" w:eastAsia="Times New Roman" w:hAnsi="Times New Roman"/>
                <w:sz w:val="18"/>
                <w:szCs w:val="18"/>
                <w:b w:val="1"/>
                <w:bCs w:val="1"/>
                <w:color w:val="auto"/>
                <w:w w:val="97"/>
              </w:rPr>
              <w:t>(904) 854-8100</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4"/>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8"/>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6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69"/>
        </w:trPr>
        <w:tc>
          <w:tcPr>
            <w:tcW w:w="5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840" w:type="dxa"/>
            <w:vAlign w:val="bottom"/>
            <w:gridSpan w:val="2"/>
          </w:tcPr>
          <w:p>
            <w:pPr>
              <w:spacing w:after="0"/>
              <w:rPr>
                <w:sz w:val="14"/>
                <w:szCs w:val="14"/>
                <w:color w:val="auto"/>
              </w:rPr>
            </w:pPr>
          </w:p>
        </w:tc>
        <w:tc>
          <w:tcPr>
            <w:tcW w:w="352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6"/>
        </w:trPr>
        <w:tc>
          <w:tcPr>
            <w:tcW w:w="25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color w:val="auto"/>
              </w:rPr>
              <w:t>FNF Common Stock, $0.0001 par value</w:t>
            </w:r>
          </w:p>
        </w:tc>
        <w:tc>
          <w:tcPr>
            <w:tcW w:w="960" w:type="dxa"/>
            <w:vAlign w:val="bottom"/>
          </w:tcPr>
          <w:p>
            <w:pPr>
              <w:spacing w:after="0"/>
              <w:rPr>
                <w:sz w:val="17"/>
                <w:szCs w:val="17"/>
                <w:color w:val="auto"/>
              </w:rPr>
            </w:pPr>
          </w:p>
        </w:tc>
        <w:tc>
          <w:tcPr>
            <w:tcW w:w="256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color w:val="auto"/>
              </w:rPr>
              <w:t>FNF</w:t>
            </w:r>
          </w:p>
        </w:tc>
        <w:tc>
          <w:tcPr>
            <w:tcW w:w="200" w:type="dxa"/>
            <w:vAlign w:val="bottom"/>
          </w:tcPr>
          <w:p>
            <w:pPr>
              <w:spacing w:after="0"/>
              <w:rPr>
                <w:sz w:val="17"/>
                <w:szCs w:val="17"/>
                <w:color w:val="auto"/>
              </w:rPr>
            </w:pPr>
          </w:p>
        </w:tc>
        <w:tc>
          <w:tcPr>
            <w:tcW w:w="2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98425</wp:posOffset>
            </wp:positionV>
            <wp:extent cx="3659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59505" cy="8255"/>
                    </a:xfrm>
                    <a:prstGeom prst="rect">
                      <a:avLst/>
                    </a:prstGeom>
                    <a:noFill/>
                  </pic:spPr>
                </pic:pic>
              </a:graphicData>
            </a:graphic>
          </wp:anchor>
        </w:drawing>
      </w:r>
    </w:p>
    <w:p>
      <w:pPr>
        <w:spacing w:after="0" w:line="258" w:lineRule="exact"/>
        <w:rPr>
          <w:sz w:val="24"/>
          <w:szCs w:val="24"/>
          <w:color w:val="auto"/>
        </w:rPr>
      </w:pPr>
    </w:p>
    <w:p>
      <w:pPr>
        <w:ind w:left="47"/>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22" w:lineRule="exact"/>
        <w:rPr>
          <w:sz w:val="24"/>
          <w:szCs w:val="24"/>
          <w:color w:val="auto"/>
        </w:rPr>
      </w:pPr>
    </w:p>
    <w:p>
      <w:pPr>
        <w:ind w:left="47" w:right="3640"/>
        <w:spacing w:after="0" w:line="277"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20"/>
          <w:szCs w:val="20"/>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20"/>
          <w:szCs w:val="20"/>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20"/>
          <w:szCs w:val="20"/>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20"/>
          <w:szCs w:val="20"/>
          <w:color w:val="auto"/>
        </w:rPr>
        <w:t>☒</w:t>
      </w:r>
    </w:p>
    <w:p>
      <w:pPr>
        <w:spacing w:after="0" w:line="26" w:lineRule="exact"/>
        <w:rPr>
          <w:sz w:val="24"/>
          <w:szCs w:val="24"/>
          <w:color w:val="auto"/>
        </w:rPr>
      </w:pPr>
    </w:p>
    <w:p>
      <w:pPr>
        <w:ind w:left="47"/>
        <w:spacing w:after="0" w:line="24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 No </w:t>
      </w:r>
      <w:r>
        <w:rPr>
          <w:rFonts w:ascii="MS PGothic" w:cs="MS PGothic" w:eastAsia="MS PGothic" w:hAnsi="MS PGothic"/>
          <w:sz w:val="21"/>
          <w:szCs w:val="21"/>
          <w:color w:val="auto"/>
        </w:rPr>
        <w:t>☐</w:t>
      </w:r>
    </w:p>
    <w:p>
      <w:pPr>
        <w:spacing w:after="0" w:line="22" w:lineRule="exact"/>
        <w:rPr>
          <w:sz w:val="24"/>
          <w:szCs w:val="24"/>
          <w:color w:val="auto"/>
        </w:rPr>
      </w:pPr>
    </w:p>
    <w:p>
      <w:pPr>
        <w:ind w:left="47"/>
        <w:spacing w:after="0" w:line="252"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or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578485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87"/>
          </w:cols>
          <w:pgMar w:left="273" w:top="1261" w:right="339" w:bottom="1440" w:gutter="0" w:footer="0" w:header="0"/>
        </w:sectPr>
      </w:pPr>
    </w:p>
    <w:bookmarkStart w:id="1" w:name="page2"/>
    <w:bookmarkEnd w:id="1"/>
    <w:p>
      <w:pPr>
        <w:spacing w:after="0" w:line="26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78" w:right="339" w:bottom="1440" w:gutter="0" w:footer="0" w:header="0"/>
        </w:sectPr>
      </w:pPr>
    </w:p>
    <w:p>
      <w:pPr>
        <w:spacing w:after="0" w:line="3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11" w:lineRule="exact"/>
        <w:rPr>
          <w:sz w:val="20"/>
          <w:szCs w:val="20"/>
          <w:color w:val="auto"/>
        </w:rPr>
      </w:pPr>
      <w:r>
        <w:rPr>
          <w:rFonts w:ascii="MS PGothic" w:cs="MS PGothic" w:eastAsia="MS PGothic" w:hAnsi="MS PGothic"/>
          <w:sz w:val="21"/>
          <w:szCs w:val="21"/>
          <w:color w:val="auto"/>
        </w:rPr>
        <w:t>☒</w:t>
      </w:r>
    </w:p>
    <w:p>
      <w:pPr>
        <w:spacing w:after="0" w:line="145" w:lineRule="exact"/>
        <w:rPr>
          <w:sz w:val="20"/>
          <w:szCs w:val="20"/>
          <w:color w:val="auto"/>
        </w:rPr>
      </w:pPr>
    </w:p>
    <w:p>
      <w:pPr>
        <w:jc w:val="right"/>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01" w:lineRule="exact"/>
        <w:rPr>
          <w:sz w:val="20"/>
          <w:szCs w:val="20"/>
          <w:color w:val="auto"/>
        </w:rPr>
      </w:pPr>
      <w:r>
        <w:rPr>
          <w:rFonts w:ascii="MS PGothic" w:cs="MS PGothic" w:eastAsia="MS PGothic" w:hAnsi="MS PGothic"/>
          <w:sz w:val="20"/>
          <w:szCs w:val="20"/>
          <w:color w:val="auto"/>
        </w:rPr>
        <w:t>☐</w:t>
      </w:r>
    </w:p>
    <w:p>
      <w:pPr>
        <w:spacing w:after="0" w:line="155" w:lineRule="exact"/>
        <w:rPr>
          <w:sz w:val="20"/>
          <w:szCs w:val="20"/>
          <w:color w:val="auto"/>
        </w:rPr>
      </w:pPr>
    </w:p>
    <w:p>
      <w:pPr>
        <w:spacing w:after="0" w:line="201" w:lineRule="exact"/>
        <w:rPr>
          <w:sz w:val="20"/>
          <w:szCs w:val="20"/>
          <w:color w:val="auto"/>
        </w:rPr>
      </w:pPr>
      <w:r>
        <w:rPr>
          <w:rFonts w:ascii="MS PGothic" w:cs="MS PGothic" w:eastAsia="MS PGothic" w:hAnsi="MS PGothic"/>
          <w:sz w:val="20"/>
          <w:szCs w:val="20"/>
          <w:color w:val="auto"/>
        </w:rPr>
        <w:t>☐</w:t>
      </w:r>
    </w:p>
    <w:p>
      <w:pPr>
        <w:spacing w:after="0" w:line="155" w:lineRule="exact"/>
        <w:rPr>
          <w:sz w:val="20"/>
          <w:szCs w:val="20"/>
          <w:color w:val="auto"/>
        </w:rPr>
      </w:pPr>
    </w:p>
    <w:p>
      <w:pPr>
        <w:spacing w:after="0" w:line="201" w:lineRule="exact"/>
        <w:rPr>
          <w:sz w:val="20"/>
          <w:szCs w:val="20"/>
          <w:color w:val="auto"/>
        </w:rPr>
      </w:pPr>
      <w:r>
        <w:rPr>
          <w:rFonts w:ascii="MS PGothic" w:cs="MS PGothic" w:eastAsia="MS PGothic" w:hAnsi="MS PGothic"/>
          <w:sz w:val="20"/>
          <w:szCs w:val="20"/>
          <w:color w:val="auto"/>
        </w:rPr>
        <w:t>☐</w:t>
      </w:r>
    </w:p>
    <w:p>
      <w:pPr>
        <w:spacing w:after="0" w:line="221" w:lineRule="exact"/>
        <w:rPr>
          <w:sz w:val="20"/>
          <w:szCs w:val="20"/>
          <w:color w:val="auto"/>
        </w:rPr>
      </w:pPr>
    </w:p>
    <w:p>
      <w:pPr>
        <w:sectPr>
          <w:pgSz w:w="11900" w:h="16838" w:orient="portrait"/>
          <w:cols w:equalWidth="0" w:num="4">
            <w:col w:w="4120" w:space="720"/>
            <w:col w:w="240" w:space="560"/>
            <w:col w:w="2820" w:space="720"/>
            <w:col w:w="2060"/>
          </w:cols>
          <w:pgMar w:left="320" w:top="1078" w:right="339" w:bottom="1440" w:gutter="0" w:footer="0" w:header="0"/>
          <w:type w:val="continuous"/>
        </w:sectPr>
      </w:pPr>
    </w:p>
    <w:p>
      <w:pPr>
        <w:ind w:right="280"/>
        <w:spacing w:after="0" w:line="23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w:t>
      </w:r>
    </w:p>
    <w:p>
      <w:pPr>
        <w:spacing w:after="0" w:line="21" w:lineRule="exact"/>
        <w:rPr>
          <w:sz w:val="20"/>
          <w:szCs w:val="20"/>
          <w:color w:val="auto"/>
        </w:rPr>
      </w:pPr>
    </w:p>
    <w:p>
      <w:pPr>
        <w:spacing w:after="0" w:line="242" w:lineRule="exact"/>
        <w:tabs>
          <w:tab w:leader="none" w:pos="8160" w:val="left"/>
        </w:tabs>
        <w:rPr>
          <w:sz w:val="20"/>
          <w:szCs w:val="20"/>
          <w:color w:val="auto"/>
        </w:rPr>
      </w:pPr>
      <w:r>
        <w:rPr>
          <w:rFonts w:ascii="Times New Roman" w:cs="Times New Roman" w:eastAsia="Times New Roman" w:hAnsi="Times New Roman"/>
          <w:sz w:val="14"/>
          <w:szCs w:val="14"/>
          <w:color w:val="auto"/>
        </w:rPr>
        <w:t xml:space="preserve">404(b) of the Sarbanes-Oxley Act (15 U.S.C. 7262(b)) by the registered public accounting firm that prepared or issued its audit report.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20"/>
          <w:szCs w:val="20"/>
          <w:color w:val="auto"/>
        </w:rPr>
        <w:t>☐</w:t>
      </w:r>
    </w:p>
    <w:p>
      <w:pPr>
        <w:spacing w:after="0" w:line="13" w:lineRule="exact"/>
        <w:rPr>
          <w:sz w:val="20"/>
          <w:szCs w:val="20"/>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ind w:firstLine="158"/>
        <w:spacing w:after="0" w:line="229"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1"/>
          <w:szCs w:val="21"/>
          <w:color w:val="auto"/>
        </w:rPr>
        <w:t>☐</w:t>
      </w:r>
    </w:p>
    <w:p>
      <w:pPr>
        <w:spacing w:after="0" w:line="242" w:lineRule="exact"/>
        <w:tabs>
          <w:tab w:leader="none" w:pos="70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21"/>
          <w:szCs w:val="21"/>
          <w:color w:val="auto"/>
        </w:rPr>
        <w:t>☒</w:t>
      </w:r>
    </w:p>
    <w:p>
      <w:pPr>
        <w:spacing w:after="0" w:line="144" w:lineRule="exact"/>
        <w:rPr>
          <w:sz w:val="20"/>
          <w:szCs w:val="20"/>
          <w:color w:val="auto"/>
        </w:rPr>
      </w:pPr>
    </w:p>
    <w:p>
      <w:pPr>
        <w:ind w:left="320" w:right="2320"/>
        <w:spacing w:after="0" w:line="366" w:lineRule="auto"/>
        <w:rPr>
          <w:sz w:val="20"/>
          <w:szCs w:val="20"/>
          <w:color w:val="auto"/>
        </w:rPr>
      </w:pPr>
      <w:r>
        <w:rPr>
          <w:rFonts w:ascii="Times New Roman" w:cs="Times New Roman" w:eastAsia="Times New Roman" w:hAnsi="Times New Roman"/>
          <w:sz w:val="18"/>
          <w:szCs w:val="18"/>
          <w:color w:val="auto"/>
        </w:rPr>
        <w:t>The aggregate market value of the shares of FNF common stock held by non-affiliates of the registrant as of June 30, 2023 was $9,292,382,960 based on the closing price of $36.00 as reported by The New York Stock Exchange. The number of shares outstanding of the Registrant's common stock as of January 31, 2024 were:</w:t>
      </w:r>
    </w:p>
    <w:p>
      <w:pPr>
        <w:ind w:left="320"/>
        <w:spacing w:after="0"/>
        <w:tabs>
          <w:tab w:leader="none" w:pos="1940" w:val="left"/>
        </w:tabs>
        <w:rPr>
          <w:sz w:val="20"/>
          <w:szCs w:val="20"/>
          <w:color w:val="auto"/>
        </w:rPr>
      </w:pPr>
      <w:r>
        <w:rPr>
          <w:rFonts w:ascii="Times New Roman" w:cs="Times New Roman" w:eastAsia="Times New Roman" w:hAnsi="Times New Roman"/>
          <w:sz w:val="18"/>
          <w:szCs w:val="18"/>
          <w:color w:val="auto"/>
        </w:rPr>
        <w:t>FNF Common Stock</w:t>
      </w:r>
      <w:r>
        <w:rPr>
          <w:sz w:val="20"/>
          <w:szCs w:val="20"/>
          <w:color w:val="auto"/>
        </w:rPr>
        <w:tab/>
      </w:r>
      <w:r>
        <w:rPr>
          <w:rFonts w:ascii="Times New Roman" w:cs="Times New Roman" w:eastAsia="Times New Roman" w:hAnsi="Times New Roman"/>
          <w:sz w:val="16"/>
          <w:szCs w:val="16"/>
          <w:color w:val="auto"/>
        </w:rPr>
        <w:t>273,206,573</w:t>
      </w:r>
    </w:p>
    <w:p>
      <w:pPr>
        <w:spacing w:after="0" w:line="109" w:lineRule="exact"/>
        <w:rPr>
          <w:sz w:val="20"/>
          <w:szCs w:val="20"/>
          <w:color w:val="auto"/>
        </w:rPr>
      </w:pPr>
    </w:p>
    <w:p>
      <w:pPr>
        <w:ind w:right="320" w:firstLine="316"/>
        <w:spacing w:after="0" w:line="268" w:lineRule="auto"/>
        <w:rPr>
          <w:sz w:val="20"/>
          <w:szCs w:val="20"/>
          <w:color w:val="auto"/>
        </w:rPr>
      </w:pPr>
      <w:r>
        <w:rPr>
          <w:rFonts w:ascii="Times New Roman" w:cs="Times New Roman" w:eastAsia="Times New Roman" w:hAnsi="Times New Roman"/>
          <w:sz w:val="18"/>
          <w:szCs w:val="18"/>
          <w:color w:val="auto"/>
        </w:rPr>
        <w:t>The information in Part III hereof for the fiscal year ended December 31, 2023, will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766445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93980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60960</wp:posOffset>
            </wp:positionV>
            <wp:extent cx="7135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60" w:type="dxa"/>
            <w:vAlign w:val="bottom"/>
            <w:gridSpan w:val="19"/>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7"/>
              </w:rPr>
              <w:t>FIDELITY NATIONAL FINANCIAL, INC.</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1"/>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gridSpan w:val="15"/>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20" w:type="dxa"/>
            <w:vAlign w:val="bottom"/>
            <w:gridSpan w:val="16"/>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185"/>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209"/>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r>
      <w:tr>
        <w:trPr>
          <w:trHeight w:val="219"/>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60" w:type="dxa"/>
            <w:vAlign w:val="bottom"/>
            <w:gridSpan w:val="12"/>
          </w:tcPr>
          <w:p>
            <w:pPr>
              <w:jc w:val="center"/>
              <w:ind w:right="4200"/>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4"/>
        </w:trPr>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1.</w:t>
            </w:r>
          </w:p>
        </w:tc>
        <w:tc>
          <w:tcPr>
            <w:tcW w:w="700" w:type="dxa"/>
            <w:vAlign w:val="bottom"/>
            <w:gridSpan w:val="2"/>
          </w:tcPr>
          <w:p>
            <w:pPr>
              <w:spacing w:after="0"/>
              <w:rPr>
                <w:sz w:val="17"/>
                <w:szCs w:val="17"/>
                <w:color w:val="auto"/>
              </w:rPr>
            </w:pPr>
          </w:p>
        </w:tc>
        <w:tc>
          <w:tcPr>
            <w:tcW w:w="410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Business</w:t>
            </w:r>
          </w:p>
        </w:tc>
        <w:tc>
          <w:tcPr>
            <w:tcW w:w="560" w:type="dxa"/>
            <w:vAlign w:val="bottom"/>
            <w:tcBorders>
              <w:top w:val="single" w:sz="8" w:color="0000FF"/>
            </w:tcBorders>
            <w:gridSpan w:val="2"/>
          </w:tcPr>
          <w:p>
            <w:pPr>
              <w:spacing w:after="0"/>
              <w:rPr>
                <w:sz w:val="17"/>
                <w:szCs w:val="17"/>
                <w:color w:val="auto"/>
              </w:rPr>
            </w:pPr>
          </w:p>
        </w:tc>
        <w:tc>
          <w:tcPr>
            <w:tcW w:w="4200" w:type="dxa"/>
            <w:vAlign w:val="bottom"/>
            <w:gridSpan w:val="10"/>
          </w:tcPr>
          <w:p>
            <w:pPr>
              <w:spacing w:after="0"/>
              <w:rPr>
                <w:sz w:val="17"/>
                <w:szCs w:val="17"/>
                <w:color w:val="auto"/>
              </w:rPr>
            </w:pPr>
          </w:p>
        </w:tc>
        <w:tc>
          <w:tcPr>
            <w:tcW w:w="640" w:type="dxa"/>
            <w:vAlign w:val="bottom"/>
            <w:gridSpan w:val="3"/>
          </w:tcPr>
          <w:p>
            <w:pPr>
              <w:jc w:val="center"/>
              <w:ind w:left="393"/>
              <w:spacing w:after="0" w:line="204" w:lineRule="exact"/>
              <w:rPr>
                <w:sz w:val="20"/>
                <w:szCs w:val="20"/>
                <w:color w:val="auto"/>
              </w:rPr>
            </w:pPr>
            <w:r>
              <w:rPr>
                <w:rFonts w:ascii="Times New Roman" w:cs="Times New Roman" w:eastAsia="Times New Roman" w:hAnsi="Times New Roman"/>
                <w:sz w:val="18"/>
                <w:szCs w:val="18"/>
                <w:color w:val="0000FF"/>
                <w:w w:val="88"/>
              </w:rPr>
              <w:t>2</w:t>
            </w:r>
          </w:p>
        </w:tc>
        <w:tc>
          <w:tcPr>
            <w:tcW w:w="48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4"/>
        </w:trPr>
        <w:tc>
          <w:tcPr>
            <w:tcW w:w="5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4"/>
              </w:rPr>
              <w:t>Item 1A.</w:t>
            </w:r>
          </w:p>
        </w:tc>
        <w:tc>
          <w:tcPr>
            <w:tcW w:w="620" w:type="dxa"/>
            <w:vAlign w:val="bottom"/>
          </w:tcPr>
          <w:p>
            <w:pPr>
              <w:spacing w:after="0"/>
              <w:rPr>
                <w:sz w:val="17"/>
                <w:szCs w:val="17"/>
                <w:color w:val="auto"/>
              </w:rPr>
            </w:pPr>
          </w:p>
        </w:tc>
        <w:tc>
          <w:tcPr>
            <w:tcW w:w="886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gridSpan w:val="3"/>
          </w:tcPr>
          <w:p>
            <w:pPr>
              <w:jc w:val="center"/>
              <w:ind w:left="373"/>
              <w:spacing w:after="0" w:line="204" w:lineRule="exact"/>
              <w:rPr>
                <w:sz w:val="20"/>
                <w:szCs w:val="20"/>
                <w:color w:val="auto"/>
              </w:rPr>
            </w:pPr>
            <w:r>
              <w:rPr>
                <w:rFonts w:ascii="Times New Roman" w:cs="Times New Roman" w:eastAsia="Times New Roman" w:hAnsi="Times New Roman"/>
                <w:sz w:val="18"/>
                <w:szCs w:val="18"/>
                <w:color w:val="0000FF"/>
                <w:w w:val="99"/>
              </w:rPr>
              <w:t>30</w:t>
            </w:r>
          </w:p>
        </w:tc>
        <w:tc>
          <w:tcPr>
            <w:tcW w:w="48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4"/>
        </w:trPr>
        <w:tc>
          <w:tcPr>
            <w:tcW w:w="580" w:type="dxa"/>
            <w:vAlign w:val="bottom"/>
            <w:tcBorders>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5"/>
              </w:rPr>
              <w:t>Item 1B.</w:t>
            </w:r>
          </w:p>
        </w:tc>
        <w:tc>
          <w:tcPr>
            <w:tcW w:w="620" w:type="dxa"/>
            <w:vAlign w:val="bottom"/>
          </w:tcPr>
          <w:p>
            <w:pPr>
              <w:spacing w:after="0"/>
              <w:rPr>
                <w:sz w:val="17"/>
                <w:szCs w:val="17"/>
                <w:color w:val="auto"/>
              </w:rPr>
            </w:pPr>
          </w:p>
        </w:tc>
        <w:tc>
          <w:tcPr>
            <w:tcW w:w="2000" w:type="dxa"/>
            <w:vAlign w:val="bottom"/>
            <w:tcBorders>
              <w:bottom w:val="single" w:sz="8" w:color="0000FF"/>
            </w:tcBorders>
            <w:gridSpan w:val="9"/>
          </w:tcPr>
          <w:p>
            <w:pPr>
              <w:spacing w:after="0" w:line="204"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686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43</w:t>
            </w:r>
          </w:p>
        </w:tc>
        <w:tc>
          <w:tcPr>
            <w:tcW w:w="480" w:type="dxa"/>
            <w:vAlign w:val="bottom"/>
          </w:tcPr>
          <w:p>
            <w:pPr>
              <w:spacing w:after="0"/>
              <w:rPr>
                <w:sz w:val="17"/>
                <w:szCs w:val="17"/>
                <w:color w:val="auto"/>
              </w:rPr>
            </w:pPr>
          </w:p>
        </w:tc>
      </w:tr>
      <w:tr>
        <w:trPr>
          <w:trHeight w:val="204"/>
        </w:trPr>
        <w:tc>
          <w:tcPr>
            <w:tcW w:w="5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5"/>
              </w:rPr>
              <w:t>Item 1C.</w:t>
            </w:r>
          </w:p>
        </w:tc>
        <w:tc>
          <w:tcPr>
            <w:tcW w:w="620" w:type="dxa"/>
            <w:vAlign w:val="bottom"/>
          </w:tcPr>
          <w:p>
            <w:pPr>
              <w:spacing w:after="0"/>
              <w:rPr>
                <w:sz w:val="17"/>
                <w:szCs w:val="17"/>
                <w:color w:val="auto"/>
              </w:rPr>
            </w:pPr>
          </w:p>
        </w:tc>
        <w:tc>
          <w:tcPr>
            <w:tcW w:w="886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Cybersecurity</w:t>
            </w:r>
          </w:p>
        </w:tc>
        <w:tc>
          <w:tcPr>
            <w:tcW w:w="640" w:type="dxa"/>
            <w:vAlign w:val="bottom"/>
            <w:gridSpan w:val="3"/>
          </w:tcPr>
          <w:p>
            <w:pPr>
              <w:jc w:val="center"/>
              <w:ind w:left="373"/>
              <w:spacing w:after="0" w:line="204" w:lineRule="exact"/>
              <w:rPr>
                <w:sz w:val="20"/>
                <w:szCs w:val="20"/>
                <w:color w:val="auto"/>
              </w:rPr>
            </w:pPr>
            <w:r>
              <w:rPr>
                <w:rFonts w:ascii="Times New Roman" w:cs="Times New Roman" w:eastAsia="Times New Roman" w:hAnsi="Times New Roman"/>
                <w:sz w:val="18"/>
                <w:szCs w:val="18"/>
                <w:color w:val="0000FF"/>
                <w:w w:val="99"/>
              </w:rPr>
              <w:t>43</w:t>
            </w:r>
          </w:p>
        </w:tc>
        <w:tc>
          <w:tcPr>
            <w:tcW w:w="480" w:type="dxa"/>
            <w:vAlign w:val="bottom"/>
          </w:tcPr>
          <w:p>
            <w:pPr>
              <w:spacing w:after="0"/>
              <w:rPr>
                <w:sz w:val="17"/>
                <w:szCs w:val="17"/>
                <w:color w:val="auto"/>
              </w:rPr>
            </w:pPr>
          </w:p>
        </w:tc>
      </w:tr>
      <w:tr>
        <w:trPr>
          <w:trHeight w:val="204"/>
        </w:trPr>
        <w:tc>
          <w:tcPr>
            <w:tcW w:w="500" w:type="dxa"/>
            <w:vAlign w:val="bottom"/>
            <w:tcBorders>
              <w:top w:val="single" w:sz="8" w:color="0000FF"/>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4"/>
              </w:rPr>
              <w:t>Item 2.</w:t>
            </w:r>
          </w:p>
        </w:tc>
        <w:tc>
          <w:tcPr>
            <w:tcW w:w="8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Borders>
              <w:top w:val="single" w:sz="8" w:color="0000FF"/>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5"/>
              </w:rPr>
              <w:t>Properties</w:t>
            </w:r>
          </w:p>
        </w:tc>
        <w:tc>
          <w:tcPr>
            <w:tcW w:w="260" w:type="dxa"/>
            <w:vAlign w:val="bottom"/>
            <w:tcBorders>
              <w:top w:val="single" w:sz="8" w:color="0000FF"/>
            </w:tcBorders>
            <w:gridSpan w:val="2"/>
          </w:tcPr>
          <w:p>
            <w:pPr>
              <w:spacing w:after="0"/>
              <w:rPr>
                <w:sz w:val="17"/>
                <w:szCs w:val="17"/>
                <w:color w:val="auto"/>
              </w:rPr>
            </w:pPr>
          </w:p>
        </w:tc>
        <w:tc>
          <w:tcPr>
            <w:tcW w:w="7880" w:type="dxa"/>
            <w:vAlign w:val="bottom"/>
            <w:gridSpan w:val="23"/>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45</w:t>
            </w:r>
          </w:p>
        </w:tc>
        <w:tc>
          <w:tcPr>
            <w:tcW w:w="480" w:type="dxa"/>
            <w:vAlign w:val="bottom"/>
          </w:tcPr>
          <w:p>
            <w:pPr>
              <w:spacing w:after="0"/>
              <w:rPr>
                <w:sz w:val="17"/>
                <w:szCs w:val="17"/>
                <w:color w:val="auto"/>
              </w:rPr>
            </w:pPr>
          </w:p>
        </w:tc>
      </w:tr>
      <w:tr>
        <w:trPr>
          <w:trHeight w:val="204"/>
        </w:trPr>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3.</w:t>
            </w:r>
          </w:p>
        </w:tc>
        <w:tc>
          <w:tcPr>
            <w:tcW w:w="700" w:type="dxa"/>
            <w:vAlign w:val="bottom"/>
            <w:gridSpan w:val="2"/>
          </w:tcPr>
          <w:p>
            <w:pPr>
              <w:spacing w:after="0"/>
              <w:rPr>
                <w:sz w:val="17"/>
                <w:szCs w:val="17"/>
                <w:color w:val="auto"/>
              </w:rPr>
            </w:pPr>
          </w:p>
        </w:tc>
        <w:tc>
          <w:tcPr>
            <w:tcW w:w="886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3"/>
          </w:tcPr>
          <w:p>
            <w:pPr>
              <w:jc w:val="center"/>
              <w:ind w:left="373"/>
              <w:spacing w:after="0" w:line="204" w:lineRule="exact"/>
              <w:rPr>
                <w:sz w:val="20"/>
                <w:szCs w:val="20"/>
                <w:color w:val="auto"/>
              </w:rPr>
            </w:pPr>
            <w:r>
              <w:rPr>
                <w:rFonts w:ascii="Times New Roman" w:cs="Times New Roman" w:eastAsia="Times New Roman" w:hAnsi="Times New Roman"/>
                <w:sz w:val="18"/>
                <w:szCs w:val="18"/>
                <w:color w:val="0000FF"/>
                <w:w w:val="99"/>
              </w:rPr>
              <w:t>45</w:t>
            </w:r>
          </w:p>
        </w:tc>
        <w:tc>
          <w:tcPr>
            <w:tcW w:w="48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4"/>
        </w:trPr>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4.</w:t>
            </w:r>
          </w:p>
        </w:tc>
        <w:tc>
          <w:tcPr>
            <w:tcW w:w="700" w:type="dxa"/>
            <w:vAlign w:val="bottom"/>
            <w:gridSpan w:val="2"/>
          </w:tcPr>
          <w:p>
            <w:pPr>
              <w:spacing w:after="0"/>
              <w:rPr>
                <w:sz w:val="17"/>
                <w:szCs w:val="17"/>
                <w:color w:val="auto"/>
              </w:rPr>
            </w:pPr>
          </w:p>
        </w:tc>
        <w:tc>
          <w:tcPr>
            <w:tcW w:w="886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3"/>
          </w:tcPr>
          <w:p>
            <w:pPr>
              <w:jc w:val="center"/>
              <w:ind w:left="373"/>
              <w:spacing w:after="0" w:line="204" w:lineRule="exact"/>
              <w:rPr>
                <w:sz w:val="20"/>
                <w:szCs w:val="20"/>
                <w:color w:val="auto"/>
              </w:rPr>
            </w:pPr>
            <w:r>
              <w:rPr>
                <w:rFonts w:ascii="Times New Roman" w:cs="Times New Roman" w:eastAsia="Times New Roman" w:hAnsi="Times New Roman"/>
                <w:sz w:val="18"/>
                <w:szCs w:val="18"/>
                <w:color w:val="0000FF"/>
                <w:w w:val="99"/>
              </w:rPr>
              <w:t>45</w:t>
            </w:r>
          </w:p>
        </w:tc>
        <w:tc>
          <w:tcPr>
            <w:tcW w:w="480" w:type="dxa"/>
            <w:vAlign w:val="bottom"/>
          </w:tcPr>
          <w:p>
            <w:pPr>
              <w:spacing w:after="0"/>
              <w:rPr>
                <w:sz w:val="17"/>
                <w:szCs w:val="17"/>
                <w:color w:val="auto"/>
              </w:rPr>
            </w:pPr>
          </w:p>
        </w:tc>
      </w:tr>
      <w:tr>
        <w:trPr>
          <w:trHeight w:val="256"/>
        </w:trPr>
        <w:tc>
          <w:tcPr>
            <w:tcW w:w="50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0" w:type="dxa"/>
            <w:vAlign w:val="bottom"/>
            <w:gridSpan w:val="13"/>
          </w:tcPr>
          <w:p>
            <w:pPr>
              <w:jc w:val="center"/>
              <w:ind w:right="416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4"/>
        </w:trPr>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5.</w:t>
            </w:r>
          </w:p>
        </w:tc>
        <w:tc>
          <w:tcPr>
            <w:tcW w:w="700" w:type="dxa"/>
            <w:vAlign w:val="bottom"/>
            <w:gridSpan w:val="2"/>
          </w:tcPr>
          <w:p>
            <w:pPr>
              <w:spacing w:after="0"/>
              <w:rPr>
                <w:sz w:val="17"/>
                <w:szCs w:val="17"/>
                <w:color w:val="auto"/>
              </w:rPr>
            </w:pPr>
          </w:p>
        </w:tc>
        <w:tc>
          <w:tcPr>
            <w:tcW w:w="886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40" w:type="dxa"/>
            <w:vAlign w:val="bottom"/>
            <w:gridSpan w:val="3"/>
          </w:tcPr>
          <w:p>
            <w:pPr>
              <w:jc w:val="center"/>
              <w:ind w:left="373"/>
              <w:spacing w:after="0" w:line="204" w:lineRule="exact"/>
              <w:rPr>
                <w:sz w:val="20"/>
                <w:szCs w:val="20"/>
                <w:color w:val="auto"/>
              </w:rPr>
            </w:pPr>
            <w:r>
              <w:rPr>
                <w:rFonts w:ascii="Times New Roman" w:cs="Times New Roman" w:eastAsia="Times New Roman" w:hAnsi="Times New Roman"/>
                <w:sz w:val="18"/>
                <w:szCs w:val="18"/>
                <w:color w:val="0000FF"/>
                <w:w w:val="99"/>
              </w:rPr>
              <w:t>45</w:t>
            </w:r>
          </w:p>
        </w:tc>
        <w:tc>
          <w:tcPr>
            <w:tcW w:w="48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4"/>
        </w:trPr>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6.</w:t>
            </w:r>
          </w:p>
        </w:tc>
        <w:tc>
          <w:tcPr>
            <w:tcW w:w="700" w:type="dxa"/>
            <w:vAlign w:val="bottom"/>
            <w:gridSpan w:val="2"/>
          </w:tcPr>
          <w:p>
            <w:pPr>
              <w:spacing w:after="0"/>
              <w:rPr>
                <w:sz w:val="17"/>
                <w:szCs w:val="17"/>
                <w:color w:val="auto"/>
              </w:rPr>
            </w:pPr>
          </w:p>
        </w:tc>
        <w:tc>
          <w:tcPr>
            <w:tcW w:w="6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2"/>
              </w:rPr>
              <w:t>Reserved</w:t>
            </w:r>
          </w:p>
        </w:tc>
        <w:tc>
          <w:tcPr>
            <w:tcW w:w="7200" w:type="dxa"/>
            <w:vAlign w:val="bottom"/>
            <w:gridSpan w:val="25"/>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47</w:t>
            </w:r>
          </w:p>
        </w:tc>
        <w:tc>
          <w:tcPr>
            <w:tcW w:w="48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4"/>
        </w:trPr>
        <w:tc>
          <w:tcPr>
            <w:tcW w:w="50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4"/>
              </w:rPr>
              <w:t>Item 7.</w:t>
            </w:r>
          </w:p>
        </w:tc>
        <w:tc>
          <w:tcPr>
            <w:tcW w:w="80" w:type="dxa"/>
            <w:vAlign w:val="bottom"/>
            <w:tcBorders>
              <w:bottom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630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560" w:type="dxa"/>
            <w:vAlign w:val="bottom"/>
            <w:gridSpan w:val="4"/>
          </w:tcPr>
          <w:p>
            <w:pPr>
              <w:spacing w:after="0"/>
              <w:rPr>
                <w:sz w:val="17"/>
                <w:szCs w:val="17"/>
                <w:color w:val="auto"/>
              </w:rPr>
            </w:pPr>
          </w:p>
        </w:tc>
        <w:tc>
          <w:tcPr>
            <w:tcW w:w="640" w:type="dxa"/>
            <w:vAlign w:val="bottom"/>
            <w:gridSpan w:val="3"/>
          </w:tcPr>
          <w:p>
            <w:pPr>
              <w:jc w:val="center"/>
              <w:ind w:left="373"/>
              <w:spacing w:after="0" w:line="204" w:lineRule="exact"/>
              <w:rPr>
                <w:sz w:val="20"/>
                <w:szCs w:val="20"/>
                <w:color w:val="auto"/>
              </w:rPr>
            </w:pPr>
            <w:r>
              <w:rPr>
                <w:rFonts w:ascii="Times New Roman" w:cs="Times New Roman" w:eastAsia="Times New Roman" w:hAnsi="Times New Roman"/>
                <w:sz w:val="18"/>
                <w:szCs w:val="18"/>
                <w:color w:val="0000FF"/>
                <w:w w:val="99"/>
              </w:rPr>
              <w:t>48</w:t>
            </w:r>
          </w:p>
        </w:tc>
        <w:tc>
          <w:tcPr>
            <w:tcW w:w="480" w:type="dxa"/>
            <w:vAlign w:val="bottom"/>
          </w:tcPr>
          <w:p>
            <w:pPr>
              <w:spacing w:after="0"/>
              <w:rPr>
                <w:sz w:val="17"/>
                <w:szCs w:val="17"/>
                <w:color w:val="auto"/>
              </w:rPr>
            </w:pPr>
          </w:p>
        </w:tc>
      </w:tr>
      <w:tr>
        <w:trPr>
          <w:trHeight w:val="204"/>
        </w:trPr>
        <w:tc>
          <w:tcPr>
            <w:tcW w:w="1200" w:type="dxa"/>
            <w:vAlign w:val="bottom"/>
            <w:tcBorders>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Item 7A.</w:t>
            </w:r>
          </w:p>
        </w:tc>
        <w:tc>
          <w:tcPr>
            <w:tcW w:w="418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18"/>
                <w:szCs w:val="18"/>
                <w:color w:val="0000FF"/>
                <w:w w:val="96"/>
              </w:rPr>
              <w:t>Quantitative and Qualitative Disclosure About Market Risk</w:t>
            </w:r>
          </w:p>
        </w:tc>
        <w:tc>
          <w:tcPr>
            <w:tcW w:w="4680" w:type="dxa"/>
            <w:vAlign w:val="bottom"/>
            <w:gridSpan w:val="11"/>
          </w:tcPr>
          <w:p>
            <w:pPr>
              <w:spacing w:after="0"/>
              <w:rPr>
                <w:sz w:val="17"/>
                <w:szCs w:val="17"/>
                <w:color w:val="auto"/>
              </w:rPr>
            </w:pPr>
          </w:p>
        </w:tc>
        <w:tc>
          <w:tcPr>
            <w:tcW w:w="640" w:type="dxa"/>
            <w:vAlign w:val="bottom"/>
            <w:gridSpan w:val="3"/>
          </w:tcPr>
          <w:p>
            <w:pPr>
              <w:jc w:val="center"/>
              <w:ind w:left="373"/>
              <w:spacing w:after="0" w:line="204" w:lineRule="exact"/>
              <w:rPr>
                <w:sz w:val="20"/>
                <w:szCs w:val="20"/>
                <w:color w:val="auto"/>
              </w:rPr>
            </w:pPr>
            <w:r>
              <w:rPr>
                <w:rFonts w:ascii="Times New Roman" w:cs="Times New Roman" w:eastAsia="Times New Roman" w:hAnsi="Times New Roman"/>
                <w:sz w:val="18"/>
                <w:szCs w:val="18"/>
                <w:color w:val="0000FF"/>
                <w:w w:val="99"/>
              </w:rPr>
              <w:t>83</w:t>
            </w:r>
          </w:p>
        </w:tc>
        <w:tc>
          <w:tcPr>
            <w:tcW w:w="480" w:type="dxa"/>
            <w:vAlign w:val="bottom"/>
          </w:tcPr>
          <w:p>
            <w:pPr>
              <w:spacing w:after="0"/>
              <w:rPr>
                <w:sz w:val="17"/>
                <w:szCs w:val="17"/>
                <w:color w:val="auto"/>
              </w:rPr>
            </w:pPr>
          </w:p>
        </w:tc>
      </w:tr>
      <w:tr>
        <w:trPr>
          <w:trHeight w:val="204"/>
        </w:trPr>
        <w:tc>
          <w:tcPr>
            <w:tcW w:w="5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rPr>
              <w:t>Item 8.</w:t>
            </w:r>
          </w:p>
        </w:tc>
        <w:tc>
          <w:tcPr>
            <w:tcW w:w="620" w:type="dxa"/>
            <w:vAlign w:val="bottom"/>
          </w:tcPr>
          <w:p>
            <w:pPr>
              <w:spacing w:after="0"/>
              <w:rPr>
                <w:sz w:val="17"/>
                <w:szCs w:val="17"/>
                <w:color w:val="auto"/>
              </w:rPr>
            </w:pPr>
          </w:p>
        </w:tc>
        <w:tc>
          <w:tcPr>
            <w:tcW w:w="886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40" w:type="dxa"/>
            <w:vAlign w:val="bottom"/>
            <w:gridSpan w:val="3"/>
          </w:tcPr>
          <w:p>
            <w:pPr>
              <w:jc w:val="center"/>
              <w:ind w:left="373"/>
              <w:spacing w:after="0" w:line="204" w:lineRule="exact"/>
              <w:rPr>
                <w:sz w:val="20"/>
                <w:szCs w:val="20"/>
                <w:color w:val="auto"/>
              </w:rPr>
            </w:pPr>
            <w:r>
              <w:rPr>
                <w:rFonts w:ascii="Times New Roman" w:cs="Times New Roman" w:eastAsia="Times New Roman" w:hAnsi="Times New Roman"/>
                <w:sz w:val="18"/>
                <w:szCs w:val="18"/>
                <w:color w:val="0000FF"/>
                <w:w w:val="99"/>
              </w:rPr>
              <w:t>89</w:t>
            </w:r>
          </w:p>
        </w:tc>
        <w:tc>
          <w:tcPr>
            <w:tcW w:w="480" w:type="dxa"/>
            <w:vAlign w:val="bottom"/>
          </w:tcPr>
          <w:p>
            <w:pPr>
              <w:spacing w:after="0"/>
              <w:rPr>
                <w:sz w:val="17"/>
                <w:szCs w:val="17"/>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4"/>
        </w:trPr>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6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2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color w:val="0E32E1"/>
                <w:w w:val="96"/>
              </w:rPr>
              <w:t>183</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20" w:type="dxa"/>
            <w:vAlign w:val="bottom"/>
            <w:tcBorders>
              <w:right w:val="single" w:sz="8" w:color="0E32E1"/>
            </w:tcBorders>
          </w:tcPr>
          <w:p>
            <w:pPr>
              <w:spacing w:after="0" w:line="20" w:lineRule="exact"/>
              <w:rPr>
                <w:sz w:val="1"/>
                <w:szCs w:val="1"/>
                <w:color w:val="auto"/>
              </w:rPr>
            </w:pPr>
          </w:p>
        </w:tc>
        <w:tc>
          <w:tcPr>
            <w:tcW w:w="120" w:type="dxa"/>
            <w:vAlign w:val="bottom"/>
            <w:gridSpan w:val="2"/>
            <w:shd w:val="clear" w:color="auto" w:fill="0E32E1"/>
          </w:tcPr>
          <w:p>
            <w:pPr>
              <w:spacing w:after="0" w:line="20" w:lineRule="exact"/>
              <w:rPr>
                <w:sz w:val="1"/>
                <w:szCs w:val="1"/>
                <w:color w:val="auto"/>
              </w:rPr>
            </w:pPr>
          </w:p>
        </w:tc>
        <w:tc>
          <w:tcPr>
            <w:tcW w:w="480" w:type="dxa"/>
            <w:vAlign w:val="bottom"/>
            <w:tcBorders>
              <w:left w:val="single" w:sz="8" w:color="0E32E1"/>
            </w:tcBorders>
          </w:tcPr>
          <w:p>
            <w:pPr>
              <w:spacing w:after="0" w:line="20" w:lineRule="exact"/>
              <w:rPr>
                <w:sz w:val="1"/>
                <w:szCs w:val="1"/>
                <w:color w:val="auto"/>
              </w:rPr>
            </w:pPr>
          </w:p>
        </w:tc>
      </w:tr>
      <w:tr>
        <w:trPr>
          <w:trHeight w:val="204"/>
        </w:trPr>
        <w:tc>
          <w:tcPr>
            <w:tcW w:w="5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4"/>
              </w:rPr>
              <w:t>Item 9A.</w:t>
            </w:r>
          </w:p>
        </w:tc>
        <w:tc>
          <w:tcPr>
            <w:tcW w:w="620" w:type="dxa"/>
            <w:vAlign w:val="bottom"/>
          </w:tcPr>
          <w:p>
            <w:pPr>
              <w:spacing w:after="0"/>
              <w:rPr>
                <w:sz w:val="17"/>
                <w:szCs w:val="17"/>
                <w:color w:val="auto"/>
              </w:rPr>
            </w:pPr>
          </w:p>
        </w:tc>
        <w:tc>
          <w:tcPr>
            <w:tcW w:w="886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Controls and Procedures</w:t>
            </w:r>
          </w:p>
        </w:tc>
        <w:tc>
          <w:tcPr>
            <w:tcW w:w="112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color w:val="0000FF"/>
                <w:w w:val="96"/>
              </w:rPr>
              <w:t>184</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04"/>
        </w:trPr>
        <w:tc>
          <w:tcPr>
            <w:tcW w:w="5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5"/>
              </w:rPr>
              <w:t>Item 9B.</w:t>
            </w:r>
          </w:p>
        </w:tc>
        <w:tc>
          <w:tcPr>
            <w:tcW w:w="620" w:type="dxa"/>
            <w:vAlign w:val="bottom"/>
          </w:tcPr>
          <w:p>
            <w:pPr>
              <w:spacing w:after="0"/>
              <w:rPr>
                <w:sz w:val="17"/>
                <w:szCs w:val="17"/>
                <w:color w:val="auto"/>
              </w:rPr>
            </w:pPr>
          </w:p>
        </w:tc>
        <w:tc>
          <w:tcPr>
            <w:tcW w:w="172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Other Information</w:t>
            </w:r>
          </w:p>
        </w:tc>
        <w:tc>
          <w:tcPr>
            <w:tcW w:w="7140" w:type="dxa"/>
            <w:vAlign w:val="bottom"/>
            <w:gridSpan w:val="21"/>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3"/>
          </w:tcPr>
          <w:p>
            <w:pPr>
              <w:jc w:val="center"/>
              <w:ind w:right="440"/>
              <w:spacing w:after="0"/>
              <w:rPr>
                <w:sz w:val="20"/>
                <w:szCs w:val="20"/>
                <w:color w:val="auto"/>
              </w:rPr>
            </w:pPr>
            <w:r>
              <w:rPr>
                <w:rFonts w:ascii="Times New Roman" w:cs="Times New Roman" w:eastAsia="Times New Roman" w:hAnsi="Times New Roman"/>
                <w:sz w:val="15"/>
                <w:szCs w:val="15"/>
                <w:color w:val="0E32E1"/>
                <w:w w:val="70"/>
              </w:rPr>
              <w:t>184</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20" w:type="dxa"/>
            <w:vAlign w:val="bottom"/>
            <w:tcBorders>
              <w:right w:val="single" w:sz="8" w:color="0E32E1"/>
            </w:tcBorders>
          </w:tcPr>
          <w:p>
            <w:pPr>
              <w:spacing w:after="0" w:line="20" w:lineRule="exact"/>
              <w:rPr>
                <w:sz w:val="1"/>
                <w:szCs w:val="1"/>
                <w:color w:val="auto"/>
              </w:rPr>
            </w:pPr>
          </w:p>
        </w:tc>
        <w:tc>
          <w:tcPr>
            <w:tcW w:w="120" w:type="dxa"/>
            <w:vAlign w:val="bottom"/>
            <w:gridSpan w:val="2"/>
            <w:shd w:val="clear" w:color="auto" w:fill="0E32E1"/>
          </w:tcPr>
          <w:p>
            <w:pPr>
              <w:spacing w:after="0" w:line="20" w:lineRule="exact"/>
              <w:rPr>
                <w:sz w:val="1"/>
                <w:szCs w:val="1"/>
                <w:color w:val="auto"/>
              </w:rPr>
            </w:pPr>
          </w:p>
        </w:tc>
        <w:tc>
          <w:tcPr>
            <w:tcW w:w="480" w:type="dxa"/>
            <w:vAlign w:val="bottom"/>
            <w:tcBorders>
              <w:left w:val="single" w:sz="8" w:color="0E32E1"/>
            </w:tcBorders>
          </w:tcPr>
          <w:p>
            <w:pPr>
              <w:spacing w:after="0" w:line="20" w:lineRule="exact"/>
              <w:rPr>
                <w:sz w:val="1"/>
                <w:szCs w:val="1"/>
                <w:color w:val="auto"/>
              </w:rPr>
            </w:pPr>
          </w:p>
        </w:tc>
      </w:tr>
      <w:tr>
        <w:trPr>
          <w:trHeight w:val="204"/>
        </w:trPr>
        <w:tc>
          <w:tcPr>
            <w:tcW w:w="5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5"/>
              </w:rPr>
              <w:t>Item 9C.</w:t>
            </w:r>
          </w:p>
        </w:tc>
        <w:tc>
          <w:tcPr>
            <w:tcW w:w="620" w:type="dxa"/>
            <w:vAlign w:val="bottom"/>
          </w:tcPr>
          <w:p>
            <w:pPr>
              <w:spacing w:after="0"/>
              <w:rPr>
                <w:sz w:val="17"/>
                <w:szCs w:val="17"/>
                <w:color w:val="auto"/>
              </w:rPr>
            </w:pPr>
          </w:p>
        </w:tc>
        <w:tc>
          <w:tcPr>
            <w:tcW w:w="4780" w:type="dxa"/>
            <w:vAlign w:val="bottom"/>
            <w:gridSpan w:val="22"/>
          </w:tcPr>
          <w:p>
            <w:pPr>
              <w:spacing w:after="0" w:line="204" w:lineRule="exact"/>
              <w:rPr>
                <w:sz w:val="20"/>
                <w:szCs w:val="20"/>
                <w:color w:val="auto"/>
              </w:rPr>
            </w:pPr>
            <w:r>
              <w:rPr>
                <w:rFonts w:ascii="Times New Roman" w:cs="Times New Roman" w:eastAsia="Times New Roman" w:hAnsi="Times New Roman"/>
                <w:sz w:val="18"/>
                <w:szCs w:val="18"/>
                <w:color w:val="0000FF"/>
                <w:w w:val="97"/>
              </w:rPr>
              <w:t>Disclosure Regarding Foreign Jurisdictions that Prevent Inspections</w:t>
            </w:r>
          </w:p>
        </w:tc>
        <w:tc>
          <w:tcPr>
            <w:tcW w:w="408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3"/>
          </w:tcPr>
          <w:p>
            <w:pPr>
              <w:jc w:val="center"/>
              <w:ind w:right="440"/>
              <w:spacing w:after="0"/>
              <w:rPr>
                <w:sz w:val="20"/>
                <w:szCs w:val="20"/>
                <w:color w:val="auto"/>
              </w:rPr>
            </w:pPr>
            <w:r>
              <w:rPr>
                <w:rFonts w:ascii="Times New Roman" w:cs="Times New Roman" w:eastAsia="Times New Roman" w:hAnsi="Times New Roman"/>
                <w:sz w:val="15"/>
                <w:szCs w:val="15"/>
                <w:color w:val="0000FF"/>
                <w:w w:val="70"/>
              </w:rPr>
              <w:t>184</w:t>
            </w:r>
          </w:p>
        </w:tc>
      </w:tr>
      <w:tr>
        <w:trPr>
          <w:trHeight w:val="256"/>
        </w:trPr>
        <w:tc>
          <w:tcPr>
            <w:tcW w:w="5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260" w:type="dxa"/>
            <w:vAlign w:val="bottom"/>
            <w:tcBorders>
              <w:top w:val="single" w:sz="8" w:color="0000FF"/>
            </w:tcBorders>
            <w:gridSpan w:val="9"/>
          </w:tcPr>
          <w:p>
            <w:pPr>
              <w:jc w:val="center"/>
              <w:ind w:left="392"/>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4080" w:type="dxa"/>
            <w:vAlign w:val="bottom"/>
            <w:gridSpan w:val="6"/>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r>
      <w:tr>
        <w:trPr>
          <w:trHeight w:val="204"/>
        </w:trPr>
        <w:tc>
          <w:tcPr>
            <w:tcW w:w="12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Item 10.</w:t>
            </w:r>
          </w:p>
        </w:tc>
        <w:tc>
          <w:tcPr>
            <w:tcW w:w="404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rPr>
              <w:t>Directors and Executive Officers of the Registrant</w:t>
            </w:r>
          </w:p>
        </w:tc>
        <w:tc>
          <w:tcPr>
            <w:tcW w:w="720" w:type="dxa"/>
            <w:vAlign w:val="bottom"/>
            <w:tcBorders>
              <w:top w:val="single" w:sz="8" w:color="0000FF"/>
            </w:tcBorders>
            <w:gridSpan w:val="7"/>
          </w:tcPr>
          <w:p>
            <w:pPr>
              <w:spacing w:after="0"/>
              <w:rPr>
                <w:sz w:val="17"/>
                <w:szCs w:val="17"/>
                <w:color w:val="auto"/>
              </w:rPr>
            </w:pPr>
          </w:p>
        </w:tc>
        <w:tc>
          <w:tcPr>
            <w:tcW w:w="4100" w:type="dxa"/>
            <w:vAlign w:val="bottom"/>
            <w:gridSpan w:val="7"/>
          </w:tcPr>
          <w:p>
            <w:pPr>
              <w:spacing w:after="0"/>
              <w:rPr>
                <w:sz w:val="17"/>
                <w:szCs w:val="17"/>
                <w:color w:val="auto"/>
              </w:rPr>
            </w:pPr>
          </w:p>
        </w:tc>
        <w:tc>
          <w:tcPr>
            <w:tcW w:w="112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color w:val="0E32E1"/>
                <w:w w:val="96"/>
              </w:rPr>
              <w:t>185</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6"/>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20" w:type="dxa"/>
            <w:vAlign w:val="bottom"/>
            <w:tcBorders>
              <w:right w:val="single" w:sz="8" w:color="0E32E1"/>
            </w:tcBorders>
          </w:tcPr>
          <w:p>
            <w:pPr>
              <w:spacing w:after="0" w:line="20" w:lineRule="exact"/>
              <w:rPr>
                <w:sz w:val="1"/>
                <w:szCs w:val="1"/>
                <w:color w:val="auto"/>
              </w:rPr>
            </w:pPr>
          </w:p>
        </w:tc>
        <w:tc>
          <w:tcPr>
            <w:tcW w:w="120" w:type="dxa"/>
            <w:vAlign w:val="bottom"/>
            <w:gridSpan w:val="2"/>
            <w:shd w:val="clear" w:color="auto" w:fill="0E32E1"/>
          </w:tcPr>
          <w:p>
            <w:pPr>
              <w:spacing w:after="0" w:line="20" w:lineRule="exact"/>
              <w:rPr>
                <w:sz w:val="1"/>
                <w:szCs w:val="1"/>
                <w:color w:val="auto"/>
              </w:rPr>
            </w:pPr>
          </w:p>
        </w:tc>
        <w:tc>
          <w:tcPr>
            <w:tcW w:w="480" w:type="dxa"/>
            <w:vAlign w:val="bottom"/>
            <w:tcBorders>
              <w:left w:val="single" w:sz="8" w:color="0E32E1"/>
            </w:tcBorders>
          </w:tcPr>
          <w:p>
            <w:pPr>
              <w:spacing w:after="0" w:line="20" w:lineRule="exact"/>
              <w:rPr>
                <w:sz w:val="1"/>
                <w:szCs w:val="1"/>
                <w:color w:val="auto"/>
              </w:rPr>
            </w:pPr>
          </w:p>
        </w:tc>
      </w:tr>
      <w:tr>
        <w:trPr>
          <w:trHeight w:val="204"/>
        </w:trPr>
        <w:tc>
          <w:tcPr>
            <w:tcW w:w="12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Item 11.</w:t>
            </w:r>
          </w:p>
        </w:tc>
        <w:tc>
          <w:tcPr>
            <w:tcW w:w="886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Executive Compensation</w:t>
            </w:r>
          </w:p>
        </w:tc>
        <w:tc>
          <w:tcPr>
            <w:tcW w:w="112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color w:val="0E32E1"/>
                <w:w w:val="96"/>
              </w:rPr>
              <w:t>185</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6"/>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20" w:type="dxa"/>
            <w:vAlign w:val="bottom"/>
            <w:tcBorders>
              <w:right w:val="single" w:sz="8" w:color="0E32E1"/>
            </w:tcBorders>
          </w:tcPr>
          <w:p>
            <w:pPr>
              <w:spacing w:after="0" w:line="20" w:lineRule="exact"/>
              <w:rPr>
                <w:sz w:val="1"/>
                <w:szCs w:val="1"/>
                <w:color w:val="auto"/>
              </w:rPr>
            </w:pPr>
          </w:p>
        </w:tc>
        <w:tc>
          <w:tcPr>
            <w:tcW w:w="120" w:type="dxa"/>
            <w:vAlign w:val="bottom"/>
            <w:gridSpan w:val="2"/>
            <w:shd w:val="clear" w:color="auto" w:fill="0E32E1"/>
          </w:tcPr>
          <w:p>
            <w:pPr>
              <w:spacing w:after="0" w:line="20" w:lineRule="exact"/>
              <w:rPr>
                <w:sz w:val="1"/>
                <w:szCs w:val="1"/>
                <w:color w:val="auto"/>
              </w:rPr>
            </w:pPr>
          </w:p>
        </w:tc>
        <w:tc>
          <w:tcPr>
            <w:tcW w:w="480" w:type="dxa"/>
            <w:vAlign w:val="bottom"/>
            <w:tcBorders>
              <w:left w:val="single" w:sz="8" w:color="0E32E1"/>
            </w:tcBorders>
          </w:tcPr>
          <w:p>
            <w:pPr>
              <w:spacing w:after="0" w:line="20" w:lineRule="exact"/>
              <w:rPr>
                <w:sz w:val="1"/>
                <w:szCs w:val="1"/>
                <w:color w:val="auto"/>
              </w:rPr>
            </w:pPr>
          </w:p>
        </w:tc>
      </w:tr>
      <w:tr>
        <w:trPr>
          <w:trHeight w:val="204"/>
        </w:trPr>
        <w:tc>
          <w:tcPr>
            <w:tcW w:w="12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Item 12.</w:t>
            </w:r>
          </w:p>
        </w:tc>
        <w:tc>
          <w:tcPr>
            <w:tcW w:w="886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2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color w:val="0E32E1"/>
                <w:w w:val="96"/>
              </w:rPr>
              <w:t>185</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140" w:type="dxa"/>
            <w:vAlign w:val="bottom"/>
            <w:tcBorders>
              <w:left w:val="single" w:sz="8" w:color="0000FF"/>
            </w:tcBorders>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20" w:type="dxa"/>
            <w:vAlign w:val="bottom"/>
            <w:tcBorders>
              <w:right w:val="single" w:sz="8" w:color="0E32E1"/>
            </w:tcBorders>
          </w:tcPr>
          <w:p>
            <w:pPr>
              <w:spacing w:after="0" w:line="20" w:lineRule="exact"/>
              <w:rPr>
                <w:sz w:val="1"/>
                <w:szCs w:val="1"/>
                <w:color w:val="auto"/>
              </w:rPr>
            </w:pPr>
          </w:p>
        </w:tc>
        <w:tc>
          <w:tcPr>
            <w:tcW w:w="120" w:type="dxa"/>
            <w:vAlign w:val="bottom"/>
            <w:gridSpan w:val="2"/>
            <w:shd w:val="clear" w:color="auto" w:fill="0E32E1"/>
          </w:tcPr>
          <w:p>
            <w:pPr>
              <w:spacing w:after="0" w:line="20" w:lineRule="exact"/>
              <w:rPr>
                <w:sz w:val="1"/>
                <w:szCs w:val="1"/>
                <w:color w:val="auto"/>
              </w:rPr>
            </w:pPr>
          </w:p>
        </w:tc>
        <w:tc>
          <w:tcPr>
            <w:tcW w:w="480" w:type="dxa"/>
            <w:vAlign w:val="bottom"/>
            <w:tcBorders>
              <w:left w:val="single" w:sz="8" w:color="0E32E1"/>
            </w:tcBorders>
          </w:tcPr>
          <w:p>
            <w:pPr>
              <w:spacing w:after="0" w:line="20" w:lineRule="exact"/>
              <w:rPr>
                <w:sz w:val="1"/>
                <w:szCs w:val="1"/>
                <w:color w:val="auto"/>
              </w:rPr>
            </w:pPr>
          </w:p>
        </w:tc>
      </w:tr>
      <w:tr>
        <w:trPr>
          <w:trHeight w:val="204"/>
        </w:trPr>
        <w:tc>
          <w:tcPr>
            <w:tcW w:w="1200" w:type="dxa"/>
            <w:vAlign w:val="bottom"/>
            <w:tcBorders>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Item 13.</w:t>
            </w:r>
          </w:p>
        </w:tc>
        <w:tc>
          <w:tcPr>
            <w:tcW w:w="5320" w:type="dxa"/>
            <w:vAlign w:val="bottom"/>
            <w:tcBorders>
              <w:bottom w:val="single" w:sz="8" w:color="0000FF"/>
            </w:tcBorders>
            <w:gridSpan w:val="23"/>
          </w:tcPr>
          <w:p>
            <w:pPr>
              <w:spacing w:after="0" w:line="204" w:lineRule="exact"/>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3540" w:type="dxa"/>
            <w:vAlign w:val="bottom"/>
            <w:gridSpan w:val="5"/>
          </w:tcPr>
          <w:p>
            <w:pPr>
              <w:spacing w:after="0"/>
              <w:rPr>
                <w:sz w:val="17"/>
                <w:szCs w:val="17"/>
                <w:color w:val="auto"/>
              </w:rPr>
            </w:pPr>
          </w:p>
        </w:tc>
        <w:tc>
          <w:tcPr>
            <w:tcW w:w="112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color w:val="0E32E1"/>
                <w:w w:val="96"/>
              </w:rPr>
              <w:t>185</w:t>
            </w:r>
          </w:p>
        </w:tc>
      </w:tr>
      <w:tr>
        <w:trPr>
          <w:trHeight w:val="204"/>
        </w:trPr>
        <w:tc>
          <w:tcPr>
            <w:tcW w:w="12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Item 14.</w:t>
            </w:r>
          </w:p>
        </w:tc>
        <w:tc>
          <w:tcPr>
            <w:tcW w:w="886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112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color w:val="0E32E1"/>
                <w:w w:val="96"/>
              </w:rPr>
              <w:t>185</w:t>
            </w:r>
          </w:p>
        </w:tc>
      </w:tr>
      <w:tr>
        <w:trPr>
          <w:trHeight w:val="256"/>
        </w:trPr>
        <w:tc>
          <w:tcPr>
            <w:tcW w:w="5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20" w:type="dxa"/>
            <w:vAlign w:val="bottom"/>
            <w:gridSpan w:val="14"/>
          </w:tcPr>
          <w:p>
            <w:pPr>
              <w:jc w:val="center"/>
              <w:ind w:right="412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520" w:type="dxa"/>
            <w:vAlign w:val="bottom"/>
          </w:tcPr>
          <w:p>
            <w:pPr>
              <w:spacing w:after="0"/>
              <w:rPr>
                <w:sz w:val="22"/>
                <w:szCs w:val="22"/>
                <w:color w:val="auto"/>
              </w:rPr>
            </w:pPr>
          </w:p>
        </w:tc>
        <w:tc>
          <w:tcPr>
            <w:tcW w:w="80" w:type="dxa"/>
            <w:vAlign w:val="bottom"/>
            <w:tcBorders>
              <w:top w:val="single" w:sz="8" w:color="0E32E1"/>
            </w:tcBorders>
          </w:tcPr>
          <w:p>
            <w:pPr>
              <w:spacing w:after="0"/>
              <w:rPr>
                <w:sz w:val="22"/>
                <w:szCs w:val="22"/>
                <w:color w:val="auto"/>
              </w:rPr>
            </w:pPr>
          </w:p>
        </w:tc>
        <w:tc>
          <w:tcPr>
            <w:tcW w:w="40" w:type="dxa"/>
            <w:vAlign w:val="bottom"/>
            <w:tcBorders>
              <w:top w:val="single" w:sz="8" w:color="0E32E1"/>
            </w:tcBorders>
          </w:tcPr>
          <w:p>
            <w:pPr>
              <w:spacing w:after="0"/>
              <w:rPr>
                <w:sz w:val="22"/>
                <w:szCs w:val="22"/>
                <w:color w:val="auto"/>
              </w:rPr>
            </w:pPr>
          </w:p>
        </w:tc>
        <w:tc>
          <w:tcPr>
            <w:tcW w:w="480" w:type="dxa"/>
            <w:vAlign w:val="bottom"/>
          </w:tcPr>
          <w:p>
            <w:pPr>
              <w:spacing w:after="0"/>
              <w:rPr>
                <w:sz w:val="22"/>
                <w:szCs w:val="22"/>
                <w:color w:val="auto"/>
              </w:rPr>
            </w:pPr>
          </w:p>
        </w:tc>
      </w:tr>
      <w:tr>
        <w:trPr>
          <w:trHeight w:val="204"/>
        </w:trPr>
        <w:tc>
          <w:tcPr>
            <w:tcW w:w="12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Item 15.</w:t>
            </w:r>
          </w:p>
        </w:tc>
        <w:tc>
          <w:tcPr>
            <w:tcW w:w="4060" w:type="dxa"/>
            <w:vAlign w:val="bottom"/>
            <w:gridSpan w:val="15"/>
          </w:tcPr>
          <w:p>
            <w:pPr>
              <w:spacing w:after="0" w:line="20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680" w:type="dxa"/>
            <w:vAlign w:val="bottom"/>
            <w:tcBorders>
              <w:top w:val="single" w:sz="8" w:color="0000FF"/>
            </w:tcBorders>
            <w:gridSpan w:val="5"/>
          </w:tcPr>
          <w:p>
            <w:pPr>
              <w:spacing w:after="0"/>
              <w:rPr>
                <w:sz w:val="17"/>
                <w:szCs w:val="17"/>
                <w:color w:val="auto"/>
              </w:rPr>
            </w:pPr>
          </w:p>
        </w:tc>
        <w:tc>
          <w:tcPr>
            <w:tcW w:w="4120" w:type="dxa"/>
            <w:vAlign w:val="bottom"/>
            <w:gridSpan w:val="8"/>
          </w:tcPr>
          <w:p>
            <w:pPr>
              <w:spacing w:after="0"/>
              <w:rPr>
                <w:sz w:val="17"/>
                <w:szCs w:val="17"/>
                <w:color w:val="auto"/>
              </w:rPr>
            </w:pPr>
          </w:p>
        </w:tc>
        <w:tc>
          <w:tcPr>
            <w:tcW w:w="112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color w:val="0E32E1"/>
                <w:w w:val="96"/>
              </w:rPr>
              <w:t>186</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160" w:type="dxa"/>
            <w:vAlign w:val="bottom"/>
            <w:tcBorders>
              <w:left w:val="single" w:sz="8" w:color="0000FF"/>
            </w:tcBorders>
            <w:gridSpan w:val="9"/>
            <w:shd w:val="clear" w:color="auto" w:fill="0000FF"/>
          </w:tcPr>
          <w:p>
            <w:pPr>
              <w:spacing w:after="0" w:line="20" w:lineRule="exact"/>
              <w:rPr>
                <w:sz w:val="1"/>
                <w:szCs w:val="1"/>
                <w:color w:val="auto"/>
              </w:rPr>
            </w:pPr>
          </w:p>
        </w:tc>
        <w:tc>
          <w:tcPr>
            <w:tcW w:w="6040" w:type="dxa"/>
            <w:vAlign w:val="bottom"/>
            <w:gridSpan w:val="17"/>
          </w:tcPr>
          <w:p>
            <w:pPr>
              <w:spacing w:after="0" w:line="20" w:lineRule="exact"/>
              <w:rPr>
                <w:sz w:val="1"/>
                <w:szCs w:val="1"/>
                <w:color w:val="auto"/>
              </w:rPr>
            </w:pPr>
          </w:p>
        </w:tc>
        <w:tc>
          <w:tcPr>
            <w:tcW w:w="520" w:type="dxa"/>
            <w:vAlign w:val="bottom"/>
            <w:tcBorders>
              <w:right w:val="single" w:sz="8" w:color="0E32E1"/>
            </w:tcBorders>
          </w:tcPr>
          <w:p>
            <w:pPr>
              <w:spacing w:after="0" w:line="20" w:lineRule="exact"/>
              <w:rPr>
                <w:sz w:val="1"/>
                <w:szCs w:val="1"/>
                <w:color w:val="auto"/>
              </w:rPr>
            </w:pPr>
          </w:p>
        </w:tc>
        <w:tc>
          <w:tcPr>
            <w:tcW w:w="120" w:type="dxa"/>
            <w:vAlign w:val="bottom"/>
            <w:gridSpan w:val="2"/>
            <w:shd w:val="clear" w:color="auto" w:fill="0E32E1"/>
          </w:tcPr>
          <w:p>
            <w:pPr>
              <w:spacing w:after="0" w:line="20" w:lineRule="exact"/>
              <w:rPr>
                <w:sz w:val="1"/>
                <w:szCs w:val="1"/>
                <w:color w:val="auto"/>
              </w:rPr>
            </w:pPr>
          </w:p>
        </w:tc>
        <w:tc>
          <w:tcPr>
            <w:tcW w:w="480" w:type="dxa"/>
            <w:vAlign w:val="bottom"/>
            <w:tcBorders>
              <w:left w:val="single" w:sz="8" w:color="0E32E1"/>
            </w:tcBorders>
          </w:tcPr>
          <w:p>
            <w:pPr>
              <w:spacing w:after="0" w:line="20" w:lineRule="exact"/>
              <w:rPr>
                <w:sz w:val="1"/>
                <w:szCs w:val="1"/>
                <w:color w:val="auto"/>
              </w:rPr>
            </w:pPr>
          </w:p>
        </w:tc>
      </w:tr>
      <w:tr>
        <w:trPr>
          <w:trHeight w:val="204"/>
        </w:trPr>
        <w:tc>
          <w:tcPr>
            <w:tcW w:w="12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Item 16.</w:t>
            </w:r>
          </w:p>
        </w:tc>
        <w:tc>
          <w:tcPr>
            <w:tcW w:w="886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Summary</w:t>
            </w:r>
          </w:p>
        </w:tc>
        <w:tc>
          <w:tcPr>
            <w:tcW w:w="112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color w:val="0E32E1"/>
                <w:w w:val="96"/>
              </w:rPr>
              <w:t>191</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80" w:type="dxa"/>
            <w:vAlign w:val="bottom"/>
            <w:tcBorders>
              <w:left w:val="single" w:sz="8" w:color="0E32E1"/>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Introductory Note</w:t>
      </w:r>
    </w:p>
    <w:p>
      <w:pPr>
        <w:spacing w:after="0" w:line="7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describes the business of Fidelity National Financial, Inc. and its subsidiaries. Except where otherwise noted, all references to "we," "us," "our", the "Company" or "FNF" are to Fidelity National Financial, Inc. and its subsidiaries, taken together.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0"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We are a leading provider of (i) title insurance, escrow and other title-related services, including trust activities, trustee sales guarantees, recordings and reconveyances and home warranty products and (ii)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Land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majority-owned subsidiary, F&amp;G Annuities &amp; Life, Inc. ("F&amp;G").</w:t>
      </w:r>
    </w:p>
    <w:p>
      <w:pPr>
        <w:spacing w:after="0" w:line="72"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On December 1, 2022, we completed our previously announced separation and distribution to our shareholders, on a pro rata basis, of approximately 15% of the common stock of F&amp;G (the "F&amp;G Distribution"). Following the F&amp;G Distribution, we retained control of F&amp;G through our approximate 85% ownership stake. The F&amp;G Distribution was accomplished by the distribution of 68 shares of common stock, par value $0.001 per share, of F&amp;G for every 1,000 shares of our common stock, par value $0.0001 per share, as a dividend to each holder of shares of our common stock as of the close of business on November 22, 2022, the record date for the F&amp;G Distribution.</w:t>
      </w:r>
    </w:p>
    <w:p>
      <w:pPr>
        <w:spacing w:after="0" w:line="54"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As a result of the F&amp;G Distribution, F&amp;G is a separate, publicly traded company and its businesses, assets and liabilities consist of those related to F&amp;G’s business as a provider of insurance solutions serving retail annuity and life customers and institutional clients. Through F&amp;G’s insurance subsidiaries, including Fidelity &amp; Guaranty Life Insurance Company ("FGL Insurance") and Fidelity &amp; Guaranty Life Insurance Company of New York ("FGL NY Insurance"), F&amp;G intends to continue to market a broad portfolio of deferred annuities (fixed indexed annuities ("FIAs") and multi-year guarantee annuities ("MYGAs") or other fixed rate annuities), immediate annuities, indexed universal life insurance ("IUL"), funding agreements (through funding agreement-backed notes issuances and the Federal Home Loan Bank of Atlanta) and pension risk transfer solutions. All of FNF’s core title insurance, real estate, technology and mortgage related businesses, assets and liabilities that are not held by F&amp;G remain with FNF.</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we had the following reporting segments:</w:t>
      </w:r>
    </w:p>
    <w:p>
      <w:pPr>
        <w:spacing w:after="0" w:line="159" w:lineRule="exact"/>
        <w:rPr>
          <w:sz w:val="20"/>
          <w:szCs w:val="20"/>
          <w:color w:val="auto"/>
        </w:rPr>
      </w:pPr>
    </w:p>
    <w:p>
      <w:pPr>
        <w:jc w:val="both"/>
        <w:ind w:left="640" w:hanging="398"/>
        <w:spacing w:after="0" w:line="253"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which provide title insurance and escrow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27" w:lineRule="exact"/>
        <w:rPr>
          <w:rFonts w:ascii="Times New Roman" w:cs="Times New Roman" w:eastAsia="Times New Roman" w:hAnsi="Times New Roman"/>
          <w:sz w:val="18"/>
          <w:szCs w:val="18"/>
          <w:color w:val="auto"/>
        </w:rPr>
      </w:pPr>
    </w:p>
    <w:p>
      <w:pPr>
        <w:jc w:val="both"/>
        <w:ind w:left="640" w:hanging="398"/>
        <w:spacing w:after="0" w:line="253"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F&amp;G</w:t>
      </w:r>
      <w:r>
        <w:rPr>
          <w:rFonts w:ascii="Times New Roman" w:cs="Times New Roman" w:eastAsia="Times New Roman" w:hAnsi="Times New Roman"/>
          <w:sz w:val="18"/>
          <w:szCs w:val="18"/>
          <w:color w:val="auto"/>
        </w:rPr>
        <w:t>. This segment primarily consists of operations of our annuities and life insurance related businesses. This segment issues a broad portfolio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annuity and life insurance products, including deferred annuities (fixed indexed and fixed rate annuities), immediate annuities, and indexed universal life ("IUL") insurance, through its retail distribution channels. This segment also provides funding agreements and pension risk transfer ("PRT") solutions through its institutional channels.</w:t>
      </w:r>
    </w:p>
    <w:p>
      <w:pPr>
        <w:spacing w:after="0" w:line="127" w:lineRule="exact"/>
        <w:rPr>
          <w:rFonts w:ascii="Times New Roman" w:cs="Times New Roman" w:eastAsia="Times New Roman" w:hAnsi="Times New Roman"/>
          <w:sz w:val="18"/>
          <w:szCs w:val="18"/>
          <w:color w:val="auto"/>
        </w:rPr>
      </w:pPr>
    </w:p>
    <w:p>
      <w:pPr>
        <w:jc w:val="both"/>
        <w:ind w:left="640" w:hanging="398"/>
        <w:spacing w:after="0" w:line="335" w:lineRule="auto"/>
        <w:tabs>
          <w:tab w:leader="none" w:pos="63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Corporate and Other. </w:t>
      </w:r>
      <w:r>
        <w:rPr>
          <w:rFonts w:ascii="Times New Roman" w:cs="Times New Roman" w:eastAsia="Times New Roman" w:hAnsi="Times New Roman"/>
          <w:sz w:val="16"/>
          <w:szCs w:val="16"/>
          <w:color w:val="auto"/>
        </w:rPr>
        <w:t>This segment consists of the operations of the parent holding company, our real estate technology subsidiaries, other smaller,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non-title businesses and certain unallocated corporate overhead expenses and eliminations of revenues and expenses between it and our Title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our competitive strengths include the following:</w:t>
      </w:r>
    </w:p>
    <w:p>
      <w:pPr>
        <w:spacing w:after="0" w:line="94" w:lineRule="exact"/>
        <w:rPr>
          <w:sz w:val="20"/>
          <w:szCs w:val="20"/>
          <w:color w:val="auto"/>
        </w:rPr>
      </w:pPr>
    </w:p>
    <w:p>
      <w:pPr>
        <w:ind w:firstLine="31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Corporate principles. </w:t>
      </w:r>
      <w:r>
        <w:rPr>
          <w:rFonts w:ascii="Times New Roman" w:cs="Times New Roman" w:eastAsia="Times New Roman" w:hAnsi="Times New Roman"/>
          <w:sz w:val="18"/>
          <w:szCs w:val="18"/>
          <w:color w:val="auto"/>
        </w:rPr>
        <w:t>A cornerstone of our management philosophy and operating success is the six fundamental precepts upon which we were founded,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w:t>
      </w:r>
    </w:p>
    <w:p>
      <w:pPr>
        <w:spacing w:after="0" w:line="35" w:lineRule="exact"/>
        <w:rPr>
          <w:sz w:val="20"/>
          <w:szCs w:val="20"/>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Autonomy and entrepreneurship;</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Bias for action;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Customer-oriented and motivated;</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bureaucracy;</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ownership;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Highest standard of conduct.</w:t>
      </w:r>
    </w:p>
    <w:p>
      <w:pPr>
        <w:spacing w:after="0" w:line="78" w:lineRule="exact"/>
        <w:rPr>
          <w:sz w:val="20"/>
          <w:szCs w:val="20"/>
          <w:color w:val="auto"/>
        </w:rPr>
      </w:pPr>
    </w:p>
    <w:p>
      <w:pPr>
        <w:ind w:left="320" w:right="720"/>
        <w:spacing w:after="0" w:line="342" w:lineRule="auto"/>
        <w:rPr>
          <w:sz w:val="20"/>
          <w:szCs w:val="20"/>
          <w:color w:val="auto"/>
        </w:rPr>
      </w:pPr>
      <w:r>
        <w:rPr>
          <w:rFonts w:ascii="Times New Roman" w:cs="Times New Roman" w:eastAsia="Times New Roman" w:hAnsi="Times New Roman"/>
          <w:sz w:val="18"/>
          <w:szCs w:val="18"/>
          <w:color w:val="auto"/>
        </w:rPr>
        <w:t xml:space="preserve">These six precepts are emphasized to our employees from the first day of employment and are integral to many of our strategies described below. </w:t>
      </w:r>
      <w:r>
        <w:rPr>
          <w:rFonts w:ascii="Times New Roman" w:cs="Times New Roman" w:eastAsia="Times New Roman" w:hAnsi="Times New Roman"/>
          <w:sz w:val="18"/>
          <w:szCs w:val="18"/>
          <w:b w:val="1"/>
          <w:bCs w:val="1"/>
          <w:i w:val="1"/>
          <w:iCs w:val="1"/>
          <w:color w:val="auto"/>
        </w:rPr>
        <w:t>Title</w:t>
      </w:r>
    </w:p>
    <w:p>
      <w:pPr>
        <w:jc w:val="both"/>
        <w:ind w:firstLine="31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Leading residential and commercial title insurance company. </w:t>
      </w:r>
      <w:r>
        <w:rPr>
          <w:rFonts w:ascii="Times New Roman" w:cs="Times New Roman" w:eastAsia="Times New Roman" w:hAnsi="Times New Roman"/>
          <w:sz w:val="18"/>
          <w:szCs w:val="18"/>
          <w:color w:val="auto"/>
        </w:rPr>
        <w:t>We are one of the largest title insurance companies in the United States and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 of title insurance and escrow and other title-related services for real estate transactions. Through the third quarter of 2023, our insurance companies had a 30.7% share of the U.S. title insurance market, according to the American Land Title Association ("ALTA"). While residential title insurance comprises the majority of our business, we are also a significant provider of commercial real estate title insurance in the United States. Our network of independent title agents and employees in our direct operations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69"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Established relationships with our customers. </w:t>
      </w:r>
      <w:r>
        <w:rPr>
          <w:rFonts w:ascii="Times New Roman" w:cs="Times New Roman" w:eastAsia="Times New Roman" w:hAnsi="Times New Roman"/>
          <w:sz w:val="18"/>
          <w:szCs w:val="18"/>
          <w:color w:val="auto"/>
        </w:rPr>
        <w:t>We have strong relationships with the customers who use our title services. Our distribution network,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approximately 1,300 direct title offices and approximately 5,200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48"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Strong value proposition for our customers as a leading provider of services and technology solutions to the title insurance industry. </w:t>
      </w:r>
      <w:r>
        <w:rPr>
          <w:rFonts w:ascii="Times New Roman" w:cs="Times New Roman" w:eastAsia="Times New Roman" w:hAnsi="Times New Roman"/>
          <w:sz w:val="18"/>
          <w:szCs w:val="18"/>
          <w:color w:val="auto"/>
        </w:rPr>
        <w:t>Through our Title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we provide our customers with title insurance and escrow and other title-related services that support their ability to effectively close real estate transactions. We help make the real estate closing process more efficient for our customers by offering a single point of access to a broad platform of title-related products and resources necessary to close real estate transactions.</w:t>
      </w:r>
    </w:p>
    <w:p>
      <w:pPr>
        <w:spacing w:after="0" w:line="61"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Industry leading margins and disciplined operating focus. </w:t>
      </w:r>
      <w:r>
        <w:rPr>
          <w:rFonts w:ascii="Times New Roman" w:cs="Times New Roman" w:eastAsia="Times New Roman" w:hAnsi="Times New Roman"/>
          <w:sz w:val="18"/>
          <w:szCs w:val="18"/>
          <w:color w:val="auto"/>
        </w:rPr>
        <w:t>We have been able to maintain competitive operating margins in part by monitoring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in a disciplined manner through continual evaluation of business activity and management of our cost structure. When compared to our industry competitors, we also believe that our structure is more efficiently designed, which allows us to operate with lower overhead costs.</w:t>
      </w:r>
    </w:p>
    <w:p>
      <w:pPr>
        <w:spacing w:after="0" w:line="59"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Proven management team. </w:t>
      </w:r>
      <w:r>
        <w:rPr>
          <w:rFonts w:ascii="Times New Roman" w:cs="Times New Roman" w:eastAsia="Times New Roman" w:hAnsi="Times New Roman"/>
          <w:sz w:val="18"/>
          <w:szCs w:val="18"/>
          <w:color w:val="auto"/>
        </w:rPr>
        <w:t>The managers of our operating businesses have successfully built our Title segment over an extended period of time,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48" w:lineRule="exact"/>
        <w:rPr>
          <w:sz w:val="20"/>
          <w:szCs w:val="20"/>
          <w:color w:val="auto"/>
        </w:rPr>
      </w:pPr>
    </w:p>
    <w:p>
      <w:pPr>
        <w:ind w:left="320" w:right="1460"/>
        <w:spacing w:after="0" w:line="349" w:lineRule="auto"/>
        <w:rPr>
          <w:sz w:val="20"/>
          <w:szCs w:val="20"/>
          <w:color w:val="auto"/>
        </w:rPr>
      </w:pPr>
      <w:r>
        <w:rPr>
          <w:rFonts w:ascii="Times New Roman" w:cs="Times New Roman" w:eastAsia="Times New Roman" w:hAnsi="Times New Roman"/>
          <w:sz w:val="18"/>
          <w:szCs w:val="18"/>
          <w:color w:val="auto"/>
        </w:rPr>
        <w:t xml:space="preserve">We believe that our Title segment's competitive strengths position us well to take advantage of future changes to the real estate market. </w:t>
      </w:r>
      <w:r>
        <w:rPr>
          <w:rFonts w:ascii="Times New Roman" w:cs="Times New Roman" w:eastAsia="Times New Roman" w:hAnsi="Times New Roman"/>
          <w:sz w:val="18"/>
          <w:szCs w:val="18"/>
          <w:b w:val="1"/>
          <w:bCs w:val="1"/>
          <w:i w:val="1"/>
          <w:iCs w:val="1"/>
          <w:color w:val="auto"/>
        </w:rPr>
        <w:t>F&amp;G</w:t>
      </w:r>
    </w:p>
    <w:p>
      <w:pPr>
        <w:spacing w:after="0" w:line="1"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Trusted by distributors. </w:t>
      </w:r>
      <w:r>
        <w:rPr>
          <w:rFonts w:ascii="Times New Roman" w:cs="Times New Roman" w:eastAsia="Times New Roman" w:hAnsi="Times New Roman"/>
          <w:sz w:val="18"/>
          <w:szCs w:val="18"/>
          <w:color w:val="auto"/>
        </w:rPr>
        <w:t>We have long-standing relationships with a broad range of distributors representing more than 112,000 independent agents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advisors, and built on our reputation for transparency and a consistently competitive product portfolio. We offer fixed annuities and life insurance products through a network of approximately 21 leading banks and broker dealers and approximately 280 Independent Marketing Organizations (“IMOs”) that provide back-office support for thousands of independent insurance agents.</w:t>
      </w:r>
    </w:p>
    <w:p>
      <w:pPr>
        <w:spacing w:after="0" w:line="48"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Winning in high-growth markets. </w:t>
      </w:r>
      <w:r>
        <w:rPr>
          <w:rFonts w:ascii="Times New Roman" w:cs="Times New Roman" w:eastAsia="Times New Roman" w:hAnsi="Times New Roman"/>
          <w:sz w:val="18"/>
          <w:szCs w:val="18"/>
          <w:color w:val="auto"/>
        </w:rPr>
        <w:t>The U.S. retirement and middle markets are growing, and we are both well-established and well-positioned for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Our strategic alignment with our distribution partners allows us to reach a diverse, growing and underserved middle market demographic in both our retail and institutional channels.</w:t>
      </w:r>
    </w:p>
    <w:p>
      <w:pPr>
        <w:spacing w:after="0" w:line="59"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Durable investment management edge. </w:t>
      </w:r>
      <w:r>
        <w:rPr>
          <w:rFonts w:ascii="Times New Roman" w:cs="Times New Roman" w:eastAsia="Times New Roman" w:hAnsi="Times New Roman"/>
          <w:sz w:val="18"/>
          <w:szCs w:val="18"/>
          <w:color w:val="auto"/>
        </w:rPr>
        <w:t>Our strategic partnership with Blackstone provides a sustained competitive advantage for our business. Our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profile and risk appetite drives our investment strategy. F&amp;G’s investment and risk offices set strategic asset allocation and risk limits. Blackstone is responsible for idea generation and security selection. Blackstone’s capabilities expand our investment universe to new asset classes and their origination capabilities provide incremental spread. Our high quality, diversified investment portfolio is well positioned to withstand macroeconomic headwinds and continues to perform well.</w:t>
      </w:r>
    </w:p>
    <w:p>
      <w:pPr>
        <w:spacing w:after="0" w:line="67"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Clean and profitable in-force book. </w:t>
      </w:r>
      <w:r>
        <w:rPr>
          <w:rFonts w:ascii="Times New Roman" w:cs="Times New Roman" w:eastAsia="Times New Roman" w:hAnsi="Times New Roman"/>
          <w:sz w:val="18"/>
          <w:szCs w:val="18"/>
          <w:color w:val="auto"/>
        </w:rPr>
        <w:t>As a life insurer, we generate spread earnings based on our assets under management and over the lifetime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place. Our disciplined new business underwriting process provides us with stable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liabilities, primarily in products that reset annually, which has allowed us to achieve consistently attractive lifetime returns. Approximately 93% of our $33.0 billion fixed indexed and fixed rate annuities account value are surrender-charge protected and our asset and liability cash flows are well matched.</w:t>
      </w:r>
    </w:p>
    <w:p>
      <w:pPr>
        <w:spacing w:after="0" w:line="49"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Track record of attracting top talent. </w:t>
      </w:r>
      <w:r>
        <w:rPr>
          <w:rFonts w:ascii="Times New Roman" w:cs="Times New Roman" w:eastAsia="Times New Roman" w:hAnsi="Times New Roman"/>
          <w:sz w:val="18"/>
          <w:szCs w:val="18"/>
          <w:color w:val="auto"/>
        </w:rPr>
        <w:t>F&amp;G’s management team and nearly 1,200 employees have a record of long-term success and have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impressive results in the last few years. Our commitment to our cultural values is the cornerstone of our success, whereby F&amp;G is a company of individuals who believe in the power of partnerships, encourage innovation and creativity, and are transparent about decisions while delivering on their commitments. This is borne out by consistently being recognized as an employer of choice as well as an involuntary turnover rate that is well below that of other financial services companies. We believe our flexible, employee-centric work approach positions us as an employer of choice.</w:t>
      </w:r>
    </w:p>
    <w:p>
      <w:pPr>
        <w:spacing w:after="0" w:line="54"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Clear governance structure. </w:t>
      </w:r>
      <w:r>
        <w:rPr>
          <w:rFonts w:ascii="Times New Roman" w:cs="Times New Roman" w:eastAsia="Times New Roman" w:hAnsi="Times New Roman"/>
          <w:sz w:val="18"/>
          <w:szCs w:val="18"/>
          <w:color w:val="auto"/>
        </w:rPr>
        <w:t>We have a disciplined approach for considering new lines of business to enter, the appropriate product/channel mix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achieving our targeted new business profitability, and the management of our capital and in-force liabilities. Further, we target and pursue opportunities that leverage our strengths.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business model is strong and positions us to capitalize on the growth prospects in our addressable markets.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p>
      <w:pPr>
        <w:spacing w:after="0" w:line="87"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Our strategy in the Title segment is to maximize operating profits by increasing our market share and managing operating expenses throughout the real estate business cycle. To accomplish our goals, we intend to do the following:</w:t>
      </w:r>
    </w:p>
    <w:p>
      <w:pPr>
        <w:spacing w:after="0" w:line="49" w:lineRule="exact"/>
        <w:rPr>
          <w:sz w:val="20"/>
          <w:szCs w:val="20"/>
          <w:color w:val="auto"/>
        </w:rPr>
      </w:pPr>
    </w:p>
    <w:p>
      <w:pPr>
        <w:jc w:val="both"/>
        <w:ind w:left="640" w:hanging="319"/>
        <w:spacing w:after="0" w:line="250"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to operate multiple title brands independently</w:t>
      </w:r>
      <w:r>
        <w:rPr>
          <w:rFonts w:ascii="Times New Roman" w:cs="Times New Roman" w:eastAsia="Times New Roman" w:hAnsi="Times New Roman"/>
          <w:sz w:val="18"/>
          <w:szCs w:val="18"/>
          <w:color w:val="auto"/>
        </w:rPr>
        <w:t>. We believe that in order to maintain and strengthen our title insurance customer base,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operate our strongest brands in a given marketplace independently of each other. Our national and regional brands include FNTIC, Chicago Title, Commonwealth Land Title, Lawyers Title, Ticor Title, Alamo Title, and National Title of New York.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66" w:lineRule="exact"/>
        <w:rPr>
          <w:rFonts w:ascii="Times New Roman" w:cs="Times New Roman" w:eastAsia="Times New Roman" w:hAnsi="Times New Roman"/>
          <w:sz w:val="18"/>
          <w:szCs w:val="18"/>
          <w:color w:val="auto"/>
        </w:rPr>
      </w:pPr>
    </w:p>
    <w:p>
      <w:pPr>
        <w:jc w:val="both"/>
        <w:ind w:left="640" w:hanging="319"/>
        <w:spacing w:after="0" w:line="253"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Consistently deliver superior customer service. </w:t>
      </w:r>
      <w:r>
        <w:rPr>
          <w:rFonts w:ascii="Times New Roman" w:cs="Times New Roman" w:eastAsia="Times New Roman" w:hAnsi="Times New Roman"/>
          <w:sz w:val="18"/>
          <w:szCs w:val="18"/>
          <w:color w:val="auto"/>
        </w:rPr>
        <w:t>We believe customer service and consistent product delivery are the most important factors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attracting and retaining customers. Our ability 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48" w:lineRule="exact"/>
        <w:rPr>
          <w:rFonts w:ascii="Times New Roman" w:cs="Times New Roman" w:eastAsia="Times New Roman" w:hAnsi="Times New Roman"/>
          <w:sz w:val="18"/>
          <w:szCs w:val="18"/>
          <w:color w:val="auto"/>
        </w:rPr>
      </w:pPr>
    </w:p>
    <w:p>
      <w:pPr>
        <w:jc w:val="both"/>
        <w:ind w:left="640" w:hanging="319"/>
        <w:spacing w:after="0" w:line="24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 our operations successfully through business cycles</w:t>
      </w:r>
      <w:r>
        <w:rPr>
          <w:rFonts w:ascii="Times New Roman" w:cs="Times New Roman" w:eastAsia="Times New Roman" w:hAnsi="Times New Roman"/>
          <w:sz w:val="18"/>
          <w:szCs w:val="18"/>
          <w:color w:val="auto"/>
        </w:rPr>
        <w:t>. Our Title segment operates in a cyclical industry and our ability to diversify our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within our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“Investment Policies and Investment Portfolio.”</w:t>
      </w:r>
    </w:p>
    <w:p>
      <w:pPr>
        <w:spacing w:after="0" w:line="68" w:lineRule="exact"/>
        <w:rPr>
          <w:rFonts w:ascii="Times New Roman" w:cs="Times New Roman" w:eastAsia="Times New Roman" w:hAnsi="Times New Roman"/>
          <w:sz w:val="18"/>
          <w:szCs w:val="18"/>
          <w:color w:val="auto"/>
        </w:rPr>
      </w:pPr>
    </w:p>
    <w:p>
      <w:pPr>
        <w:jc w:val="both"/>
        <w:ind w:left="640" w:hanging="319"/>
        <w:spacing w:after="0" w:line="250"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improve our products and technology. </w:t>
      </w:r>
      <w:r>
        <w:rPr>
          <w:rFonts w:ascii="Times New Roman" w:cs="Times New Roman" w:eastAsia="Times New Roman" w:hAnsi="Times New Roman"/>
          <w:sz w:val="18"/>
          <w:szCs w:val="18"/>
          <w:color w:val="auto"/>
        </w:rPr>
        <w:t>As a national provider of real estate transaction products and services, we participate in an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continue to improve the process of ordering title and escrow services and the delivery of our products to our customers.</w:t>
      </w:r>
    </w:p>
    <w:p>
      <w:pPr>
        <w:spacing w:after="0" w:line="66" w:lineRule="exact"/>
        <w:rPr>
          <w:rFonts w:ascii="Times New Roman" w:cs="Times New Roman" w:eastAsia="Times New Roman" w:hAnsi="Times New Roman"/>
          <w:sz w:val="18"/>
          <w:szCs w:val="18"/>
          <w:color w:val="auto"/>
        </w:rPr>
      </w:pPr>
    </w:p>
    <w:p>
      <w:pPr>
        <w:jc w:val="both"/>
        <w:ind w:left="640" w:hanging="319"/>
        <w:spacing w:after="0" w:line="294" w:lineRule="auto"/>
        <w:tabs>
          <w:tab w:leader="none" w:pos="63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Maintain values supporting our strategy. </w:t>
      </w:r>
      <w:r>
        <w:rPr>
          <w:rFonts w:ascii="Times New Roman" w:cs="Times New Roman" w:eastAsia="Times New Roman" w:hAnsi="Times New Roman"/>
          <w:sz w:val="16"/>
          <w:szCs w:val="16"/>
          <w:color w:val="auto"/>
        </w:rPr>
        <w:t>We believe that our continued focus on and support of our long-established corporate culture will reinforce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support our business strategy. Our goal is to foster and support a corporate culture where our employees and agents seek to operate independently and maintain profitability at the local level while forming close customer relationships by meeting customer needs and improving customer service. Utilizing a relatively flat managerial structure and providing our employees with a sense of individual ownership supports this goal.</w:t>
      </w:r>
    </w:p>
    <w:p>
      <w:pPr>
        <w:spacing w:after="0" w:line="19" w:lineRule="exact"/>
        <w:rPr>
          <w:rFonts w:ascii="Times New Roman" w:cs="Times New Roman" w:eastAsia="Times New Roman" w:hAnsi="Times New Roman"/>
          <w:sz w:val="16"/>
          <w:szCs w:val="16"/>
          <w:color w:val="auto"/>
        </w:rPr>
      </w:pPr>
    </w:p>
    <w:p>
      <w:pPr>
        <w:jc w:val="both"/>
        <w:ind w:left="640" w:hanging="319"/>
        <w:spacing w:after="0" w:line="257"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Effectively manage costs based on economic factors. </w:t>
      </w:r>
      <w:r>
        <w:rPr>
          <w:rFonts w:ascii="Times New Roman" w:cs="Times New Roman" w:eastAsia="Times New Roman" w:hAnsi="Times New Roman"/>
          <w:sz w:val="18"/>
          <w:szCs w:val="18"/>
          <w:color w:val="auto"/>
        </w:rPr>
        <w:t>We believe that our focus on our operating margins is essential to our continued success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 insurance business. Regardless of the business cycle in which we may be operating, we seek to continue to evaluate and manage our cost structure and make appropriate adjustments where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economic conditions dictate. This continual focus on our cost structure helps us to better maintain our operating margins.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F&amp;G</w:t>
      </w:r>
    </w:p>
    <w:p>
      <w:pPr>
        <w:spacing w:after="0" w:line="8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Through a diversified growth strategy, our F&amp;G segment seeks to deliver consistent and increasing earnings driven by asset growth. We are positioned to accomplish these goals through the following areas of strategic focus:</w:t>
      </w:r>
    </w:p>
    <w:p>
      <w:pPr>
        <w:spacing w:after="0" w:line="49" w:lineRule="exact"/>
        <w:rPr>
          <w:sz w:val="20"/>
          <w:szCs w:val="20"/>
          <w:color w:val="auto"/>
        </w:rPr>
      </w:pPr>
    </w:p>
    <w:p>
      <w:pPr>
        <w:jc w:val="both"/>
        <w:ind w:left="640" w:hanging="319"/>
        <w:spacing w:after="0" w:line="289" w:lineRule="auto"/>
        <w:tabs>
          <w:tab w:leader="none" w:pos="63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Targeting large and growing markets</w:t>
      </w:r>
      <w:r>
        <w:rPr>
          <w:rFonts w:ascii="Times New Roman" w:cs="Times New Roman" w:eastAsia="Times New Roman" w:hAnsi="Times New Roman"/>
          <w:sz w:val="16"/>
          <w:szCs w:val="16"/>
          <w:color w:val="auto"/>
        </w:rPr>
        <w:t>. The opportunity for our core annuity products remains significant, as policyholders seek to add safety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certainty to their retirement plans. Our investments in life insurance products allows us to penetrate the underserved middle market, which addresses the needs of many of our cultural communities. And as corporations continue to de-risk their pension funds, our buyout solutions can guarantee pension-holders the lifetime benefits they need and want. Finally, we continue to attract strong institutional annuity buyers with funding agreements. F&amp;G is a national leader in the markets we play in, and demographic trends provide tailwinds and significant room to continue growing.</w:t>
      </w:r>
    </w:p>
    <w:p>
      <w:pPr>
        <w:spacing w:after="0" w:line="37" w:lineRule="exact"/>
        <w:rPr>
          <w:rFonts w:ascii="Times New Roman" w:cs="Times New Roman" w:eastAsia="Times New Roman" w:hAnsi="Times New Roman"/>
          <w:sz w:val="16"/>
          <w:szCs w:val="16"/>
          <w:color w:val="auto"/>
        </w:rPr>
      </w:pPr>
    </w:p>
    <w:p>
      <w:pPr>
        <w:jc w:val="both"/>
        <w:ind w:left="640" w:hanging="319"/>
        <w:spacing w:after="0" w:line="257"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Superior ecosystem</w:t>
      </w:r>
      <w:r>
        <w:rPr>
          <w:rFonts w:ascii="Times New Roman" w:cs="Times New Roman" w:eastAsia="Times New Roman" w:hAnsi="Times New Roman"/>
          <w:sz w:val="18"/>
          <w:szCs w:val="18"/>
          <w:color w:val="auto"/>
        </w:rPr>
        <w:t>. Our business model gives us a sustainable competitive advantage. We have strong and long-standing relationships with a diverse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of distributors, a durable investment edge through our Blackstone partnership, a scalable administrative platform, and a track record of attracting and retaining top talent.</w:t>
      </w:r>
    </w:p>
    <w:p>
      <w:pPr>
        <w:spacing w:after="0" w:line="45" w:lineRule="exact"/>
        <w:rPr>
          <w:rFonts w:ascii="Times New Roman" w:cs="Times New Roman" w:eastAsia="Times New Roman" w:hAnsi="Times New Roman"/>
          <w:sz w:val="18"/>
          <w:szCs w:val="18"/>
          <w:color w:val="auto"/>
        </w:rPr>
      </w:pPr>
    </w:p>
    <w:p>
      <w:pPr>
        <w:jc w:val="both"/>
        <w:ind w:left="640" w:hanging="319"/>
        <w:spacing w:after="0" w:line="257"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Consistent track record of success. </w:t>
      </w:r>
      <w:r>
        <w:rPr>
          <w:rFonts w:ascii="Times New Roman" w:cs="Times New Roman" w:eastAsia="Times New Roman" w:hAnsi="Times New Roman"/>
          <w:sz w:val="18"/>
          <w:szCs w:val="18"/>
          <w:color w:val="auto"/>
        </w:rPr>
        <w:t>F&amp;G’s deep and experienced management team has successfully diversified products and channels in recent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demonstrated our ability to deliver consistent top line growth, increase assets under management and generate steady spreads and return on assets across varying market cycles.</w:t>
      </w:r>
    </w:p>
    <w:p>
      <w:pPr>
        <w:spacing w:after="0" w:line="71" w:lineRule="exact"/>
        <w:rPr>
          <w:rFonts w:ascii="Times New Roman" w:cs="Times New Roman" w:eastAsia="Times New Roman" w:hAnsi="Times New Roman"/>
          <w:sz w:val="18"/>
          <w:szCs w:val="18"/>
          <w:color w:val="auto"/>
        </w:rPr>
      </w:pPr>
    </w:p>
    <w:p>
      <w:pPr>
        <w:ind w:left="640" w:hanging="319"/>
        <w:spacing w:after="0" w:line="271"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Driving margin expansion and improved returns. </w:t>
      </w:r>
      <w:r>
        <w:rPr>
          <w:rFonts w:ascii="Times New Roman" w:cs="Times New Roman" w:eastAsia="Times New Roman" w:hAnsi="Times New Roman"/>
          <w:sz w:val="18"/>
          <w:szCs w:val="18"/>
          <w:color w:val="auto"/>
        </w:rPr>
        <w:t>We are pursuing strategies to continue to grow earnings, while generating significant positive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 and diversifying into “capital light” flow reinsurance and accretive owned distribution to generate higher return on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Dispositions, Minority Owned Operating Subsidiaries and Financings</w:t>
      </w:r>
    </w:p>
    <w:p>
      <w:pPr>
        <w:spacing w:after="0" w:line="10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Acquisitions have been an important part of our growth strategy and dispositions have been an important aspect of our strategy of returning value to shareholders. On an ongoing basis, with assistance from our advisors, we actively evaluate possible transactions, such as acquisitions and dispositions of business units and operating assets and business combination transactions.</w:t>
      </w:r>
    </w:p>
    <w:p>
      <w:pPr>
        <w:spacing w:after="0" w:line="61"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In the future, we may seek to sell certain investments or other assets to increase our liquidity. In the past, we have obtained majority and minority investments in entities and securities where we see the potential to achieve above market returns. Fundamentally, our goal is to acquire quality companies that are run by best in class management teams and that have attractive organic and acquired growth opportunities. We leverage our operational expertise and track record of growing industry-leading companies along with our active interaction with the acquired company's management directly or through our board of directors, to ultimately provide value for our shareholders.</w:t>
      </w:r>
    </w:p>
    <w:p>
      <w:pPr>
        <w:spacing w:after="0" w:line="54"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suitable opportunities will arise or that any particular transaction will be completed. We have made a number of acquisitions and dispositions over the past several years to strengthen and expand our service offerings and customer base in our various businesses, to expand into other businesses or where we otherwise saw value, and to monetize investments in assets and businesses.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00" w:lineRule="exact"/>
        <w:rPr>
          <w:sz w:val="20"/>
          <w:szCs w:val="20"/>
          <w:color w:val="auto"/>
        </w:rPr>
      </w:pPr>
    </w:p>
    <w:p>
      <w:pPr>
        <w:jc w:val="both"/>
        <w:ind w:firstLine="316"/>
        <w:spacing w:after="0" w:line="289" w:lineRule="auto"/>
        <w:rPr>
          <w:sz w:val="20"/>
          <w:szCs w:val="20"/>
          <w:color w:val="auto"/>
        </w:rPr>
      </w:pPr>
      <w:r>
        <w:rPr>
          <w:rFonts w:ascii="Times New Roman" w:cs="Times New Roman" w:eastAsia="Times New Roman" w:hAnsi="Times New Roman"/>
          <w:sz w:val="16"/>
          <w:szCs w:val="16"/>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Research and Development</w:t>
      </w:r>
    </w:p>
    <w:p>
      <w:pPr>
        <w:spacing w:after="0" w:line="113" w:lineRule="exact"/>
        <w:rPr>
          <w:sz w:val="20"/>
          <w:szCs w:val="20"/>
          <w:color w:val="auto"/>
        </w:rPr>
      </w:pPr>
    </w:p>
    <w:p>
      <w:pPr>
        <w:jc w:val="both"/>
        <w:ind w:firstLine="320"/>
        <w:spacing w:after="0" w:line="293" w:lineRule="auto"/>
        <w:rPr>
          <w:sz w:val="20"/>
          <w:szCs w:val="20"/>
          <w:color w:val="auto"/>
        </w:rPr>
      </w:pPr>
      <w:r>
        <w:rPr>
          <w:rFonts w:ascii="Times New Roman" w:cs="Times New Roman" w:eastAsia="Times New Roman" w:hAnsi="Times New Roman"/>
          <w:sz w:val="16"/>
          <w:szCs w:val="16"/>
          <w:color w:val="auto"/>
        </w:rPr>
        <w:t>As a national provider of real estate transaction products and services, we participate in an industry that is subject to significant regulatory requirements, 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escrow services and improve the delivery of our products to our customers. In order to meet new regulatory requirements, we also continue to expand our data collection and reporting abilities.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Reserves</w:t>
      </w:r>
    </w:p>
    <w:p>
      <w:pPr>
        <w:spacing w:after="0" w:line="85" w:lineRule="exact"/>
        <w:rPr>
          <w:sz w:val="20"/>
          <w:szCs w:val="20"/>
          <w:color w:val="auto"/>
        </w:rPr>
      </w:pPr>
    </w:p>
    <w:p>
      <w:pPr>
        <w:jc w:val="both"/>
        <w:ind w:firstLine="320"/>
        <w:spacing w:after="0" w:line="271" w:lineRule="auto"/>
        <w:rPr>
          <w:sz w:val="20"/>
          <w:szCs w:val="20"/>
          <w:color w:val="auto"/>
        </w:rPr>
      </w:pPr>
      <w:r>
        <w:rPr>
          <w:rFonts w:ascii="Times New Roman" w:cs="Times New Roman" w:eastAsia="Times New Roman" w:hAnsi="Times New Roman"/>
          <w:sz w:val="18"/>
          <w:szCs w:val="18"/>
          <w:color w:val="auto"/>
        </w:rPr>
        <w:t xml:space="preserve">For information about our loss reserves, see Item 7 of Part II of this Annual Report, under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Results of Operations </w:t>
      </w:r>
      <w:r>
        <w:rPr>
          <w:rFonts w:ascii="Times New Roman" w:cs="Times New Roman" w:eastAsia="Times New Roman" w:hAnsi="Times New Roman"/>
          <w:sz w:val="18"/>
          <w:szCs w:val="18"/>
          <w:color w:val="auto"/>
        </w:rPr>
        <w:t>— Critical Accounting Estimates.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 Insurance</w:t>
      </w:r>
    </w:p>
    <w:p>
      <w:pPr>
        <w:spacing w:after="0" w:line="98"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Market for title insurance. </w:t>
      </w:r>
      <w:r>
        <w:rPr>
          <w:rFonts w:ascii="Times New Roman" w:cs="Times New Roman" w:eastAsia="Times New Roman" w:hAnsi="Times New Roman"/>
          <w:sz w:val="18"/>
          <w:szCs w:val="18"/>
          <w:color w:val="auto"/>
        </w:rPr>
        <w:t>According to Demotech Performance of Title Insurance Companies 2023 Edition, an annual compilation of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from the title insurance industry that is published by Demotech Inc. ("Demotech"), an independent firm, total operating income for the entire U.S. title insurance industry has increased over the last five years from approximately $15.9 billion in 2018 to $27.6 billion in 2021 and $23.4 billion in 2022. The size of the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w:t>
      </w:r>
    </w:p>
    <w:p>
      <w:pPr>
        <w:spacing w:after="0" w:line="56"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w:t>
      </w:r>
    </w:p>
    <w:p>
      <w:pPr>
        <w:spacing w:after="0" w:line="67"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The U.S. title insurance industry is concentrated among a handful of industry participants. According to Demotech, the top four title insurance groups accounted for 81% of net premiums written in 2022. Approximately 36 independent title insurance companies accounted for the remaining 19% of net premiums written in 2022. Consolidation has created opportunities for increased financial and operating efficiencies for the industry’s largest participants and should continue to drive profitability and market share in the industry.</w:t>
      </w:r>
    </w:p>
    <w:p>
      <w:pPr>
        <w:spacing w:after="0" w:line="65"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 xml:space="preserve">Our Title segment revenue is closely related to the level of real estate activity that includes sales, mortgage financing and mortgage refinancing. For further discussion of current trends in real estate activity in the United States, see discussion under </w:t>
      </w:r>
      <w:r>
        <w:rPr>
          <w:rFonts w:ascii="Times New Roman" w:cs="Times New Roman" w:eastAsia="Times New Roman" w:hAnsi="Times New Roman"/>
          <w:sz w:val="18"/>
          <w:szCs w:val="18"/>
          <w:i w:val="1"/>
          <w:iCs w:val="1"/>
          <w:color w:val="auto"/>
        </w:rPr>
        <w:t>Business Trends and Conditions</w:t>
      </w:r>
      <w:r>
        <w:rPr>
          <w:rFonts w:ascii="Times New Roman" w:cs="Times New Roman" w:eastAsia="Times New Roman" w:hAnsi="Times New Roman"/>
          <w:sz w:val="18"/>
          <w:szCs w:val="18"/>
          <w:color w:val="auto"/>
        </w:rPr>
        <w:t xml:space="preserve"> included in Item 7 of Part II of this Annual Report, which is incorporated by reference into this Item 1 of Part I.</w:t>
      </w: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Title Insurance Policies. </w:t>
      </w:r>
      <w:r>
        <w:rPr>
          <w:rFonts w:ascii="Times New Roman" w:cs="Times New Roman" w:eastAsia="Times New Roman" w:hAnsi="Times New Roman"/>
          <w:sz w:val="18"/>
          <w:szCs w:val="18"/>
          <w:color w:val="auto"/>
        </w:rPr>
        <w:t>Title insurance plays a key role in the U.S. economy by insuring the secure transfer of real estate and facilitating the growth of</w:t>
      </w:r>
    </w:p>
    <w:p>
      <w:pPr>
        <w:spacing w:after="0" w:line="3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homeownership. The products and services we offer have a positive social impact on families and communities overall. For many families, their home is the single largest investment that they will make in their lifetimes. Generally, real estate buyers and mortgage lenders purchase title insurance to insure good and marketable title to real estate and priority of lien. An owner’s title insurance policy, like those we issue in connection with the closing of a real estate transaction, is the best way for property owners to protect themselves from losing their property due to unforeseen or unexpected title claims. Unlike other types of insurance, title insurance protects against past problems instead of future risk, such as the previous owner’s debt, liens, or other claims of ownership that may have been in place prior to the purchase of the property. Under our policies, we defend insureds when covered claims are filed against their interest in the property. A brief generalized description of the process of issuing a title insurance policy is as follows:</w:t>
      </w:r>
    </w:p>
    <w:p>
      <w:pPr>
        <w:spacing w:after="0" w:line="93" w:lineRule="exact"/>
        <w:rPr>
          <w:sz w:val="20"/>
          <w:szCs w:val="20"/>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typically a real estate salesperson or broker, escrow agent, attorney or lender, places an order for a title policy.</w:t>
      </w:r>
    </w:p>
    <w:p>
      <w:pPr>
        <w:spacing w:after="0" w:line="21" w:lineRule="exact"/>
        <w:rPr>
          <w:rFonts w:ascii="Times New Roman" w:cs="Times New Roman" w:eastAsia="Times New Roman" w:hAnsi="Times New Roman"/>
          <w:sz w:val="18"/>
          <w:szCs w:val="18"/>
          <w:color w:val="auto"/>
        </w:rPr>
      </w:pPr>
    </w:p>
    <w:p>
      <w:pPr>
        <w:ind w:left="640" w:hanging="319"/>
        <w:spacing w:after="0" w:line="244"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personnel note the specifics of the title policy order and place a request with the title company or its agents for a preliminary report or commitment.</w:t>
      </w:r>
    </w:p>
    <w:p>
      <w:pPr>
        <w:jc w:val="both"/>
        <w:ind w:left="640" w:hanging="319"/>
        <w:spacing w:after="0" w:line="244"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report is circulated to all the parties for satisfaction of any specific issues.</w:t>
      </w:r>
    </w:p>
    <w:p>
      <w:pPr>
        <w:spacing w:after="0" w:line="3" w:lineRule="exact"/>
        <w:rPr>
          <w:rFonts w:ascii="Times New Roman" w:cs="Times New Roman" w:eastAsia="Times New Roman" w:hAnsi="Times New Roman"/>
          <w:sz w:val="18"/>
          <w:szCs w:val="18"/>
          <w:color w:val="auto"/>
        </w:rPr>
      </w:pPr>
    </w:p>
    <w:p>
      <w:pPr>
        <w:ind w:left="640" w:hanging="319"/>
        <w:spacing w:after="0" w:line="244"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specific issues identified in the preliminary report are satisfied, an escrow agent closes the transaction in accordance with the instructions of the parties and the title company’s conditions.</w:t>
      </w: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the transaction is closed and all monies have been released, the title company issues a title insurance policy.</w:t>
      </w:r>
    </w:p>
    <w:p>
      <w:pPr>
        <w:spacing w:after="0" w:line="91"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In real estate transactions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refinancing transaction, only a lender’s policy is generally purchased because ownership of the property has not changed. In the case of an all-cash real estate purchase, no lender’s policy is issued but typically an owner’s title policy is issued.</w:t>
      </w:r>
    </w:p>
    <w:p>
      <w:pPr>
        <w:spacing w:after="0" w:line="5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w:t>
      </w:r>
    </w:p>
    <w:p>
      <w:pPr>
        <w:spacing w:after="0" w:line="48"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67" w:lineRule="exact"/>
        <w:rPr>
          <w:sz w:val="20"/>
          <w:szCs w:val="20"/>
          <w:color w:val="auto"/>
        </w:rPr>
      </w:pPr>
    </w:p>
    <w:p>
      <w:pPr>
        <w:jc w:val="both"/>
        <w:ind w:firstLine="316"/>
        <w:spacing w:after="0" w:line="282" w:lineRule="auto"/>
        <w:rPr>
          <w:sz w:val="20"/>
          <w:szCs w:val="20"/>
          <w:color w:val="auto"/>
        </w:rPr>
      </w:pPr>
      <w:r>
        <w:rPr>
          <w:rFonts w:ascii="Times New Roman" w:cs="Times New Roman" w:eastAsia="Times New Roman" w:hAnsi="Times New Roman"/>
          <w:sz w:val="16"/>
          <w:szCs w:val="16"/>
          <w:color w:val="auto"/>
        </w:rPr>
        <w:t>Title insurance companies typically issue title insurance policies directly through branch offices or through affiliated title agencies, or indirectly through independent third-party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47" w:lineRule="exact"/>
        <w:rPr>
          <w:sz w:val="20"/>
          <w:szCs w:val="20"/>
          <w:color w:val="auto"/>
        </w:rPr>
      </w:pPr>
    </w:p>
    <w:p>
      <w:pPr>
        <w:jc w:val="both"/>
        <w:ind w:firstLine="347"/>
        <w:spacing w:after="0" w:line="289" w:lineRule="auto"/>
        <w:rPr>
          <w:sz w:val="20"/>
          <w:szCs w:val="20"/>
          <w:color w:val="auto"/>
        </w:rPr>
      </w:pPr>
      <w:r>
        <w:rPr>
          <w:rFonts w:ascii="Times New Roman" w:cs="Times New Roman" w:eastAsia="Times New Roman" w:hAnsi="Times New Roman"/>
          <w:sz w:val="16"/>
          <w:szCs w:val="16"/>
          <w:color w:val="auto"/>
        </w:rPr>
        <w:t>Prior to issuing policies, title insurers and their agents attempt to reduce the risk of future claim losses by accurately performing title searches and examinations. A title insurance company’s predominant expense relates to such searches and examinations, the preparation of preliminary title reports, policies or commitments, facilitation and closing of real estate transactions and the maintenance of title plants. Title plants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missing heirs of the property, closing-related errors, etc.</w:t>
      </w:r>
    </w:p>
    <w:p>
      <w:pPr>
        <w:spacing w:after="0" w:line="24"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65"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Direct and Agency Operations. </w:t>
      </w:r>
      <w:r>
        <w:rPr>
          <w:rFonts w:ascii="Times New Roman" w:cs="Times New Roman" w:eastAsia="Times New Roman" w:hAnsi="Times New Roman"/>
          <w:sz w:val="18"/>
          <w:szCs w:val="18"/>
          <w:color w:val="auto"/>
        </w:rPr>
        <w:t>We provide title insurance services through our direct operations and independent title insurance agents who issue title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 on behalf of our title insurance companies. Our title insurance companies determine the terms and conditions upon which they will insure title to the real property according to our underwriting standards, policies and procedures.</w:t>
      </w:r>
    </w:p>
    <w:p>
      <w:pPr>
        <w:spacing w:after="0" w:line="59"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Direct Operations. </w:t>
      </w:r>
      <w:r>
        <w:rPr>
          <w:rFonts w:ascii="Times New Roman" w:cs="Times New Roman" w:eastAsia="Times New Roman" w:hAnsi="Times New Roman"/>
          <w:sz w:val="18"/>
          <w:szCs w:val="18"/>
          <w:color w:val="auto"/>
        </w:rPr>
        <w:t>Our direct operations include both the operations of our underwriters and those of affiliated agencies. In our direct operations, the title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insurer issues the title insurance policy and retains the entire premium paid in connection with the transaction. Our direct operations provide the following benefits:</w:t>
      </w:r>
    </w:p>
    <w:p>
      <w:pPr>
        <w:spacing w:after="0" w:line="48" w:lineRule="exact"/>
        <w:rPr>
          <w:sz w:val="20"/>
          <w:szCs w:val="20"/>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margins because we retain the entire premium from each transaction instead of paying a commission to an independent agent;</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continuity of service levels to a broad range of customers;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sources of income through escrow and closing services.</w:t>
      </w:r>
    </w:p>
    <w:p>
      <w:pPr>
        <w:spacing w:after="0" w:line="78"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We have approximately 1,300 offices throughout the U.S. primarily providing title insurance. We continuously monitor the number of direct offices to ensure that it remains in line with our strategy and the current economic environment. Our commercial real estate title insurance business is operated primarily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Agency Operations. </w:t>
      </w:r>
      <w:r>
        <w:rPr>
          <w:rFonts w:ascii="Times New Roman" w:cs="Times New Roman" w:eastAsia="Times New Roman" w:hAnsi="Times New Roman"/>
          <w:sz w:val="18"/>
          <w:szCs w:val="18"/>
          <w:color w:val="auto"/>
        </w:rPr>
        <w:t>In our agency operations, the search and examination function is performed by an independent agent or the agent may purchase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search product from 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2023, we transacted business with approximately 5,200 agents.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Fees and Premiums. </w:t>
      </w:r>
      <w:r>
        <w:rPr>
          <w:rFonts w:ascii="Times New Roman" w:cs="Times New Roman" w:eastAsia="Times New Roman" w:hAnsi="Times New Roman"/>
          <w:sz w:val="18"/>
          <w:szCs w:val="18"/>
          <w:color w:val="auto"/>
        </w:rPr>
        <w:t>One method of analyzing our business is to examine the level of premiums generated by direct and agency operations.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percentages of our title insurance premiums generated by direct and agency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r>
      <w:tr>
        <w:trPr>
          <w:trHeight w:val="184"/>
        </w:trPr>
        <w:tc>
          <w:tcPr>
            <w:tcW w:w="4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1"/>
        </w:trPr>
        <w:tc>
          <w:tcPr>
            <w:tcW w:w="4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41.8 %</w:t>
            </w:r>
          </w:p>
        </w:tc>
      </w:tr>
      <w:tr>
        <w:trPr>
          <w:trHeight w:val="19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4,982</w:t>
            </w:r>
          </w:p>
        </w:tc>
        <w:tc>
          <w:tcPr>
            <w:tcW w:w="13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58.2</w:t>
            </w:r>
          </w:p>
        </w:tc>
      </w:tr>
      <w:tr>
        <w:trPr>
          <w:trHeight w:val="222"/>
        </w:trPr>
        <w:tc>
          <w:tcPr>
            <w:tcW w:w="43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title insurance premiums</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The premium for title insurance is due in full when the real estate transaction is closed. We recognize title insurance premium revenues from direct operations upon the closing of the transaction.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34"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Escrow, Title-Related and Other Fees. </w:t>
      </w:r>
      <w:r>
        <w:rPr>
          <w:rFonts w:ascii="Times New Roman" w:cs="Times New Roman" w:eastAsia="Times New Roman" w:hAnsi="Times New Roman"/>
          <w:sz w:val="18"/>
          <w:szCs w:val="18"/>
          <w:color w:val="auto"/>
        </w:rPr>
        <w:t>In addition to fees for underwriting title insurance policies, we derive a significant amount of our revenues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escrow and other title-related services including closing and trust activities, trustee sales guarantees, recordings and reconveyances, and home warranty products. The escrow and other services provided by us include all of those typically required in connection with residential and commercial real estate purchases and refinance activities. Escrow, title-related and other fees included in our Title segment represented approximately 30.1%, 27.5%, and 28.1% of total Title segment revenues in 2023, 2022, and 2021, respectively.</w:t>
      </w:r>
    </w:p>
    <w:p>
      <w:pPr>
        <w:spacing w:after="0" w:line="67"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We market and distribute our title and escrow products and services to customers in the residential and commercial market sectors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57"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Claims. </w:t>
      </w:r>
      <w:r>
        <w:rPr>
          <w:rFonts w:ascii="Times New Roman" w:cs="Times New Roman" w:eastAsia="Times New Roman" w:hAnsi="Times New Roman"/>
          <w:sz w:val="18"/>
          <w:szCs w:val="18"/>
          <w:color w:val="auto"/>
        </w:rPr>
        <w:t>An important part of our business is responsible claims management. We employ a large staff of attorneys in our claims department to handle title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escrow claims. Our claims processing centers are located in Omaha, Nebraska and Jacksonville, Florida. In-house claims counsel are also located in other parts of the country.</w:t>
      </w:r>
    </w:p>
    <w:p>
      <w:pPr>
        <w:spacing w:after="0" w:line="61"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 mistakes in the escrow process. Under our policies, we are required to defend insureds when covered claims are filed against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five years after the policy has been issued, although claims may also be reported and paid many years later.</w:t>
      </w:r>
    </w:p>
    <w:p>
      <w:pPr>
        <w:spacing w:after="0" w:line="61" w:lineRule="exact"/>
        <w:rPr>
          <w:sz w:val="20"/>
          <w:szCs w:val="20"/>
          <w:color w:val="auto"/>
        </w:rPr>
      </w:pPr>
    </w:p>
    <w:p>
      <w:pPr>
        <w:jc w:val="both"/>
        <w:ind w:firstLine="316"/>
        <w:spacing w:after="0" w:line="303" w:lineRule="auto"/>
        <w:rPr>
          <w:sz w:val="20"/>
          <w:szCs w:val="20"/>
          <w:color w:val="auto"/>
        </w:rPr>
      </w:pPr>
      <w:r>
        <w:rPr>
          <w:rFonts w:ascii="Times New Roman" w:cs="Times New Roman" w:eastAsia="Times New Roman" w:hAnsi="Times New Roman"/>
          <w:sz w:val="16"/>
          <w:szCs w:val="16"/>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14" w:lineRule="exact"/>
        <w:rPr>
          <w:sz w:val="20"/>
          <w:szCs w:val="20"/>
          <w:color w:val="auto"/>
        </w:rPr>
      </w:pPr>
    </w:p>
    <w:p>
      <w:pPr>
        <w:jc w:val="both"/>
        <w:ind w:firstLine="316"/>
        <w:spacing w:after="0" w:line="286" w:lineRule="auto"/>
        <w:rPr>
          <w:sz w:val="20"/>
          <w:szCs w:val="20"/>
          <w:color w:val="auto"/>
        </w:rPr>
      </w:pPr>
      <w:r>
        <w:rPr>
          <w:rFonts w:ascii="Times New Roman" w:cs="Times New Roman" w:eastAsia="Times New Roman" w:hAnsi="Times New Roman"/>
          <w:sz w:val="16"/>
          <w:szCs w:val="16"/>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 to 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38"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Reinsurance and Coinsurance. </w:t>
      </w:r>
      <w:r>
        <w:rPr>
          <w:rFonts w:ascii="Times New Roman" w:cs="Times New Roman" w:eastAsia="Times New Roman" w:hAnsi="Times New Roman"/>
          <w:sz w:val="18"/>
          <w:szCs w:val="18"/>
          <w:color w:val="auto"/>
        </w:rPr>
        <w:t>Within our Title segment, we limit our maximum loss exposure by reinsuring risks with other insurers under excess of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exceeds state statutory or self-imposed limits. Excess of loss reinsurance coverage protects us from a large loss from a single loss occurrence. Our excess of loss reinsurance coverage is split into four contracts. The first excess of loss reinsurance contract provides an $75 million limit of coverage from a single loss occurrence for losses in excess of a $25 million retention per single loss occurrence. The second excess of loss reinsurance contract ("Second XOL Contract") provides an additional $300 million limit of coverage from a single loss occurrence, with the Company co-participating at approximately 10%. The third excess of loss reinsurance contract ("Third XOL Contract") provides an additional $80 million limit of coverage from a single loss occurrence, with the Company co-participating at approximately 10.00%. The fourth excess of loss reinsurance contract ("Fourth XOL Contract") provides an additional $220 million limit of coverage from a single loss occurrence, with the Company co-participating at approximately 10%. Subject to the Company’s retention and co-participation on the Second, Third and Fourth XOL Contracts, the maximum coverage from a single loss occurrence provided under our excess of loss reinsurance coverage is $610 million. Each XOL Contract provides for one reinstatement of its respective limit, so the aggregate limit of coverage is $1.2 billion.</w:t>
      </w:r>
    </w:p>
    <w:p>
      <w:pPr>
        <w:spacing w:after="0" w:line="71"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8"/>
          <w:szCs w:val="18"/>
          <w:color w:val="auto"/>
        </w:rPr>
        <w:t>In addition to reinsurance, we carry errors and omissions insurance and fidelity bond coverage, each of which can provide protection to us in the event of certain types of losses that can occur in our businesses.</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Our policy is to be selective in choosing our reinsurers, seeking only those companies that we consider to be financially stable and adequately capitalized.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 effort to minimize exposure to the insolvency of a reinsurer, we periodically review the financial condition of our reinsurers.</w:t>
      </w:r>
    </w:p>
    <w:p>
      <w:pPr>
        <w:spacing w:after="0" w:line="78"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6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We also earn a small amount of additional income, which is reflected in our direct premiums, by assuming reinsurance for certain risks of other title insurers.</w:t>
      </w:r>
    </w:p>
    <w:p>
      <w:pPr>
        <w:spacing w:after="0" w:line="36"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Competition in the title insurance industry is based primarily on service and price. The number and size of competing companies varies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geographic areas in which we conduct our business. In our principal markets, competitors include other major title underwriters such as First American Financial Corporation, Old Republic International Corporation, Stewart Information Services Corporation, Westcor Land Title Insurance Company, Title Resources Guaranty Company, and WFG National Title Insurance Company, as well as numerous regional title insurance companies, underwritten title companies and independent agency operations at the regional and local level.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regional companies and any new entrants with alternative products could affect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33"/>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Regulation. </w:t>
      </w:r>
      <w:r>
        <w:rPr>
          <w:rFonts w:ascii="Times New Roman" w:cs="Times New Roman" w:eastAsia="Times New Roman" w:hAnsi="Times New Roman"/>
          <w:sz w:val="18"/>
          <w:szCs w:val="18"/>
          <w:color w:val="auto"/>
        </w:rPr>
        <w:t>Our insurance subsidiaries, including title insurers, underwritten title companies and insurance agencies, are subject to extensive regulation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and accounting and financial practices; establishing reserves and capital and surplus in regards to policyholder requirements defining suitable investments for reserves and capital and surplus; approving rate schedules; etc. The state regulation process for rate changes ranges from states that set rates, to states where individual companies or associations of companies prepare rate filings that are submitted for approval, to a few states in which rate changes do not need to be filed for approval.</w:t>
      </w:r>
    </w:p>
    <w:p>
      <w:pPr>
        <w:spacing w:after="0" w:line="74"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48" w:lineRule="exact"/>
        <w:rPr>
          <w:sz w:val="20"/>
          <w:szCs w:val="20"/>
          <w:color w:val="auto"/>
        </w:rPr>
      </w:pPr>
    </w:p>
    <w:p>
      <w:pPr>
        <w:jc w:val="both"/>
        <w:ind w:firstLine="347"/>
        <w:spacing w:after="0" w:line="248" w:lineRule="auto"/>
        <w:rPr>
          <w:sz w:val="20"/>
          <w:szCs w:val="20"/>
          <w:color w:val="auto"/>
        </w:rPr>
      </w:pPr>
      <w:r>
        <w:rPr>
          <w:rFonts w:ascii="Times New Roman" w:cs="Times New Roman" w:eastAsia="Times New Roman" w:hAnsi="Times New Roman"/>
          <w:sz w:val="18"/>
          <w:szCs w:val="18"/>
          <w:color w:val="auto"/>
        </w:rPr>
        <w:t>Pursuant to statutory accounting requirements of the various states in which our title insurers are domiciled, these insurers must defer a portion of 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2023, the combined statutory unearned premium reserve required and reported for our title insurers was $1,659 million. In addition to statutory unearned premium reserves and reserves for known claims, each of our insurers maintains surplus funds for policyholder protection and business operations.</w:t>
      </w:r>
    </w:p>
    <w:p>
      <w:pPr>
        <w:spacing w:after="0" w:line="69"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6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48"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In addition to state-level regulation, our title insurance and certain other real estate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The CFPB has broad authority to regulate, among other areas, the mortgage and real estate markets in matters pertaining to consumers. This authority includes the enforcement of the Truth-in-Lending Act and the Real Estate Settlement Procedures Act formerly placed with the Department of Housing and Urban Development.</w:t>
      </w:r>
    </w:p>
    <w:p>
      <w:pPr>
        <w:spacing w:after="0" w:line="67" w:lineRule="exact"/>
        <w:rPr>
          <w:sz w:val="20"/>
          <w:szCs w:val="20"/>
          <w:color w:val="auto"/>
        </w:rPr>
      </w:pPr>
    </w:p>
    <w:p>
      <w:pPr>
        <w:jc w:val="both"/>
        <w:ind w:firstLine="333"/>
        <w:spacing w:after="0" w:line="248" w:lineRule="auto"/>
        <w:rPr>
          <w:sz w:val="20"/>
          <w:szCs w:val="20"/>
          <w:color w:val="auto"/>
        </w:rPr>
      </w:pPr>
      <w:r>
        <w:rPr>
          <w:rFonts w:ascii="Times New Roman" w:cs="Times New Roman" w:eastAsia="Times New Roman" w:hAnsi="Times New Roman"/>
          <w:sz w:val="18"/>
          <w:szCs w:val="18"/>
          <w:color w:val="auto"/>
        </w:rPr>
        <w:t>As a holding company with no significant business operations of our own, we depend on dividends or other distributions from our subsidiaries as the principal source of cash to meet our obligations, including the payment of interest on and repayment of principal of any debt obligations and to pay any dividends to our shareholders.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69" w:lineRule="exact"/>
        <w:rPr>
          <w:sz w:val="20"/>
          <w:szCs w:val="20"/>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insurer’s statutory surplus as of the immediately prior year end; or</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net income of the insurer during the prior calendar year.</w:t>
      </w:r>
    </w:p>
    <w:p>
      <w:pPr>
        <w:spacing w:after="0" w:line="65"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The laws and regulations of some jurisdictions also prohibit an insurer from declaring or paying a dividend except out of its earned surplus or require the insurer to obtain prior regulatory approval. During 2024, our directly owned title insurers can pay dividends or make distributions to us of approximately $471 million; however, insurance regulators have the authority to prohibit the payment of ordinary dividends or other payments by our title insurers to us (such as a payment under a tax sharing agreement or for other services) if they determine that such payment could be adverse to our policyholders. There are no restrictions on our retained earnings regarding our ability to pay dividends to shareholders.</w:t>
      </w:r>
    </w:p>
    <w:p>
      <w:pPr>
        <w:spacing w:after="0" w:line="67"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 combined statutory capital and surplus of our title insurers was approximately $1,225 million and $1,350 million as of December 31, 2023, and 2022, respectively. The combined statutory earnings of our title insurers were $503 million, $778 million, and $936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51" w:lineRule="exact"/>
        <w:rPr>
          <w:sz w:val="20"/>
          <w:szCs w:val="20"/>
          <w:color w:val="auto"/>
        </w:rPr>
      </w:pPr>
    </w:p>
    <w:p>
      <w:pPr>
        <w:jc w:val="both"/>
        <w:ind w:firstLine="320"/>
        <w:spacing w:after="0" w:line="256" w:lineRule="auto"/>
        <w:rPr>
          <w:sz w:val="20"/>
          <w:szCs w:val="20"/>
          <w:color w:val="auto"/>
        </w:rPr>
      </w:pPr>
      <w:r>
        <w:rPr>
          <w:rFonts w:ascii="Times New Roman" w:cs="Times New Roman" w:eastAsia="Times New Roman" w:hAnsi="Times New Roman"/>
          <w:sz w:val="18"/>
          <w:szCs w:val="18"/>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title insurers has complied with the minimum statutory requirements as of December 31, 2023.</w:t>
      </w:r>
    </w:p>
    <w:p>
      <w:pPr>
        <w:spacing w:after="0" w:line="48" w:lineRule="exact"/>
        <w:rPr>
          <w:sz w:val="20"/>
          <w:szCs w:val="20"/>
          <w:color w:val="auto"/>
        </w:rPr>
      </w:pPr>
    </w:p>
    <w:p>
      <w:pPr>
        <w:jc w:val="both"/>
        <w:ind w:firstLine="347"/>
        <w:spacing w:after="0" w:line="256" w:lineRule="auto"/>
        <w:rPr>
          <w:sz w:val="20"/>
          <w:szCs w:val="20"/>
          <w:color w:val="auto"/>
        </w:rPr>
      </w:pPr>
      <w:r>
        <w:rPr>
          <w:rFonts w:ascii="Times New Roman" w:cs="Times New Roman" w:eastAsia="Times New Roman" w:hAnsi="Times New Roman"/>
          <w:sz w:val="18"/>
          <w:szCs w:val="18"/>
          <w:color w:val="auto"/>
        </w:rPr>
        <w:t>Our underwritten title companies, primarily those domiciled in California, are also subject to certain regulation by insurance regulatory or banking 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2023.</w:t>
      </w:r>
    </w:p>
    <w:p>
      <w:pPr>
        <w:spacing w:after="0" w:line="61" w:lineRule="exact"/>
        <w:rPr>
          <w:sz w:val="20"/>
          <w:szCs w:val="20"/>
          <w:color w:val="auto"/>
        </w:rPr>
      </w:pPr>
    </w:p>
    <w:p>
      <w:pPr>
        <w:jc w:val="both"/>
        <w:ind w:firstLine="333"/>
        <w:spacing w:after="0" w:line="249"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that may require us to pay fines or claims or take other actions. For further discussion, see Item 3, Legal Proceedings.</w:t>
      </w:r>
    </w:p>
    <w:p>
      <w:pPr>
        <w:spacing w:after="0" w:line="67"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59" w:lineRule="exact"/>
        <w:rPr>
          <w:sz w:val="20"/>
          <w:szCs w:val="20"/>
          <w:color w:val="auto"/>
        </w:rPr>
      </w:pPr>
    </w:p>
    <w:p>
      <w:pPr>
        <w:jc w:val="both"/>
        <w:ind w:firstLine="333"/>
        <w:spacing w:after="0" w:line="256" w:lineRule="auto"/>
        <w:rPr>
          <w:sz w:val="20"/>
          <w:szCs w:val="20"/>
          <w:color w:val="auto"/>
        </w:rPr>
      </w:pPr>
      <w:r>
        <w:rPr>
          <w:rFonts w:ascii="Times New Roman" w:cs="Times New Roman" w:eastAsia="Times New Roman" w:hAnsi="Times New Roman"/>
          <w:sz w:val="18"/>
          <w:szCs w:val="18"/>
          <w:color w:val="auto"/>
        </w:rPr>
        <w:t>The National Association of Insurance Commissioners ("NAIC") has adopted an instruction requiring an annual certification of reserve adequacy by a 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59"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Title Insurance Ratings. </w:t>
      </w:r>
      <w:r>
        <w:rPr>
          <w:rFonts w:ascii="Times New Roman" w:cs="Times New Roman" w:eastAsia="Times New Roman" w:hAnsi="Times New Roman"/>
          <w:sz w:val="18"/>
          <w:szCs w:val="18"/>
          <w:color w:val="auto"/>
        </w:rPr>
        <w:t>Our title insurance underwriters are regularly assigned ratings by independent agencies designed to indicate their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and/or claims paying ability. The rating agencies determine ratings by quantitatively and qualitatively analyzing financial data and other information. Our title subsidiaries include Alamo Title, Chicago Title, Commonwealth Land Title, FNTIC and National Title of New York. Standard &amp; Poor’s Ratings Group (“S&amp;P”) and Moody’s Investors Service (“Moody’s”) provide ratings for the entire FNF family of companies as a whole as follows:</w:t>
      </w:r>
    </w:p>
    <w:p>
      <w:pPr>
        <w:spacing w:after="0" w:line="97" w:lineRule="exact"/>
        <w:rPr>
          <w:sz w:val="20"/>
          <w:szCs w:val="20"/>
          <w:color w:val="auto"/>
        </w:rPr>
      </w:pPr>
    </w:p>
    <w:p>
      <w:pPr>
        <w:ind w:left="9300"/>
        <w:spacing w:after="0"/>
        <w:tabs>
          <w:tab w:leader="none" w:pos="10380" w:val="left"/>
        </w:tabs>
        <w:rPr>
          <w:sz w:val="20"/>
          <w:szCs w:val="20"/>
          <w:color w:val="auto"/>
        </w:rPr>
      </w:pPr>
      <w:r>
        <w:rPr>
          <w:rFonts w:ascii="Times New Roman" w:cs="Times New Roman" w:eastAsia="Times New Roman" w:hAnsi="Times New Roman"/>
          <w:sz w:val="14"/>
          <w:szCs w:val="14"/>
          <w:b w:val="1"/>
          <w:bCs w:val="1"/>
          <w:color w:val="auto"/>
        </w:rPr>
        <w:t>S&amp;P</w:t>
      </w:r>
      <w:r>
        <w:rPr>
          <w:sz w:val="20"/>
          <w:szCs w:val="20"/>
          <w:color w:val="auto"/>
        </w:rPr>
        <w:tab/>
      </w:r>
      <w:r>
        <w:rPr>
          <w:rFonts w:ascii="Times New Roman" w:cs="Times New Roman" w:eastAsia="Times New Roman" w:hAnsi="Times New Roman"/>
          <w:sz w:val="14"/>
          <w:szCs w:val="14"/>
          <w:b w:val="1"/>
          <w:bCs w:val="1"/>
          <w:color w:val="auto"/>
        </w:rPr>
        <w:t>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5676900</wp:posOffset>
            </wp:positionH>
            <wp:positionV relativeFrom="paragraph">
              <wp:posOffset>30480</wp:posOffset>
            </wp:positionV>
            <wp:extent cx="14039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3985" cy="8255"/>
                    </a:xfrm>
                    <a:prstGeom prst="rect">
                      <a:avLst/>
                    </a:prstGeom>
                    <a:noFill/>
                  </pic:spPr>
                </pic:pic>
              </a:graphicData>
            </a:graphic>
          </wp:anchor>
        </w:drawing>
      </w:r>
    </w:p>
    <w:p>
      <w:pPr>
        <w:spacing w:after="0" w:line="36" w:lineRule="exact"/>
        <w:rPr>
          <w:sz w:val="20"/>
          <w:szCs w:val="20"/>
          <w:color w:val="auto"/>
        </w:rPr>
      </w:pPr>
    </w:p>
    <w:p>
      <w:pPr>
        <w:ind w:left="300"/>
        <w:spacing w:after="0"/>
        <w:tabs>
          <w:tab w:leader="none" w:pos="9360" w:val="left"/>
          <w:tab w:leader="none" w:pos="10540" w:val="left"/>
        </w:tabs>
        <w:rPr>
          <w:sz w:val="20"/>
          <w:szCs w:val="20"/>
          <w:color w:val="auto"/>
        </w:rPr>
      </w:pPr>
      <w:r>
        <w:rPr>
          <w:rFonts w:ascii="Times New Roman" w:cs="Times New Roman" w:eastAsia="Times New Roman" w:hAnsi="Times New Roman"/>
          <w:sz w:val="18"/>
          <w:szCs w:val="18"/>
          <w:color w:val="auto"/>
        </w:rPr>
        <w:t>FNF family of companies</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color w:val="auto"/>
        </w:rPr>
        <w:t>A2</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relative position of each of our ratings among the ratings scale assigned by each rating agency is as follows:</w:t>
      </w:r>
    </w:p>
    <w:p>
      <w:pPr>
        <w:spacing w:after="0" w:line="96" w:lineRule="exact"/>
        <w:rPr>
          <w:sz w:val="20"/>
          <w:szCs w:val="20"/>
          <w:color w:val="auto"/>
        </w:rPr>
      </w:pPr>
    </w:p>
    <w:p>
      <w:pPr>
        <w:jc w:val="both"/>
        <w:ind w:left="640" w:hanging="319"/>
        <w:spacing w:after="0" w:line="250"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S&amp;P "A" rating is the third highest rating of eleven ratings for S&amp;P. According to S&amp;P, an insurer rated “A” has strong capacity to meet its financial commitments, but is somewhat more susceptible to adverse effects of changes in circumstances and economic conditions than insurers with "AAA" or "AA" ratings.</w:t>
      </w:r>
    </w:p>
    <w:p>
      <w:pPr>
        <w:spacing w:after="0" w:line="2" w:lineRule="exact"/>
        <w:rPr>
          <w:rFonts w:ascii="Times New Roman" w:cs="Times New Roman" w:eastAsia="Times New Roman" w:hAnsi="Times New Roman"/>
          <w:sz w:val="18"/>
          <w:szCs w:val="18"/>
          <w:color w:val="auto"/>
        </w:rPr>
      </w:pPr>
    </w:p>
    <w:p>
      <w:pPr>
        <w:ind w:left="640" w:hanging="319"/>
        <w:spacing w:after="0" w:line="248"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Moody's "A2" rating is the third highest rating of nine ratings for Moody's. Moody's states that companies rated “A2” are judged to be upper-medium grade and are subject to low credit risk.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Demotech provides financial strength/stability ratings for each of our title insurance underwriters individually, as follows:</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Alamo Title Insurance</w:t>
            </w:r>
          </w:p>
        </w:tc>
        <w:tc>
          <w:tcPr>
            <w:tcW w:w="418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4"/>
                <w:szCs w:val="14"/>
                <w:color w:val="auto"/>
              </w:rPr>
              <w:t>A'</w:t>
            </w:r>
          </w:p>
        </w:tc>
      </w:tr>
      <w:tr>
        <w:trPr>
          <w:trHeight w:val="190"/>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Chicago Title Insurance Company</w:t>
            </w:r>
          </w:p>
        </w:tc>
        <w:tc>
          <w:tcPr>
            <w:tcW w:w="4180" w:type="dxa"/>
            <w:vAlign w:val="bottom"/>
          </w:tcPr>
          <w:p>
            <w:pPr>
              <w:ind w:left="3580"/>
              <w:spacing w:after="0"/>
              <w:rPr>
                <w:sz w:val="20"/>
                <w:szCs w:val="20"/>
                <w:color w:val="auto"/>
              </w:rPr>
            </w:pPr>
            <w:r>
              <w:rPr>
                <w:rFonts w:ascii="Times New Roman" w:cs="Times New Roman" w:eastAsia="Times New Roman" w:hAnsi="Times New Roman"/>
                <w:sz w:val="14"/>
                <w:szCs w:val="14"/>
                <w:color w:val="auto"/>
              </w:rPr>
              <w:t>A''</w:t>
            </w:r>
          </w:p>
        </w:tc>
      </w:tr>
      <w:tr>
        <w:trPr>
          <w:trHeight w:val="20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Commonwealth Land Title Insurance Company</w:t>
            </w:r>
          </w:p>
        </w:tc>
        <w:tc>
          <w:tcPr>
            <w:tcW w:w="418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4"/>
                <w:szCs w:val="14"/>
                <w:color w:val="auto"/>
              </w:rPr>
              <w:t>A'</w:t>
            </w:r>
          </w:p>
        </w:tc>
      </w:tr>
      <w:tr>
        <w:trPr>
          <w:trHeight w:val="190"/>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Fidelity National Title Insurance Company</w:t>
            </w:r>
          </w:p>
        </w:tc>
        <w:tc>
          <w:tcPr>
            <w:tcW w:w="4180" w:type="dxa"/>
            <w:vAlign w:val="bottom"/>
          </w:tcPr>
          <w:p>
            <w:pPr>
              <w:ind w:left="3580"/>
              <w:spacing w:after="0"/>
              <w:rPr>
                <w:sz w:val="20"/>
                <w:szCs w:val="20"/>
                <w:color w:val="auto"/>
              </w:rPr>
            </w:pPr>
            <w:r>
              <w:rPr>
                <w:rFonts w:ascii="Times New Roman" w:cs="Times New Roman" w:eastAsia="Times New Roman" w:hAnsi="Times New Roman"/>
                <w:sz w:val="14"/>
                <w:szCs w:val="14"/>
                <w:color w:val="auto"/>
              </w:rPr>
              <w:t>A'</w:t>
            </w:r>
          </w:p>
        </w:tc>
      </w:tr>
      <w:tr>
        <w:trPr>
          <w:trHeight w:val="20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National Title Insurance of New York</w:t>
            </w:r>
          </w:p>
        </w:tc>
        <w:tc>
          <w:tcPr>
            <w:tcW w:w="418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4"/>
                <w:szCs w:val="14"/>
                <w:color w:val="auto"/>
              </w:rPr>
              <w: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33"/>
        <w:spacing w:after="0" w:line="256" w:lineRule="auto"/>
        <w:rPr>
          <w:sz w:val="20"/>
          <w:szCs w:val="20"/>
          <w:color w:val="auto"/>
        </w:rPr>
      </w:pPr>
      <w:r>
        <w:rPr>
          <w:rFonts w:ascii="Times New Roman" w:cs="Times New Roman" w:eastAsia="Times New Roman" w:hAnsi="Times New Roman"/>
          <w:sz w:val="18"/>
          <w:szCs w:val="18"/>
          <w:color w:val="auto"/>
        </w:rPr>
        <w:t>Demotech states that its ratings of A" and A' reflect its opinion that the insurer possesses unsurpassed ability to maintain liquidity of invested assets, quality reinsurance, acceptable financial leverage and realistic pricing while simultaneously establishing loss and loss adjustment expense reserves at reasonable levels. The A'' and A' ratings are the two highest ratings of Demotech's six ratings.</w:t>
      </w:r>
    </w:p>
    <w:p>
      <w:pPr>
        <w:spacing w:after="0" w:line="61"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 xml:space="preserve">The ratings of S&amp;P, Moody’s, and Demotech described above are not designed to be, and do not serve as, measures of protection or valuation offered to investors. These financial strength ratings should not be relied on with respect to making an investment in our securities. For further information, 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"If the rating agencies downgrade our insurance companies, our results of operations and competitive position in the title insurance industry may suffer.”</w:t>
      </w:r>
    </w:p>
    <w:p>
      <w:pPr>
        <w:spacing w:after="0" w:line="50" w:lineRule="exact"/>
        <w:rPr>
          <w:sz w:val="20"/>
          <w:szCs w:val="20"/>
          <w:color w:val="auto"/>
        </w:rPr>
      </w:pPr>
    </w:p>
    <w:p>
      <w:pPr>
        <w:jc w:val="both"/>
        <w:ind w:firstLine="333"/>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Investment Policies and Investment Portfolio. </w:t>
      </w:r>
      <w:r>
        <w:rPr>
          <w:rFonts w:ascii="Times New Roman" w:cs="Times New Roman" w:eastAsia="Times New Roman" w:hAnsi="Times New Roman"/>
          <w:sz w:val="18"/>
          <w:szCs w:val="18"/>
          <w:color w:val="auto"/>
        </w:rPr>
        <w:t>Within our Title segment, our investment policy is designed to maximize total return through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and capital appreciation consistent with moderate risk of principal, while providing adequate liquidity. Our insurance subsidiaries, including title insurers, underwritten title companies and insurance agencies, are subject to extensive regulation under applicable state laws. The various states in which we operate our underwriters regulate the types of assets that qualify for purposes of capital, surplus, and statutory unearned premium reserves. Our investment policy specifically limits duration and non-investment grade allocations in the FNF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74"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As of December 31, 2023, and 2022, the carrying amount of total investments within our Title segment, which approximates the fair value, excluding investments in unconsolidated affiliates, was approximately $3.0 billion and $3.2 billion, respectively.</w:t>
      </w:r>
    </w:p>
    <w:p>
      <w:pPr>
        <w:spacing w:after="0" w:line="51"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8"/>
          <w:szCs w:val="18"/>
          <w:color w:val="auto"/>
        </w:rPr>
        <w:t>We purchase investment grade fixed maturity securities, selected non-investment grade fixed maturity securities, preferred stock and equity securities. The securities in our portfolio are subject to economic conditions and normal market risks and uncertainties.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the investment ratings of our fixed maturity securities and preferred stock portfolio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
        </w:trPr>
        <w:tc>
          <w:tcPr>
            <w:tcW w:w="2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2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4"/>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Rating (1)</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Aaa/AAA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23.1 %</w:t>
            </w:r>
          </w:p>
        </w:tc>
      </w:tr>
      <w:tr>
        <w:trPr>
          <w:trHeight w:val="19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Aa/AA</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6.1</w:t>
            </w:r>
          </w:p>
        </w:tc>
      </w:tr>
      <w:tr>
        <w:trPr>
          <w:trHeight w:val="20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26.5</w:t>
            </w:r>
          </w:p>
        </w:tc>
      </w:tr>
      <w:tr>
        <w:trPr>
          <w:trHeight w:val="19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Baa/BBB</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tcPr>
          <w:p>
            <w:pPr>
              <w:spacing w:after="0"/>
              <w:rPr>
                <w:sz w:val="16"/>
                <w:szCs w:val="16"/>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2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2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34.4</w:t>
            </w:r>
          </w:p>
        </w:tc>
      </w:tr>
      <w:tr>
        <w:trPr>
          <w:trHeight w:val="20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Lower</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6.9</w:t>
            </w:r>
          </w:p>
        </w:tc>
      </w:tr>
      <w:tr>
        <w:trPr>
          <w:trHeight w:val="191"/>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3.0</w:t>
            </w:r>
          </w:p>
        </w:tc>
      </w:tr>
      <w:tr>
        <w:trPr>
          <w:trHeight w:val="216"/>
        </w:trPr>
        <w:tc>
          <w:tcPr>
            <w:tcW w:w="2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Ratings as assigned by Moody’s or S&amp;P, if a Moody's rating is unavailable.</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is composed of unrated securities.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contractual maturities of our fixed maturity securities at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1020" w:type="dxa"/>
            <w:vAlign w:val="bottom"/>
          </w:tcPr>
          <w:p>
            <w:pPr>
              <w:spacing w:after="0"/>
              <w:rPr>
                <w:sz w:val="16"/>
                <w:szCs w:val="16"/>
                <w:color w:val="auto"/>
              </w:rPr>
            </w:pPr>
          </w:p>
        </w:tc>
      </w:tr>
      <w:tr>
        <w:trPr>
          <w:trHeight w:val="24"/>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8"/>
        </w:trPr>
        <w:tc>
          <w:tcPr>
            <w:tcW w:w="6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6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20" w:type="dxa"/>
            <w:vAlign w:val="bottom"/>
          </w:tcPr>
          <w:p>
            <w:pPr>
              <w:spacing w:after="0"/>
              <w:rPr>
                <w:sz w:val="16"/>
                <w:szCs w:val="16"/>
                <w:color w:val="auto"/>
              </w:rPr>
            </w:pPr>
          </w:p>
        </w:tc>
      </w:tr>
      <w:tr>
        <w:trPr>
          <w:trHeight w:val="20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 one year through five years</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55.6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55.3</w:t>
            </w:r>
          </w:p>
        </w:tc>
      </w:tr>
      <w:tr>
        <w:trPr>
          <w:trHeight w:val="20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After five years through ten years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18.8</w:t>
            </w:r>
          </w:p>
        </w:tc>
      </w:t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 ten years</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6.0</w:t>
            </w:r>
          </w:p>
        </w:tc>
      </w:tr>
      <w:tr>
        <w:trPr>
          <w:trHeight w:val="19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Mortgage-backed/asset-backed securities</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w:t>
            </w:r>
          </w:p>
        </w:tc>
      </w:tr>
      <w:tr>
        <w:trPr>
          <w:trHeight w:val="191"/>
        </w:trPr>
        <w:tc>
          <w:tcPr>
            <w:tcW w:w="67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6"/>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0" w:lineRule="exact"/>
        <w:rPr>
          <w:sz w:val="20"/>
          <w:szCs w:val="20"/>
          <w:color w:val="auto"/>
        </w:rPr>
      </w:pPr>
    </w:p>
    <w:p>
      <w:pPr>
        <w:jc w:val="both"/>
        <w:ind w:firstLine="320"/>
        <w:spacing w:after="0" w:line="256"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4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As of December 31, 2023, and 2022, we held $263 million and $187 million, respectively, in investments that are accounted for using the equity method of accounting.</w:t>
      </w:r>
    </w:p>
    <w:p>
      <w:pPr>
        <w:spacing w:after="0" w:line="51"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8"/>
          <w:szCs w:val="18"/>
          <w:color w:val="auto"/>
        </w:rPr>
        <w:t>As of December 31, 2023, and 2022, other long-term investments were $95 million and $127 million, respectively. Other long-term investments include other investments carried at fair value and company-owned life insurance policies carried at cash surrender value.</w:t>
      </w:r>
    </w:p>
    <w:p>
      <w:pPr>
        <w:spacing w:after="0" w:line="51" w:lineRule="exact"/>
        <w:rPr>
          <w:sz w:val="20"/>
          <w:szCs w:val="20"/>
          <w:color w:val="auto"/>
        </w:rPr>
      </w:pPr>
    </w:p>
    <w:p>
      <w:pPr>
        <w:jc w:val="both"/>
        <w:ind w:firstLine="320"/>
        <w:spacing w:after="0" w:line="256" w:lineRule="auto"/>
        <w:rPr>
          <w:sz w:val="20"/>
          <w:szCs w:val="20"/>
          <w:color w:val="auto"/>
        </w:rPr>
      </w:pPr>
      <w:r>
        <w:rPr>
          <w:rFonts w:ascii="Times New Roman" w:cs="Times New Roman" w:eastAsia="Times New Roman" w:hAnsi="Times New Roman"/>
          <w:sz w:val="18"/>
          <w:szCs w:val="18"/>
          <w:color w:val="auto"/>
        </w:rPr>
        <w:t>Short-term investments, which consist primarily of commercial paper and money market instruments that have an original maturity of one year or less, are carried at amortized cost, which approximates fair value. As of December 31, 2023, and 2022, short-term investments were approximately $667 million and $1 billion, respectively.</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investment results for the years ended December 31, 2023, 2022 and 2021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7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7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 (1)</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396</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234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108</w:t>
            </w:r>
          </w:p>
        </w:tc>
      </w:tr>
      <w:tr>
        <w:trPr>
          <w:trHeight w:val="190"/>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invested assets (2)</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7,932</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12,816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10,285</w:t>
            </w:r>
          </w:p>
        </w:tc>
      </w:tr>
      <w:tr>
        <w:trPr>
          <w:trHeight w:val="20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return on average invested assets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1.8 %</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bl>
    <w:p>
      <w:pPr>
        <w:spacing w:after="0" w:line="87" w:lineRule="exact"/>
        <w:rPr>
          <w:sz w:val="20"/>
          <w:szCs w:val="20"/>
          <w:color w:val="auto"/>
        </w:rPr>
      </w:pPr>
    </w:p>
    <w:p>
      <w:pPr>
        <w:jc w:val="both"/>
        <w:ind w:left="640" w:hanging="319"/>
        <w:spacing w:after="0" w:line="249" w:lineRule="auto"/>
        <w:tabs>
          <w:tab w:leader="none" w:pos="6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investment income as reported in our Consolidated Statements of Earnings has been adjusted in the presentation above to provide the tax equivalent yield on tax exempt investments and to exclude interest earned on cash and cash equivalents. Net investment income includes fees earned by holding customer funds in escrow (off-balance sheet) during facilitation of tax-deferred property exchanges. For the years ended December 31, 2023, 2022 and 2021, fees earned during facilitation of tax-deferred property exchanges were $202 million, $106 million and $17 million, respectively. See Note 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our Consolidated Financial Statements included in Item 8 of Part II of this Annual Report for a detail of our interest income.</w:t>
      </w:r>
    </w:p>
    <w:p>
      <w:pPr>
        <w:spacing w:after="0" w:line="80" w:lineRule="exact"/>
        <w:rPr>
          <w:rFonts w:ascii="Times New Roman" w:cs="Times New Roman" w:eastAsia="Times New Roman" w:hAnsi="Times New Roman"/>
          <w:sz w:val="18"/>
          <w:szCs w:val="18"/>
          <w:color w:val="auto"/>
        </w:rPr>
      </w:pPr>
    </w:p>
    <w:p>
      <w:pPr>
        <w:ind w:left="640" w:hanging="319"/>
        <w:spacing w:after="0" w:line="268" w:lineRule="auto"/>
        <w:tabs>
          <w:tab w:leader="none" w:pos="6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2022 and 2021, average invested assets include off-balance sheet customer funds used in the facilitation of tax-deferred property exchanges of $4,436 million, $8,296 million and $6,526 million,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F&amp;G</w:t>
      </w:r>
    </w:p>
    <w:p>
      <w:pPr>
        <w:spacing w:after="0" w:line="16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Through F&amp;G, and its wholly-owned insurance subsidiaries, we market a broad portfolio of deferred annuities (fixed indexed and fixed rate annuities), immediate annuities, indexed universal life insurance, funding agreements and pension risk transfer solutions.</w:t>
      </w:r>
    </w:p>
    <w:p>
      <w:pPr>
        <w:spacing w:after="0" w:line="38"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For more than 60 years, F&amp;G has helped middle-income Americans prepare for retirement and for their loved ones' financial security. We partner with leading IMOs and their agents to serve the needs of the middle-income market and develop competitive products to align with their evolving needs. During 2020, F&amp;G entered into the bank and broker dealer distribution channels to connect with even more customers. As of December 31, 2023, F&amp;G has approximately 677,000 policyholders who count on the safety and protection features our fixed annuity and life insurance products provide.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Through the efforts of F&amp;G's approximately 1,200 employees, most of whom are located in Des Moines, Iowa, and through a network of approximately 280 IMOs and 21 leading banks and independent broker dealers, representing approximately 112,000 independent agents and advisers, we offer various types of fixed annuities and life insurance products. Our fixed annuities serve as a retirement and savings tool for which our customers rely on principal protection and predictable income streams. In addition, our IUL insurance products provide our customers with a complementary product that allows them to build on their savings and provide a payment to their designated beneficiaries upon the policyholder’s death. Our most popular products are FIAs that tie contractual returns to specific market indices, such as the S&amp;P 500 Index. Our customers value our FIAs, which provide a portion of the gains of an underlying market index, while also providing principal protection. We believe this mix of “some upside but limited downside” fills the need for middle-income Americans who must save for retirement but who want to limit the risk of decline in their savings.</w:t>
      </w:r>
    </w:p>
    <w:p>
      <w:pPr>
        <w:spacing w:after="0" w:line="59"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2023, FIAs generated approximately 36% of our total gross sales. The remaining 64% of sales were primarily generated from funding agreements (9%), fixed rate annuities (39%), PRT sales (15%), and IUL (1%). We invest the proceeds primarily in fixed income securities. We also use options and futures that hedge the index credit of our FIA and IUL liabilities by replicating the market index returns to our policyholders. We invest predominantly in options on the S&amp;P 500 Index. The majority of our products allow for active management to achieve targeted lifetime returns. In addition, our annuity contracts generally either cannot be surrendered or include surrender charges that discourage early redemptions.</w:t>
      </w:r>
    </w:p>
    <w:p>
      <w:pPr>
        <w:spacing w:after="0" w:line="52" w:lineRule="exact"/>
        <w:rPr>
          <w:sz w:val="20"/>
          <w:szCs w:val="20"/>
          <w:color w:val="auto"/>
        </w:rPr>
      </w:pPr>
    </w:p>
    <w:p>
      <w:pPr>
        <w:jc w:val="both"/>
        <w:ind w:firstLine="434"/>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Annuities. </w:t>
      </w:r>
      <w:r>
        <w:rPr>
          <w:rFonts w:ascii="Times New Roman" w:cs="Times New Roman" w:eastAsia="Times New Roman" w:hAnsi="Times New Roman"/>
          <w:sz w:val="16"/>
          <w:szCs w:val="16"/>
          <w:color w:val="auto"/>
        </w:rPr>
        <w:t>Through F&amp;G’s insurance subsidiaries, we issue a broad portfolio of deferred annuities (FIA and fixed rate annuities), immediate annuities,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PRT solutions. A deferred annuity is a type of contract that accumulates value on a tax deferred basis and typically begins making specified periodic or lump sum payments a certain number of years after the contract has been issued. An immediate annuity is a type of contract that begins making specified payments within one annuity period (e.g., one month or one year) and typically pays principal and earnings in equal payments over some period of time.</w:t>
      </w:r>
    </w:p>
    <w:p>
      <w:pPr>
        <w:spacing w:after="0" w:line="20"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Deferred Annuities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FIAs</w:t>
      </w:r>
      <w:r>
        <w:rPr>
          <w:rFonts w:ascii="Times New Roman" w:cs="Times New Roman" w:eastAsia="Times New Roman" w:hAnsi="Times New Roman"/>
          <w:sz w:val="18"/>
          <w:szCs w:val="18"/>
          <w:color w:val="auto"/>
        </w:rPr>
        <w:t>. Our FIAs allow contract owners the possibility of earning returns linked to the performance of a specified market index,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predominantly the S&amp;P 500 Index, while providing principal protection. The contract owners typically make a single deposit into our deferred annuities. The contracts include a provision for a minimum guaranteed surrender value calculated in accordance with applicable law. A market index tracks the performance of a specific group of stocks representing a particular segment of the market, or in some cases an entire market. For example, the S&amp;P 500 Composite Stock Price Index is an index of 500 stocks intended to be representative of a broad segment of the market. All FIA products allow policyholders to allocate funds once a year among several different crediting strategies, including one or more index-based strategies and a traditional fixed rate strategy. Surrender charges apply for early withdrawal, typically for seven to fourteen years after purchase.</w:t>
      </w:r>
    </w:p>
    <w:p>
      <w:pPr>
        <w:spacing w:after="0" w:line="58"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We purchase derivatives consisting predominantly of over-the-counter options and, to a lesser degree, futures contracts (specifically for FIA contracts) on the equity indices underlying the applicable policy such as the S&amp;P 500. These derivatives are used to fund the index credits due to policyholders under the FIA and IUL contracts based upon policyholders’ contract elections. The down-side risk to F&amp;G is limited to the cost of the options because if the value of the options decreases there is no index credit. The cost of the hedge is included in the pricing of the product and can be reset on an annual basis for each policy based on market conditions. The majority of all such call options are one-year options purchased to match the funding requirements underlying the FIA/IUL contracts. On the anniversary dates of the FIA/IUL contracts, the market index used to compute the annual index credit under the contracts is reset. At such time, we purchase new call options to fund the next index credit. We manage the cost of these purchases through the terms of our FIA/IUL contracts, which permit us to change caps or participation rates, subject to certain guaranteed minimums on each contract’s anniversary date. The change in the fair value of the options and futures contracts is generally designed to offset the equity market related change in the fair value of the FIA/IUL contract’s related reserve liability. The options and futures contracts are marked to fair value with the change in fair value included as a component of “Recognized gains and losses, net” in our Consolidated Statements of Earnings. The change in fair value of the options and futures contracts includes the gains and losses recognized at the expiration of the instrument’s term or upon early termination and the changes in fair value of open positions. Generally Accepted Accounting Principles in the U.S. ("GAAP") accounting of the reserve liability for products with embedded derivatives such as FIA creates additional volatility beyond the accounting for the options and the futures.</w:t>
      </w:r>
    </w:p>
    <w:p>
      <w:pPr>
        <w:spacing w:after="0" w:line="56"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contract holder account value of a FIA contract is equal to the sum of deposits paid, premium bonuses, if any, (described below), and index credits based on the change in the relevant market index (subject to a cap, spread and/or a participation rate) less any fees for riders and any withdrawals taken to-date. Caps (a maximum rate that may be credited) generally range from 1% to 5% when measured annually and 1% to 3% when measured monthly, spreads (a credited rate determined by deducting a specific rate from the index return) generally range from 0% to 3% when measured annually, and participation rates (a credited rate equal to a percentage of index return) generally range from 100% to 180% of the performance of the applicable market index. The cap, spread and participation rate can typically be reset annually and in some instances every two to five years. Certain riders provide a variety of benefits, such as the ability to increase their cap, lifetime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income or additional liquidity for a set fee. As this fee is fixed, the contract holder may lose principal if the index credits received do not exceed the amount of such fee.</w:t>
      </w:r>
    </w:p>
    <w:p>
      <w:pPr>
        <w:spacing w:after="0" w:line="38"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Approximately 39% of the FIA sales for the year ended December 31, 2023, involved “premium bonuses” or vesting bonuses. Premium bonuses increase the initial annuity deposit by a specified rate of 2%. The vesting bonuses, which range from 1% to 15%, increase the initial annuity deposit liability but are subject to adjustment for unvested amounts in the event of surrender by the policyholder prior to the end of the vesting period. We made compensating adjustments in the commission paid to the agent or the surrender charges on the policy to offset the premium bonus.</w:t>
      </w:r>
    </w:p>
    <w:p>
      <w:pPr>
        <w:spacing w:after="0" w:line="52" w:lineRule="exact"/>
        <w:rPr>
          <w:sz w:val="20"/>
          <w:szCs w:val="20"/>
          <w:color w:val="auto"/>
        </w:rPr>
      </w:pPr>
    </w:p>
    <w:p>
      <w:pPr>
        <w:jc w:val="both"/>
        <w:ind w:firstLine="434"/>
        <w:spacing w:after="0" w:line="286" w:lineRule="auto"/>
        <w:rPr>
          <w:sz w:val="20"/>
          <w:szCs w:val="20"/>
          <w:color w:val="auto"/>
        </w:rPr>
      </w:pPr>
      <w:r>
        <w:rPr>
          <w:rFonts w:ascii="Times New Roman" w:cs="Times New Roman" w:eastAsia="Times New Roman" w:hAnsi="Times New Roman"/>
          <w:sz w:val="16"/>
          <w:szCs w:val="16"/>
          <w:color w:val="auto"/>
        </w:rPr>
        <w:t>Approximately 48% of our FIA contracts were issued with a guaranteed minimum withdrawal benefit ("GMWB") rider for the year ended December 31, 2023. With this rider, a contract owner can elect to receive guaranteed payments for life from the FIA contract without requiring the owner to annuitize the FIA contract value. The amount of the income benefit available is determined by the growth in the policy’s benefit base value as defined in the FIA contract rider. Typically, this accumulates for 10 years based on a guaranteed rate of 3% to 8%. Guaranteed withdrawal payments may be stopped and restarted at the election of the contract owner. Some of the FIA contract riders that we offer include an additional death benefit or an increase in benefit amounts under chronic health conditions. Rider fees range from 0% to 1%. Unlike a variable annuity, policyholder values do not decline with market movements.</w:t>
      </w:r>
    </w:p>
    <w:p>
      <w:pPr>
        <w:spacing w:after="0" w:line="51"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Deferred Annuities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Fixed Rate Annuities</w:t>
      </w:r>
      <w:r>
        <w:rPr>
          <w:rFonts w:ascii="Times New Roman" w:cs="Times New Roman" w:eastAsia="Times New Roman" w:hAnsi="Times New Roman"/>
          <w:sz w:val="18"/>
          <w:szCs w:val="18"/>
          <w:color w:val="auto"/>
        </w:rPr>
        <w:t>. Fixed rate annuities are typically single deposit contracts and include annual reset and multi-year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guaranteed policies. Fixed rate annual reset annuities issued by us have an annual interest rate (the “crediting rate”) that is guaranteed for the first policy year. After the first policy year, we have the discretionary ability to change the crediting rate once annually to any rate at or above a guaranteed minimum rate. MYGAs are similar to fixed rate annual reset annuities except that the initial crediting rate is guaranteed for a specified number of years before it may be changed at our discretion. As of December 31, 2023, crediting rates on outstanding (i) single-year guaranteed annuities generally ranged from 1% to 6% and (ii) MYGA ranged from 1% to 5%. The average crediting rate on all outstanding fixed rate annuities at December 31, 2023, was 5%.</w:t>
      </w:r>
    </w:p>
    <w:p>
      <w:pPr>
        <w:spacing w:after="0" w:line="80"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Deferred Annuities - Registered Index-Linked Annuities </w:t>
      </w:r>
      <w:r>
        <w:rPr>
          <w:rFonts w:ascii="Times New Roman" w:cs="Times New Roman" w:eastAsia="Times New Roman" w:hAnsi="Times New Roman"/>
          <w:sz w:val="18"/>
          <w:szCs w:val="18"/>
          <w:color w:val="auto"/>
        </w:rPr>
        <w:t>(“RILA”). – In early 2024, we entered into the RILA markets. RILAs are similar to FIAs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the policyholder the opportunity for tax-deferred growth based in part on the performance of a market index. Compared to an FIA, RILAs have the potential for higher returns but also have the potential for risk of loss to principal and related earnings. RILAs provide the ability for the policyholder to participate in the positive performance of certain market indices during a term, limited by a cap or adjusted for a participation rate. Negative performance of the market indices during a term can result in negative policyholder returns, with downside protection typically provided in the form of either a “buffer” or a “floor” to limit the policyholder’s exposure to market loss. A "buffer" is protection from negative exposure up to a certain percentage, typically 10 or 20 percent. A "floor" is protection from negative exposure less than a stated percentage (i.e., the policyholder risks exposure of loss up to the "floor", but is protected against any loss in excess of this amount).</w:t>
      </w:r>
    </w:p>
    <w:p>
      <w:pPr>
        <w:spacing w:after="0" w:line="72" w:lineRule="exact"/>
        <w:rPr>
          <w:sz w:val="20"/>
          <w:szCs w:val="20"/>
          <w:color w:val="auto"/>
        </w:rPr>
      </w:pPr>
    </w:p>
    <w:p>
      <w:pPr>
        <w:jc w:val="both"/>
        <w:ind w:firstLine="434"/>
        <w:spacing w:after="0" w:line="262" w:lineRule="auto"/>
        <w:rPr>
          <w:sz w:val="20"/>
          <w:szCs w:val="20"/>
          <w:color w:val="auto"/>
        </w:rPr>
      </w:pPr>
      <w:r>
        <w:rPr>
          <w:rFonts w:ascii="Times New Roman" w:cs="Times New Roman" w:eastAsia="Times New Roman" w:hAnsi="Times New Roman"/>
          <w:sz w:val="16"/>
          <w:szCs w:val="16"/>
          <w:i w:val="1"/>
          <w:iCs w:val="1"/>
          <w:color w:val="auto"/>
        </w:rPr>
        <w:t>Withdrawal Options for Deferred Annuities</w:t>
      </w:r>
      <w:r>
        <w:rPr>
          <w:rFonts w:ascii="Times New Roman" w:cs="Times New Roman" w:eastAsia="Times New Roman" w:hAnsi="Times New Roman"/>
          <w:sz w:val="16"/>
          <w:szCs w:val="16"/>
          <w:color w:val="auto"/>
        </w:rPr>
        <w:t>. After the first year following the issuance of a deferred annuity policy, holders of deferred annuities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typically permitted penalty-free withdrawals up to a contractually specified amount. The penalty-free withdrawal amount is typically 10% of the prior year account value for FIAs, and is typically up to accumulated interest for fixed rate annuities, subject to certain restrictions. Withdrawals in excess of allowable penalty-free amounts are assessed a surrender charge if such withdrawals are made during the penalty period of the deferred annuity policy. The penalty period typically ranges from seven to fourteen years for FIAs and three to ten years for fixed rate annuities. This surrender charge initially ranges from 9% to 15% of the contract value for FIAs and is 9% of the contract value for fixed rate annuities and generally decreases by approximately one to two percentage points per year during the penalty period. The average surrender charge was 7% for our FIAs and 7% for our fixed rate annuities as of December 31, 2023. A market value adjustment (“MVA”) will also apply in most states to any withdrawal that incurs a surrender charge, subject to certain exceptions. The MVA is based on a formula that accounts for changes in interest rates since contract issuance. Generally, if interest rates have risen, the MVA will decrease surrender value, whereas if rates have fallen, it will increase surrender value. At December 31, 2023, approximately 78% of our business included an MVA feature.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deferred annuity account values and surrender charge protection as of December 31,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Fixed Rate and Fixed</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SURRENDER CHARGE EXPIRATION BY YEAR</w:t>
            </w: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Indexed Annuities</w:t>
            </w:r>
          </w:p>
        </w:tc>
        <w:tc>
          <w:tcPr>
            <w:tcW w:w="1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Account Value</w:t>
            </w:r>
          </w:p>
        </w:tc>
        <w:tc>
          <w:tcPr>
            <w:tcW w:w="1620" w:type="dxa"/>
            <w:vAlign w:val="bottom"/>
            <w:gridSpan w:val="2"/>
            <w:vMerge w:val="continue"/>
          </w:tcPr>
          <w:p>
            <w:pPr>
              <w:spacing w:after="0"/>
              <w:rPr>
                <w:sz w:val="16"/>
                <w:szCs w:val="16"/>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Surrender Charge</w:t>
            </w:r>
          </w:p>
        </w:tc>
        <w:tc>
          <w:tcPr>
            <w:tcW w:w="0" w:type="dxa"/>
            <w:vAlign w:val="bottom"/>
          </w:tcPr>
          <w:p>
            <w:pPr>
              <w:spacing w:after="0"/>
              <w:rPr>
                <w:sz w:val="1"/>
                <w:szCs w:val="1"/>
                <w:color w:val="auto"/>
              </w:rPr>
            </w:pPr>
          </w:p>
        </w:tc>
      </w:tr>
      <w:tr>
        <w:trPr>
          <w:trHeight w:val="196"/>
        </w:trPr>
        <w:tc>
          <w:tcPr>
            <w:tcW w:w="6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 of surrender charge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2025-2027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7,579</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20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2028-2029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6,075</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9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2030-2031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8"/>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8,610</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97"/>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32,967</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7.31 %</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Subsequent to the penalty period, the policyholder may elect to take the proceeds of the surrender either in a single payment or in a series of payments over the life of the policyholder or for a fixed number of years (or a combination of these payment options). In addition to the foregoing withdrawal rights, policyholders may also elect to have additional withdrawal benefits by purchasing a GMWB.</w:t>
      </w:r>
    </w:p>
    <w:p>
      <w:pPr>
        <w:spacing w:after="0" w:line="4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Single Premium Immediate Annuities</w:t>
      </w:r>
      <w:r>
        <w:rPr>
          <w:rFonts w:ascii="Times New Roman" w:cs="Times New Roman" w:eastAsia="Times New Roman" w:hAnsi="Times New Roman"/>
          <w:sz w:val="18"/>
          <w:szCs w:val="18"/>
          <w:color w:val="auto"/>
        </w:rPr>
        <w:t>. We have previously sold single premium immediate annuities (“SPIAs”), which provide a series of periodic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for a fixed period of time or for the life of the policyholder, according to the policyholder’s choice at the time of issue. The amounts, frequency and length of time of the payments are fixed at the outset of the annuity contract. SPIAs are often purchased by persons at or near retirement age who desire a steady stream of payments over a future period of years. Existing policyholders may elect to surrender their contract and use the proceeds to purchase a supplementary contract, which functions as a SPIA.</w:t>
      </w:r>
    </w:p>
    <w:p>
      <w:pPr>
        <w:spacing w:after="0" w:line="54"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Life Insurance. </w:t>
      </w:r>
      <w:r>
        <w:rPr>
          <w:rFonts w:ascii="Times New Roman" w:cs="Times New Roman" w:eastAsia="Times New Roman" w:hAnsi="Times New Roman"/>
          <w:sz w:val="18"/>
          <w:szCs w:val="18"/>
          <w:color w:val="auto"/>
        </w:rPr>
        <w:t>We currently offer IUL insurance policies and have previously sold universal life, term and whole life insurance products.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universal life insurance policies may make periodic payments over the life of the contract and earn returns on their policies, which are credited to the policyholder’s cash value account. The insurer periodically deducts its expenses and the cost of life insurance protection from the cash value account. The balance of the cash value account is credited interest at a fixed rate or returns based on the performance of a market index, or both, at the option of the policyholder, using a method similar to that described above for FIAs.</w:t>
      </w:r>
    </w:p>
    <w:p>
      <w:pPr>
        <w:spacing w:after="0" w:line="54"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Funding Agreements. </w:t>
      </w:r>
      <w:r>
        <w:rPr>
          <w:rFonts w:ascii="Times New Roman" w:cs="Times New Roman" w:eastAsia="Times New Roman" w:hAnsi="Times New Roman"/>
          <w:sz w:val="18"/>
          <w:szCs w:val="18"/>
          <w:color w:val="auto"/>
        </w:rPr>
        <w:t>As defined by the Iowa Insurance Division (the "IID"), a funding agreement is an agreement for an insurer to accept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 funds and to make one or more payments at future dates in amounts that are not based on mortality or morbidity contingencies of the person to whom the funding agreement is issued. In essence, funding agreement providers are agreeing to a defined stream of future payments in exchange for a single upfront premium. This type of business is sometimes referred to as spread lending, as funding agreement providers invest upfront premiums with the intent to earn an investment spread on the funds prior to making agreed upon maturity and interest payments. The structure of the payments can take several forms, but are commonly a fixed or variable interest payment with a single maturity principal re-payment.</w:t>
      </w:r>
    </w:p>
    <w:p>
      <w:pPr>
        <w:spacing w:after="0" w:line="5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F&amp;G currently utilizes two forms of funding agreement offerings. The first is through the issuance of collateralized funding agreements with the Federal Home Loan Bank of Atlanta (the "FHLB"). This enables spread-based income without longevity or mortality exposure given the certainty in liability profile. Funding agreements through the FHLB are flexible in their format and the ability to issue during broad windows, as long as sufficient eligible collateral has been deposited with the bank.</w:t>
      </w:r>
    </w:p>
    <w:p>
      <w:pPr>
        <w:spacing w:after="0" w:line="5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June 2021, we established a funding agreement backed note ("FABN") program, which is a medium term note program under which funding agreements are issued to a special-purpose trust that issues marketable notes. The notes are underwritten and marketed by major investment banks’ broker-dealer operations and are sold to institutional investors. These FABN offerings are more limited regarding timing of issuance, but do not require collateralization as with the FHLB. The maximum aggregate principal amount permitted to be outstanding at any one time under the FABN Program is currently $5.0 billion. As of December 31, 2023, we had approximately $2.6 billion outstanding under the FABN Program.</w:t>
      </w:r>
    </w:p>
    <w:p>
      <w:pPr>
        <w:spacing w:after="0" w:line="52"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Pension Risk Transfer. </w:t>
      </w:r>
      <w:r>
        <w:rPr>
          <w:rFonts w:ascii="Times New Roman" w:cs="Times New Roman" w:eastAsia="Times New Roman" w:hAnsi="Times New Roman"/>
          <w:sz w:val="18"/>
          <w:szCs w:val="18"/>
          <w:color w:val="auto"/>
        </w:rPr>
        <w:t>In July 2021, we entered the pension risk transfer ("PRT") market. A PRT occurs when a defined-benefit pension provider seeks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 some or all of its obligation to pay guaranteed retirement income or post-retirement benefits to plan participants. There are four major types of PRT strategies: longevity reinsurance, buy-in, buy-out, and paying in lump sums. We are currently active in plan buy-outs, where we have a direct, irrevocable commitment to each covered participant to make the specified annuity payments based upon the terms of the pension plan. Plan buy-out transactions fully and permanently transfer all investment, mortality, and administrative risk, associated with covered benefits, from the pension plan sponsor to the insurance provider.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Our PRT products are comparable to income annuities, as we generally receive a single, upfront premium in exchange for paying a guaranteed stream of future income payments, which are typically fixed in nature, but may vary in duration based on participant mortality experience. These products primarily create earnings through spread income. In each transaction FGL Insurance and/or FGL NY Insurance issues a group annuity contract to discharge pension plan liabilities from a pension plan sponsor, either through a separate account or through a general account guarantee. Certificate holders covered under a group annuity contract have a guaranteed benefit from the insurance company.</w:t>
      </w:r>
    </w:p>
    <w:p>
      <w:pPr>
        <w:spacing w:after="0" w:line="5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We entered the PRT solutions business by building a team of experienced professionals, then working with brokers and institutional consultants for distribution. As of December 31, 2023, we had completed PRT transactions that represented pension obligations of $4.5 billion.</w:t>
      </w:r>
    </w:p>
    <w:p>
      <w:pPr>
        <w:spacing w:after="0" w:line="36" w:lineRule="exact"/>
        <w:rPr>
          <w:sz w:val="20"/>
          <w:szCs w:val="20"/>
          <w:color w:val="auto"/>
        </w:rPr>
      </w:pPr>
    </w:p>
    <w:p>
      <w:pPr>
        <w:jc w:val="both"/>
        <w:ind w:firstLine="434"/>
        <w:spacing w:after="0" w:line="271" w:lineRule="auto"/>
        <w:rPr>
          <w:sz w:val="20"/>
          <w:szCs w:val="20"/>
          <w:color w:val="auto"/>
        </w:rPr>
      </w:pP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We distribute our annuity and life insurance products through three main channels of distribution: independent agents, banks, and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dealers.</w:t>
      </w:r>
    </w:p>
    <w:p>
      <w:pPr>
        <w:spacing w:after="0" w:line="35"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In our independent agent channel, the sale of our products typically occurs as part of a four-party, three stage sales process between FGL Insurance, an IMO, the agent and the customer. FGL Insurance designs, manufactures, issues, and services the product. The IMOs will typically sign contracts with multiple insurance carriers to provide their agents with a broad and competitive product portfolio. The IMO provides training and discusses product options with agents in preparation for meetings with clients. The IMO staff also provide assistance to the agent during the selling and application process. The agent may get customer leads from the IMOs. The agent conducts fact finding and presents suitable product choices to the customers. We monitor the business issued by each distribution partner for pricing metrics, mortality, persistency, as well as market conduct and suitability.</w:t>
      </w:r>
    </w:p>
    <w:p>
      <w:pPr>
        <w:spacing w:after="0" w:line="54"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We offer our products through a network of approximately 280 IMOs, representing approximately 102,000 agents. We believe that our relationships with these IMOs are strong. The average tenure of the Power Partners is approximately 20 years. We identify Power Partners as those who have demonstrated the ability to generate significant production for our business. We currently have 41 Power Partners, comprised of 19 annuity IMOs and 22 life insurance IMOs.</w:t>
      </w:r>
    </w:p>
    <w:p>
      <w:pPr>
        <w:spacing w:after="0" w:line="14"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We took a similar approach in launching products as a new entrant into the bank and broker dealer channels by partnering with one of the largest broker dealers in the industry. In 2020, F&amp;G launched a set of fixed rate annuity and FIA products to banks and broker dealers, and gained selling agreements with some of the largest banks and broker dealers in the United States. We offer our products through a network of approximately 21 banks and broker dealers, representing approximately 10,000 financial advisers. The financial advisers at our bank and broker dealer partners are able to offer their clients guaranteed rates of return, protected growth, and income for life through our Secure series of annuity products. We employ a hybrid distribution model in this channel, whereby some financial institutions partner directly with F&amp;G and our sales team, and others work with an intermediary. As such, we partner with a select number of financial institution intermediaries who have expertise in the channel and maintain the appropriate field wholesaling forces to be successful in this channel. In 2023, the top five firms represented 78% of channel sales. Bank and broker dealers represented 51% of annuity sales for the year ended December 31, 2023.</w:t>
      </w:r>
    </w:p>
    <w:p>
      <w:pPr>
        <w:spacing w:after="0" w:line="5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top five states for the distribution of FGL Insurance’s products in the year ended December 31, 2023, were Florida, California, Pennsylvania, Ohio and Texas, which together accounted for 38.5% of FGL Insurance’s premiums.</w:t>
      </w:r>
    </w:p>
    <w:p>
      <w:pPr>
        <w:spacing w:after="0" w:line="38"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In addition, beginning in 2021, our institutional business offers funding agreement products to institutional clients by means of capital markets transactions through investment banks. Funding agreements are also executed through the FHLB. In 2021, we also entered the PRT solutions business by building an experienced team and then working with brokers and institutional consultants for distribution. These institutional solutions leverage our existing team's spread-based capabilities as well as our strategic partnership with Blackstone.</w:t>
      </w:r>
    </w:p>
    <w:p>
      <w:pPr>
        <w:spacing w:after="0" w:line="50"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Within our F&amp;G segment, we embrace a long-term conservative investment philosophy, investing nearly all the insurance premiums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in a wide range of high-quality debt securities. Our investment strategy is designed to (i) preserve capital, (ii) provide consistent yield and investment income, and (iii) achieve attractive absolute returns. We base all of our decisions on fundamental, bottom-up research, coupled with a top-down view that respects the cyclicality of certain asset classes. The types of assets in which we may invest are influenced by various state laws, which prescribe qualified investment assets applicable to insurance companies.</w:t>
      </w:r>
    </w:p>
    <w:p>
      <w:pPr>
        <w:spacing w:after="0" w:line="56"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FGL Insurance and certain other subsidiaries of F&amp;G (other than FGL NY Insurance) are party to investment management agreements ("IMAs") with Blackstone ISG-I Advisors LLC (“BIS”) pursuant to which BIS is appointed as investment manager of the F&amp;G Accounts. There are no specified minimum amounts of assets that we have agreed that BIS will manage; however, BIS has the right to manage (and receive fees based on) all assets in the F&amp;G Accounts with limited exceptions. For certain asset classes, we continue to utilize specialized third-party investment managers. As of December 31, 2023, approximately 85% of our $52 billion investment portfolio was managed by BIS, with 14% managed by other third parties, and the remaining 1% internally managed. BIS, in accordance with our IMAs, has delegated certain investment services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to its affiliates, including Blackstone’s Credit, Real Estate Debt and Asset-Based Finance businesses, in each case, pursuant to separate sub-management agreements executed between BIS and each such affiliate.</w:t>
      </w:r>
    </w:p>
    <w:p>
      <w:pPr>
        <w:spacing w:after="0" w:line="38"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Our investment portfolio consists of high quality fixed maturities, including publicly issued and privately issued corporate bonds, municipal and other government bonds, asset-backed securities ("ABS"), residential mortgage-backed securities ("RMBS"), commercial mortgage-backed securities ("CMBS"), commercial mortgage loans ("CMLs"), residential mortgage loans ("RMLs"), limited partnership investments, and other investments. We also maintain holdings in floating rate, and less rate-sensitive investments, including senior tranches of collateralized loan obligations (“CLOs”), non-agency RMBS, and various types of ABS. It is our expectation that our investment portfolio will broaden in scope and diversity to include other asset classes held by life and annuity insurance writers. We also have a small amount of equity holdings required as part of our funding arrangements with the FHLB.</w:t>
      </w:r>
    </w:p>
    <w:p>
      <w:pPr>
        <w:spacing w:after="0" w:line="54"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The portfolio also has exposure to U.S. dollar denominated emerging market bonds, highly rated preferred stocks and hybrids, and structured securities including ABS. We currently maintain a well-matched asset/liability profile (asset duration, including cash and cash equivalents, of 5.24 years vs. liability duration of 4.7 years).</w:t>
      </w:r>
    </w:p>
    <w:p>
      <w:pPr>
        <w:spacing w:after="0" w:line="48"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For further discussion of portfolio activity, see Item 7 of Part II of this Annual Report, under Management’s Discussion and Analysis of Financial Condition and Results of Operations-Investment Portfolio.</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Outsourcing. </w:t>
      </w:r>
      <w:r>
        <w:rPr>
          <w:rFonts w:ascii="Times New Roman" w:cs="Times New Roman" w:eastAsia="Times New Roman" w:hAnsi="Times New Roman"/>
          <w:sz w:val="18"/>
          <w:szCs w:val="18"/>
          <w:color w:val="auto"/>
        </w:rPr>
        <w:t>Our F&amp;G segment outsources the following functions to third-party service providers:</w:t>
      </w:r>
    </w:p>
    <w:p>
      <w:pPr>
        <w:spacing w:after="0" w:line="85" w:lineRule="exact"/>
        <w:rPr>
          <w:sz w:val="20"/>
          <w:szCs w:val="20"/>
          <w:color w:val="auto"/>
        </w:rPr>
      </w:pPr>
    </w:p>
    <w:p>
      <w:pPr>
        <w:ind w:left="640" w:hanging="20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administration (data entry and policy issue only);</w:t>
      </w:r>
    </w:p>
    <w:p>
      <w:pPr>
        <w:spacing w:after="0" w:line="82"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of existing policies;</w:t>
      </w:r>
    </w:p>
    <w:p>
      <w:pPr>
        <w:spacing w:after="0" w:line="82"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administration of life insurance applications;</w:t>
      </w:r>
    </w:p>
    <w:p>
      <w:pPr>
        <w:spacing w:after="0" w:line="82"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centers;</w:t>
      </w:r>
    </w:p>
    <w:p>
      <w:pPr>
        <w:spacing w:after="0" w:line="82"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development and maintenance;</w:t>
      </w:r>
    </w:p>
    <w:p>
      <w:pPr>
        <w:spacing w:after="0" w:line="82"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investment accounting and custody; and</w:t>
      </w:r>
    </w:p>
    <w:p>
      <w:pPr>
        <w:spacing w:after="0" w:line="82"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co-located data centers and hosting of financial systems.</w:t>
      </w:r>
    </w:p>
    <w:p>
      <w:pPr>
        <w:spacing w:after="0" w:line="83"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We closely manage our outsourcing partners and integrate their services into our operations. We believe that outsourcing such functions allows us to focus capital and our employees on our core business operations and perform differentiating functions, such as investment, actuarial, product development and risk management functions. In addition, we believe an outsourcing model provides predictable pricing, service levels and volume capabilities and allows us to benefit from technological developments that enhance our customer self-service and sales processes. We believe that we have a good relationship with our principal outsource service providers.</w:t>
      </w:r>
    </w:p>
    <w:p>
      <w:pPr>
        <w:spacing w:after="0" w:line="52"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Ratings. </w:t>
      </w:r>
      <w:r>
        <w:rPr>
          <w:rFonts w:ascii="Times New Roman" w:cs="Times New Roman" w:eastAsia="Times New Roman" w:hAnsi="Times New Roman"/>
          <w:sz w:val="18"/>
          <w:szCs w:val="18"/>
          <w:color w:val="auto"/>
        </w:rPr>
        <w:t>Within our F&amp;G segment, access to funding and our related cost of borrowing, the attractiveness of certain of our products to customers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derivatives collateral posting are affected by our credit ratings and insurance financial strength ratings, which are periodically reviewed by the rating agencies. Financial strength ratings and credit ratings are important factors affecting public confidence in an insurer and its competitive position in marketing products.</w:t>
      </w:r>
    </w:p>
    <w:p>
      <w:pPr>
        <w:spacing w:after="0" w:line="50"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As of the date of this Annual Report, A.M. Best Company ("A.M. Best"), Fitch Ratings ("Fitch"), Moody's, and S&amp;P had issued credit ratings, financial strength ratings and/or outlook statements regarding us, as listed below. Credit ratings represent the opinions of rating agencies regarding an entity’s ability to repay its indebtedness. Financial strength ratings represent the opinions of rating agencies regarding the ability of an insurance company to meet its financial obligations under an insurance policy and generally involve quantitative and qualitative evaluations by rating agencies of a company’s financial condition and operating performance. Generally, rating agencies base their financial strength ratings upon information furnished to them by the insurer and upon their own investigations, studies and assumptions. Financial strength ratings are based upon factors of concern to policyholders, agents and intermediaries and are not directed toward the protection of investors. Credit and financial strength ratings are not recommendations to buy, sell or hold securities and they may be revised or revoked at any time at the sole discretion of the rating organization.</w:t>
      </w:r>
    </w:p>
    <w:p>
      <w:pPr>
        <w:spacing w:after="0" w:line="59"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In addition to the financial strength ratings, rating agencies use an “outlook statement” to indicate a medium or long term trend that, if continued, may lead to a rating change. A positive outlook indicates a rating may be raised and a negative outlook indicates a rating may be lowered. A stable outlook is assigned when ratings are not likely to be changed. A developing outlook is assigned when a rating may be raised, lowered, or affirmed. Outlooks should not be confused with expected stability of the issuer’s financial or economic performance. A rating may have a "stable" outlook to indicate that the rating is not expected to change, but a "stable" outlook does not preclude a rating agency from changing a rating at any time without notice.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rating organizations may take various actions, positive or negative. Such actions are beyond our control, and we cannot predict what these actions may be and the timing thereof.</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 Best</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S&amp;P</w:t>
            </w:r>
          </w:p>
        </w:tc>
        <w:tc>
          <w:tcPr>
            <w:tcW w:w="13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Fitch</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Holding Company Ratings</w:t>
            </w: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610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F&amp;G Annuities &amp; Life, Inc.</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Issuer Credit / Default Rating</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Not Rated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BBB-</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BBB</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Ba1</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Outlook</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7"/>
              </w:rPr>
              <w:t>Stable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Stable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Stable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00" w:type="dxa"/>
            <w:vAlign w:val="bottom"/>
            <w:gridSpan w:val="3"/>
          </w:tcPr>
          <w:p>
            <w:pPr>
              <w:ind w:left="200"/>
              <w:spacing w:after="0" w:line="197" w:lineRule="exact"/>
              <w:rPr>
                <w:sz w:val="20"/>
                <w:szCs w:val="20"/>
                <w:color w:val="auto"/>
              </w:rPr>
            </w:pPr>
            <w:r>
              <w:rPr>
                <w:rFonts w:ascii="Times New Roman" w:cs="Times New Roman" w:eastAsia="Times New Roman" w:hAnsi="Times New Roman"/>
                <w:sz w:val="14"/>
                <w:szCs w:val="14"/>
                <w:color w:val="auto"/>
              </w:rPr>
              <w:t xml:space="preserve">Senior Unsecured Notes (2028 maturity) </w:t>
            </w:r>
            <w:r>
              <w:rPr>
                <w:rFonts w:ascii="Times New Roman" w:cs="Times New Roman" w:eastAsia="Times New Roman" w:hAnsi="Times New Roman"/>
                <w:sz w:val="18"/>
                <w:szCs w:val="18"/>
                <w:color w:val="auto"/>
                <w:vertAlign w:val="superscript"/>
              </w:rPr>
              <w:t>(a)</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Not Rated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BBB-</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BBB-</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Not Rated</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CF Bermuda Holdings Limited</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Issuer Credit / Default Rating</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Not Rated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BBB-</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BBB</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Baa3</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Outlook</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7"/>
              </w:rPr>
              <w:t>Stable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Stable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Stable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Fidelity &amp; Guaranty Life Holdings, Inc.</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Issuer Credit / Default Rating</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BBB</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BBB-</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BBB</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Not Rated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Outlook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Stable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Stable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Stable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Senior Unsecured Notes</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BBB</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BBB</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BBB</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Baa2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Outlook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Stable</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Stable</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auto"/>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9"/>
              </w:rPr>
              <w:t>Operating Subsidiary Ratings</w:t>
            </w:r>
          </w:p>
        </w:tc>
        <w:tc>
          <w:tcPr>
            <w:tcW w:w="4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Fidelity &amp; Guaranty Life Insurance Company</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Financial Strength Rating</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A</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4"/>
              </w:rPr>
              <w:t>A-</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4"/>
              </w:rPr>
              <w:t>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A3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Outlook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Stable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Stable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Stable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Stable</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Fidelity &amp; Guaranty Life Insurance Company of New York</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Financial Strength Rating</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A</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A-</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A-</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Not Rated</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Outlook</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Stable</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7"/>
              </w:rPr>
              <w:t>Stable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Stable</w:t>
            </w: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F&amp;G Life Re Ltd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Financial Strength Rating</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Not Rated</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4"/>
              </w:rPr>
              <w:t>A-</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4"/>
              </w:rPr>
              <w:t>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A3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Outlook</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Stable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Stable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Stable</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F&amp;G Cayman Re Ltd</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Financial Strength Rating</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Not Rated</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Not Rated</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A-</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Not Rated</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Outlook</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Stable</w:t>
            </w: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A.M. Best, S&amp;P, Fitch and Moody’s review their ratings of insurance companies from time to time. There can be no assurance that any particular rating will continue for any given period of time or that it will not be changed or withdrawn entirely if, in their judgment, circumstances so warrant. While the degree to which ratings adjustments will affect sales and persistency is unknown, we believe if our ratings were to be negatively adjusted for any reason, we could experience a material decline in the sales of our products and the persistency of our existing business. See “Item 1A. Risk Factors”.</w:t>
      </w:r>
    </w:p>
    <w:p>
      <w:pPr>
        <w:spacing w:after="0" w:line="9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F&amp;G is required to maintain minimum ratings as a matter of routine practice as part of its over-the-counter derivatives agreements on International Swaps and Derivatives Association ("ISDA") forms. Under some ISDA agreements, we have agreed to maintain certain financial strength ratings. Please refer to Note F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to our audited Consolidated Financial Statements included in Item 8 of Part II of this Annual Report for disclosure around the Company's requirement to maintain minimum ratings.</w:t>
      </w:r>
    </w:p>
    <w:p>
      <w:pPr>
        <w:spacing w:after="0" w:line="5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If the insurance subsidiaries held net short positions against a counterparty, and the subsidiaries’ financial strength ratings were below the levels required in the ISDA agreement with the counterparty, the counterparty would demand immediate further collateralization, which could negatively impact overall liquidity. Based on the fair value of our derivatives as of December 31, 2023, we hold no net short positions against a counterparty; therefore, there is currently no potential exposure for us to post collateral.</w:t>
      </w:r>
    </w:p>
    <w:p>
      <w:pPr>
        <w:spacing w:after="0" w:line="5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 downgrade of the financial strength rating of one of our principal insurance subsidiaries could affect our competitive position in the insurance industry and make it more difficult for us to market our products, as potential customers may select companies with higher financial strength ratings. A downgrade of the financial strength rating could also impact our borrowing costs.</w:t>
      </w:r>
    </w:p>
    <w:p>
      <w:pPr>
        <w:spacing w:after="0" w:line="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Risk Management. </w:t>
      </w:r>
      <w:r>
        <w:rPr>
          <w:rFonts w:ascii="Times New Roman" w:cs="Times New Roman" w:eastAsia="Times New Roman" w:hAnsi="Times New Roman"/>
          <w:sz w:val="18"/>
          <w:szCs w:val="18"/>
          <w:color w:val="auto"/>
        </w:rPr>
        <w:t>Risk management is a critical part of our business. We seek to assess risk to our business through a formalized process involving</w:t>
      </w:r>
    </w:p>
    <w:p>
      <w:pPr>
        <w:spacing w:after="0" w:line="23" w:lineRule="exact"/>
        <w:rPr>
          <w:sz w:val="20"/>
          <w:szCs w:val="20"/>
          <w:color w:val="auto"/>
        </w:rPr>
      </w:pPr>
    </w:p>
    <w:p>
      <w:pPr>
        <w:jc w:val="both"/>
        <w:ind w:firstLine="5"/>
        <w:spacing w:after="0" w:line="246" w:lineRule="auto"/>
        <w:tabs>
          <w:tab w:leader="none" w:pos="2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short-term and long-term strategic and operational objectives, (ii) development of risk appetite statements that establish what the company is willing to accept in terms of risks to achieving its goals and objectives, (iii) identifying the levers that control the risk appetite of the company, (iv) establishing the overall limits of risk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acceptable for a given risk driver, (v) establishing operational risk limits that are aligned with the tolerances, (vi) assigning risk limit quantification and mitigation responsibilities to individual team members within functional groups, (vii) analyzing the potential qualitative and quantitative impact of individual risks, including but not limited to stress and scenario testing covering over eight economic and insurance related risks, (viii) mitigating risks by appropriate actions and (ix) identifying, documenting and communicating key business risks in a timely fashion.</w:t>
      </w:r>
    </w:p>
    <w:p>
      <w:pPr>
        <w:spacing w:after="0" w:line="5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responsibility for monitoring, evaluating and responding to risk is assigned first to our management and employees, second to those occupying specialist functions, such as legal compliance and risk teams, and third to those occupying supervisory functions, such as internal audit and the board of directors.</w:t>
      </w:r>
    </w:p>
    <w:p>
      <w:pPr>
        <w:spacing w:after="0" w:line="46" w:lineRule="exact"/>
        <w:rPr>
          <w:sz w:val="20"/>
          <w:szCs w:val="20"/>
          <w:color w:val="auto"/>
        </w:rPr>
      </w:pPr>
    </w:p>
    <w:p>
      <w:pPr>
        <w:jc w:val="both"/>
        <w:ind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Reinsurance. </w:t>
      </w:r>
      <w:r>
        <w:rPr>
          <w:rFonts w:ascii="Times New Roman" w:cs="Times New Roman" w:eastAsia="Times New Roman" w:hAnsi="Times New Roman"/>
          <w:sz w:val="18"/>
          <w:szCs w:val="18"/>
          <w:color w:val="auto"/>
        </w:rPr>
        <w:t>Within our F&amp;G segment, we cede insurance to other insurance companies. We use reinsurance to diversify risks and earnings,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exposures, to enhance our capital position, and to manage new business volume. The effects of certain reinsurance agreements are not accounted for as reinsurance as they do not reinsure insurance contracts or they do not transfer the risks of the reinsured policies.</w:t>
      </w:r>
    </w:p>
    <w:p>
      <w:pPr>
        <w:spacing w:after="0" w:line="48"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In instances where we are the ceding company, we pay a premium to a reinsurer in exchange for the reinsurer assuming a portion of our liabilities under the policies we issued and collect expense allowances in return for our administration of the ceded policies. Use of reinsurance does not discharge our liability as the ceding company because we remain directly liable to our policyholders and are required to pay the full amount of our policy obligations in the event that our reinsurers fail to satisfy their obligations. We collect reimbursement from our reinsurers when we pay claims on policies that are reinsured.</w:t>
      </w:r>
    </w:p>
    <w:p>
      <w:pPr>
        <w:spacing w:after="0" w:line="2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monitor the credit risk related to the ability of our reinsurers to honor their obligations under various agreements. To minimize the risk of credit loss on such contracts, we generally diversify our exposures among many reinsurers and limit the amount of exposure to each based on financial strength ratings, which are reviewed annually. We are able to further manage risk with various forms of collateral or collateral arrangements, including secured trusts, funds withheld arrangements and irrevocable letters of credit.</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“Item 7A. Quantitative and Qualitative Disclosures About Market Risk” for further discussion on credit risk and counterparty risk.</w:t>
      </w:r>
    </w:p>
    <w:p>
      <w:pPr>
        <w:spacing w:after="0" w:line="8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“Item 1A. Risk Factors” for further discussion of credit risk related to reinsurance agreements. A description of significant ceded reinsurance transactions appears below.</w:t>
      </w:r>
    </w:p>
    <w:p>
      <w:pPr>
        <w:spacing w:after="0" w:line="36"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Wilton Reinsurance Transaction. </w:t>
      </w:r>
      <w:r>
        <w:rPr>
          <w:rFonts w:ascii="Times New Roman" w:cs="Times New Roman" w:eastAsia="Times New Roman" w:hAnsi="Times New Roman"/>
          <w:sz w:val="18"/>
          <w:szCs w:val="18"/>
          <w:color w:val="auto"/>
        </w:rPr>
        <w:t>Almost all of the life insurance policies in force issued before March 1, 2010, except for the return of premium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term life insurance products, are subject to a reinsurance arrangement with Wilton Reassurance Company (“Wilton Re”). Pursuant to the agreed upon terms, Wilton Re purchased through a 100% quota share reinsurance agreement certain FGL Insurance life insurance policies that are subject to redundant reserves, reported on a statutory basis, under Regulation XXX and Guideline AXXX, as well as another block of FGL Insurance’s in-force traditional, universal life and IUL insurance policies. The effects of this agreement are accounted for as reinsurance as the ceded policies qualify as insurance products and because the agreement satisfies the risk transfer requirements for GAAP.</w:t>
      </w:r>
    </w:p>
    <w:p>
      <w:pPr>
        <w:spacing w:after="0" w:line="5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Hannover Reinsurance Transaction</w:t>
      </w:r>
      <w:r>
        <w:rPr>
          <w:rFonts w:ascii="Times New Roman" w:cs="Times New Roman" w:eastAsia="Times New Roman" w:hAnsi="Times New Roman"/>
          <w:sz w:val="18"/>
          <w:szCs w:val="18"/>
          <w:color w:val="auto"/>
        </w:rPr>
        <w:t>. FGL Insurance has a reinsurance agreement with Hannover Life Reassurance Company of America (Bermuda)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unaffiliated reinsurer, to reinsure an in-force block of its FIA and fixed deferred annuity contracts with GMWB and Guaranteed Minimum Death Benefit (“GMDB”) guarantees. In accordance with the terms of this agreement, we cede 70% net retention of secondary guarantee payments in excess of account value for GMWB and GMDB guarantees. The effects of this agreement are not accounted for as reinsurance as it does not satisfy the risk transfer requirements for GAAP; therefore, deposit accounting is applied.</w:t>
      </w:r>
    </w:p>
    <w:p>
      <w:pPr>
        <w:spacing w:after="0" w:line="54"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Kubera Reinsurance Transaction. </w:t>
      </w:r>
      <w:r>
        <w:rPr>
          <w:rFonts w:ascii="Times New Roman" w:cs="Times New Roman" w:eastAsia="Times New Roman" w:hAnsi="Times New Roman"/>
          <w:sz w:val="18"/>
          <w:szCs w:val="18"/>
          <w:color w:val="auto"/>
        </w:rPr>
        <w:t>FGL Insurance has a reinsurance agreement with Kubera Insurance (SAC) Ltd. (“Kubera”), an unaffiliated reinsurer,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cede a quota share of certain FIA statutory reserves on a coinsurance funds withheld basis, net of applicable existing reinsurance. The effects of this agreement are not accounted for as reinsurance as it does not satisfy the risk transfer requirements for GAAP; therefore, deposit accounting is applied and FGL Insurance applies the right of offset in the reinsurance agreement.</w:t>
      </w:r>
    </w:p>
    <w:p>
      <w:pPr>
        <w:spacing w:after="0" w:line="5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To enhance Kubera's ability to pay its obligations under the amended reinsurance agreement, F&amp;G entered into a Variable Note Purchase Agreement (the “NPA”), whereby F&amp;G agreed to fund a note to Kubera to be used to ultimately settle with F&amp;G, with principal increases up to a maximum amount of $300 million, to the extent a potential funding shortfall (treaty assets are less than the total funding requirement) is projected relative to the business ceded to Kubera from F&amp;G as part of the amended reinsurance agreement. The potential funding shortfall will be determined quarterly and, among other items, is impacted by the market value of the assets in the funds withheld account related to the reinsurance agreement and Kubera's capital as calculated on a Bermuda regulatory basis. The NPA matures on November 30, 2071. Based on the current level of the treaty assets and projections that these policies will be profitable over the lifetime of the agreement, we do not expect significant fundings to occur under the NPA. As of December 31, 2023, and December 31, 2022, the amount funded under the NPA was insignificant.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Kubera &amp; Somerset Reinsurance Transactions. </w:t>
      </w:r>
      <w:r>
        <w:rPr>
          <w:rFonts w:ascii="Times New Roman" w:cs="Times New Roman" w:eastAsia="Times New Roman" w:hAnsi="Times New Roman"/>
          <w:sz w:val="18"/>
          <w:szCs w:val="18"/>
          <w:color w:val="auto"/>
        </w:rPr>
        <w:t>FGL Insurance entered into a reinsurance agreement with Kubera, effective December 31, 2018, to cede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fixed rate annuity (including MYGA) GAAP and statutory reserves on a coinsurance funds withheld basis, net of applicable existing reinsurance. Effective October 31, 2021, this agreement was novated from Kubera to Somerset Reinsurance Ltd. (“Somerset”), a certified third-party reinsurer. Effective December 1, 2023, FGL Insurance executed an additional coinsurance funds withheld agreement with Somerset to cede certain flow MYGA business written effective on or after December 1, 2023. As the policies ceded to Somerset are investment contracts, there is no significant insurance risk present and the reinsurance agreements are accounted for as separate investment contracts.</w:t>
      </w:r>
    </w:p>
    <w:p>
      <w:pPr>
        <w:spacing w:after="0" w:line="2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Everlake Reinsurance Transaction. </w:t>
      </w:r>
      <w:r>
        <w:rPr>
          <w:rFonts w:ascii="Times New Roman" w:cs="Times New Roman" w:eastAsia="Times New Roman" w:hAnsi="Times New Roman"/>
          <w:sz w:val="18"/>
          <w:szCs w:val="18"/>
          <w:color w:val="auto"/>
        </w:rPr>
        <w:t>Effective September 1, 2023, FGL Insurance executed a coinsurance agreement with Everlake Life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(“Everlake”), an unaffiliated reinsurer to cede, on a quota share basis, certain flow MYGA business written effective on or after September 1, 2023. As the policies ceded to Everlake are investment contracts, there is no significant insurance risk present and the effects of this agreement are accounted for as a separate investment contract.</w:t>
      </w:r>
    </w:p>
    <w:p>
      <w:pPr>
        <w:spacing w:after="0" w:line="48"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Aspida Reinsurance Transaction. </w:t>
      </w:r>
      <w:r>
        <w:rPr>
          <w:rFonts w:ascii="Times New Roman" w:cs="Times New Roman" w:eastAsia="Times New Roman" w:hAnsi="Times New Roman"/>
          <w:sz w:val="18"/>
          <w:szCs w:val="18"/>
          <w:color w:val="auto"/>
        </w:rPr>
        <w:t>FGL Insurance has a reinsurance agreement with ASPIDA Life Re Ltd. (“Aspida Re”), an unaffiliated reinsurer, to cede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flow MYGA business, on a funds withheld coinsurance basis, net of applicable existing reinsurance, written effective on or after January 15, 2021. As the policies ceded to Aspida Re are investment contracts, there is no significant insurance risk present and therefore the reinsurance agreement is accounted for as a separate investment contract.</w:t>
      </w:r>
    </w:p>
    <w:p>
      <w:pPr>
        <w:spacing w:after="0" w:line="4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New Re Reinsurance Transaction. </w:t>
      </w:r>
      <w:r>
        <w:rPr>
          <w:rFonts w:ascii="Times New Roman" w:cs="Times New Roman" w:eastAsia="Times New Roman" w:hAnsi="Times New Roman"/>
          <w:sz w:val="18"/>
          <w:szCs w:val="18"/>
          <w:color w:val="auto"/>
        </w:rPr>
        <w:t>Effective December 31, 2022, FGL Insurance entered into an indemnity reinsurance agreement with New Reinsurance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Ltd., an unaffiliated reinsurer and wholly owned subsidiary of Münchener Rückversicherungs-Gesellschaft Aktiengesellschaft in München (d/b/a Munich Re), to cede certain FIA policies. Effective July 1, 2023, this agreement was amended to reinsure additional FIA products. The coinsurance quota share is only applicable to the base contract benefits under the FIA policies. The yearly renewable term is applicable to the waiver of surrender charges and return of premium. The effects of this agreement are not accounted for as reinsurance as it does not satisfy the risk transfer requirements for GAAP; therefore, deposit accounting is applied and FGL Insurance applies the right of offset in the reinsurance agreement.</w:t>
      </w:r>
    </w:p>
    <w:p>
      <w:pPr>
        <w:spacing w:after="0" w:line="54" w:lineRule="exact"/>
        <w:rPr>
          <w:sz w:val="20"/>
          <w:szCs w:val="20"/>
          <w:color w:val="auto"/>
        </w:rPr>
      </w:pPr>
    </w:p>
    <w:p>
      <w:pPr>
        <w:jc w:val="both"/>
        <w:ind w:firstLine="434"/>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The CARVM Facility. </w:t>
      </w:r>
      <w:r>
        <w:rPr>
          <w:rFonts w:ascii="Times New Roman" w:cs="Times New Roman" w:eastAsia="Times New Roman" w:hAnsi="Times New Roman"/>
          <w:sz w:val="16"/>
          <w:szCs w:val="16"/>
          <w:color w:val="auto"/>
        </w:rPr>
        <w:t>Life insurance companies operating in the United States must calculate required reserves for life and annuity policies based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statutory principles. The insurance divisions have adopted the methodology contained in the NAIC Valuation Manual as the prescribed methodology for the insurance industry. The industry has reduced or eliminated redundancies thereby increasing capital using a variety of techniques including reserve facilities.</w:t>
      </w:r>
    </w:p>
    <w:p>
      <w:pPr>
        <w:spacing w:after="0" w:line="1"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F&amp;G has a reinsurance treaty with Raven Reinsurance Company (“Raven Re”), its wholly owned captive reinsurance company, to cede the Commissioners Annuity Reserve Valuation Method (“CARVM”) liability for annuity benefits where surrender charges are waived related to certain FIA, DA and MYGA policies. In connection with the CARVM reinsurance agreement, FGL Insurance and Raven Re entered into an agreement with Nomura Bank International plc (“NBI”) to establish a reserve financing facility in the form of a letter of credit issued by NBI. The financing facility has $200 million available to draw on as of December 31, 2023. The amended facility may terminate earlier than the current termination date of October 1, 2027, in accordance with the terms of the reimbursement agreement. Under the terms of the reimbursement agreement, in the event the letter of credit is drawn upon, Raven Re is required to repay the amounts utilized, and FGAL is obligated to repay the amounts utilized if Raven Re fails to make the required reimbursement. Under the terms of the agreement, FGAL is also required to make a capital contribution to Raven Re in certain circumstances, including in the event that Raven Re’s statutory capital and surplus falls below defined levels. As of December 31, 2023, and December 31, 2022, no capital contributions were required to be made due to these conditions. As this letter of credit is provided by an unaffiliated financial institution, Raven Re is permitted to carry the letter of credit as an admitted asset on the Raven Re statutory balance sheet.</w:t>
      </w:r>
    </w:p>
    <w:p>
      <w:pPr>
        <w:spacing w:after="0" w:line="33" w:lineRule="exact"/>
        <w:rPr>
          <w:sz w:val="20"/>
          <w:szCs w:val="20"/>
          <w:color w:val="auto"/>
        </w:rPr>
      </w:pPr>
    </w:p>
    <w:p>
      <w:pPr>
        <w:jc w:val="both"/>
        <w:ind w:firstLine="316"/>
        <w:spacing w:after="0" w:line="280" w:lineRule="auto"/>
        <w:rPr>
          <w:sz w:val="20"/>
          <w:szCs w:val="20"/>
          <w:color w:val="auto"/>
        </w:rPr>
      </w:pPr>
      <w:r>
        <w:rPr>
          <w:rFonts w:ascii="Times New Roman" w:cs="Times New Roman" w:eastAsia="Times New Roman" w:hAnsi="Times New Roman"/>
          <w:sz w:val="16"/>
          <w:szCs w:val="16"/>
          <w:i w:val="1"/>
          <w:iCs w:val="1"/>
          <w:color w:val="auto"/>
        </w:rPr>
        <w:t>GMWB/GWP Reinsurance Transaction</w:t>
      </w:r>
      <w:r>
        <w:rPr>
          <w:rFonts w:ascii="Times New Roman" w:cs="Times New Roman" w:eastAsia="Times New Roman" w:hAnsi="Times New Roman"/>
          <w:sz w:val="16"/>
          <w:szCs w:val="16"/>
          <w:color w:val="auto"/>
        </w:rPr>
        <w:t>. Effective December 31, 2023, FGL Insurance recaptured its reinsurance arrangement with Canada Life Assurance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(“Canada Life”) United States Branch covering FIA policies with GMWB and guaranteed withdrawal payment (“GWP”) features and entered into a reinsurance treaty with Corbeau Re, Inc. (“Corbeau Re”), its wholly owned captive reinsurance company, to cede certain FIA policies with GMWB and GWP. In accordance with the terms of this agreement, FGL Insurance cedes a 100% quota share of GMWB and GWP paid in excess of account value. In connection with the reinsurance agreement between FGL Insurance and Corbeau Re, Corbeau Re entered into an excess of loss reinsurance agreement (“XOL”) with Canada Life Barbados Branch to finance the portion of statutory reserves considered to be non-economic. The XOL matures on December 31, 2043, and provides for coverage on losses up to $1.5 billion as of December 31, 2023. With Corbeau Re, non-economic reserves were financed through the maturity date of the XOL and statutory reserves are recorded for all risks expected to be incurred after the maturity date of the XOL. The XOL is not accounted for as reinsurance as it does not satisfy the risk transfer requirements for GAAP; therefore, deposit accounting is applied. Under the terms of the agreement, FGAL is required to make a capital contribution to Corbeau Re in certain circumstances, including in the event that Corbeau Re’s statutory capital and surplus falls below defined levels. As of December 31, 2023, no capital contributions were required to be made due to these conditions. Corbeau Re is permitted to account for the excess of loss reinsurance agreement from Canada Life as an admitted asset on the Corbeau Re statutory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i w:val="1"/>
          <w:iCs w:val="1"/>
          <w:color w:val="auto"/>
        </w:rPr>
        <w:t>PRT Reinsurance Transaction</w:t>
      </w:r>
      <w:r>
        <w:rPr>
          <w:rFonts w:ascii="Times New Roman" w:cs="Times New Roman" w:eastAsia="Times New Roman" w:hAnsi="Times New Roman"/>
          <w:sz w:val="18"/>
          <w:szCs w:val="18"/>
          <w:color w:val="auto"/>
        </w:rPr>
        <w:t>. Effective October 1, 2023, FGL Insurance recaptured a reinsurance agreement with its affiliate F&amp;G Life Re Ltd. (“F&amp;G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Re”), a Bermuda reinsurer, covering a quota share of certain pension risk transfer group annuity contracts and entered into an agreement with its affiliate F&amp;G Cayman Re Ltd. (“F&amp;G Cayman Re”), a Cayman Islands reinsurer, to reinsure a quota share of certain pension risk transfer group annuity contracts (previously ceded to F&amp;G Life Re) in addition to flow pension risk transfer group annuity contracts. Some of the contracts reinsured are held by FGL Insurance’s general account and others are held by a FGL Insurance separate account (which does not meet the GAAP definition of a separate account). Reinsurance of the general account contracts are maintained on a coinsurance funds withheld basis for the general account statutory reserves. Reinsurance of the separate account contracts are maintained on a modified coinsurance basis for the separate account statutory reserves and coinsurance basis for the general account statutory reserves supporting the separate account. In connection with the agreement, F&amp;G Cayman Re entered into a financing agreement with Deutsche Bank AG (“DB”), operating out of its New York branch, whereby DB issued a letter of credit used to support the coinsured general account statutory reserves (generally considered to be the non-economic reserves).</w:t>
      </w:r>
    </w:p>
    <w:p>
      <w:pPr>
        <w:spacing w:after="0" w:line="54"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Regulation - U.S. </w:t>
      </w:r>
      <w:r>
        <w:rPr>
          <w:rFonts w:ascii="Times New Roman" w:cs="Times New Roman" w:eastAsia="Times New Roman" w:hAnsi="Times New Roman"/>
          <w:sz w:val="18"/>
          <w:szCs w:val="18"/>
          <w:color w:val="auto"/>
        </w:rPr>
        <w:t>FGL Insurance, FGL NY Insurance, Raven Re and Corbeau Re are subject to comprehensive regulation and supervision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domiciles, Iowa, New York, Vermont and Vermont, respectively, and in each state in which they do business. FGL Insurance does business throughout the United States and Puerto Rico, except for New York. FGL NY Insurance only does business in New York. Raven Re is a special purpose captive reinsurance company that only provides reinsurance to FGL Insurance under the CARVM Treaty. Corbeau Re, a wholly owned captive reinsurance company, reinsures certain of FGL Insurance’s FIA policies with GMWB and GWP. FGL Insurance’s principal insurance regulatory authority is the IID; however, state insurance departments throughout the United States also monitor FGL Insurance’s insurance operations as a licensed insurer. The New York State Department of Financial Services (“NYDFS”) regulates the operations of FGL NY Insurance. The purpose of these regulations is primarily to protect insurers’ policyholders and beneficiaries and not their general creditors and shareholders of those insurers or of their holding companies. Many of the laws and regulations to which FGL Insurance and FGL NY Insurance are subject are regularly re-examined and existing or future laws and regulations may become more restrictive or otherwise adversely affect their operations.</w:t>
      </w:r>
    </w:p>
    <w:p>
      <w:pPr>
        <w:spacing w:after="0" w:line="56" w:lineRule="exact"/>
        <w:rPr>
          <w:sz w:val="20"/>
          <w:szCs w:val="20"/>
          <w:color w:val="auto"/>
        </w:rPr>
      </w:pPr>
    </w:p>
    <w:p>
      <w:pPr>
        <w:jc w:val="both"/>
        <w:ind w:firstLine="434"/>
        <w:spacing w:after="0" w:line="326" w:lineRule="auto"/>
        <w:rPr>
          <w:sz w:val="20"/>
          <w:szCs w:val="20"/>
          <w:color w:val="auto"/>
        </w:rPr>
      </w:pPr>
      <w:r>
        <w:rPr>
          <w:rFonts w:ascii="Times New Roman" w:cs="Times New Roman" w:eastAsia="Times New Roman" w:hAnsi="Times New Roman"/>
          <w:sz w:val="16"/>
          <w:szCs w:val="16"/>
          <w:color w:val="auto"/>
        </w:rPr>
        <w:t>Generally, insurance products underwritten by, and rates used by FGL Insurance and FGL NY Insurance must be approved by the insurance regulators in each state in which they are sold. In addition, insurance products may also be subject to the Employee Retirement Income Security Act of 1974 ("ERISA").</w:t>
      </w: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State insurance authorities have broad administrative powers over FGL Insurance and FGL NY Insurance with respect to all aspects of the insurance business including:</w:t>
      </w:r>
    </w:p>
    <w:p>
      <w:pPr>
        <w:spacing w:after="0" w:line="38" w:lineRule="exact"/>
        <w:rPr>
          <w:sz w:val="20"/>
          <w:szCs w:val="20"/>
          <w:color w:val="auto"/>
        </w:rPr>
      </w:pPr>
    </w:p>
    <w:p>
      <w:pPr>
        <w:ind w:left="640" w:hanging="20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to transact business;</w:t>
      </w:r>
    </w:p>
    <w:p>
      <w:pPr>
        <w:spacing w:after="0" w:line="82"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agents;</w:t>
      </w:r>
    </w:p>
    <w:p>
      <w:pPr>
        <w:spacing w:after="0" w:line="82"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prescribing which assets and liabilities are to be considered in determining statutory surplus;</w:t>
      </w:r>
    </w:p>
    <w:p>
      <w:pPr>
        <w:spacing w:after="0" w:line="82"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premium rates for certain insurance products;</w:t>
      </w:r>
    </w:p>
    <w:p>
      <w:pPr>
        <w:spacing w:after="0" w:line="82"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policy forms and certain related materials;</w:t>
      </w:r>
    </w:p>
    <w:p>
      <w:pPr>
        <w:spacing w:after="0" w:line="82" w:lineRule="exact"/>
        <w:rPr>
          <w:rFonts w:ascii="Times New Roman" w:cs="Times New Roman" w:eastAsia="Times New Roman" w:hAnsi="Times New Roman"/>
          <w:sz w:val="18"/>
          <w:szCs w:val="18"/>
          <w:color w:val="auto"/>
        </w:rPr>
      </w:pPr>
    </w:p>
    <w:p>
      <w:pPr>
        <w:ind w:left="640" w:hanging="200"/>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insurers and agents to act in the best interests of consumers when making recommendations to purchase annuities, or to determine whether a reasonable basis exists as to the suitability of such investments for consumers;</w:t>
      </w:r>
    </w:p>
    <w:p>
      <w:pPr>
        <w:spacing w:after="0" w:line="37"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unfair trade and claims practices;</w:t>
      </w:r>
    </w:p>
    <w:p>
      <w:pPr>
        <w:spacing w:after="0" w:line="82"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reserve requirements and solvency standards;</w:t>
      </w:r>
    </w:p>
    <w:p>
      <w:pPr>
        <w:spacing w:after="0" w:line="82"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the amount of dividends that may be paid in any year;</w:t>
      </w:r>
    </w:p>
    <w:p>
      <w:pPr>
        <w:spacing w:after="0" w:line="82" w:lineRule="exact"/>
        <w:rPr>
          <w:rFonts w:ascii="Times New Roman" w:cs="Times New Roman" w:eastAsia="Times New Roman" w:hAnsi="Times New Roman"/>
          <w:sz w:val="18"/>
          <w:szCs w:val="18"/>
          <w:color w:val="auto"/>
        </w:rPr>
      </w:pPr>
    </w:p>
    <w:p>
      <w:pPr>
        <w:ind w:left="640" w:hanging="200"/>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the availability of reinsurance or other substitute financing solutions, the terms thereof and the ability of an insurer to take credit on its financial statements for insurance ceded to reinsurers or other substitute financing solutions;</w:t>
      </w:r>
    </w:p>
    <w:p>
      <w:pPr>
        <w:spacing w:after="0" w:line="37"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maximum interest rates on life insurance policy loans and minimum accumulation or surrender values; and</w:t>
      </w:r>
    </w:p>
    <w:p>
      <w:pPr>
        <w:spacing w:after="0" w:line="82" w:lineRule="exact"/>
        <w:rPr>
          <w:rFonts w:ascii="Times New Roman" w:cs="Times New Roman" w:eastAsia="Times New Roman" w:hAnsi="Times New Roman"/>
          <w:sz w:val="18"/>
          <w:szCs w:val="18"/>
          <w:color w:val="auto"/>
        </w:rPr>
      </w:pPr>
    </w:p>
    <w:p>
      <w:pPr>
        <w:ind w:left="640" w:hanging="20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the type, amounts, and valuations of investments permitted, transactions with affiliates, and other matters.</w:t>
      </w:r>
    </w:p>
    <w:p>
      <w:pPr>
        <w:spacing w:after="0" w:line="8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State insurance laws and regulations require FGL Insurance, FGL NY Insurance, Raven Re and Corbeau Re to file reports, including financial statements, with state insurance departments in each state in which they do business, and their operations and accounts are subject to examination by those departments at any time. FGL Insurance, FGL NY Insurance, Raven Re and Corbeau Re prepare statutory financial statements in accordance with accounting practices and procedures prescribed or permitted by these departments.</w:t>
      </w:r>
    </w:p>
    <w:p>
      <w:pPr>
        <w:spacing w:after="0" w:line="5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NAIC has approved a series of statutory accounting principles and various model regulations that have been adopted, in some cases with certain modifications, by all state insurance departments. These statutory principles are subject to ongoing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change and modification. Moreover, compliance with any particular regulator’s interpretation of a legal or accounting issue may not result in compliance with another regulator’s interpretation of the same issue, particularly when compliance is judged in hindsight. Any particular regulator’s interpretation of a legal or accounting issue may change over time to FGL Insurance’s, FGL NY Insurance’s, Raven Re’s or Corbeau Re’s detriment, or changes to the overall legal or market environment, even absent any change of interpretation by a particular regulator, may cause FGL Insurance, FGL NY Insurance, Raven Re and Corbeau Re to change their views regarding the actions they need to take from a legal risk management perspective, which could necessitate changes to FGL Insurance’s, FGL NY Insurance’s, Raven Re’s or Corbeau Re’s practices that may, in some cases, limit their ability to grow and improve profitability.</w:t>
      </w:r>
    </w:p>
    <w:p>
      <w:pPr>
        <w:spacing w:after="0" w:line="54"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State insurance departments conduct periodic examinations of the books and records, financial reporting, policy and rate filings, market conduct and business practices of insurance companies domiciled in their states, generally once every three to five years. Examinations are generally carried out in cooperation with the insurance departments of other states under guidelines promulgated by the NAIC. State insurance departments also have the authority to conduct examinations of non-domiciliary insurers that are licensed in their states.</w:t>
      </w:r>
    </w:p>
    <w:p>
      <w:pPr>
        <w:spacing w:after="0" w:line="5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Iowa insurance law and the New York insurance law regulate the amount of dividends that may be paid in any year by FGL Insurance and FGL NY Insurance, respectively.</w:t>
      </w:r>
    </w:p>
    <w:p>
      <w:pPr>
        <w:spacing w:after="0" w:line="38"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Each year, FGL NY Insurance may pay a certain limited amount of ordinary dividends or other distributions without being required to obtain the prior consent of or the NYDFS. However, to pay any dividends or distributions (including the payment of any dividends or distributions for which prior consent is not required), FGL NY Insurance must provide advance written notice to the NYDFS.</w:t>
      </w:r>
    </w:p>
    <w:p>
      <w:pPr>
        <w:spacing w:after="0" w:line="48"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Pursuant to Iowa insurance law, ordinary dividends are payments, together with all other such payments within the preceding twelve months, that do not exceed the greater of (i) 10% of FGL Insurance’s statutory surplus as regards policyholders as of December 31 of the preceding year; or (ii) the net gain from operations of FGL Insurance (excluding realized capital gains) for the 12-month period ending December 31 of the preceding year.</w:t>
      </w:r>
    </w:p>
    <w:p>
      <w:pPr>
        <w:spacing w:after="0" w:line="48"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Dividends in excess of FGL Insurance’s ordinary dividend capacity are referred to as extraordinary and require prior approval of the Iowa Commissioner. In deciding whether to approve a request to pay an extraordinary dividend, Iowa insurance law requires the Iowa Commissioner to consider the effect of the dividend payment on FGL Insurance’s surplus and financial condition generally and whether the payment of the dividend will cause FGL Insurance to fail to meet its required risk-based capital ("RBC") ratio. Dividends may only be paid out of statutory earned surplus.</w:t>
      </w:r>
    </w:p>
    <w:p>
      <w:pPr>
        <w:spacing w:after="0" w:line="78" w:lineRule="exact"/>
        <w:rPr>
          <w:sz w:val="20"/>
          <w:szCs w:val="20"/>
          <w:color w:val="auto"/>
        </w:rPr>
      </w:pPr>
    </w:p>
    <w:p>
      <w:pPr>
        <w:jc w:val="both"/>
        <w:ind w:firstLine="434"/>
        <w:spacing w:after="0" w:line="286" w:lineRule="auto"/>
        <w:rPr>
          <w:sz w:val="20"/>
          <w:szCs w:val="20"/>
          <w:color w:val="auto"/>
        </w:rPr>
      </w:pPr>
      <w:r>
        <w:rPr>
          <w:rFonts w:ascii="Times New Roman" w:cs="Times New Roman" w:eastAsia="Times New Roman" w:hAnsi="Times New Roman"/>
          <w:sz w:val="16"/>
          <w:szCs w:val="16"/>
          <w:color w:val="auto"/>
        </w:rPr>
        <w:t>Any payment of dividends by FGL Insurance is subject to the regulatory restrictions described above and the approval of such payment by the board of directors of FGL Insurance, which must consider various factors, including general economic and business conditions, tax considerations, FGL Insurance’s strategic plans, financial results and condition, FGL Insurance’s expansion plans, any contractual, legal or regulatory restrictions on the payment of dividends and its effect on RBC and such other factors the board of directors of FGL Insurance considers relevant. For example, payments of dividends could reduce FGL Insurance’s RBC and financial condition and lead to a reduction in FGL Insurance’s financial strength rating. See section titled "Risks Relating to Our Business- If the rating agencies downgrade our insurance companies, our results of operations and financial condition may suffer.” in Item 1A. Risk Factors.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FGL NY Insurance has historically not paid dividends.</w:t>
      </w:r>
    </w:p>
    <w:p>
      <w:pPr>
        <w:spacing w:after="0" w:line="8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FGL Insurance and FGL NY Insurance are subject to the supervision of the regulators in states where they are licensed to transact business. Regulators have discretionary authority in connection with the continuing licensing of these entities to limit or prohibit sales to policyholders if, in their judgment, the regulators determine that such entities have not maintained the minimum surplus or capital or that the further transaction of business will be hazardous to policyholders.</w:t>
      </w:r>
    </w:p>
    <w:p>
      <w:pPr>
        <w:spacing w:after="0" w:line="52" w:lineRule="exact"/>
        <w:rPr>
          <w:sz w:val="20"/>
          <w:szCs w:val="20"/>
          <w:color w:val="auto"/>
        </w:rPr>
      </w:pPr>
    </w:p>
    <w:p>
      <w:pPr>
        <w:jc w:val="both"/>
        <w:ind w:firstLine="434"/>
        <w:spacing w:after="0" w:line="281" w:lineRule="auto"/>
        <w:rPr>
          <w:sz w:val="20"/>
          <w:szCs w:val="20"/>
          <w:color w:val="auto"/>
        </w:rPr>
      </w:pPr>
      <w:r>
        <w:rPr>
          <w:rFonts w:ascii="Times New Roman" w:cs="Times New Roman" w:eastAsia="Times New Roman" w:hAnsi="Times New Roman"/>
          <w:sz w:val="16"/>
          <w:szCs w:val="16"/>
          <w:color w:val="auto"/>
        </w:rPr>
        <w:t>In order to enhance the regulation of insurers’ solvency, the NAIC adopted a model law to implement RBC requirements for life, health and property and casualty insurance companies. All states have adopted the NAIC’s model law or a substantially similar law. RBC is used to evaluate the adequacy of capital and surplus maintained by an insurance company in relation to risks associated with: (i) asset risk, (ii) insurance risk, (iii) interest rate risk, and (iv) business risk. In general, RBC is calculated by applying factors to various asset, premium and reserve items, taking into account the risk characteristics of the insurer. Within a given risk category, these factors are higher for those items with greater underlying risk and lower for items with lower underlying risk. The RBC formula is used as an early warning regulatory tool to identify possible inadequately capitalized insurers for purposes of initiating regulatory action, and not as a means to rank insurers generally. Insurers that have less statutory capital than the RBC calculation requires are considered to have inadequate capital and are subject to varying degrees of regulatory action depending upon the level of capital inadequacy. As of the most recent annual statutory financial statements filed with insurance regulators, the RBC ratios for FGL Insurance and FGL NY Insurance each exceeded the minimum RBC requirements.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It is desirable to maintain an RBC ratio in excess of the minimum requirements in order to maintain or improve financial strength ratings. FGL Insurance's estimated U.S. RBC ratio was approximately 451% target for the year ended December 31, 2023. See section titled “Risks Relating to Our Business- If the rating agencies downgrade our insurance companies, our results of operations and financial condition may suffer.” in Item 1A. Risk Factors.</w:t>
      </w:r>
    </w:p>
    <w:p>
      <w:pPr>
        <w:spacing w:after="0" w:line="14"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The NAIC has developed a set of financial relationships or tests known as the Insurance Regulatory Information System ("IRIS") to assist state regulators in monitoring the financial condition of U.S. insurance companies and identifying companies that require special attention or action by insurance regulatory authorities. A ratio falling outside the prescribed “usual range” is not considered a failing result. Rather, unusual values are viewed as part of the regulatory early monitoring system. In many cases, it is not unusual for financially sound companies to have one or more ratios that fall outside the usual range. Insurance companies generally submit data annually to the NAIC, which in turn analyzes the data using prescribed financial data ratios, each with defined “usual ranges”. Generally, regulators will begin to investigate or monitor an insurance company if its ratios fall outside the usual ranges for four or more of the ratios. IRIS consists of a statistical phase and an analytical phase whereby financial examiners review insurers’ annual statements and financial ratios. The statistical phase consists of 12 key financial ratios based on year-end data that are generated from the NAIC database annually; each ratio has a “usual range” of results. As of December 31, 2023, FGL Insurance, FGL NY Insurance, Raven Re and Corbeau Re had four, one, two and three ratios outside the usual range, respectively. The IRIS ratios for net income to total income (including realized capital gains and losses), total affiliated investments to capital and surplus, change in premium and change in product mix for FGL Insurance were outside the usual range. The IRIS ratio for change in reserving ratio for FGL NY Insurance was outside the usual range. The IRIS ratios for adequacy of investment income and change in premium for Raven Re were outside the usual range. The IRIS ratios for net income to total income (including realized capital gains and losses), adequacy of investment income and surplus relief - Over $5 million capital and surplus for Corbeau Re were outside the usual range.</w:t>
      </w:r>
    </w:p>
    <w:p>
      <w:pPr>
        <w:spacing w:after="0" w:line="5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In all instances in prior years, regulators have been satisfied upon follow-up that no regulatory action was required. FGL Insurance, FGL NY Insurance, Raven Re and Corbeau Re are not currently subject to regulatory restrictions based on these ratios.</w:t>
      </w:r>
    </w:p>
    <w:p>
      <w:pPr>
        <w:spacing w:after="0" w:line="38"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State insurance laws require insurers to analyze the adequacy of reserves. The respective appointed actuaries for FGL Insurance, FGL NY Insurance, Raven Re and Corbeau Re must each submit an opinion on an annual basis that their respective reserves, when considered in light of the respective assets FGL Insurance, FGL NY Insurance, Raven Re and Corbeau Re hold with respect to those reserves, make adequate provision for the contractual obligations and related expenses of FGL Insurance, FGL NY Insurance, Raven Re and Corbeau Re. FGL Insurance, FGL NY Insurance, Raven Re and Corbeau Re have filed all of the required opinions with the insurance departments in the states in which they do business.</w:t>
      </w:r>
    </w:p>
    <w:p>
      <w:pPr>
        <w:spacing w:after="0" w:line="54" w:lineRule="exact"/>
        <w:rPr>
          <w:sz w:val="20"/>
          <w:szCs w:val="20"/>
          <w:color w:val="auto"/>
        </w:rPr>
      </w:pPr>
    </w:p>
    <w:p>
      <w:pPr>
        <w:jc w:val="both"/>
        <w:ind w:firstLine="434"/>
        <w:spacing w:after="0" w:line="280" w:lineRule="auto"/>
        <w:rPr>
          <w:sz w:val="20"/>
          <w:szCs w:val="20"/>
          <w:color w:val="auto"/>
        </w:rPr>
      </w:pPr>
      <w:r>
        <w:rPr>
          <w:rFonts w:ascii="Times New Roman" w:cs="Times New Roman" w:eastAsia="Times New Roman" w:hAnsi="Times New Roman"/>
          <w:sz w:val="16"/>
          <w:szCs w:val="16"/>
          <w:color w:val="auto"/>
        </w:rPr>
        <w:t>States regulate the extent to which insurers are permitted to take credit on their financial statements for the financial obligations that the insurers cede to reinsurers. Where an insurer cedes obligations to a reinsurer that is neither licensed nor accredited by the state insurance department, the ceding insurer is not permitted to take such financial statement credit unless the unlicensed or unaccredited reinsurer secures the liabilities it will owe under the reinsurance contract. Under the laws regulating credit for reinsurance issued by such unlicensed or unaccredited reinsurers, the permissible means of securing such liabilities are</w:t>
      </w:r>
    </w:p>
    <w:p>
      <w:pPr>
        <w:spacing w:after="0" w:line="1" w:lineRule="exact"/>
        <w:rPr>
          <w:sz w:val="20"/>
          <w:szCs w:val="20"/>
          <w:color w:val="auto"/>
        </w:rPr>
      </w:pPr>
    </w:p>
    <w:p>
      <w:pPr>
        <w:jc w:val="both"/>
        <w:ind w:firstLine="5"/>
        <w:spacing w:after="0" w:line="277" w:lineRule="auto"/>
        <w:tabs>
          <w:tab w:leader="none" w:pos="21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establishment of a trust account by the reinsurer to hold certain qualifying assets in a qualified U.S. financial institution, such as a member of the Federal Reserve, with the ceding insurer as the exclusive beneficiary of such trust account with the unconditional right to demand, without notice to the reinsurer, that the trustee pay over to it the assets in the trust account equal to the liabilities owed by the reinsurer; (ii) the posting of an unconditional and irrevocable letter of credit by a qualified U.S. financial institution in favor of the ceding company allowing the ceding company to draw upon the letter of credit up to the amount of the unpaid liabilities of the reinsurer and (iii) a “funds withheld” arrangement by which the ceding company withholds transfer to the reinsurer of the assets, which support the liabilities to be owed by the reinsurer, with the ceding insurer retaining title to and exclusive control over such assets. In addition, all U.S. states, including Iowa and New York, permit an insurer to take credit for reinsurance ceded to a non-U.S. reinsurer that posts collateral in amounts less than 100% of the reinsurer’s obligations if the reinsurer has been designated as a “certified reinsurer” and is domiciled in a country recognized by the state and the NAIC as a “Qualified Jurisdiction.” The reduced percentage of full collateral applied to a certified reinsurer is based upon an assessment of the reinsurer and its financial ratings. Iowa and New York both also recognize certain qualified non-U.S. insurers as reciprocal jurisdiction reinsurers such that ceding domestic insurers may receive credit for reinsurance ceded to such unauthorized reinsurers without the requirement for the reinsurer to provide collateral. FGL Insurance and FGL NY Insurance are subject to such credit for reinsurance rules in Iowa and New York, respectively, insofar as they enter into any reinsurance contracts with reinsurers that are neither licensed nor accredited in Iowa and New York, respectively, or recognized as a reciprocal reinsurer in such jurisdictions.</w:t>
      </w:r>
    </w:p>
    <w:p>
      <w:pPr>
        <w:spacing w:after="0" w:line="25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F&amp;G, as the indirect parent company of FGL Insurance and FGL NY Insurance, is subject to the insurance holding company laws in Iowa and New York. These laws generally require each insurance company directly or indirectly owned by the holding company to register with the insurance department in the insurance company’s state of domicile and to furnish annually financial and other information about the operations of companies within the holding company system. Generally, all</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transactions between insurers and affiliates within the holding company system are subject to regulation and must be fair and reasonable, and may require prior notice and approval or non-disapproval by its domiciliary insurance regulator.</w:t>
      </w:r>
    </w:p>
    <w:p>
      <w:pPr>
        <w:spacing w:after="0" w:line="38"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Most states, including Iowa and New York, have insurance laws that require regulatory approval of a direct or indirect change of control of an insurer or an insurer’s holding company. Such laws prevent any person from acquiring control, directly or indirectly, of F&amp;G, FGL US Holdings Inc. (“FGL US Holdings”), CF Bermuda Holdings Limited (“CF Bermuda”), FGLH, FGL Insurance or FGL NY Insurance or certain of their affiliates unless that person has filed a statement with specified information with the insurance regulators and has obtained their prior approval. In addition, investors deemed to have a direct or indirect controlling interest are required to make regulatory filings and respond to regulatory inquiries. Under most states’ statutes, including those of Iowa and New York, acquiring 10% or more of the voting stock of an insurance company or its parent company is presumptively considered a change of control, although such presumption may be rebutted. In addition, the insurance laws of Iowa and New York permit a determination of control in circumstances where the thresholds for the presumption of control have not been crossed. Similar laws apply to a direct or indirect change of ownership of Raven Re and Corbeau Re. Any person who is deemed to acquire control over F&amp;G, FNF, FGL US Holdings, CF Bermuda, FGLH, FGL Insurance, FGL NY Insurance, Raven Re, Corbeau Re or certain of their affiliates including any person who acquires 10% or more of our or FNF’s voting securities of FGL Insurance, FGL NY Insurance or certain of their affiliates, without the prior approval of the insurance regulators of Iowa and New York, will be in violation of those states’ laws and may be subject to injunctive action requiring the disposition or seizure of those securities by the relevant insurance regulator or prohibiting the voting of those securities and to other actions determined by the relevant insurance regulator.</w:t>
      </w:r>
    </w:p>
    <w:p>
      <w:pPr>
        <w:spacing w:after="0" w:line="58"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Each state has insurance guaranty association laws under which insurers doing business in the state may be assessed by state insurance guaranty associations for certain obligations of insolvent insurance companies to policyholders and claimants. Typically, states assess each member insurer in an amount related to the member insurer’s proportionate share of the business written by all member insurers in the state. Although no prediction can be made as to the amount and timing of any future assessments under these laws, FGL Insurance and FGL NY Insurance have established reserves that they believe are adequate for assessments relating to insurance companies that are currently subject to insolvency proceedings.</w:t>
      </w:r>
    </w:p>
    <w:p>
      <w:pPr>
        <w:spacing w:after="0" w:line="54" w:lineRule="exact"/>
        <w:rPr>
          <w:sz w:val="20"/>
          <w:szCs w:val="20"/>
          <w:color w:val="auto"/>
        </w:rPr>
      </w:pPr>
    </w:p>
    <w:p>
      <w:pPr>
        <w:jc w:val="both"/>
        <w:ind w:firstLine="434"/>
        <w:spacing w:after="0" w:line="284" w:lineRule="auto"/>
        <w:rPr>
          <w:sz w:val="20"/>
          <w:szCs w:val="20"/>
          <w:color w:val="auto"/>
        </w:rPr>
      </w:pPr>
      <w:r>
        <w:rPr>
          <w:rFonts w:ascii="Times New Roman" w:cs="Times New Roman" w:eastAsia="Times New Roman" w:hAnsi="Times New Roman"/>
          <w:sz w:val="16"/>
          <w:szCs w:val="16"/>
          <w:color w:val="auto"/>
        </w:rPr>
        <w:t>State insurance laws and regulations include numerous provisions governing the marketplace activities of insurers, including provisions governing the form and content of disclosure to consumers, illustrations, advertising, sales and complaint process practices. State regulatory authorities generally enforce these provisions through periodic market conduct examinations. In addition, FGL Insurance and FGL NY Insurance must file, and in many jurisdictions and for some lines of business obtain regulatory approval for, rates and forms relating to the insurance written in the jurisdictions in which they operate. FGL Insurance is currently the subject of four ongoing market conduct examinations in various states. Market conduct examinations can result in monetary fines or remediation and generally require FGL Insurance to devote significant resources to the management of such examinations. FGL Insurance does not believe that any of the current market conduct examinations it is subject to will result in any fines or remediation orders that will be material to its business.</w:t>
      </w:r>
    </w:p>
    <w:p>
      <w:pPr>
        <w:spacing w:after="0" w:line="29"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FGL Insurance, FGL NY Insurance, Raven Re and Corbeau Re are subject to state laws and regulations that require diversification of their investment portfolios and limit the amount of investments in certain asset categories, such as below investment grade fixed income securities, equity, real estate, other equity investments and derivatives. Failure to comply with these laws and regulations would cause investments exceeding regulatory limitations to be treated as either non-admitted assets for purposes of measuring surplus or as not qualified as an asset held for reserve purposes and, in some instances, would require divestiture or replacement of such non-qualifying investments. We believe that the investment portfolios of FGL Insurance, FGL NY Insurance, Raven Re and Corbeau Re as of December 31, 2023, complied in all material respects with such regulations.</w:t>
      </w:r>
    </w:p>
    <w:p>
      <w:pPr>
        <w:spacing w:after="0" w:line="54"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Our operations are subject to certain federal and state laws and regulations that require financial institutions and other businesses to protect the security and confidentiality of personal information, including health-related and customer information, and to notify customers and other individuals about their policies and practices relating to their collection and disclosure of health-related and customer information and their practices relating to protecting the security and confidentiality of such information. These laws and regulations require notice to affected individuals, law enforcement agencies, regulators and others if there is a breach of the security of certain personal information, including social security numbers, and require holders of certain personal information to protect the security of the data. Our operations are also subject to certain federal regulations that require financial institutions and creditors to implement effective programs to detect, prevent, and mitigate identity theft. In addition, our ability to make telemarketing calls and to send unsolicited e-mail or fax messages to consumers and customers and our uses of certain personal information, including consumer report information, are regulated. Federal and state governments and regulatory bodies may be expected to consider additional or more detailed regulation regarding these subjects and the privacy and security of personal information.</w:t>
      </w:r>
    </w:p>
    <w:p>
      <w:pPr>
        <w:spacing w:after="0" w:line="63"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Dodd-Frank Act made sweeping changes to the regulation of financial services entities, products and markets. Certain provisions of the Dodd-Frank Act are applicable to us, our competitors or those entities with which we do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These provisions may impact us in many ways, including, but not limited to, having an effect on the overall business climate, requiring the allocation of certain resources to government affairs, and increasing our legal and compliance related activities and the costs associated therewith.</w:t>
      </w:r>
    </w:p>
    <w:p>
      <w:pPr>
        <w:spacing w:after="0" w:line="38"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Under the Dodd-Frank Act, annuities that meet specific requirements, including requirements relating to certain state suitability rules, are specifically exempted from being treated as securities by the SEC. We believe that the types of FIAs that FGL Insurance and FGL NY Insurance sell will meet these requirements and, therefore, are exempt from being treated as securities by the SEC and state securities regulators. However, there can be no assurance that federal or state securities laws or state insurance laws and regulations will not be amended or interpreted to impose further requirements on FIAs. If FIAs were to be treated as securities, federal and state securities laws would require additional registration and licensing of these products and the agents selling them, and FGL Insurance and FGL NY Insurance would be required to seek additional marketing relationships for these products, any of which could impose significant restrictions on its ability to conduct operations as currently operated.</w:t>
      </w:r>
    </w:p>
    <w:p>
      <w:pPr>
        <w:spacing w:after="0" w:line="5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may offer certain insurance and annuity products to employee benefit plans governed by ERISA and/or the Internal Revenue Code (the "Code"), including group annuity contracts designated to fund tax-qualified retirement plans. ERISA and the Code provide (among other requirements) standards of conduct for employee benefit plan fiduciaries, including investment managers and investment advisers with respect to the assets of such plans, and holds fiduciaries liable if they fail to satisfy fiduciary standards of conduct.</w:t>
      </w:r>
    </w:p>
    <w:p>
      <w:pPr>
        <w:spacing w:after="0" w:line="52"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State and federal regulators have been adopting stronger consumer protection regulations that may materially impact our company, business, distribution, and products. The NAIC adopted an amended Suitability in Annuity Transactions Model Regulation in February 2020 incorporating a requirement that agents act in the best interest of consumers without putting their own financial interests or insurer’s interests ahead of consumer interests. The best interest requirement is satisfied by complying with four regulatory obligations relating to care, disclosure, conflict of interest, and documentation. The amended model regulation also requires agents to provide certain disclosures to consumers, obligates insurers to supervise agent compliance with the new requirements, and prohibits sales contests or other incentives based on sales of specific annuities within a limited period of time.</w:t>
      </w:r>
    </w:p>
    <w:p>
      <w:pPr>
        <w:spacing w:after="0" w:line="54"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Several states have adopted the revised NAIC model regulation, including FGL Insurance’s domiciliary state of Iowa. Management has instituted business procedures to comply with these revised requirements where required. FGL NY Insurance separately instituted new business procedures in response to the NYDFS best interest rule adopted in August 2019, which survived a legal challenge and deviates from the NAIC model regulation and is considered more onerous in certain respects including its broader application to life insurance sales.</w:t>
      </w:r>
    </w:p>
    <w:p>
      <w:pPr>
        <w:spacing w:after="0" w:line="52"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In December 2020 the U. S. Department of Labor (DOL) issued its final version of an investment advice rule replacing the previous “Fiduciary Rule” that had been challenged by industry participants and vacated in March 2018 by the United States Fifth Circuit Court of Appeals. The new investment advice rule reinstates the five-part test for determining whether a person is considered a fiduciary for purposes of ERISA and the Code and sets forth a new prohibited transaction class exemption (PTE) referred to as PTE 2020-02. The rule’s preamble also contains the DOL’s reinterpretation of elements of the five-part test that appears to encompass more insurance agents selling individual retirement account ("IRA") products and withdraws the agency’s longstanding position that rollover recommendations out of employer plans are not subject to ERISA. The new rule took effect on February 16, 2021.</w:t>
      </w:r>
    </w:p>
    <w:p>
      <w:pPr>
        <w:spacing w:after="0" w:line="54"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DOL investment advice rule leaves in place PTE 84-24, which is a longstanding class exemption providing prohibited transaction relief for insurance agents selling annuity products provided certain disclosures are made to the plan fiduciary, which is the policyholder in the case of an IRA, and certain other conditions are met. Among other things, these disclosures include the agent’s relationship to the insurer and commissions received in connection with the annuity sale. FGL Insurance, along with FGL NY Insurance, designed and launched a compliance program in January 2022 requiring all agents selling IRA products to submit an acknowledgment with each IRA application indicating the agent has satisfied PTE 84-24 requirements on a precautionary basis in case the agent acted or is found to have acted as a fiduciary. Meanwhile the DOL has publicly announced its intention to consider future rulemaking that may revoke or modify PTE 84-24.</w:t>
      </w:r>
    </w:p>
    <w:p>
      <w:pPr>
        <w:spacing w:after="0" w:line="82"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On November 2, 2023, following previous attempts to expand fiduciary regulation for advisers, the DOL released a proposed rule (the “New Fiduciary Rule”) to significantly broaden the definition of “fiduciary” under ERISA. Among other requirements, if finalized in its proposed form, the New Fiduciary Rule provides that any person will be an investment advice fiduciary if they provide investment advice or make an investment recommendation to a retirement investor ( i.e., a plan, plan fiduciary, plan participant or beneficiary, IRA, IRA owner or beneficiary, or IRA fiduciary) for a fee or other compensation, and the person provides the advice or makes the recommendation on a regular basis as part of their business and the recommendation is provided under circumstances indicating that the recommendation is based on the particular needs or individual investor circumstances of the retirement investor. Unlike the current ERISA standard, the New Fiduciary Rule would subject non-discretionary investment advice to retirement plans and accounts to the prudent-person “best interest” standard that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has historically been reserved for investment advisors with discretionary authority or control over ERISA plan assets. If the New Fiduciary Rule is adopted in its present form, certain of the Company’s agents would likely be considered fiduciaries for purposes of ERISA and the Internal Revenue Code—subjecting the Company, and the insurance industry on the whole, to greater regulatory risk.</w:t>
      </w:r>
    </w:p>
    <w:p>
      <w:pPr>
        <w:spacing w:after="0" w:line="48"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the company supervises its distribution force, compensation practices, and liability exposure and costs. In addition to implementing the compliance procedures described above, management is monitoring further developments closely and will be working with IMOs and distributors to adapt to evolving regulatory requirements and risks.</w:t>
      </w:r>
    </w:p>
    <w:p>
      <w:pPr>
        <w:spacing w:after="0" w:line="52" w:lineRule="exact"/>
        <w:rPr>
          <w:sz w:val="20"/>
          <w:szCs w:val="20"/>
          <w:color w:val="auto"/>
        </w:rPr>
      </w:pPr>
    </w:p>
    <w:p>
      <w:pPr>
        <w:jc w:val="both"/>
        <w:ind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Regulation - Bermuda. </w:t>
      </w:r>
      <w:r>
        <w:rPr>
          <w:rFonts w:ascii="Times New Roman" w:cs="Times New Roman" w:eastAsia="Times New Roman" w:hAnsi="Times New Roman"/>
          <w:sz w:val="18"/>
          <w:szCs w:val="18"/>
          <w:color w:val="auto"/>
        </w:rPr>
        <w:t>F&amp;G Life Re is a Bermuda exempted company incorporated under the Companies Act 1981, as amended (the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registered as a Class E insurer under the Insurance Act 1978, as amended, and its related regulations (the “Insurance Act”). F&amp;G Life Re is regulated by the Bermuda Monetary Authority (“BMA”).</w:t>
      </w:r>
    </w:p>
    <w:p>
      <w:pPr>
        <w:spacing w:after="0" w:line="4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Bermuda has been awarded full equivalence for commercial insurers under Europe’s Solvency II regime applicable to insurance companies, which regime came into effect on January 1, 2016. In addition, the Insurance Act required BMA approval of increases in control or dispositions of control of an insurance company.</w:t>
      </w:r>
    </w:p>
    <w:p>
      <w:pPr>
        <w:spacing w:after="0" w:line="4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BMA utilizes a risk-based approach when it comes to licensing and supervising insurance and reinsurance companies. As part of the BMA’s risk-based system, an assessment of the inherent risks within each particular class of insurer or reinsurer is used to determine the limitations and specific requirements that may be imposed. Thereafter the BMA keeps its analysis of relative risk within individual institutions under review on an ongoing basis, including through the scrutiny of audited financial statements, and, as appropriate, meeting with senior management during onsite visits.</w:t>
      </w:r>
    </w:p>
    <w:p>
      <w:pPr>
        <w:spacing w:after="0" w:line="5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3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u w:val="single" w:color="auto"/>
          <w:color w:val="auto"/>
        </w:rPr>
        <w:t>Minimum Solvency Margin</w:t>
      </w:r>
      <w:r>
        <w:rPr>
          <w:rFonts w:ascii="Times New Roman" w:cs="Times New Roman" w:eastAsia="Times New Roman" w:hAnsi="Times New Roman"/>
          <w:sz w:val="18"/>
          <w:szCs w:val="18"/>
          <w:color w:val="auto"/>
        </w:rPr>
        <w:t>. The Insurance Act provides that the value of the assets of an insurer must exceed the value of its liabilities by an amount greater than its prescribed minimum solvency margin.</w:t>
      </w:r>
    </w:p>
    <w:p>
      <w:pPr>
        <w:spacing w:after="0" w:line="3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minimum solvency margin that must be maintained by a Class E insurer is the greater of: (i) $8,000,000; (ii) 2% of first $500,000,000 of assets plus 1.5% of assets above $500,000,000; and (iii) 25% of that insurer’s enhanced capital requirement (“ECR”). An insurer may file an application under the Insurance Act to waive the aforementioned requirements.</w:t>
      </w:r>
    </w:p>
    <w:p>
      <w:pPr>
        <w:spacing w:after="0" w:line="48"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u w:val="single" w:color="auto"/>
          <w:color w:val="auto"/>
        </w:rPr>
        <w:t>ECR and Bermuda Solvency Capital Requirements (“BSCR”)</w:t>
      </w:r>
      <w:r>
        <w:rPr>
          <w:rFonts w:ascii="Times New Roman" w:cs="Times New Roman" w:eastAsia="Times New Roman" w:hAnsi="Times New Roman"/>
          <w:sz w:val="16"/>
          <w:szCs w:val="16"/>
          <w:color w:val="auto"/>
        </w:rPr>
        <w:t>. Class E insurers are required to maintain available capital and surplus at a level equal to or in excess of the applicable ECR, which is established by reference to either the applicable BSCR model or an approved internal capital model. Furthermore, to enable the BMA to better assess the quality of the insurer’s capital resources, a Class E insurer is required to disclose the makeup of its capital in accordance with its 3-tiered capital system. An insurer may file an application under the Insurance Act to have the aforementioned ECR requirements waived.</w:t>
      </w:r>
    </w:p>
    <w:p>
      <w:pPr>
        <w:spacing w:after="0" w:line="2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u w:val="single" w:color="auto"/>
          <w:color w:val="auto"/>
        </w:rPr>
        <w:t>Restrictions on Dividends and Distributions</w:t>
      </w:r>
      <w:r>
        <w:rPr>
          <w:rFonts w:ascii="Times New Roman" w:cs="Times New Roman" w:eastAsia="Times New Roman" w:hAnsi="Times New Roman"/>
          <w:sz w:val="18"/>
          <w:szCs w:val="18"/>
          <w:color w:val="auto"/>
        </w:rPr>
        <w:t>. In addition to the requirements under the Companies Act (as discussed below), the Insurance Act limits the maximum amount of annual dividends and distributions that may be paid or distributed by F&amp;G Life Re without prior regulatory approval.</w:t>
      </w:r>
    </w:p>
    <w:p>
      <w:pPr>
        <w:spacing w:after="0" w:line="3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F&amp;G Life Re is prohibited from declaring or paying a dividend if it fails to meet its minimum solvency margin, or ECR, or if the declaration or payment of such dividend would cause such breach. If F&amp;G Life Re were to fail to meet its minimum solvency margin on the last day of any financial year, it would be prohibited from declaring or paying any dividends during the next financial year without the approval of the BMA.</w:t>
      </w:r>
    </w:p>
    <w:p>
      <w:pPr>
        <w:spacing w:after="0" w:line="4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as a Class E insurer, F&amp;G Life Re must not declare or pay a dividend to any person other than a policyholder unless the value of the assets of such insurer, as certified by the insurer’s approved actuary, exceeds its liabilities (as so certified) by the greater of its margin of solvency or ECR. In the event a dividend complies with the above, F&amp;G Life Re must ensure the amount of any such dividend does not exceed that excess.</w:t>
      </w:r>
    </w:p>
    <w:p>
      <w:pPr>
        <w:spacing w:after="0" w:line="4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Furthermore, as a Class E insurer, F&amp;G Life Re must not declare or pay a dividend in any financial year which would exceed 25% of its total capital and statutory surplus, as set out in its previous year’s financial statements, unless at least seven days before payment of such dividend F&amp;G Life Re files with the BMA an affidavit signed by at least two directors of F&amp;G Life Re and its principal representative under the Bermuda Insurance Act stating that, in the opinion of those signing, declaration of such dividend has not caused the insurer to fail to meet its relevant margins.</w:t>
      </w:r>
    </w:p>
    <w:p>
      <w:pPr>
        <w:spacing w:after="0" w:line="5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Companies Act also limits F&amp;G Life Re’s ability to pay dividends and make distributions to its shareholders. F&amp;G Life Re is not permitted to declare or pay a dividend, or make a distribution out of its contributed surplus, if it is, or would after the payment be, unable to pay its liabilities as they become due or if the realizable value of its assets would be less than its liabilities.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u w:val="single" w:color="auto"/>
          <w:color w:val="auto"/>
        </w:rPr>
        <w:t>Reduction of Capital</w:t>
      </w:r>
      <w:r>
        <w:rPr>
          <w:rFonts w:ascii="Times New Roman" w:cs="Times New Roman" w:eastAsia="Times New Roman" w:hAnsi="Times New Roman"/>
          <w:sz w:val="18"/>
          <w:szCs w:val="18"/>
          <w:color w:val="auto"/>
        </w:rPr>
        <w:t>. F&amp;G Life Re may not reduce its total statutory capital by 15% or more, as set out in its previous year’s financial statements, unless it has received the prior approval of the BMA. Total statutory capital consists of the insurer’s paid in share capital, its contributed surplus (sometimes called additional paid in capital) and any other fixed capital designated by the BMA as statutory capital.</w:t>
      </w:r>
    </w:p>
    <w:p>
      <w:pPr>
        <w:spacing w:after="0" w:line="46"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Regulation - Cayman. </w:t>
      </w:r>
      <w:r>
        <w:rPr>
          <w:rFonts w:ascii="Times New Roman" w:cs="Times New Roman" w:eastAsia="Times New Roman" w:hAnsi="Times New Roman"/>
          <w:sz w:val="18"/>
          <w:szCs w:val="18"/>
          <w:color w:val="auto"/>
        </w:rPr>
        <w:t>F&amp;G Cayman Re Ltd. ("F&amp;G Cayman Re") is licensed as a class D insurer in the Cayman Islands by the Cayman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Monetary Authority (“CIMA”). As a regulated insurance company, F&amp;G Cayman Re is subject to the supervision of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laws and regulations of the Cayman Islands require that, among other things, F&amp;G Cayman Re maintain minimum levels of statutory capital, surplus and liquidity, meet solvency standards, submit to periodic examinations of its financial condition and restrict payments of dividends and reductions of capital. Statutes, regulations and policies that F&amp;G Cayman Re is subject to may also restrict the ability of F&amp;G Cayman Re to write insurance and reinsurance policies, make certain investments and distribute funds. Any failure to meet the applicable requirements or minimum statutory capital requirements could subject it to further examination or corrective action by CIMA, including restrictions on dividend payments, limitations on our writing of additional business or engaging in finance activities, supervision or liquidation.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w:t>
      </w:r>
    </w:p>
    <w:p>
      <w:pPr>
        <w:spacing w:after="0" w:line="87"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FNF’s work to address Environmental, Social and Governance (“ESG”) issues is important to who we are as a company. Our Company and our Board of Directors are committed to addressing ESG issues to better serve our employees, business partners, and the communities impacted by our business. To honor that commitment, our management team leads our ESG efforts with oversight from the Audit Committee, which reports our ESG progress to the Board of Directors.</w:t>
      </w:r>
    </w:p>
    <w:p>
      <w:pPr>
        <w:spacing w:after="0" w:line="52"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While our title insurance products and services are not materially impacted by climate change, we believe that maintaining a sustainable business starts with being transparent about our business practices, corporate governance, environmental impact, and our commitments to our stakeholders. In 2019, we shared our inaugural Sustainability report. Since then, we have continued to enhance our ESG efforts and publish updates on our progress annually. Additional information regarding our ESG efforts and commitment to sustainable business practices can be found on our sustainability page at www.fnf.com.</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FNF’s core ESG commitments include:</w:t>
      </w:r>
    </w:p>
    <w:p>
      <w:pPr>
        <w:spacing w:after="0" w:line="67" w:lineRule="exact"/>
        <w:rPr>
          <w:sz w:val="20"/>
          <w:szCs w:val="20"/>
          <w:color w:val="auto"/>
        </w:rPr>
      </w:pPr>
    </w:p>
    <w:p>
      <w:pPr>
        <w:jc w:val="both"/>
        <w:ind w:firstLine="316"/>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Protecting Property Owners: </w:t>
      </w:r>
      <w:r>
        <w:rPr>
          <w:rFonts w:ascii="Times New Roman" w:cs="Times New Roman" w:eastAsia="Times New Roman" w:hAnsi="Times New Roman"/>
          <w:sz w:val="18"/>
          <w:szCs w:val="18"/>
          <w:color w:val="auto"/>
        </w:rPr>
        <w:t>Our policyholders depend on the strength and security of a reputable title insurance company to protect their home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to come. As a provider of title insurance, we protect the rights of the insured – both residential and commercial property owners – against unexpected legal and financial claims that may arise after closing.</w:t>
      </w:r>
    </w:p>
    <w:p>
      <w:pPr>
        <w:spacing w:after="0" w:line="71" w:lineRule="exact"/>
        <w:rPr>
          <w:sz w:val="20"/>
          <w:szCs w:val="20"/>
          <w:color w:val="auto"/>
        </w:rPr>
      </w:pPr>
    </w:p>
    <w:p>
      <w:pPr>
        <w:jc w:val="both"/>
        <w:ind w:firstLine="316"/>
        <w:spacing w:after="0" w:line="287" w:lineRule="auto"/>
        <w:rPr>
          <w:sz w:val="20"/>
          <w:szCs w:val="20"/>
          <w:color w:val="auto"/>
        </w:rPr>
      </w:pPr>
      <w:r>
        <w:rPr>
          <w:rFonts w:ascii="Times New Roman" w:cs="Times New Roman" w:eastAsia="Times New Roman" w:hAnsi="Times New Roman"/>
          <w:sz w:val="16"/>
          <w:szCs w:val="16"/>
          <w:b w:val="1"/>
          <w:bCs w:val="1"/>
          <w:color w:val="auto"/>
        </w:rPr>
        <w:t xml:space="preserve">Consumer Data and Fraud Protection: </w:t>
      </w:r>
      <w:r>
        <w:rPr>
          <w:rFonts w:ascii="Times New Roman" w:cs="Times New Roman" w:eastAsia="Times New Roman" w:hAnsi="Times New Roman"/>
          <w:sz w:val="16"/>
          <w:szCs w:val="16"/>
          <w:color w:val="auto"/>
        </w:rPr>
        <w:t>The safety and security of our policyholders, customers, vendors, and employees is one of our top priorities.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means ensuring rigorous information security and internal auditing protocols, and monitoring to help ensure the safety of funds and private information when it is in our custody. We are also always working hard to educate and protect our stakeholders from fraud, through enhancing our fraud prevention programs.</w:t>
      </w:r>
    </w:p>
    <w:p>
      <w:pPr>
        <w:spacing w:after="0" w:line="51" w:lineRule="exact"/>
        <w:rPr>
          <w:sz w:val="20"/>
          <w:szCs w:val="20"/>
          <w:color w:val="auto"/>
        </w:rPr>
      </w:pPr>
    </w:p>
    <w:p>
      <w:pPr>
        <w:jc w:val="both"/>
        <w:ind w:firstLine="316"/>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Preserving the Environment: </w:t>
      </w:r>
      <w:r>
        <w:rPr>
          <w:rFonts w:ascii="Times New Roman" w:cs="Times New Roman" w:eastAsia="Times New Roman" w:hAnsi="Times New Roman"/>
          <w:sz w:val="16"/>
          <w:szCs w:val="16"/>
          <w:color w:val="auto"/>
        </w:rPr>
        <w:t>FNF works to integrate environmental management practices into our operations, including our facilities. As part of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commitment to preserve the environment, we understand that we not only have a duty to protect the local environments where we operate, but that environmental change may pose risks and present opportunities to our business. Annually, we conduct a climate risk assessment to understand climate-related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that may impact our business and to manage these risks through our enterprise risk management systems</w:t>
      </w:r>
      <w:r>
        <w:rPr>
          <w:rFonts w:ascii="Times New Roman" w:cs="Times New Roman" w:eastAsia="Times New Roman" w:hAnsi="Times New Roman"/>
          <w:sz w:val="21"/>
          <w:szCs w:val="21"/>
          <w:color w:val="auto"/>
        </w:rPr>
        <w:t>.</w:t>
      </w:r>
    </w:p>
    <w:p>
      <w:pPr>
        <w:spacing w:after="0" w:line="96"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We have several efforts underway to reduce our environmental footprint across our locations. Our efforts include monitoring and mitigating our carbon footprint, eliminating the use of plastic water bottles, and participating in recycling programs. As part of a traditionally paper-intensive industry, we have implemented customer-focused technology to significantly reduce paper consumption in real estate transactions, and we are committed to moving the title insurance industry in a more sustainable direction.</w:t>
      </w:r>
    </w:p>
    <w:p>
      <w:pPr>
        <w:spacing w:after="0" w:line="76" w:lineRule="exact"/>
        <w:rPr>
          <w:sz w:val="20"/>
          <w:szCs w:val="20"/>
          <w:color w:val="auto"/>
        </w:rPr>
      </w:pPr>
    </w:p>
    <w:p>
      <w:pPr>
        <w:jc w:val="both"/>
        <w:ind w:firstLine="316"/>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Supporting Our Employees and Communities: </w:t>
      </w:r>
      <w:r>
        <w:rPr>
          <w:rFonts w:ascii="Times New Roman" w:cs="Times New Roman" w:eastAsia="Times New Roman" w:hAnsi="Times New Roman"/>
          <w:sz w:val="16"/>
          <w:szCs w:val="16"/>
          <w:color w:val="auto"/>
        </w:rPr>
        <w:t>As one of our greatest assets, we are committed to providing our employees with opportunities to expand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their knowledge base and develop skills for career advancement. Additionally, we are committed to building a diverse and inclusive workplace, and we strongly</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believe that the diversity of our clients should be reflected among our employees. With over 1,300 locations throughout the United States and Canada and over 20,000 employees, we are positioned to make a difference within the communities in which we operate. Through local community involvement, corporate initiatives, philanthropic giving, and an active community volunteer ethos, we work hard each day to support the communities in which we live.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Highest Standard of Conduct: </w:t>
      </w:r>
      <w:r>
        <w:rPr>
          <w:rFonts w:ascii="Times New Roman" w:cs="Times New Roman" w:eastAsia="Times New Roman" w:hAnsi="Times New Roman"/>
          <w:sz w:val="18"/>
          <w:szCs w:val="18"/>
          <w:color w:val="auto"/>
        </w:rPr>
        <w:t>Adhere to all related laws, regulations and principles of conduct to protect the public’s trust, ensure conscientious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and preserve the Company’s legacy of honesty and strong ethical standards. FNF has implemented strong governance practices, policies, training, and reporting avenues designed to encourage all employees to adhere to the highest standards for business integrity.</w:t>
      </w:r>
    </w:p>
    <w:p>
      <w:pPr>
        <w:spacing w:after="0" w:line="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1"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As of January 7, 2024, we had 22,293 full-time equivalent employees, which includes 20,466 in our Title segment, 1,179 in our F&amp;G segment and 648 in our Corporate and other segment. In our Title segment, we monitor our staffing levels based on current economic activity. In our F&amp;G segment, our employee base increased approximately 33% during 2023 as our F&amp;G business continues to grow. None of our employees are subject to collective bargaining agreements. We believe that our relations with employees are good.</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Diversity</w:t>
      </w:r>
    </w:p>
    <w:p>
      <w:pPr>
        <w:spacing w:after="0" w:line="111"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Diversity is a key component of FNF’s success. We believe that the diversity of our employees allows us to offer our clientele meaningful customized products and services. FNF aims to have diverse and inclusive practices in all aspects of our business operations; particularly for hiring, compensation, and opportunity. We are committed to being an equal opportunity employer and enhancing diversity and inclusion efforts across our business. Our goal is to foster an inclusive workplace where each employee, regardless of race, ethnicity, sexual orientation, or gender identification, receives equal access to opportunities throughout the organization.</w:t>
      </w:r>
    </w:p>
    <w:p>
      <w:pPr>
        <w:spacing w:after="0" w:line="8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FNF’s Code of Business Conduct &amp; Ethics prohibits discrimination and harassment. We have a written nondiscrimination policy that is distributed to all employees as part of our employee handbook, which employees must acknowledge annually. Our employees participate in annual training courses, including the Code of Business Conduct and Ethics Training and Reporting Harassment: Everyone’s Responsibility Training.</w:t>
      </w:r>
    </w:p>
    <w:p>
      <w:pPr>
        <w:spacing w:after="0" w:line="75"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We have many women in leadership roles throughout our organization. As of January 1, 2024, out of the 19,534 U.S. based employees under FNF, 70% of the total workforce are women and 30% are men. Two out of eleven board members are women; 42% percent of the members of FNF’s Executive Team are women; and 67% of FNF’s Non-Executive Managers are women. Our annual Women in Leadership Program for female executives, managers, and future managers is designed to encourage and promote women into more active leadership roles within FNF.</w:t>
      </w:r>
    </w:p>
    <w:p>
      <w:pPr>
        <w:spacing w:after="0" w:line="78"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Our Board of Directors leads by example in its commitment to diversity. In 2018, our board codified its commitment to diversity when selecting new director nominees, including candidates with a diversity of age, gender, nationality, race, ethnicity, and sexual orientation by integrating it into the director selection criteria in our Corporate Governance Guidelines.</w:t>
      </w:r>
    </w:p>
    <w:p>
      <w:pPr>
        <w:spacing w:after="0" w:line="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Training and Personal Development</w:t>
      </w:r>
    </w:p>
    <w:p>
      <w:pPr>
        <w:spacing w:after="0" w:line="8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We believe that our employees are one of our greatest assets, and we are committed to providing opportunities for them to expand their knowledge base and develop opportunities for advancement, which in turn results in improved employee performance and morale.</w:t>
      </w:r>
    </w:p>
    <w:p>
      <w:pPr>
        <w:spacing w:after="0" w:line="64"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FNF offers a variety of training and educational opportunities for employees including, but not limited to, training on escrow policies and procedures, advanced escrow processing and practices, title loss reduction, title underwriting, advanced title practices and procedures, fraud prevention, as well as software, soft skills, sales, and time management trainings. Our Commercial Sales University is a course for new commercial sales reps and our Leadership Development Program provides employees with mentorship from senior executives.</w:t>
      </w:r>
    </w:p>
    <w:p>
      <w:pPr>
        <w:spacing w:after="0" w:line="76"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Leadership Development Program: </w:t>
      </w:r>
      <w:r>
        <w:rPr>
          <w:rFonts w:ascii="Times New Roman" w:cs="Times New Roman" w:eastAsia="Times New Roman" w:hAnsi="Times New Roman"/>
          <w:sz w:val="18"/>
          <w:szCs w:val="18"/>
          <w:color w:val="auto"/>
        </w:rPr>
        <w:t>Our Leadership Development Program helps employees advance their careers through professional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Candidates are nominated once a year by their manager to participate in an intensive program, where they are asked to prepare and present a managers’ report and to participate in the process of preparing an annual budget. In addition, the program includes thought-provoking discussions between candidates and our management team about leadership, business, the economy, and other industry-related topics. This process enables candidates to gain a better understanding of our Company culture and management expectations. Candidates also gain access to mentorship and engagement with senior executives.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Many departments provide Continuing Education (CE) and Continuing Legal Education (CLE) opportunities for state land title and legal associations.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offices provide financial assistance to join professional organizations and offer education reimbursement.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by Operating Segment</w:t>
      </w:r>
    </w:p>
    <w:p>
      <w:pPr>
        <w:spacing w:after="0" w:line="98"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color w:val="auto"/>
        </w:rPr>
        <w:t xml:space="preserve">For financial information by operating segment, see Note J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to our Consolidated Financial Statements included in Item 8 of Part II of this Annual Report.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Regarding Forward-Looking Information</w:t>
      </w:r>
    </w:p>
    <w:p>
      <w:pPr>
        <w:spacing w:after="0" w:line="100"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69" w:lineRule="exact"/>
        <w:rPr>
          <w:sz w:val="20"/>
          <w:szCs w:val="20"/>
          <w:color w:val="auto"/>
        </w:rPr>
      </w:pPr>
    </w:p>
    <w:p>
      <w:pPr>
        <w:ind w:left="640" w:hanging="319"/>
        <w:spacing w:after="0" w:line="254"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level of real estate activity, which may be caused by, among other things, high or increasing interest rates, a limited supply of mortgage funding, increased mortgage defaults, or a weak U.S. economy;</w:t>
      </w: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our title insurance claims;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 of our credit rating by rating agencies;</w:t>
      </w:r>
    </w:p>
    <w:p>
      <w:pPr>
        <w:spacing w:after="0" w:line="3" w:lineRule="exact"/>
        <w:rPr>
          <w:rFonts w:ascii="Times New Roman" w:cs="Times New Roman" w:eastAsia="Times New Roman" w:hAnsi="Times New Roman"/>
          <w:sz w:val="18"/>
          <w:szCs w:val="18"/>
          <w:color w:val="auto"/>
        </w:rPr>
      </w:pPr>
    </w:p>
    <w:p>
      <w:pPr>
        <w:ind w:left="640" w:hanging="319"/>
        <w:spacing w:after="0" w:line="244"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 of our operating subsidiaries and adverse changes in applicable laws or regulations or in their application by regulators;</w:t>
      </w: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 of the F&amp;G Distribution on relationships, including employees, suppliers, customers and competitors;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of the title insurance industry;</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that could negatively affect our financial results and impair our operating abilities;</w:t>
      </w:r>
    </w:p>
    <w:p>
      <w:pPr>
        <w:spacing w:after="0" w:line="3" w:lineRule="exact"/>
        <w:rPr>
          <w:rFonts w:ascii="Times New Roman" w:cs="Times New Roman" w:eastAsia="Times New Roman" w:hAnsi="Times New Roman"/>
          <w:sz w:val="18"/>
          <w:szCs w:val="18"/>
          <w:color w:val="auto"/>
        </w:rPr>
      </w:pPr>
    </w:p>
    <w:p>
      <w:pPr>
        <w:ind w:left="640" w:hanging="319"/>
        <w:spacing w:after="0" w:line="244"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concentration in the States of California and Texas are the source of approximately 13.0% and 14.3%, respectively, of our title insurance premiums;</w:t>
      </w:r>
    </w:p>
    <w:p>
      <w:pPr>
        <w:ind w:left="640" w:hanging="319"/>
        <w:spacing w:after="0" w:line="244"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our title insurance underwriters as our main source of cash flow;</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title insurance companies;</w:t>
      </w:r>
    </w:p>
    <w:p>
      <w:pPr>
        <w:spacing w:after="0" w:line="3" w:lineRule="exact"/>
        <w:rPr>
          <w:rFonts w:ascii="Times New Roman" w:cs="Times New Roman" w:eastAsia="Times New Roman" w:hAnsi="Times New Roman"/>
          <w:sz w:val="18"/>
          <w:szCs w:val="18"/>
          <w:color w:val="auto"/>
        </w:rPr>
      </w:pPr>
    </w:p>
    <w:p>
      <w:pPr>
        <w:ind w:left="640" w:hanging="319"/>
        <w:spacing w:after="0" w:line="244"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and political conditions, including changes in the financial markets related to inflation and geopolitical uncertainties;</w:t>
      </w: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to our business operations caused by the occurrence of a catastrophe or global crisis;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detailed in "Risk Factors" below and elsewhere in this Annual Report and in our other filings with the SEC.</w:t>
      </w:r>
    </w:p>
    <w:p>
      <w:pPr>
        <w:spacing w:after="0" w:line="65" w:lineRule="exact"/>
        <w:rPr>
          <w:sz w:val="20"/>
          <w:szCs w:val="20"/>
          <w:color w:val="auto"/>
        </w:rPr>
      </w:pPr>
    </w:p>
    <w:p>
      <w:pPr>
        <w:jc w:val="both"/>
        <w:ind w:firstLine="320"/>
        <w:spacing w:after="0" w:line="256" w:lineRule="auto"/>
        <w:rPr>
          <w:sz w:val="20"/>
          <w:szCs w:val="20"/>
          <w:color w:val="auto"/>
        </w:rPr>
      </w:pPr>
      <w:r>
        <w:rPr>
          <w:rFonts w:ascii="Times New Roman" w:cs="Times New Roman" w:eastAsia="Times New Roman" w:hAnsi="Times New Roman"/>
          <w:sz w:val="18"/>
          <w:szCs w:val="18"/>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10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website address is www.fnf.com. We make available free of charge on or through our website our Annual Report on Form 10-K, Quarterly Reports on Form 10-Q, Current Reports on Form 8-K and all amendments to those reports filed or furnished pursuant to Section 13(a) or 15(d) of the Exchange Act as soon as reasonably practicable after such material is electronically filed with or furnished to the SEC. However, the information found on our website is not part of this or any other report.</w:t>
      </w:r>
    </w:p>
    <w:p>
      <w:pPr>
        <w:spacing w:after="0" w:line="37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i w:val="1"/>
          <w:iCs w:val="1"/>
          <w:color w:val="auto"/>
        </w:rPr>
        <w:t>Risk Factors</w:t>
      </w:r>
    </w:p>
    <w:p>
      <w:pPr>
        <w:spacing w:after="0" w:line="100"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6"/>
          <w:szCs w:val="16"/>
          <w:color w:val="auto"/>
        </w:rPr>
        <w:t>In addition to the normal risks of business, we are subject to significant risks and uncertainties, including those listed below and others described elsewhere in this Annual Report. Any of the risks described herein could result in a significant or material adverse effect on our results of operations or financial condition.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Market Conditions</w:t>
      </w:r>
    </w:p>
    <w:p>
      <w:pPr>
        <w:spacing w:after="0" w:line="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economic and credit market conditions deteriorate, it could have a material adverse impact on our investment portfolio and could also cause our stock price to fluctuate significantly.</w:t>
      </w:r>
    </w:p>
    <w:p>
      <w:pPr>
        <w:spacing w:after="0" w:line="46"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Our investment portfolio is exposed to economic and financial market risks, including changes in interest rates, credit markets and prices of marketable equity and fixed-income securities. Our investment policy in our title business is designed to maximize total return through investment income and capital appreciation consistent with moderate risk of principal, while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Economic and credit market conditions may adversely affect the ability of some issuers of investment securities to repay their obligations and affect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67" w:lineRule="exact"/>
        <w:rPr>
          <w:sz w:val="20"/>
          <w:szCs w:val="20"/>
          <w:color w:val="auto"/>
        </w:rPr>
      </w:pPr>
    </w:p>
    <w:p>
      <w:pPr>
        <w:jc w:val="both"/>
        <w:ind w:firstLine="316"/>
        <w:spacing w:after="0" w:line="239" w:lineRule="auto"/>
        <w:rPr>
          <w:sz w:val="20"/>
          <w:szCs w:val="20"/>
          <w:color w:val="auto"/>
        </w:rPr>
      </w:pPr>
      <w:r>
        <w:rPr>
          <w:rFonts w:ascii="Times New Roman" w:cs="Times New Roman" w:eastAsia="Times New Roman" w:hAnsi="Times New Roman"/>
          <w:sz w:val="18"/>
          <w:szCs w:val="18"/>
          <w:color w:val="auto"/>
        </w:rPr>
        <w:t>Fixed maturities, equity securities and derivatives represent the majority of total cash and invested assets reported at fair value on our balance sheets. Fair value is defined as the price that would be received to sell an asset or paid to transfer a liability in an orderly transaction between market participants at the measurement date (an exit price). Fair value estimates are made based on available market information and judgments about the financial instrument at a specific point in time. Expectations that our investments will continue to perform in accordance with their contractual terms are based on evidence gathered through our normal credit surveillance process and on assumptions a market participant would use in determining the current fair value.</w:t>
      </w:r>
    </w:p>
    <w:p>
      <w:pPr>
        <w:spacing w:after="0" w:line="62"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value and performance of certain of our assets are dependent upon the performance of collateral underlying these investments. It is possible the collateral will not meet performance expectations leading to adverse changes in the cash flows on our holdings of these types of securities.</w:t>
      </w:r>
    </w:p>
    <w:p>
      <w:pPr>
        <w:spacing w:after="0" w:line="38" w:lineRule="exact"/>
        <w:rPr>
          <w:sz w:val="20"/>
          <w:szCs w:val="20"/>
          <w:color w:val="auto"/>
        </w:rPr>
      </w:pPr>
    </w:p>
    <w:p>
      <w:pPr>
        <w:jc w:val="both"/>
        <w:ind w:firstLine="316"/>
        <w:spacing w:after="0" w:line="232" w:lineRule="auto"/>
        <w:rPr>
          <w:sz w:val="20"/>
          <w:szCs w:val="20"/>
          <w:color w:val="auto"/>
        </w:rPr>
      </w:pPr>
      <w:r>
        <w:rPr>
          <w:rFonts w:ascii="Times New Roman" w:cs="Times New Roman" w:eastAsia="Times New Roman" w:hAnsi="Times New Roman"/>
          <w:sz w:val="18"/>
          <w:szCs w:val="18"/>
          <w:color w:val="auto"/>
        </w:rPr>
        <w:t>In addition, many factors unrelated to our business could cause the market price of our common stock to rise and fall, including the operating and stock price performance of other comparable companies, investors’ general perception of our industry, and changes in general economic and market conditions.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successfully defended, could be costly to defend and a distraction to management.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market volatility could negatively impact our business.</w:t>
      </w:r>
    </w:p>
    <w:p>
      <w:pPr>
        <w:spacing w:after="0" w:line="1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estimated cost of providing GMWB riders associated with our annuity products incorporates various assumptions about the overall performance of equity markets over certain time periods. Periods of significant and sustained downturns in equity markets or increased equity volatility could result in an increase in the valuation of the Market Risk Benefit ("MRB") or contractholder funds balance liabilities associated with such products, resulting in a reduction in our revenues and net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the economy generally could adversely affect our business, results of operations and financial condition.</w:t>
      </w:r>
    </w:p>
    <w:p>
      <w:pPr>
        <w:spacing w:after="0" w:line="87"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Our results of operations are materially affected by conditions in the U.S. economy. Adverse economic conditions may result in a decline in revenues and/or erosion of our profit margins. In addition, in the event of extreme prolonged market events and economic downturns, we could incur significant losses. Even in the absence of a market downturn we are exposed to substantial risk of loss due to market volatility.</w:t>
      </w:r>
    </w:p>
    <w:p>
      <w:pPr>
        <w:spacing w:after="0" w:line="48" w:lineRule="exact"/>
        <w:rPr>
          <w:sz w:val="20"/>
          <w:szCs w:val="20"/>
          <w:color w:val="auto"/>
        </w:rPr>
      </w:pPr>
    </w:p>
    <w:p>
      <w:pPr>
        <w:jc w:val="both"/>
        <w:ind w:firstLine="316"/>
        <w:spacing w:after="0" w:line="265" w:lineRule="auto"/>
        <w:rPr>
          <w:sz w:val="20"/>
          <w:szCs w:val="20"/>
          <w:color w:val="auto"/>
        </w:rPr>
      </w:pPr>
      <w:r>
        <w:rPr>
          <w:rFonts w:ascii="Times New Roman" w:cs="Times New Roman" w:eastAsia="Times New Roman" w:hAnsi="Times New Roman"/>
          <w:sz w:val="16"/>
          <w:szCs w:val="16"/>
          <w:color w:val="auto"/>
        </w:rPr>
        <w:t>Factors such as consumer spending, business investment, government spending, potential government shutdowns, the volatility and strength of the capital markets, investor and consumer confidence, foreign currency exchange rates, geopolitical uncertainties and inflation levels all affect the business and economic environment and, ultimately, the amount and profitability of our business. In an economic downturn characterized by higher unemployment, lower family income, negative investor sentiment and lower consumer spending, the demand for our insurance products could be adversely affected. Under such conditions, our F&amp;G segment may also experience an elevated incidence of policy lapses, policy loans, withdrawals and surrenders. In addition, our investments could be adversely affected as a result of deteriorating financial and business conditions affecting the issuers of the securities in our investment portfolio.</w:t>
      </w:r>
    </w:p>
    <w:p>
      <w:pPr>
        <w:spacing w:after="0" w:line="5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investments are subject to market and credit risks. These risks could be heightened during periods of extreme volatility or disruption in financial and credit markets.</w:t>
      </w:r>
    </w:p>
    <w:p>
      <w:pPr>
        <w:spacing w:after="0" w:line="46"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 worsening business climate or changing trends could cause issuers of the fixed-income securities that we own to default on either principal or interest payments. Additionally, market price valuations may not accurately reflect the underlying expected cash flows of securities within our investment portfolio. If we fail to react appropriately to difficult market or economic conditions, our investment portfolio could incur material losses.</w:t>
      </w:r>
    </w:p>
    <w:p>
      <w:pPr>
        <w:spacing w:after="0" w:line="48"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Our invested assets and derivative financial instruments are subject to risks of credit defaults and changes in market values. Periods of extreme volatility or disruption in the financial and credit markets could increase these risks. Changes in interest rates and credit spreads could cause market price and cash flow variability in the fixed income instruments in our investment portfolio. Significant volatility and lack of liquidity in the credit markets could cause the market value of the fixed-income securities we own to decline. Additionally, market price valuations may not accurately reflect the underlying expected cash flows of securities within our investment portfolio. Finally, market volatility could cause investment income fluctuations in regard to our alternative investments that may differ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value of our mortgage-backed securities and our commercial and residential mortgage loan investments depends in part on the financial condition of the borrowers and tenants for the properties underlying those investments, as well as general and specific economic trends affecting the overall default rate. We are also subject to the risk that cash flows resulting from the payments on pools of mortgages that serve as collateral underlying the mortgage-backed securities we own may differ from our expectations in timing or size. Any event reducing the estimated fair value of these securities, other than on a temporary basis, could have an adverse effect on our business, results of operations and financial condition.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adverse changes in the levels of real estate activity occur, our revenues may decline.</w:t>
      </w:r>
    </w:p>
    <w:p>
      <w:pPr>
        <w:spacing w:after="0" w:line="87" w:lineRule="exact"/>
        <w:rPr>
          <w:sz w:val="20"/>
          <w:szCs w:val="20"/>
          <w:color w:val="auto"/>
        </w:rPr>
      </w:pPr>
    </w:p>
    <w:p>
      <w:pPr>
        <w:jc w:val="both"/>
        <w:ind w:firstLine="316"/>
        <w:spacing w:after="0" w:line="332" w:lineRule="auto"/>
        <w:rPr>
          <w:sz w:val="20"/>
          <w:szCs w:val="20"/>
          <w:color w:val="auto"/>
        </w:rPr>
      </w:pPr>
      <w:r>
        <w:rPr>
          <w:rFonts w:ascii="Times New Roman" w:cs="Times New Roman" w:eastAsia="Times New Roman" w:hAnsi="Times New Roman"/>
          <w:sz w:val="16"/>
          <w:szCs w:val="16"/>
          <w:color w:val="auto"/>
        </w:rPr>
        <w:t>Title insurance revenue is closely related to the level of real estate activity that includes sales, mortgage financing and mortgage refinancing. The levels of real estate activity are primarily affected by the average price of real estate sales, the availability of funds to finance purchases and mortgage interest rates.</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found that residential real estate activity generally decreases in the following situations:</w:t>
      </w:r>
    </w:p>
    <w:p>
      <w:pPr>
        <w:spacing w:after="0" w:line="96" w:lineRule="exact"/>
        <w:rPr>
          <w:sz w:val="20"/>
          <w:szCs w:val="20"/>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mortgage interest rates are high or increasing;</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mortgage funding supply is limited;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housing inventory is limited or home prices are high or increasing;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United States economy is weak, including high unemployment levels.</w:t>
      </w:r>
    </w:p>
    <w:p>
      <w:pPr>
        <w:spacing w:after="0" w:line="91"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 xml:space="preserve">Declines in the level of real estate activity or the average price of real estate sales are likely to adversely affect our title insurance revenues. The Mortgage Bankers Association's ("MBA") Mortgage Finance Forecast as of February 20, 2024, calculates an approximate $1.6 trillion mortgage origination market for 2023, which would be a decrease from 2022 resulting from decreases in both purchase and refinance activity. The MBA predicts overall mortgage originations in 2024 will increase when compared to 2023 as a result of increases in both purchase and refinance activity. Our revenues in future periods will continue to be subject to these and other factors that are beyond our control and, as a result, are likely to fluctuate. See discussion under "Business Trends and Conditions" within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included in Item 7 of Part II of this Annual Report for further discussion of current market trends.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fluctuations could adversely affect our business, financial condition, liquidity, results of operations and cash flows.</w:t>
      </w:r>
    </w:p>
    <w:p>
      <w:pPr>
        <w:spacing w:after="0" w:line="1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rate risk is a significant market risk for us, as our F&amp;G business involves issuing interest rate sensitive obligations backed primarily by investments in fixed income assets. F&amp;G also maintains a portion of the assets in its investment portfolio in floating rate instruments and has executed variable interest rate credit agreements and floating rate funding agreements, which are subject to an element of market risk from changes in interest rates.</w:t>
      </w:r>
    </w:p>
    <w:p>
      <w:pPr>
        <w:spacing w:after="0" w:line="75"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Prior to 2022, interest rates had been at or near historical low levels over the preceding several years. A prolonged period of low rates exposes us to the risk of not achieving returns sufficient to meet our earnings targets and/or our contractual obligations. Furthermore, low or declining interest rates may reduce the rate of policyholder surrenders and withdrawals on our life insurance and annuity products, thus increasing the duration of the liabilities, creating asset and liability duration mismatches and increasing the risk of having to reinvest assets at yields below the amounts required to support our obligations. Lower interest rates may also result in decreased sales of certain insurance products, negatively impacting our profitability from new business.</w:t>
      </w:r>
    </w:p>
    <w:p>
      <w:pPr>
        <w:spacing w:after="0" w:line="80"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During periods of increasing interest rates, we may offer higher crediting rates on interest-sensitive products, such as universal life insurance and fixed rate annuities, and we may increase crediting rates on in-force products to keep these products competitive. We may be required to accept lower spread income (the difference between the returns we earn on our investments and the amounts we credit to contract holders), thus reducing our profitability, as returns on our portfolio of invested assets may not increase as quickly as current interest rates. Rapidly rising interest rates may also expose us to the risk of financial disintermediation, which is an increase in policy surrenders, withdrawals and requests for policy loans as customers seek to achieve higher returns elsewhere, requiring us to liquidate assets in an unrealized loss position. If we experience unexpected withdrawal activity, we could exhaust our liquid assets and be forced to liquidate other less liquid assets such as limited partnership investments. We may have difficulty selling these investments in a timely manner and/or be forced to sell them for less than we otherwise would have been able to realize, which could have a material adverse effect on our business, financial condition or operating results. We have developed and maintain asset liability management programs and procedures that are, we believe, designed to mitigate interest rate risk by matching asset cash flows to expected liability cash flows. In addition, we assess surrender charges on withdrawals in excess of allowable penalty-free amounts that occur during the surrender charge period. There can be no assurance that actual withdrawals, contract benefits, and maturities will match our estimates. Despite our efforts to reduce the impact of rising interest rates, we may be required to sell assets to raise the cash necessary to respond to an increase in surrenders, withdrawals and loans, thereby realizing capital losses on the assets sold.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Liabilities that are held on our balance sheet at fair value, including embedded derivatives on our FIA and IUL business and MRBs on our FIA and fixed rate annuity business, are sensitive to fluctuations in interest rates. Decreases in interest rates generally would have the impact of increasing the value of these liabilities, which will result in a reduction in our net income. Liabilities for future policyholder benefits are valued using locked-in discount rates, and any changes in interest rates since the inception of those contracts are reflected in OCI. Decreases in interest rates would result in a reduction in our OCI. In addition, certain statutory capital and reserve requirements are based on formulas or models that consider interest rates and a prolonged period of low interest rates may increase the statutory capital we are required to hold as well as the amount of assets we must maintain to support statutory reserves.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Economic conditions, including higher interest rates, could materially adversely affected our business, results of operations and financial condition.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cannot predict if it will impact our business, results of operations or financial condition in the future for the forgoing reasons.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Business</w:t>
      </w:r>
    </w:p>
    <w:p>
      <w:pPr>
        <w:spacing w:after="0" w:line="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33" w:lineRule="exact"/>
        <w:rPr>
          <w:sz w:val="20"/>
          <w:szCs w:val="20"/>
          <w:color w:val="auto"/>
        </w:rPr>
      </w:pPr>
    </w:p>
    <w:p>
      <w:pPr>
        <w:jc w:val="both"/>
        <w:ind w:firstLine="316"/>
        <w:spacing w:after="0" w:line="282" w:lineRule="auto"/>
        <w:rPr>
          <w:sz w:val="20"/>
          <w:szCs w:val="20"/>
          <w:color w:val="auto"/>
        </w:rPr>
      </w:pPr>
      <w:r>
        <w:rPr>
          <w:rFonts w:ascii="Times New Roman" w:cs="Times New Roman" w:eastAsia="Times New Roman" w:hAnsi="Times New Roman"/>
          <w:sz w:val="16"/>
          <w:szCs w:val="16"/>
          <w:color w:val="auto"/>
        </w:rPr>
        <w:t>Goodwill aggregated approximately $4,830 million, or 6.0% of our total assets, as of December 31, 2023.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For the years ended December 31, 2023, 2022 and 2021, no goodwill impairment charge was recorded. However, if economic conditions deteriorate,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ability to raise additional capital to fund our operations, limit our ability to react to changes in the economy or our industry and prevent us from meeting our obligations under our indebtedness.</w:t>
      </w:r>
    </w:p>
    <w:p>
      <w:pPr>
        <w:spacing w:after="0" w:line="46"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As of December 31, 2023, our outstanding debt was $3,887 million. Our high degree of leverage could have important consequences, including the following: (i) a substantial portion of our cash flow from operations is dedicated to the payment of principal and interest on indebtedness, thereby reducing the funds available for operations, future business opportunities and capital expenditures; (ii) our ability to obtain additional financing for working capital, capital expenditures, debt service requirements, acquisitions and general corporate purposes in the future may be limited; (iii) we may be unable to adjust rapidly to changing market conditions; (iv) the debt service requirements of our other indebtedness could make it more difficult for us to satisfy our financial obligations; and (v) we may be vulnerable in a downturn in general economic conditions or in our business and we may be unable to carry out activities that are important to our growth.</w:t>
      </w:r>
    </w:p>
    <w:p>
      <w:pPr>
        <w:spacing w:after="0" w:line="56"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or to pay interest on, or to refinance indebtedness depends on and is subject to our financial and operating performance, which in turn is affected by general and regional economic, financial, competitive, business and other factors beyond our control. If we are unable to generate sufficient cash flow to service our debt or to fund our other liquidity needs, we will need to restructure or refinance all or a portion of our debt, which could cause us to default on our obligations and impair our liquidity. Any refinancing of our indebtedness could be at higher interest rates and may require us to comply with more stringent covenants that could further restrict our business operations. We from time to time may increase the amount of our indebtedness, modify the terms of our financing arrangements, issue dividends, make capital expenditures and take other actions that may substantially increase our leverage.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losses if our actual experience differs significantly from our reserve assumptions.</w:t>
      </w:r>
    </w:p>
    <w:p>
      <w:pPr>
        <w:spacing w:after="0" w:line="100"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Our profitability depends significantly upon the extent to which our actual experience is consistent with the assumptions used in setting rates for our products and establishing liabilities for future life insurance, annuity, and PRT policy benefits and claims. However, due to the nature of the underlying risks and the high degree of uncertainty associated with the determination of the liabilities for unpaid policy benefits and claims, we cannot determine precisely the amounts we will ultimately pay to settle these liabilities. As a result, we may experience volatility in our profitability and our reserves from period to period. To the extent that actual experience is less favorable than our underlying assumptions, we could be required to increase our liabilities, which may reduce our profitability and impact our financial strength.</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We have been issuing GMWB products since 2008. In our reserve calculations, we make assumptions for policyholder behavior as it relates to GMWB utilization. If emerging experience deviates from our assumptions on GMWB utilization, it could have a significant effect on our reserve levels and related results of operations. We will continue to monitor the GMWB utilization assumption and update our best estimate as applicable.</w:t>
      </w:r>
    </w:p>
    <w:p>
      <w:pPr>
        <w:spacing w:after="0" w:line="56"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color w:val="auto"/>
        </w:rPr>
        <w:t>See Item 7 of Part II of this Annual Report, under. Management’s Discussion and Analysis of Financial Condition and Results of Operations-Critical Accounting Policies and Estimates.</w:t>
      </w:r>
    </w:p>
    <w:p>
      <w:pPr>
        <w:spacing w:after="0" w:line="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Our management has historically sought to grow through acquisitions, both in our current lines of business as well as in lines of business outside of our traditional areas of focus or geographic areas. This expansion of our business subjects us to associated risks, such as risks and uncertainties associated with new companies, the diversion of management’s attention and lack of experience in operating unrelated businesses, and may affect our credit and ability to repay our debt.</w:t>
      </w:r>
    </w:p>
    <w:p>
      <w:pPr>
        <w:spacing w:after="0" w:line="65"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Our management has historically sought to grow through acquisitions, both in our current lines of business, as well as lines of business that are not directly tied to or synergistic with our current operations. Accordingly, we have in the past acquired, and may in the future acquire, businesses in industries or geographic areas with which management is less familiar than we are with our current businesses. These activities involve risks that could adversely affect our operating results, due to uncertainties involved with new companies,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on distributions from our subsidiaries for cash.</w:t>
      </w:r>
    </w:p>
    <w:p>
      <w:pPr>
        <w:spacing w:after="0" w:line="10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61"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2024, our title insurers may pay dividends or make distributions to us of approximately $471 million; however, insurance regulators have the authority to prohibit the payment of ordinary dividends or other payments by our title insurers to us if they determine that such payment could be adverse to our policyholders.</w:t>
      </w:r>
    </w:p>
    <w:p>
      <w:pPr>
        <w:spacing w:after="0" w:line="54"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interrupted or compromised if we experience difficulties arising from outsourcing relationships.</w:t>
      </w:r>
    </w:p>
    <w:p>
      <w:pPr>
        <w:spacing w:after="0" w:line="100"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If we do not maintain an effective outsourcing strategy or third-party providers do not perform as contracted, we may experience operational difficulties, increased costs and a loss of business that could have a material adverse effect on our results of operations. If there is a delay in our third-party providers’ introduction of our new products or if our third-party providers are unable to service our customers appropriately, we may experience a loss of business that could have a material adverse effect on our results of operations. In addition, our reliance on third-party service providers that we do not control does not relieve us of our responsibilities and requirements. Any failure or negligence by such third-party service providers in carrying out their contractual duties may result in us becoming subjected to liability to parties who are harmed and ensuing litigation. Any litigation relating to such matters could be costly, expensive and time-consuming, and the outcome of any such litigation may be uncertain. Moreover, any adverse publicity arising from such litigation, even if the litigation is not successful, could adversely affect our reputation and sales of our products.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section titled "Outsourcing" in Item 1. Business for functions we outsource to third-party service providers.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national marketing organizations and independent agents, sales of our products may be reduced.</w:t>
      </w:r>
    </w:p>
    <w:p>
      <w:pPr>
        <w:spacing w:after="0" w:line="100"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Within our F&amp;G segment, we must attract and retain our network of IMOs and independent agents to sell our products. Insurance companies compete vigorously for productive agents. We compete with other life insurance companies for marketers and agents primarily on the basis of our financial position, support services, compensation and product features. Such marketers and agents may promote products offered by other life insurance companies that offer a larger variety of products than we do. If</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unable to attract and retain a sufficient number of marketers and agents to sell our products, our ability to compete and our revenues would suffer.</w:t>
      </w:r>
    </w:p>
    <w:p>
      <w:pPr>
        <w:spacing w:after="0" w:line="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Failure of our enterprise-wide risk management processes could result in unexpected monetary losses, damage to our reputation, additional costs or impairment of our ability to conduct business effectively.</w:t>
      </w:r>
    </w:p>
    <w:p>
      <w:pPr>
        <w:spacing w:after="0" w:line="33"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As a large insurance entity and a publicly traded company, we have risk management functions, policies and procedures throughout our operations and management. These functions include but are not limited to departments dedicated to enterprise risk management and information technology risk management, information security, business continuity, lender strategy and contracts, and vendor risk management. Our policies and procedures have evolved over the years as we continually reassess our processes both internally and to comply with changes in the regulatory environment. Due to limitations inherent in any internal process, if our risk management processes prove unsuccessful at identifying and responding to risks, we could incur unexpected monetary losses, damage to our reputation, additional costs or impairment of our ability to conduct business effectively.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experience changes in the rate or severity of title insurance claims, it may be necessary for us to record additional charges to our claim loss reserve.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This may result in lower net earnings and the potential for earnings volatility.</w:t>
      </w:r>
    </w:p>
    <w:p>
      <w:pPr>
        <w:spacing w:after="0" w:line="78"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56"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rating agencies downgrade our insurance companies, our results of operations and financial condition may suffer.</w:t>
      </w:r>
    </w:p>
    <w:p>
      <w:pPr>
        <w:spacing w:after="0" w:line="100" w:lineRule="exact"/>
        <w:rPr>
          <w:sz w:val="20"/>
          <w:szCs w:val="20"/>
          <w:color w:val="auto"/>
        </w:rPr>
      </w:pPr>
    </w:p>
    <w:p>
      <w:pPr>
        <w:jc w:val="both"/>
        <w:ind w:firstLine="316"/>
        <w:spacing w:after="0" w:line="289" w:lineRule="auto"/>
        <w:rPr>
          <w:sz w:val="20"/>
          <w:szCs w:val="20"/>
          <w:color w:val="auto"/>
        </w:rPr>
      </w:pPr>
      <w:r>
        <w:rPr>
          <w:rFonts w:ascii="Times New Roman" w:cs="Times New Roman" w:eastAsia="Times New Roman" w:hAnsi="Times New Roman"/>
          <w:sz w:val="16"/>
          <w:szCs w:val="16"/>
          <w:color w:val="auto"/>
        </w:rPr>
        <w:t>Ratings have always been an important factor in establishing the competitive position of insurance companies. Our title insurance subsidiaries are rated by S&amp;P, Moody’s, and Demotech. Our F&amp;G insurance subsidiaries are rated by A.M. Best, Fitch, Moody's, and S&amp;P.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claim loss prevention procedures fail, we could incur significant claim losses.</w:t>
      </w:r>
    </w:p>
    <w:p>
      <w:pPr>
        <w:spacing w:after="0" w:line="100" w:lineRule="exact"/>
        <w:rPr>
          <w:sz w:val="20"/>
          <w:szCs w:val="20"/>
          <w:color w:val="auto"/>
        </w:rPr>
      </w:pPr>
    </w:p>
    <w:p>
      <w:pPr>
        <w:jc w:val="both"/>
        <w:ind w:firstLine="316"/>
        <w:spacing w:after="0" w:line="286" w:lineRule="auto"/>
        <w:rPr>
          <w:sz w:val="20"/>
          <w:szCs w:val="20"/>
          <w:color w:val="auto"/>
        </w:rPr>
      </w:pPr>
      <w:r>
        <w:rPr>
          <w:rFonts w:ascii="Times New Roman" w:cs="Times New Roman" w:eastAsia="Times New Roman" w:hAnsi="Times New Roman"/>
          <w:sz w:val="16"/>
          <w:szCs w:val="16"/>
          <w:color w:val="auto"/>
        </w:rPr>
        <w:t>In the ordinary course of our title insurance business, we assume risks related to insuring clear title to residential and commercial properties. We have established procedures to mitigate the risk of loss from title claims, including extensive underwriting and risk assessment procedures. We also mitigate the risk of large claim losses by reinsuring risks with other insurers under excess of loss 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If inherent limitations cause our claim loss risk mitigation procedures to fail, we could incur substantial losses having an adverse effect on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independent agents for a significant amount of our title insurance policies could adversely impact the frequency and severity of title claims.</w:t>
      </w:r>
    </w:p>
    <w:p>
      <w:pPr>
        <w:spacing w:after="0" w:line="100"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In our agency operations, an independent agent performs the search and examination function or the agent may purchase a search product from us. In either case, the agent is responsible for ensuring that the search and examination is completed. The agent thus retains the majority of the title premium collected, with the balance remitted to the title underwriter for bearing the risk of loss in the event that a claim is made under the title insurance policy. Our relationship with each agent is governed by an agency agreement defining how the agent issues a title insurance policy on our behalf. The agency agreement also sets forth the agent’s liability to us for policy losses attributable to the agent’s errors. For each agent with whom we enter into an agency agreement, financial and loss experience records are maintained. Periodic audits of our agents are also conducted and the number of agents with whom we transact business is strategically managed in an effort to reduce future expenses and manage risks. Despite efforts to monitor the independent agents with which we transact business, there is no guarantee that an agent will comply with their contractual obligations to us. Furthermore, we cannot be certain that, due to changes in the regulatory environment and litigation trends, we will not be held liable for errors and omissions by agents. Accordingly, our use of independent agents could adversely impact the frequency and severity of title claims.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the F&amp;G Distribution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F&amp;G Distribution could adversely affect our results of operations or financial condition.</w:t>
      </w:r>
    </w:p>
    <w:p>
      <w:pPr>
        <w:spacing w:after="0" w:line="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December 1, 2022, we completed the F&amp;G Distribution. The F&amp;G Distribution is subject to inherent risks and uncertainties, including, but not limited to: diversion of management’s attention and the potential impact of the F&amp;G Distribution on relationships, including with employees, suppliers, customers and competitors; our ability to successfully realize the anticipated benefits of the F&amp;G Distribution; the terms and conditions of agreements and arrangements between FNF and F&amp;G following the distribution, such as the Corporate Services Agreement, dated as of November 30, 2022, between FNF and F&amp;G (the “Corporate Services Agreement”), which provides for, among other things, the provision of certain services by FNF to F&amp;G following the F&amp;G Distribution; and the nature and amount of indebtedness incurred by F&amp;G. In addition, our F&amp;G segment contributes to a significant portion of our earnings and the F&amp;G Distribution could adversely affect our earnings.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F&amp;G directors may have actual or potential conflicts of interest because of their FNF equity ownership or their current or former FNF positions.</w:t>
      </w:r>
    </w:p>
    <w:p>
      <w:pPr>
        <w:spacing w:after="0" w:line="123"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A number of F&amp;G’s directors have been, and will continue to be, officers, directors or employees of FNF (or officers, directors or employees of affiliates of FNF) and, thus, have professional relationships with FNF’s officers, directors or employees. In addition, certain of F&amp;G’s directors and executive officers own FNF common stock or other equity compensation awards. These relationships may create, or may create the appearance of, conflicts of interest when these directors and officers are faced with decisions that could have different implications for FNF and F&amp;G. For example, potential conflicts of interest could arise in connection with the resolution of any dispute that may arise between FNF and F&amp;G regarding the terms of the agreements governing F&amp;G’s relationship with FNF, including the Corporate Services Agreement.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FNF or F&amp;G may fail to perform under various transaction agreements that were executed as part of the F&amp;G Distribution.</w:t>
      </w:r>
    </w:p>
    <w:p>
      <w:pPr>
        <w:spacing w:after="0" w:line="87"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In connection with the F&amp;G Distribution, FNF and F&amp;G entered into a separation and distribution agreement, the Corporate Services Agreement, and other transaction agreements. The transaction agreements determine the allocation of assets, rights and liabilities between the companies and include indemnifications related to liabilities and obligations. The Corporate Services Agreement provides for the performance of certain services by us for the benefit of F&amp;G for a limited period of time after the F&amp;G Distribution. The reverse services agreement provides for the performance of certain services by F&amp;G for the benefit of FNF for a limited period of time after the F&amp;G Distribution. We will rely on F&amp;G to satisfy its obligations under the transaction agreements. If F&amp;G is unable to satisfy its obligations under the transaction agreements, including its indemnification obligations, we could incur operational difficulties or losses.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the Geographic Concentrations of our Business Segments</w:t>
      </w:r>
    </w:p>
    <w:p>
      <w:pPr>
        <w:spacing w:after="0" w:line="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Because we are dependent upon California and Texas for approximately 13.0% and 14.3% of our title insurance premiums, respectively, our Title segment may be adversely affected by regulatory conditions in California and/or Texas.</w:t>
      </w:r>
    </w:p>
    <w:p>
      <w:pPr>
        <w:spacing w:after="0" w:line="33"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California and Texas are the two largest sources of revenue for our Title segment. In 2023, California-based premiums accounted for approximately 27.4% of premiums earned by our direct operations and 0.6% of our agency premium revenues, while Texas-based premiums accounted for 19.5% of premiums earned by our direct operations and 9.8% of our agency premium revenues. In the aggregate, California and Texas accounted for approximately 13.0% and 14.3%, respectively, of our total title insurance premiums for 2023. A significant part of our revenues and profitability are therefore subject to our operations in California and Texas and to the prevailing regulatory conditions in these states. Adverse regulatory developments in California and Texas, which could include reductions in the maximum rates permitted to be charged, inadequate rate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increases or more fundamental changes in the design or implementation of the California and Texas title insurance regulatory framework, could have a material adverse effect on our results of operations and financial condition.</w:t>
      </w:r>
    </w:p>
    <w:p>
      <w:pPr>
        <w:spacing w:after="0" w:line="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Concentration in certain states for the distribution of our life insurance and annuity products in our F&amp;G segment may subject us to losses attributable to economic downturns or catastrophes in those states.</w:t>
      </w:r>
    </w:p>
    <w:p>
      <w:pPr>
        <w:spacing w:after="0" w:line="33"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Our top five states for the distribution of our life insurance and annuity products in our F&amp;G segment are Florida, California, Pennsylvania, Ohio and Texas. Any adverse economic developments or catastrophes in these states could have an adverse impact on our F&amp;G segment.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Government Regulation of the Insurance Industry</w:t>
      </w:r>
    </w:p>
    <w:p>
      <w:pPr>
        <w:spacing w:after="0" w:line="9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subsidiaries must comply with extensive regulations. These regulations may increase our costs or impede or impose burdensome conditions on actions that we might seek to take to increase the revenues of those subsidiaries.</w:t>
      </w:r>
    </w:p>
    <w:p>
      <w:pPr>
        <w:spacing w:after="0" w:line="33"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51" w:lineRule="exact"/>
        <w:rPr>
          <w:sz w:val="20"/>
          <w:szCs w:val="20"/>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requirements;</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marketing practices;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financing practices;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on key terms of mortgage loans;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and surplus requirements;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dividends and other payments made by insurance subsidiaries;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practices;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schedules;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of securities for the benefit of policyholders;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reserves;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reinsurance.</w:t>
      </w:r>
    </w:p>
    <w:p>
      <w:pPr>
        <w:spacing w:after="0" w:line="78"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Regulation” for further discussion of the current regulatory environment.</w:t>
      </w:r>
    </w:p>
    <w:p>
      <w:pPr>
        <w:spacing w:after="0" w:line="56" w:lineRule="exact"/>
        <w:rPr>
          <w:sz w:val="20"/>
          <w:szCs w:val="20"/>
          <w:color w:val="auto"/>
        </w:rPr>
      </w:pPr>
    </w:p>
    <w:p>
      <w:pPr>
        <w:jc w:val="both"/>
        <w:ind w:firstLine="316"/>
        <w:spacing w:after="0" w:line="286" w:lineRule="auto"/>
        <w:rPr>
          <w:sz w:val="20"/>
          <w:szCs w:val="20"/>
          <w:color w:val="auto"/>
        </w:rPr>
      </w:pPr>
      <w:r>
        <w:rPr>
          <w:rFonts w:ascii="Times New Roman" w:cs="Times New Roman" w:eastAsia="Times New Roman" w:hAnsi="Times New Roman"/>
          <w:sz w:val="16"/>
          <w:szCs w:val="16"/>
          <w:color w:val="auto"/>
        </w:rPr>
        <w:t>Our ServiceLink subsidiary provides mortgage transaction services including title-related services and facilitation of production and management of mortgage loans. Certain of these businesses are subject to federal and state regulatory oversight. For example, ServiceLink’s LoanCare business services and subservices mortgage loans secured primarily by residential real estate throughout the United States. LoanCare is subject to extensive federal, state and local regulatory oversight, including federal and state regulatory examinations, information gathering requests, inquiries, and investigations by governmental and regulatory agencies, including the CFPB. In connection with formal and informal inquiries by those agencies, LoanCare receives numerous requests, subpoenas, and orders for documents, testimony and information in connection with various aspects of its or its clients’ regulated activities.</w:t>
      </w:r>
    </w:p>
    <w:p>
      <w:pPr>
        <w:spacing w:after="0" w:line="40"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LoanCare is also required to maintain a variety of licenses, both federal and state. License requirements are in a frequent state of renewal and reexamination as regulations change or are reinterpreted. In addition, federal and state statutes establish specific guidelines and procedures that debt collectors must follow when collecting consumer accounts. LoanCare’s failure to comply with any of these laws, should the states take an opposing interpretation, could have an adverse effect on LoanCare in the event and to the extent that they apply to some or all of its servicing activities.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the rates we charge for title insurance could adversely affect our results of operations.</w:t>
      </w:r>
    </w:p>
    <w:p>
      <w:pPr>
        <w:spacing w:after="0" w:line="87"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Our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subsidiaries operate,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our business operating results and financial conditions.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F&amp;G segment is highly regulated and subject to numerous legal restrictions and regulations.</w:t>
      </w:r>
    </w:p>
    <w:p>
      <w:pPr>
        <w:spacing w:after="0" w:line="100"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State insurance regulators, the NAIC and federal regulators continually reexamine existing laws and regulations and may impose changes in the future. New interpretations of existing laws and the passage of new legislation may harm our ability to sell new policies, increase our claims exposure on policies we issued previously and adversely affect our profitability and financial strength. We are also subject to the risk that compliance with any particular regulator’s interpretation of a legal or accounting issue may not result in compliance with another regulator’s interpretation of the same issue, particularly when compliance is judged in hindsight. Regulators and other authorities have the power to bring administrative or judicial proceedings against us, which could result in, among other things, suspension or revocation of our licenses, cease and desist orders, fines, civil penalties, criminal penalties or other disciplinary action, which could materially harm our results of operations and financial condition.</w:t>
      </w:r>
    </w:p>
    <w:p>
      <w:pPr>
        <w:spacing w:after="0" w:line="56"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We cannot predict what form any future changes in these or other areas of regulation affecting the insurance industry might take or what effect, if any, such proposals might have on us if enacted into law. In addition, because our activities are relatively concentrated in a small number of lines of business, any change in law or regulation affecting one of those lines of business could have a disproportionate impact on us as compared to other more diversified insurance companies. See section titled “</w:t>
      </w:r>
      <w:r>
        <w:rPr>
          <w:rFonts w:ascii="Times New Roman" w:cs="Times New Roman" w:eastAsia="Times New Roman" w:hAnsi="Times New Roman"/>
          <w:sz w:val="18"/>
          <w:szCs w:val="18"/>
          <w:i w:val="1"/>
          <w:iCs w:val="1"/>
          <w:color w:val="auto"/>
        </w:rPr>
        <w:t>Regulation</w:t>
      </w:r>
      <w:r>
        <w:rPr>
          <w:rFonts w:ascii="Times New Roman" w:cs="Times New Roman" w:eastAsia="Times New Roman" w:hAnsi="Times New Roman"/>
          <w:sz w:val="18"/>
          <w:szCs w:val="18"/>
          <w:color w:val="auto"/>
        </w:rPr>
        <w:t>” in Item 1. Business for further discussion of the impact of regulations on our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Regulation</w:t>
      </w:r>
    </w:p>
    <w:p>
      <w:pPr>
        <w:spacing w:after="0" w:line="98"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Our business is subject to government regulation in each of the states in which we conduct business and is concerned primarily with the protection of policyholders and other customers rather than shareholders. Such regulation is vested in state agencies having broad administrative and discretionary authority, which may include, among other things, premium rates and increases thereto, underwriting practices, reserve requirements, marketing practices, advertising, privacy, policy forms, reinsurance reserve requirements, acquisitions, mergers and capital adequacy. At any given time, we and our insurance subsidiaries may be the subject of a number of ongoing financial or market conduct, audits or inquiries. From time to time, regulators raise issues during such examinations or audits that could have a material impact on our business.</w:t>
      </w:r>
    </w:p>
    <w:p>
      <w:pPr>
        <w:spacing w:after="0" w:line="54"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Under insurance guaranty fund laws in most states, insurance companies doing business therein can be assessed up to prescribed limits for policyholder losses incurred by insolvent companies. We cannot predict the amount or timing of any such future assessments and therefore the liability we have established for these potential assessments may not be adequate. In addition, regulators may change their interpretation or application of existing laws and regulations such as the case with broadening the scope of carriers that must contribute towards Long Term Care insolvencies.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NAIC</w:t>
      </w:r>
    </w:p>
    <w:p>
      <w:pPr>
        <w:spacing w:after="0" w:line="98"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Although our business is subject to regulation in each state in which we conduct business, in many instances the state regulatory models emanate from the NAIC. Some of the NAIC pronouncements, particularly as they affect accounting issues, take effect automatically in the various states without affirmative action by the states. Statutes, regulations and interpretations may be applied with retroactive impact, particularly in areas such as accounting and reserve requirements. The NAIC continues to work to reform state regulation in various areas, including comprehensive reforms relating to cybersecurity regulations, best interest standards, RBC and life insurance reserves.</w:t>
      </w:r>
    </w:p>
    <w:p>
      <w:pPr>
        <w:spacing w:after="0" w:line="54"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Our insurance subsidiaries are subject to minimum capitalization requirements based on RBC formulas for life insurance companies that establish capital requirements relating to insurance, business, asset, interest rate and certain other risks. Changes to statutory reserve or risk-based capital requirements may increase the amount of reserves or capital our insurance companies are required to hold and may impact our ability to pay dividends. In addition, changes in statutory reserve or risk-based capital requirements may adversely impact our financial strength ratings. Changes currently under consideration include adding an operational risk component, factors for asset credit risk, and group wide capital calculations.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“Fiduciary” Rule Proposals</w:t>
      </w:r>
    </w:p>
    <w:p>
      <w:pPr>
        <w:spacing w:after="0" w:line="98"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The DOL investment advice rule leaves in place PTE 84-24, which is a longstanding class exemption providing prohibited transaction relief for insurance agents selling annuity products provided certain disclosures are made to the plan fiduciary, which is the policyholder in the case of an IRA, and certain other conditions are met. Among other things, these disclosures include the agent’s relationship to the insurer and commissions received in connection with the annuity sale. F&amp;G, along with FGL NY Insurance, designed and launched a compliance program in January 2022 requiring all agents selling IRA products to submit an acknowledgment with each IRA application indicating the agent has satisfied PTE 84-24 requirements on a precautionary basis in case the agent acted or is found to have acted as a fiduciary. Meanwhile the DOL has publicly announced its intention to consider future rulemaking that would revoke or modify PTE 84-24.</w:t>
      </w:r>
    </w:p>
    <w:p>
      <w:pPr>
        <w:spacing w:after="0" w:line="56"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On November 2, 2023, following previous attempts to expand fiduciary regulation for advisers, the DOL the New Fiduciary Rule to significantly broaden the definition of “fiduciary” under ERISA. Among other requirements, if finalized in its proposed form, the New Fiduciary Rule provides that any person will be an investment advice fiduciary if they provide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investment advice or make an investment recommendation to a retirement investor ( i.e., a plan, plan fiduciary, plan participant or beneficiary, IRA, IRA owner or beneficiary, or IRA fiduciary) for a fee or other compensation, and the person provides the advice or makes the recommendation on a regular basis as part of their business and the recommendation is provided under circumstances indicating that the recommendation is based on the particular needs or individual investor circumstances of the retirement investor. Unlike the current ERISA standard, the New Fiduciary Rule would subject non-discretionary investment advice to retirement plans and accounts to the prudent-person “best interest” standard that has historically been reserved for investment advisors with discretionary authority or control over ERISA plan assets. If the New Fiduciary Rule is adopted in its present form, certain of the Company’s agents would likely be considered fiduciaries for purposes of ERISA and the Internal Revenue Code—subjecting the Company, and the insurance industry on the whole, to greater regulatory risk.</w:t>
      </w:r>
    </w:p>
    <w:p>
      <w:pPr>
        <w:spacing w:after="0" w:line="72"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the company supervises its distribution force, compensation practices, and liability exposure and costs. In addition to implementing the compliance procedures described above, management is monitoring further developments closely and will be working with IMOs and distributors to adapt to these evolving regulatory requirements and risks.</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Bermuda and Cayman Islands Regulation</w:t>
      </w:r>
    </w:p>
    <w:p>
      <w:pPr>
        <w:spacing w:after="0" w:line="98"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Our business is subject to regulation in Bermuda and the Cayman Islands, including the BMA and the CIMA. These regulations may limit or curtail our activities, including activities that might be profitable, and changes to existing regulations may affect our ability to continue to offer our existing products and services, or new products and services we may wish to offer in the future.</w:t>
      </w:r>
    </w:p>
    <w:p>
      <w:pPr>
        <w:spacing w:after="0" w:line="61"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Our reinsurance subsidiary, F&amp;G Life Re, is registered in Bermuda under the Bermuda Insurance Act and subject to the rules and regulations promulgated thereunder. The BMA has sought regulatory equivalency, which enables Bermuda’s commercial insurers to transact business with the European Union on a “level playing field.” In connection with its initial efforts to achieve equivalency under the European Union’s Directive (2009/138/EC) (“Solvency II”), the BMA implemented and imposed additional requirements on the companies it regulates. The European Commission in 2016 granted Bermuda’s commercial insurers full equivalence in all areas of Solvency II for an indefinite period of time.</w:t>
      </w:r>
    </w:p>
    <w:p>
      <w:pPr>
        <w:spacing w:after="0" w:line="54"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Our reinsurance subsidiary, F&amp;G Cayman Re, is licensed in the Cayman Islands by the CIMA and is subject to supervision by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SECURE 2.0 Act of 2022 may impact our business and the markets in which we compete.</w:t>
      </w:r>
    </w:p>
    <w:p>
      <w:pPr>
        <w:spacing w:after="0" w:line="100"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The Secure 2.0 Act of 2022, Division T of the Consolidated Appropriations Act, 2023 (“SECURE Act 2.0”), was signed into law on December 29, 2022, and went into effect as early as January 1, 2023, in certain respects. The SECURE Act 2.0 contains provisions that may impact our F&amp;G insurance subsidiaries, and these changes could affect the desirability of IRAs, necessitate changes to our administrative system to implement the Secure Act 2.0, and affect, to some extent, the length of time that IRA assets remain in our annuity products. These provisions include, for example, raising the age for required minimum distributions from IRAs from 72 to 73 (age 74 after 2032); additional exceptions to the 10% penalty tax for distributions before age 59-1/2; reduction of the penalty for failures to take a required distribution amount; directions to the SEC for new registration forms for registered index linked annuities; and directions to the DOL to revisit fiduciary standards relating to choosing an annuity provider in pension risk transfer transactions. While we cannot predict whether, or to what extent, the SECURE Act 2.0 will ultimately impact us, whether positive or negative, it may have implications for our business operations and the markets in which we compete.</w:t>
      </w:r>
    </w:p>
    <w:p>
      <w:pPr>
        <w:spacing w:after="0" w:line="5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Regulatory investigations of the insurance industry may lead to fines, settlements, new regulation or legal uncertainty, which could negatively affect our results of operations.</w:t>
      </w:r>
    </w:p>
    <w:p>
      <w:pPr>
        <w:spacing w:after="0" w:line="46"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the Credit Risk of our Counterparties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the credit risk of our counterparties, including companies with whom we have reinsurance agreements or we have purchased call options.</w:t>
      </w:r>
    </w:p>
    <w:p>
      <w:pPr>
        <w:spacing w:after="0" w:line="110"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We cede material amounts of insurance and transfers related assets and certain liabilities to other insurance companies through reinsurance. Accordingly, we bear credit risk with respect to our reinsurers. The failure, insolvency, inability or unwillingness of any reinsurer to pay under the terms of reinsurance agreements with us could materially adversely affect our business, financial condition, liquidity and results of operations. We regularly monitor the credit rating and performance of our reinsurance parties. ASPIDA Life Re Ltd. (“Aspida Re”), Wilton Reassurance Company (“Wilton Re”), Somerset Reinsurance Ltd. (“Somerset”) and Everlake Life Insurance Company (“Everlake”) represent our largest third-party reinsurance counterparty exposure. As of December 31, 2023, the net amount recoverable from Aspida Re, Wilton Re, Somerset and Everlake were $6,128 million, $1,092 million, $716 million, and $509 million, respectively. The risk of non-performance is mitigated with various forms of collateral or collateral arrangements, including secured trusts, funds withheld accounts and irrevocable letters of credit.</w:t>
      </w:r>
    </w:p>
    <w:p>
      <w:pPr>
        <w:spacing w:after="0" w:line="72"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are also exposed to credit loss in the event of non-performance by our counterparties on options. We seek to reduce the risk associated with such agreements by purchasing such options from large, well-established financial institutions, and by holding collateral. There can be no assurance we will not suffer losses in the event of counterparty non-performance. Several of our derivative counterparty International Swap and Derivative Association (“ISDA”) agreements contain additional termination event triggers based on a downgrade of FGL Insurance. These triggers would give these counterparties the option to terminate our options, which could lead to losses if occurring at an inopportune time.</w:t>
      </w:r>
    </w:p>
    <w:p>
      <w:pPr>
        <w:spacing w:after="0" w:line="65"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for additional details on credit risk and counterparty risk.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financial institutions at which we hold escrow funds fail, it could have a material adverse impact on our company.</w:t>
      </w:r>
    </w:p>
    <w:p>
      <w:pPr>
        <w:spacing w:after="0" w:line="100"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$13.5 billion at December 31, 2023.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a National or Global Crisis, Climate Change, Computer Cyber-terrorism and Other Catastrophic Events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by the occurrence of a catastrophe, including natural disasters or those caused by humans.</w:t>
      </w:r>
    </w:p>
    <w:p>
      <w:pPr>
        <w:spacing w:after="0" w:line="10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Any catastrophic event, such as a pandemic, terrorist attacks, floods, severe storms or hurricanes or cyber-attacks, could have a material and adverse effect on our business in several respects:</w:t>
      </w:r>
    </w:p>
    <w:p>
      <w:pPr>
        <w:spacing w:after="0" w:line="51" w:lineRule="exact"/>
        <w:rPr>
          <w:sz w:val="20"/>
          <w:szCs w:val="20"/>
          <w:color w:val="auto"/>
        </w:rPr>
      </w:pPr>
    </w:p>
    <w:p>
      <w:pPr>
        <w:ind w:left="64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a pandemic disease, like COVID-19, could have a material adverse effect on our liquidity, financial condition and the operating results of our insurance business due to its impact on the economy and financial markets;</w:t>
      </w:r>
    </w:p>
    <w:p>
      <w:pPr>
        <w:spacing w:after="0" w:line="37"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pandemic disease, natural disaster, terrorist attack or any other catastrophic event that results in our workforce being unable to be physically located at one of our facilities could result in lengthy interruptions in our service; or</w:t>
      </w:r>
    </w:p>
    <w:p>
      <w:pPr>
        <w:spacing w:after="0" w:line="50" w:lineRule="exact"/>
        <w:rPr>
          <w:rFonts w:ascii="Times New Roman" w:cs="Times New Roman" w:eastAsia="Times New Roman" w:hAnsi="Times New Roman"/>
          <w:sz w:val="18"/>
          <w:szCs w:val="18"/>
          <w:color w:val="auto"/>
        </w:rPr>
      </w:pPr>
    </w:p>
    <w:p>
      <w:pPr>
        <w:jc w:val="both"/>
        <w:ind w:left="640" w:hanging="319"/>
        <w:spacing w:after="0" w:line="250"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long-term interruptions in our service and the services provided by our significant vendors due to the effects of catastrophic events, including but not limited to cyber-attacks. Some of our operational systems are not fully redundant, and our disaster recovery and business continuity planning cannot account for all eventualities. Additionally, unanticipated problems with our disaster recovery systems could further impede our ability to conduct business, particularly if those problems affect our computer-based data processing, transmission, storage and retrieval systems and destroy valuable data;</w:t>
      </w:r>
    </w:p>
    <w:p>
      <w:pPr>
        <w:spacing w:after="0" w:line="6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our financial exposure for losses in our title insurance business and in our F&amp;G segment with third-party reinsurance. Catastrophic events could adversely affect the cost and availability of that reinsurance;</w:t>
      </w:r>
    </w:p>
    <w:p>
      <w:pPr>
        <w:spacing w:after="0" w:line="37"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investment portfolio may decrease if the securities in which we invest are negatively impacted by climate change, pandemics, severe weather conditions and other catastrophic events.</w:t>
      </w:r>
    </w:p>
    <w:p>
      <w:pPr>
        <w:spacing w:after="0" w:line="51"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Natural catastrophes, pandemics, and malicious and terrorist acts present risks that could adversely affect our results of operations. Claims arising from such events could have an adverse effect on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either directly or as a result of their effect on our reinsurers or other counterparties. Such events could also have an adverse effect on the rate and amount of lapses and surrenders of existing policies, as well as sales of new policies.</w:t>
      </w:r>
    </w:p>
    <w:p>
      <w:pPr>
        <w:spacing w:after="0" w:line="51"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While we believe we have taken steps to identify and mitigate these types of risks, such risks cannot be reliably predicted, nor fully protected against even if anticipated. In addition, such events could result in overall macroeconomic volatility or specifically a decrease or halt in economic activity in large geographic areas, adversely affecting the marketing or administration of our business within such geographic areas or the general economic climate, which in turn could have an adverse effect on our business, results of operations and financial condition. The possible macroeconomic effects of such events could also adversely affect our asset portfolio.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of our information security systems or unauthorized access to such systems could result in a loss or disclosure of confidential information, damage to our reputation, monetary losses, additional costs and impairment of our ability to conduct business effectively.</w:t>
      </w:r>
    </w:p>
    <w:p>
      <w:pPr>
        <w:spacing w:after="0" w:line="33" w:lineRule="exact"/>
        <w:rPr>
          <w:sz w:val="20"/>
          <w:szCs w:val="20"/>
          <w:color w:val="auto"/>
        </w:rPr>
      </w:pPr>
    </w:p>
    <w:p>
      <w:pPr>
        <w:jc w:val="both"/>
        <w:ind w:firstLine="316"/>
        <w:spacing w:after="0" w:line="259" w:lineRule="auto"/>
        <w:rPr>
          <w:sz w:val="20"/>
          <w:szCs w:val="20"/>
          <w:color w:val="auto"/>
        </w:rPr>
      </w:pPr>
      <w:r>
        <w:rPr>
          <w:rFonts w:ascii="Times New Roman" w:cs="Times New Roman" w:eastAsia="Times New Roman" w:hAnsi="Times New Roman"/>
          <w:sz w:val="16"/>
          <w:szCs w:val="16"/>
          <w:color w:val="auto"/>
        </w:rPr>
        <w:t>Our operations are highly dependent upon the effective operation of our computer systems. We use our computer systems to receive, process, store and transmit sensitive personal consumer data (such as names and addresses, social security numbers, driver's license numbers, and bank account information) and important business information of our customers. We also electronically manage substantial cash, investment assets and escrow account balances on behalf of ourselves and our customers, as well as financial information about our businesses generally. The integrity of our computer systems and the protection of the information that resides on such systems are important to our successful operation. If we fail to maintain an adequate security infrastructure, adapt to emerging security threats such as ransomware or follow our internal business processes with respect to security, the information or assets we hold could be compromised. Further, even if we, or third parties to which we outsource certain information technology services, maintain a reasonable, industry-standard information security infrastructure to mitigate these risks, the inherent risk that unauthorized access to information or assets remains. This risk is increased by transmittal of information over the internet and the increased threat and sophistication of cyber criminals. While, to date, we believe that we have not experienced a material breach of our computer systems, the occurrence or scope of such events is not always apparent. Examples of security threats that represent significant inherent risk with little to no warning include the MoveIT security incident affecting F&amp;G, in which F&amp;G activated its crisis management protocols to adequately manage the investigation, impact, and response to this incident. In November 2023, we experienced a cybersecurity incident where an unauthorized third-party accessed certain of our systems, deployed a type of malware that is not self-propagating, and exfiltrated certain data. We promptly commenced an investigation, retained leading experts to assist the Company, notified law enforcement authorities, regulatory authorities and other stakeholders and followed our incident response plans. Although we believe we have remediated the significant exposures related to these incidents, there remains potential for future losses associated with litigation and damage to our reputation. If additional information regarding an event previously considered immaterial is discovered, or a new event were to occur, it could potentially have a material adverse effect on our operations or financial condition. In addition, some laws and certain of our contracts require notification of various parties, including regulators, consumers or customers, in the event that confidential or personal information has or may have been taken or accessed by unauthorized parties. Such notifications can potentially result, among other things, in adverse publicity, diversion of management and other resources, the attention of regulatory authorities, the imposition of fines, and disruptions in business operations, the effects of which may be material. Any inability to prevent security or privacy breaches, or the perception that such breaches may occur, could inhibit our ability to retain or attract new clients and/or result in financial losses, litigation, increased costs, negative publicity, or other adverse consequences to our business.</w:t>
      </w:r>
    </w:p>
    <w:p>
      <w:pPr>
        <w:spacing w:after="0" w:line="200" w:lineRule="exact"/>
        <w:rPr>
          <w:sz w:val="20"/>
          <w:szCs w:val="20"/>
          <w:color w:val="auto"/>
        </w:rPr>
      </w:pPr>
    </w:p>
    <w:p>
      <w:pPr>
        <w:spacing w:after="0" w:line="263" w:lineRule="exact"/>
        <w:rPr>
          <w:sz w:val="20"/>
          <w:szCs w:val="20"/>
          <w:color w:val="auto"/>
        </w:rPr>
      </w:pPr>
    </w:p>
    <w:p>
      <w:pPr>
        <w:jc w:val="both"/>
        <w:ind w:firstLine="316"/>
        <w:spacing w:after="0" w:line="232" w:lineRule="auto"/>
        <w:rPr>
          <w:sz w:val="20"/>
          <w:szCs w:val="20"/>
          <w:color w:val="auto"/>
        </w:rPr>
      </w:pPr>
      <w:r>
        <w:rPr>
          <w:rFonts w:ascii="Times New Roman" w:cs="Times New Roman" w:eastAsia="Times New Roman" w:hAnsi="Times New Roman"/>
          <w:sz w:val="18"/>
          <w:szCs w:val="18"/>
          <w:color w:val="auto"/>
        </w:rPr>
        <w:t>While we currently maintain cybersecurity insurance, such insurance may not be sufficient in type or amount to cover us against claims related to cybersecurity breaches or attacks, failures or other data security-related incidents, and we cannot be certain that cyber insurance will continue to be available to us on economically reasonable terms, or at all, or that an insurer will not deny coverage as to any future claim. The successful assertion of one or more claims against us that exceed available insurance coverage, or the occurrence of changes in our insurance policies, including premium increases or the imposition of large deductibles, could materially and adversely affect our financial condition, results of operations and cash flows.</w:t>
      </w:r>
    </w:p>
    <w:p>
      <w:pPr>
        <w:spacing w:after="0" w:line="92"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Further, our financial institution clients have obligations to safeguard their information technology systems and the confidentiality of customer information. In certain of our businesses, we are bound contractually and/or by regulation to comply with the same requirements. If we fail to comply with these regulations and requirements, we could be exposed to lawsuits for breach of contract, governmental proceedings or the imposition of fines. In addition, future adoption of more restrictive privacy laws, rules or industry security requirements by federal or state regulatory bodies or by a specific industry in which we do business could have an adverse impact on us through increased costs or restrictions on business processes.</w:t>
      </w:r>
    </w:p>
    <w:p>
      <w:pPr>
        <w:spacing w:after="0" w:line="1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new and emerging types of Artificial Intelligence and their uses are very early stage in the industry and may be subject to many uncertain future developments and regulations.</w:t>
      </w:r>
    </w:p>
    <w:p>
      <w:pPr>
        <w:spacing w:after="0" w:line="46"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Regulatory agencies are evaluating existing regulatory frameworks for insurance industry wide use of Artificial Intelligence. New artificial intelligence algorithms and predictive models may be used by insurance companies in selling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insurance products to consumers. However, the use of new artificial intelligence models may make insurance companies more susceptible to potential bias, discrimination, and data breaches. These concerns could lead to development of new, or modifications to, laws and regulations pertaining to the use of Artificial Intelligence by insurance companies, or the broader financial services sector, which may prove to be onerous for companies to implement in a timely manner.</w:t>
      </w:r>
    </w:p>
    <w:p>
      <w:pPr>
        <w:spacing w:after="0" w:line="40"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The use of artificial intelligence and machine learning technologies, including generative artificial intelligence, has increased rapidly with increasing complexity and changes in the nature of the technology. Our potential uses of generative artificial intelligence may be subject to various risks including flaws or limitations in the large language models or training datasets that may result in biased or inaccurate results, ethical considerations, and the ability to safely deploy and implement governance and controls for such systems. Laws and regulations related to artificial intelligence are evolving, and there is uncertainty as to potential adoption of new laws and regulations and the application of existing laws and regulations to use of artificial intelligence, which may restrict or impose burdensome and costly requirements on our ability to use artificial intelligence. In addition, there has been considerable patent and other intellectual property development activity in the artificial intelligence industry, which has resulted in litigation based on allegations of infringement or other violations of intellectual property rights. We may receive claims from third parties, including our competitors, alleging that our use of artificial intelligence technology infringes on or violates such third party's intellectual property rights. Adverse consequences of these risks related to artificial intelligence could undermine the decisions, predictions or analysis such technologies produce and subject us to competitive harm, legal liability, heightened regulatory scrutiny and brand or reputational harm.</w:t>
      </w:r>
    </w:p>
    <w:p>
      <w:pPr>
        <w:spacing w:after="0" w:line="87"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Our ability to adopt new technologies may be inhibited by the emergence of industry-wide standards, a changing legislative and regulatory environment, an inability to develop appropriate governance and controls, a lack of internal product and engineering expertise, resistance to change from consumers, or lack of appropriate change management processes or the complexity of our systems. In addition, our adoption of new technologies and our introduction of new products and services may expose us to new or enhanced risks, particularly in areas where we have less experience or our existing governance and control systems may be insufficient, which could require us to make substantial expenditures or subject us to legal liability, heightened regulatory scrutiny and brand or reputational harm.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may adversely affect our revenues and profitability.</w:t>
      </w:r>
    </w:p>
    <w:p>
      <w:pPr>
        <w:spacing w:after="0" w:line="100"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Our reputation is a key asset, and our continued success is dependent upon our ability to earn and maintain the trust and confidence of our broad range of customers. We provide our products and services to a wide range of customers, and our ability to attract and retain customers is highly dependent upon the external perceptions of our level of service, trustworthiness, business practices, financial condition, and other subjective qualities. Damage to our reputation may arise from a variety of sources including, but not limited to, litigation or regulatory actions, compliance failures, employee misconduct, cybersecurity incidents, unfavorable press coverage, and unfavorable comments on social media. Any damage to our reputation could adversely affect our ability to attract and retain customers and employees, potentially leading to a reduction in our revenues and profitability.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respond to rapid changes in technology could adversely affect our results of operations or financial condition.</w:t>
      </w:r>
    </w:p>
    <w:p>
      <w:pPr>
        <w:spacing w:after="0" w:line="10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Rapidly evolving technologies and innovations in software and financial technology could drive changes in how real estate transactions are recorded and processed throughout the mortgage life cycle. There is no guarantee that we will be able to effectively adapt to and utilize changing technology. Existing or new competitors may be able to utilize or create technology more effectively than us, which could result in the loss of market share.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may be subject to infringement claims.</w:t>
      </w:r>
    </w:p>
    <w:p>
      <w:pPr>
        <w:spacing w:after="0" w:line="87" w:lineRule="exact"/>
        <w:rPr>
          <w:sz w:val="20"/>
          <w:szCs w:val="20"/>
          <w:color w:val="auto"/>
        </w:rPr>
      </w:pPr>
    </w:p>
    <w:p>
      <w:pPr>
        <w:jc w:val="both"/>
        <w:ind w:firstLine="316"/>
        <w:spacing w:after="0" w:line="289" w:lineRule="auto"/>
        <w:rPr>
          <w:sz w:val="20"/>
          <w:szCs w:val="20"/>
          <w:color w:val="auto"/>
        </w:rPr>
      </w:pPr>
      <w:r>
        <w:rPr>
          <w:rFonts w:ascii="Times New Roman" w:cs="Times New Roman" w:eastAsia="Times New Roman" w:hAnsi="Times New Roman"/>
          <w:sz w:val="16"/>
          <w:szCs w:val="16"/>
          <w:color w:val="auto"/>
        </w:rPr>
        <w:t>We rely on a combination of contractual rights and copyright, trademark and trade secret laws to establish and protect our intellectual property. Although we use a broad range of measures to protect our intellectual property rights, third parties may infringe or misappropriate our intellectual property. We may have to litigate to enforce and protect our copyrights, trademarks, trade secrets and know-how or to determine their scope, validity or enforceability, which represents a diversion of resources that may be significant in amount and may not prove successful. The loss of intellectual property protection or the inability to secure or enforce the protection of our intellectual property assets could adversely impact our business and our ability to compete effectively.</w:t>
      </w:r>
    </w:p>
    <w:p>
      <w:pPr>
        <w:spacing w:after="0" w:line="37"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We may be subject to costly litigation in the event that another party alleges our operations or activities infringe upon that party’s intellectual property rights. Third parties may have, or may eventually be issued, patents or other protections that could be infringed by our products, methods, processes or services or could otherwise limit our ability to offer certain product features. We may also be subject to claims by third parties for breach of copyright, trademark, trade secret or license usage rights. Any such claims and any resulting litigation could result in significant expense and liability for damages or we could be enjoined from providing certain products or services to our customers or utilizing and benefiting from certain methods, processes, copyrights, trademarks, trade secrets or licenses, or alternatively, we could be required to enter into costly licensing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with third parties, all of which could have a material adverse effect on our business, results of operations and financial condition.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the subject of various legal proceedings that could have a material adverse effect on our results of operations.</w:t>
      </w:r>
    </w:p>
    <w:p>
      <w:pPr>
        <w:spacing w:after="0" w:line="87"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 xml:space="preserve">We are involved from time to time in various legal proceedings, including in some cases class-action lawsuits and regulatory inquiries, investigations or other proceedings. If we are unsuccessful in our defense of litigation matters or regulatory proceedings, we may be forced to pay damages, fines or penalties and/or change our business practices, any of which could have a material adverse effect on our business and results of operations. See Note H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Contingencies </w:t>
      </w:r>
      <w:r>
        <w:rPr>
          <w:rFonts w:ascii="Times New Roman" w:cs="Times New Roman" w:eastAsia="Times New Roman" w:hAnsi="Times New Roman"/>
          <w:sz w:val="18"/>
          <w:szCs w:val="18"/>
          <w:color w:val="auto"/>
        </w:rPr>
        <w:t>to our Consolidated Financial Statements included in Item 8 of Part II of this Annual Report for further discussion of pending litigation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matters and our related accrual.</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which could limit our ability to gain or maintain our position in the industry and could materially adversely affect our business, financial condition and results of operations.</w:t>
      </w:r>
    </w:p>
    <w:p>
      <w:pPr>
        <w:spacing w:after="0" w:line="46"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Our F&amp;G insurance subsidiaries operate in a highly competitive industry and encounter significant competition in all of our product lines from other insurance companies, many of which have greater financial resources and higher financial strength ratings than us and that may have a greater market share, offer a broader range of products, services or features, assume a greater level of risk, have lower operating or financing costs, or have different profitability expectations than us. Competition could result in, among other things, lower sales or higher lapses of existing products.</w:t>
      </w:r>
    </w:p>
    <w:p>
      <w:pPr>
        <w:spacing w:after="0" w:line="52"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Our annuity products compete with fixed indexed, fixed rate and variable annuities sold by other insurance companies and also with mutual fund products, traditional bank investments and other retirement funding alternatives offered by asset managers, banks and broker-dealers. The ability of banks and broker dealers to increase their securities-related business or to affiliate with insurance companies may materially and adversely affect sales of all of our products by substantially increasing the number and financial strength of potential competitors. Our insurance products compete with those of other insurance companies, financial intermediaries and other institutions based on a number of factors, including premium rates, policy terms and conditions, service provided to distribution channels and policyholders, ratings by rating agencies, reputation and commission structures.</w:t>
      </w:r>
    </w:p>
    <w:p>
      <w:pPr>
        <w:spacing w:after="0" w:line="67"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Our ability to compete is dependent upon, among other things, our ability to develop competitive and profitable products, our ability to maintain low unit costs, and our maintenance of adequate financial strength ratings from rating agencies. Our ability to compete is also dependent upon, among other things, our ability to attract and retain distribution channels to market our products, the competition for which is vigorous.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negatively affect our financial results and impair our operating abilities.</w:t>
      </w:r>
    </w:p>
    <w:p>
      <w:pPr>
        <w:spacing w:after="0" w:line="87"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29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i w:val="1"/>
          <w:iCs w:val="1"/>
          <w:color w:val="auto"/>
        </w:rPr>
        <w:t>Unresolved Staff Comments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7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6"/>
          <w:szCs w:val="16"/>
          <w:b w:val="1"/>
          <w:bCs w:val="1"/>
          <w:i w:val="1"/>
          <w:iCs w:val="1"/>
          <w:color w:val="auto"/>
        </w:rPr>
        <w:t>Cybersecurity</w:t>
      </w:r>
    </w:p>
    <w:p>
      <w:pPr>
        <w:spacing w:after="0" w:line="10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We are highly dependent on information technology in the operation of our various businesses. Cybersecurity is an integral part of our operations and is a focus of all employees, including senior management, and our board of directors.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87"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We assess, identify and manage cybersecurity risks through various processes within our Enterprise Risk Management Program and Information Security Program. We focus on all areas of cybersecurity, including threat and vulnerability management, security monitoring, identity and access management, phishing awareness, risk oversight, third-party risk management, disaster recovery and continuity management. We have established policies, including those related to privacy, information security and cybersecurity, and we employ a broad and diversified set of cybersecurity risk monitoring and risk mitigation techniques. Internal audits, external audits, and self-assessments are conducted to assess the effectiveness and maturity of our Enterprise Risk Management Program and Information Security Program.</w:t>
      </w:r>
    </w:p>
    <w:p>
      <w:pPr>
        <w:spacing w:after="0" w:line="80"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Our employees are one of our strongest assets in protecting our customers' information and mitigating cybersecurity risk. We maintain comprehensive and tailored training programs that focus on applicable privacy and cybersecurity requirements. Additionally, we make strategic investments in cybersecurity to protect our customers and information systems, including both capital expenditures and operating expenses for hardware, software, personnel and consulting services.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Our processes to assess, identify and manage cybersecurity risks, including cybersecurity risks related to the use of third-party service providers, are fully integrated into our Enterprise Risk Management Program. In some circumstances we use third-party service providers to provide expertise and to monitor utilization of specific cyber tools, and in certain cases, to supplement staffing services. Through our vendor risk management process, these vendors undergo various assessments such as financial, reputational, contractual and informational security. These assessments are performed to ascertain that these vendors meet our policy requirements relative to the services they perform on our behalf.</w:t>
      </w:r>
    </w:p>
    <w:p>
      <w:pPr>
        <w:spacing w:after="0" w:line="80"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To further reduce the residual risk associated with cybersecurity, we maintain Miscellaneous Professional Liability Insurance, which provides coverage for cybersecurity incidents. The deductible limits on these policies are determined by a corporate insurance risk management group and executive management at least on an annual basis. This group determines appropriate coverage levels and deductibles for each policy based on tolerance and weighs the coverage against the premium for the policy.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 in Assessing and Managing Cybersecurity Risk</w:t>
      </w:r>
    </w:p>
    <w:p>
      <w:pPr>
        <w:spacing w:after="0" w:line="85"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Our Corporate Information Security Group is led by our Chief Information Security Officer (CISO) who is responsible for our information security strategy. This strategy includes policy management, security engineering, identity and access management, vulnerability management and cyber threat detection and response through our Security Operations Center. Our CISO has extensive information technology and program management experience as do many of our employees in our information security group. Our CISO, as well as others in our information security group, hold certifications such the Certified Information System Security Professional certification. We believe cybersecurity is a shared responsibility throughout the organization and thus we also manage cybersecurity risks, through a cross-functional committee of members of senior management known as the Enterprise Risk Steering Committee, which includes the CISO. The diversity of this group allows for identification of key enterprise risks from strategic, operational, financial, legal, information technology, and compliance perspectives. These individuals receive reporting on our cybersecurity programs and also participate in table-top exercises relating to potential security incidents. The CISO is also the primary point of contact for reporting information security incidents and for coordinating information security activities including incident response and digital forensics. Our CISO reports to our Chief Security Officer who also has extensive experience in the information security space.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 of Cybersecurity</w:t>
      </w:r>
    </w:p>
    <w:p>
      <w:pPr>
        <w:spacing w:after="0" w:line="98"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 xml:space="preserve">Our board has a strong focus on cybersecurity. Our approaches to cybersecurity and privacy risk are overseen by the audit committee. At each regular meeting of the audit committee of our board of directors, our Chief Risk Officer, Chief Compliance Officer, Chief Security Officer, Chief Information Security Officer and Chief Audit Officer provide reports relating to existing and emerging cyber and data security risks, as well as reports on the Company’s risk assessments and security incidents. Our audit committee chairman reports on these discussions to our board of directors on a quarterly basis. "See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for discussion of material risks faced by the Company, including risks related to cybersecurity."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Cybersecurity Incident</w:t>
      </w:r>
    </w:p>
    <w:p>
      <w:pPr>
        <w:spacing w:after="0" w:line="100"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On November 19, 2023, we became aware of a cybersecurity incident that impacted certain of our systems. We promptly commenced an investigation, retained leading experts to assist the Company, notified law enforcement authorities, regulatory authorities and other stakeholders and followed our incident response plans. In addition, we took containment measures such as blocking access to certain of our systems resulting in varying levels of disruption to our businesses. The incident was contained on November 26, 2023.</w:t>
      </w:r>
    </w:p>
    <w:p>
      <w:pPr>
        <w:spacing w:after="0" w:line="52"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We completed our forensic investigation on December 13, 2023. We determined that an unauthorized third-party accessed certain of our systems, deployed a type of malware that is not self-propagating, and exfiltrated certain data. We have no evidence that any customer-owned system was directly impacted in the incident, and no customer has reported that this has occurred. The last confirmed date of unauthorized third-party activity in our network occurred on November 20, 2023.</w:t>
      </w:r>
    </w:p>
    <w:p>
      <w:pPr>
        <w:spacing w:after="0" w:line="65"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have identified and analyzed the nature and scope of the affected systems and data. We have notified our affected customers and applicable state attorneys general and regulators, and approximately 1.3 million potentially impacted consumers; are providing credit monitoring, web monitoring, and identity theft restoration services; and are fielding questions from customers. We are continuing to coordinate with law enforcement, our customers, regulators, advisors and other stakeholders. We have been named as a defendant in several lawsuits related to this incident. The Company will vigorously defend itself against any litigation filed related to this incident.</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this time, we do not believe that the incident will have a material impact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Properties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corporate headquarters are in Jacksonville, Florida in owned facilities. F&amp;G's headquarters are in Des Moines, Iowa in leased facilities.</w:t>
      </w:r>
    </w:p>
    <w:p>
      <w:pPr>
        <w:spacing w:after="0" w:line="81"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color w:val="auto"/>
        </w:rPr>
        <w:t xml:space="preserve">The majority of our branch offices are leased from third parties. See Note Q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Consolidated Financial Statements included in Item 8 of Part II of this Annual Report for further information on our outstanding leases. Our subsidiaries conduct their business operations primarily in leased office space in 47 states, Washington, DC, Canada, India, Bermuda and the Cayman Islands.</w:t>
      </w:r>
    </w:p>
    <w:p>
      <w:pPr>
        <w:spacing w:after="0" w:line="29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98"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color w:val="auto"/>
        </w:rPr>
        <w:t xml:space="preserve">For a description of our legal proceedings see discussion of </w:t>
      </w:r>
      <w:r>
        <w:rPr>
          <w:rFonts w:ascii="Times New Roman" w:cs="Times New Roman" w:eastAsia="Times New Roman" w:hAnsi="Times New Roman"/>
          <w:sz w:val="18"/>
          <w:szCs w:val="18"/>
          <w:i w:val="1"/>
          <w:iCs w:val="1"/>
          <w:color w:val="auto"/>
        </w:rPr>
        <w:t>Legal and Regulatory Contingencies</w:t>
      </w:r>
      <w:r>
        <w:rPr>
          <w:rFonts w:ascii="Times New Roman" w:cs="Times New Roman" w:eastAsia="Times New Roman" w:hAnsi="Times New Roman"/>
          <w:sz w:val="18"/>
          <w:szCs w:val="18"/>
          <w:color w:val="auto"/>
        </w:rPr>
        <w:t xml:space="preserve"> in Note H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Item 8 of Part II of this Annual Report, which is incorporated by reference into this Item 3 of Part I.</w:t>
      </w:r>
    </w:p>
    <w:p>
      <w:pPr>
        <w:spacing w:after="0" w:line="26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Mine Safety Disclosures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i w:val="1"/>
          <w:iCs w:val="1"/>
          <w:color w:val="auto"/>
        </w:rPr>
        <w:t>Market for Registrant's Common Equity, Related Stockholder Matters and Issuer Purchases of Equity Securities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common stock trades on the New York Stock Exchange under the trading symbol "FNF".</w:t>
      </w:r>
    </w:p>
    <w:p>
      <w:pPr>
        <w:spacing w:after="0" w:line="109"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On January 31, 2024, the last reported sale price of our common stock on the New York Stock Exchange was $50.03. We had approximately 5,828 shareholders of record on January 31, 2024.</w:t>
      </w:r>
    </w:p>
    <w:p>
      <w:pPr>
        <w:spacing w:after="0" w:line="62"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color w:val="auto"/>
        </w:rPr>
        <w:t xml:space="preserve">Refer to Note U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xml:space="preserve"> to our Consolidated Financial Statements included in Item 8 of Part II of this Annual Report, which is incorporated by reference into this Item 5 of Part II, for further information on securities issued for employee stock compensation pursuant to our Omnibus Plan.</w:t>
      </w:r>
    </w:p>
    <w:p>
      <w:pPr>
        <w:spacing w:after="0" w:line="48" w:lineRule="exact"/>
        <w:rPr>
          <w:sz w:val="20"/>
          <w:szCs w:val="20"/>
          <w:color w:val="auto"/>
        </w:rPr>
      </w:pPr>
    </w:p>
    <w:p>
      <w:pPr>
        <w:ind w:right="520" w:firstLine="316"/>
        <w:spacing w:after="0" w:line="268" w:lineRule="auto"/>
        <w:rPr>
          <w:sz w:val="20"/>
          <w:szCs w:val="20"/>
          <w:color w:val="auto"/>
        </w:rPr>
      </w:pPr>
      <w:r>
        <w:rPr>
          <w:rFonts w:ascii="Times New Roman" w:cs="Times New Roman" w:eastAsia="Times New Roman" w:hAnsi="Times New Roman"/>
          <w:sz w:val="18"/>
          <w:szCs w:val="18"/>
          <w:color w:val="auto"/>
        </w:rPr>
        <w:t>Information concerning securities authorized for issuance under our equity compensation plans will be included in Item 12 of Part III of this Annual Report.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87" w:lineRule="exact"/>
        <w:rPr>
          <w:sz w:val="20"/>
          <w:szCs w:val="20"/>
          <w:color w:val="auto"/>
        </w:rPr>
      </w:pPr>
    </w:p>
    <w:p>
      <w:pPr>
        <w:jc w:val="both"/>
        <w:ind w:right="100" w:firstLine="316"/>
        <w:spacing w:after="0" w:line="250" w:lineRule="auto"/>
        <w:rPr>
          <w:sz w:val="20"/>
          <w:szCs w:val="20"/>
          <w:color w:val="auto"/>
        </w:rPr>
      </w:pPr>
      <w:r>
        <w:rPr>
          <w:rFonts w:ascii="Times New Roman" w:cs="Times New Roman" w:eastAsia="Times New Roman" w:hAnsi="Times New Roman"/>
          <w:sz w:val="18"/>
          <w:szCs w:val="18"/>
          <w:color w:val="auto"/>
        </w:rPr>
        <w:t>Set forth below is a graph comparing cumulative total shareholder return on our FNF common stock against the cumulative total return on the S&amp;P 500 Index and against the cumulative total return of a peer group index consisting of certain companies in the primary industry in which we compete (SIC code 6361 — Title Insurance) for the period ending December 31, 2023.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2018,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62230</wp:posOffset>
            </wp:positionV>
            <wp:extent cx="5514975" cy="4578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4975" cy="457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30"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04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2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2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12/31/2023</w:t>
            </w:r>
          </w:p>
        </w:tc>
      </w:tr>
      <w:tr>
        <w:trPr>
          <w:trHeight w:val="252"/>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Fidelity National Financial, Inc.</w:t>
            </w:r>
          </w:p>
        </w:tc>
        <w:tc>
          <w:tcPr>
            <w:tcW w:w="2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100.00</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148.93</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134.00</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185.19</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145.31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w:t>
            </w:r>
          </w:p>
        </w:tc>
      </w:tr>
      <w:tr>
        <w:trPr>
          <w:trHeight w:val="197"/>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2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100.00</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131.49</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155.68</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200.37</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164.08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r>
      <w:tr>
        <w:trPr>
          <w:trHeight w:val="197"/>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Peer Group</w:t>
            </w:r>
          </w:p>
        </w:tc>
        <w:tc>
          <w:tcPr>
            <w:tcW w:w="2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100.00</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129.17</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123.30</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195.35</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130.06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On February 14, 2024, our Board of Directors formally declared a $0.48 per FNF share cash dividend that is payable on March 29, 2024, to FNF shareholders of record as of March 15, 2024. During the years ended December 31, 2023, 2022, and 2021, we declared dividends on our common stock of $1.83, $1.77, and $1.56, respectively.</w:t>
      </w:r>
    </w:p>
    <w:p>
      <w:pPr>
        <w:spacing w:after="0" w:line="6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0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On August 3, 2021, our Board of Directors approved a new three-year stock repurchase program effective August 3, 2021 (the "2021 Repurchase Program") under which we may purchase up to 25 million shares of our FNF common stock through July 31, 2024. We may make repurchases from time to time in the open market, in block purchases or in privately negotiated transactions, depending on market conditions and other factors.</w:t>
      </w:r>
    </w:p>
    <w:p>
      <w:pPr>
        <w:spacing w:after="0" w:line="61" w:lineRule="exact"/>
        <w:rPr>
          <w:sz w:val="20"/>
          <w:szCs w:val="20"/>
          <w:color w:val="auto"/>
        </w:rPr>
      </w:pPr>
    </w:p>
    <w:p>
      <w:pPr>
        <w:jc w:val="both"/>
        <w:ind w:firstLine="316"/>
        <w:spacing w:after="0" w:line="332" w:lineRule="auto"/>
        <w:rPr>
          <w:sz w:val="20"/>
          <w:szCs w:val="20"/>
          <w:color w:val="auto"/>
        </w:rPr>
      </w:pPr>
      <w:r>
        <w:rPr>
          <w:rFonts w:ascii="Times New Roman" w:cs="Times New Roman" w:eastAsia="Times New Roman" w:hAnsi="Times New Roman"/>
          <w:sz w:val="16"/>
          <w:szCs w:val="16"/>
          <w:color w:val="auto"/>
        </w:rPr>
        <w:t>During the quarter ended December 31, 2023, we did not repurchase any FNF common shares. Since the original commencement of the 2021 Repurchase Program, we repurchased a total of 16,449,565 FNF common shares for an aggregate amount of $701 million, or an average of $42.60 per share.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1"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Notes thereto and Selected Financial Data included elsewhere in this Annual Report.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1"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For a description of our business, including descriptions of segments, see the discussion under Business in Item 1 of Part I of this Annual Report, which is incorporated by reference into this Item 7 of Part II of this Annual Report.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111"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Our Title segment revenue is closely related to the level of real estate activity that includes sales, mortgage financing and mortgage refinancing. Declines in the level of real estate activity or the average price of real estate sales will adversely affect our title insurance revenues.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found that residential real estate activity is generally dependent on the following factors:</w:t>
      </w:r>
    </w:p>
    <w:p>
      <w:pPr>
        <w:spacing w:after="0" w:line="96" w:lineRule="exact"/>
        <w:rPr>
          <w:sz w:val="20"/>
          <w:szCs w:val="20"/>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interest rates;</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funding supply;</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inventory and home prices;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for commercial real estate;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including employment levels.</w:t>
      </w:r>
    </w:p>
    <w:p>
      <w:pPr>
        <w:spacing w:after="0" w:line="65" w:lineRule="exact"/>
        <w:rPr>
          <w:sz w:val="20"/>
          <w:szCs w:val="20"/>
          <w:color w:val="auto"/>
        </w:rPr>
      </w:pPr>
    </w:p>
    <w:p>
      <w:pPr>
        <w:jc w:val="both"/>
        <w:ind w:firstLine="316"/>
        <w:spacing w:after="0" w:line="263" w:lineRule="auto"/>
        <w:rPr>
          <w:sz w:val="20"/>
          <w:szCs w:val="20"/>
          <w:color w:val="auto"/>
        </w:rPr>
      </w:pPr>
      <w:r>
        <w:rPr>
          <w:rFonts w:ascii="Times New Roman" w:cs="Times New Roman" w:eastAsia="Times New Roman" w:hAnsi="Times New Roman"/>
          <w:sz w:val="18"/>
          <w:szCs w:val="18"/>
          <w:color w:val="auto"/>
        </w:rPr>
        <w:t>The most recent forecast of the MBA, as of February 20, 2024, estimated (actual for fiscal year 2022) the size of the U.S. residential mortgage originations market as shown in the following table for 2022 - 2026 in its "Mortgage Finance Forecast" (in trillions):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8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1"/>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transactions</w:t>
            </w:r>
          </w:p>
        </w:tc>
        <w:tc>
          <w:tcPr>
            <w:tcW w:w="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1"/>
              </w:rPr>
              <w:t>1.8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1.7</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1"/>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Refinance transactions</w:t>
            </w:r>
          </w:p>
        </w:tc>
        <w:tc>
          <w:tcPr>
            <w:tcW w:w="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91"/>
              </w:rPr>
              <w:t>0.6</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0.6</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0.5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22"/>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U.S. mortgage originations forecast</w:t>
            </w:r>
          </w:p>
        </w:tc>
        <w:tc>
          <w:tcPr>
            <w:tcW w:w="56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1"/>
              </w:rPr>
              <w:t>2.4</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2.3</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2.0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As of February 20, 2024, the MBA expected residential purchase transactions and residential refinance transactions to decrease in 2023 followed by increases in 2024 through 2026.</w:t>
      </w:r>
    </w:p>
    <w:p>
      <w:pPr>
        <w:spacing w:after="0" w:line="5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Following the Federal Reserve's reduction of its benchmark rate to nearly zero in response to COVID-19, residential purchase and refinance activity were on strong footing resulting in record revenues in 2021. However, residential refinance transactions began to slow in 2021 as the population of eligible refinance candidates declined.</w:t>
      </w:r>
    </w:p>
    <w:p>
      <w:pPr>
        <w:spacing w:after="0" w:line="6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Federal Reserve raised the benchmark interest rate from near zero as of March 2022 to a range between 5.25% and 5.50% as of December 2023 in an effort to combat inflation. Interest rates on a 30-year, fixed rate mortgage averaged 6.8%, up from 5.2% and 3.2% in 2022 and 2021, respectively.</w:t>
      </w:r>
    </w:p>
    <w:p>
      <w:pPr>
        <w:spacing w:after="0" w:line="38"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A shortage in the supply of homes for sale, increasing home prices, rising mortgage interest rates, inflation and disrupted labor markets created some volatility in the residential real estate market in 2021 and 2022. Additionally, geopolitical uncertainties associated with the wars in Ukraine and Gaza have created additional volatility in the global economy in 2022 and 2023. Existing-home sales decreased 6% in December 2023 as compared to the corresponding month in 2022 while median existing-home sales prices rose to $382,600 in December 2023, a 4% increase over the corresponding month in 2022.</w:t>
      </w:r>
    </w:p>
    <w:p>
      <w:pPr>
        <w:spacing w:after="0" w:line="36"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According to the U.S. Department of Labor's Bureau of Labor, the unemployment rate was 6.7% in December 2020. In 2021, the unemployment rate fell dramatically and remained near record lows throughout 2022 and 2023. The unemployment rate was 3.7% and 3.5% in December of 2023 and 2022, respectively.</w:t>
      </w:r>
    </w:p>
    <w:p>
      <w:pPr>
        <w:spacing w:after="0" w:line="61"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We issue commercial title insurance policies in sectors including office, industrial, energy, hospitality, retail and multi-family, among others. The demand for commercial title insurance varies based on a variety of factors such as investor appetite, financing availability, and supply and demand in a particular area. Because commercial real estate transactions tend to be generally driven by supply and demand for commercial space in a particular area rather than by interest rate fluctuations, we believe that our commercial real estate title insurance business is less dependent on the industry cycles discussed above than our residential real estate title business.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experienced fluctuating demand in commercial real estate markets. Commercial volumes and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commercial fee-per-file recovered in the second half of 2020 and remained stable throughout 2021 and the first three quarters of 2022. Commercial volumes and commercial fee-per-file declined in the fourth quarter of 2022 and remained depressed throughout 2023 when compared to recent years.</w:t>
      </w:r>
    </w:p>
    <w:p>
      <w:pPr>
        <w:spacing w:after="0" w:line="5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59"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real estate transactions have produced seasonal revenue fluctuations in the real estate industry. The first calendar quarter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Seasonality in 2021, 2022 and 2023 deviated from historical patterns due to COVID-19 and the subsequent rapid increase in interest rates. We have noted short-term fluctuations through recent years in resale and refinance transactions as a result of changes in interest rates.</w:t>
      </w:r>
    </w:p>
    <w:p>
      <w:pPr>
        <w:spacing w:after="0" w:line="80"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Geographic Operations. </w:t>
      </w:r>
      <w:r>
        <w:rPr>
          <w:rFonts w:ascii="Times New Roman" w:cs="Times New Roman" w:eastAsia="Times New Roman" w:hAnsi="Times New Roman"/>
          <w:sz w:val="18"/>
          <w:szCs w:val="18"/>
          <w:color w:val="auto"/>
        </w:rPr>
        <w:t>Our direct title operations are divided into approximately 180 profit centers. Each profit center processes title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within its geographical area, which is usually identified by a county, a group of counties forming a region, or a state, depending on the management structure in that part of the country. We also transact title insurance business through a network of approximately 5,200 agents, primarily in those areas in which agents are the more prevalent title insurance provider. Substantially all of our revenues are generated in the United States.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approximate dollar and percentage volumes of our title insurance premium revenue by state: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r>
      <w:tr>
        <w:trPr>
          <w:trHeight w:val="184"/>
        </w:trPr>
        <w:tc>
          <w:tcPr>
            <w:tcW w:w="3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1"/>
        </w:trPr>
        <w:tc>
          <w:tcPr>
            <w:tcW w:w="3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13.0 %</w:t>
            </w:r>
          </w:p>
        </w:tc>
      </w:tr>
      <w:tr>
        <w:trPr>
          <w:trHeight w:val="19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3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3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14.6</w:t>
            </w:r>
          </w:p>
        </w:tc>
      </w:tr>
      <w:tr>
        <w:trPr>
          <w:trHeight w:val="20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3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3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9.3</w:t>
            </w:r>
          </w:p>
        </w:tc>
      </w:tr>
      <w:tr>
        <w:trPr>
          <w:trHeight w:val="19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3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3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5.1</w:t>
            </w:r>
          </w:p>
        </w:tc>
      </w:tr>
      <w:tr>
        <w:trPr>
          <w:trHeight w:val="20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3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3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w:t>
            </w: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13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51.9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w:t>
            </w:r>
          </w:p>
        </w:tc>
        <w:tc>
          <w:tcPr>
            <w:tcW w:w="13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52.9</w:t>
            </w:r>
          </w:p>
        </w:tc>
      </w:tr>
      <w:tr>
        <w:trPr>
          <w:trHeight w:val="222"/>
        </w:trPr>
        <w:tc>
          <w:tcPr>
            <w:tcW w:w="3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Totals</w:t>
            </w: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w:t>
      </w:r>
    </w:p>
    <w:p>
      <w:pPr>
        <w:spacing w:after="0" w:line="11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13"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Market volatility has affected, and may continue to affect, our business and financial performance in varying ways. Volatility can pressure sales and reduce demand as consumers hesitate to make financial decisions. To enhance the attractiveness and profitability of our products and services, we continually monitor the behavior of our customers, as evidenced by annuitization rates and lapse rates, which vary in response to changes in market conditions. See Item 1A of Part I of this Annual Report for further discussion of risk factors that could affect market conditions.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Environment</w:t>
      </w:r>
    </w:p>
    <w:p>
      <w:pPr>
        <w:spacing w:after="0" w:line="113"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Some of our F&amp;G products include guaranteed minimum crediting rates, most notably our fixed rate annuities. As of December 31, 2023, our reserves, net of reinsurance, and average crediting rate on our fixed rate annuities were $6.0 billion and 4%,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rates rise and the relative value of other new business offerings are increased, which would negatively impact our earnings and cash flows.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7A. Quantitative and Qualitative Disclosure about Market Risk” for a more detailed discussion of interest rate risk.</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Aging of the U.S. Population</w:t>
      </w:r>
    </w:p>
    <w:p>
      <w:pPr>
        <w:spacing w:after="0" w:line="113"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believe that the aging of the U.S. population will increase the demand for our FIA and IUL products. As the “baby boomer” generation prepares for retirement, we believe that demand for retirement savings, growth, and income products will grow. Over 10,000 people will turn 65 each day in the United States over the next 15 years, and according to the U.S. Census Bureau, the proportion of the U.S. population over the age of 65 is expected to grow from 18% in 2023 to 21% in 2035. The impact of this growth may be offset to some extent by asset outflows as an increasing percentage of the population begins withdrawing assets to convert their savings into income.</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Industry Factors and Trends Affecting Our Results of Operations</w:t>
      </w:r>
    </w:p>
    <w:p>
      <w:pPr>
        <w:spacing w:after="0" w:line="113"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We operate in the sector of the insurance industry that focuses on the needs of middle-income Americans. The underserved middle-income market represents a major growth opportunity for us. As a tool for addressing the unmet need for retirement planning, we believe that many middle-income Americans have grown to appreciate the financial certainty that we believe annuities such as our FIA products afford. For example, the FIA market grew from nearly $12 billion of sales in 2002 to $79 billion of sales in 2022. Additionally, this market demand has positively impacted the IUL market as it has expanded from $100 million of annual premiums in 2002 to $3 billion of annual premiums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w:t>
      </w:r>
      <w:r>
        <w:rPr>
          <w:rFonts w:ascii="Times New Roman" w:cs="Times New Roman" w:eastAsia="Times New Roman" w:hAnsi="Times New Roman"/>
          <w:sz w:val="16"/>
          <w:szCs w:val="16"/>
          <w:i w:val="1"/>
          <w:iCs w:val="1"/>
          <w:color w:val="auto"/>
        </w:rPr>
        <w:t>Business and Summary of Significant Accounting Policies</w:t>
      </w:r>
      <w:r>
        <w:rPr>
          <w:rFonts w:ascii="Times New Roman" w:cs="Times New Roman" w:eastAsia="Times New Roman" w:hAnsi="Times New Roman"/>
          <w:sz w:val="16"/>
          <w:szCs w:val="16"/>
          <w:color w:val="auto"/>
        </w:rPr>
        <w:t xml:space="preserve"> to our Consolidated Financial Statements included in Item 8 of Part</w:t>
      </w:r>
    </w:p>
    <w:p>
      <w:pPr>
        <w:spacing w:after="0" w:line="1" w:lineRule="exact"/>
        <w:rPr>
          <w:sz w:val="20"/>
          <w:szCs w:val="20"/>
          <w:color w:val="auto"/>
        </w:rPr>
      </w:pPr>
    </w:p>
    <w:p>
      <w:pPr>
        <w:ind w:firstLine="5"/>
        <w:spacing w:after="0" w:line="248" w:lineRule="auto"/>
        <w:tabs>
          <w:tab w:leader="none" w:pos="1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Annual Report for additional description of the significant accounting policies that have been followed in preparing our Consolidated Financial Statements.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Reserve for Title Claim Losses</w:t>
      </w:r>
    </w:p>
    <w:p>
      <w:pPr>
        <w:spacing w:after="0" w:line="113" w:lineRule="exact"/>
        <w:rPr>
          <w:sz w:val="20"/>
          <w:szCs w:val="20"/>
          <w:color w:val="auto"/>
        </w:rPr>
      </w:pPr>
    </w:p>
    <w:p>
      <w:pPr>
        <w:jc w:val="both"/>
        <w:ind w:firstLine="316"/>
        <w:spacing w:after="0" w:line="284" w:lineRule="auto"/>
        <w:rPr>
          <w:sz w:val="20"/>
          <w:szCs w:val="20"/>
          <w:color w:val="auto"/>
        </w:rPr>
      </w:pPr>
      <w:r>
        <w:rPr>
          <w:rFonts w:ascii="Times New Roman" w:cs="Times New Roman" w:eastAsia="Times New Roman" w:hAnsi="Times New Roman"/>
          <w:sz w:val="16"/>
          <w:szCs w:val="16"/>
          <w:color w:val="auto"/>
        </w:rPr>
        <w:t>Title companies issue two types of policies, owner's and lender's policies, since both the new owner and the lender in real 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42"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48"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our reserves for known claims and incurred but not reported claims related to title insurance:</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8"/>
        </w:trPr>
        <w:tc>
          <w:tcPr>
            <w:tcW w:w="5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20" w:type="dxa"/>
            <w:vAlign w:val="bottom"/>
          </w:tcPr>
          <w:p>
            <w:pPr>
              <w:spacing w:after="0"/>
              <w:rPr>
                <w:sz w:val="15"/>
                <w:szCs w:val="15"/>
                <w:color w:val="auto"/>
              </w:rPr>
            </w:pPr>
          </w:p>
        </w:tc>
      </w:tr>
      <w:tr>
        <w:trPr>
          <w:trHeight w:val="186"/>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Known claims</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r>
      <w:tr>
        <w:trPr>
          <w:trHeight w:val="24"/>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IBNR</w:t>
            </w:r>
          </w:p>
        </w:tc>
        <w:tc>
          <w:tcPr>
            <w:tcW w:w="2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87.7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6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89.2</w:t>
            </w:r>
          </w:p>
        </w:tc>
      </w:tr>
      <w:tr>
        <w:trPr>
          <w:trHeight w:val="197"/>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Total Reserve for Title Claim Losses</w:t>
            </w: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80"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that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At each quarter end, our recorded reserve for claim losses is initially the result of taking the prior recorded reserve for claim losses, adding the current provision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and subtracting actual paid claims, resulting in an amount that management then compares to the range of reasonable estimates provided by the actuarial calculation.</w:t>
      </w:r>
    </w:p>
    <w:p>
      <w:pPr>
        <w:spacing w:after="0" w:line="64"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We recorded our loss provision rate at 4.5% for the years ended December 31, 2023, 2022 and 2021 related to policies written in those years. The provision rate in 2023, 2022, and 2021 is supported by stability in payments for prior policy years, and qualitative factors that would indicate consistency, including consistency in lender underwriting standards, extension of credit to quality borrowers, a high proportion of refinance activity, claims expense management, mechanic’s lien underwriting practices, and fraud awareness by lenders, title insurers and settlement agents.</w:t>
      </w:r>
    </w:p>
    <w:p>
      <w:pPr>
        <w:spacing w:after="0" w:line="78"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our title insurance loss development experience for the past three years: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7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7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0" w:type="dxa"/>
            <w:vAlign w:val="bottom"/>
          </w:tcPr>
          <w:p>
            <w:pPr>
              <w:spacing w:after="0"/>
              <w:rPr>
                <w:sz w:val="1"/>
                <w:szCs w:val="1"/>
                <w:color w:val="auto"/>
              </w:rPr>
            </w:pPr>
          </w:p>
        </w:tc>
      </w:tr>
      <w:tr>
        <w:trPr>
          <w:trHeight w:val="19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reinsurance recoverable</w:t>
            </w: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Claims loss provision related to:</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year</w:t>
            </w: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205"/>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Prior years</w:t>
            </w:r>
          </w:p>
        </w:tc>
        <w:tc>
          <w:tcPr>
            <w:tcW w:w="7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title claim loss provision</w:t>
            </w:r>
          </w:p>
        </w:tc>
        <w:tc>
          <w:tcPr>
            <w:tcW w:w="72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77"/>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Claims paid, net of recoupments related to:</w:t>
            </w:r>
          </w:p>
        </w:tc>
        <w:tc>
          <w:tcPr>
            <w:tcW w:w="7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year</w:t>
            </w: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5"/>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Prior years</w:t>
            </w:r>
          </w:p>
        </w:tc>
        <w:tc>
          <w:tcPr>
            <w:tcW w:w="7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84"/>
        </w:trPr>
        <w:tc>
          <w:tcPr>
            <w:tcW w:w="7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title claims paid, net of recoupments</w:t>
            </w: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222"/>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of claim loss reserve for title insurance</w:t>
            </w:r>
          </w:p>
        </w:tc>
        <w:tc>
          <w:tcPr>
            <w:tcW w:w="72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Title premiums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80" w:type="dxa"/>
            <w:vAlign w:val="bottom"/>
            <w:vMerge w:val="continue"/>
          </w:tcPr>
          <w:p>
            <w:pPr>
              <w:spacing w:after="0"/>
              <w:rPr>
                <w:sz w:val="13"/>
                <w:szCs w:val="13"/>
                <w:color w:val="auto"/>
              </w:rPr>
            </w:pPr>
          </w:p>
        </w:tc>
        <w:tc>
          <w:tcPr>
            <w:tcW w:w="720" w:type="dxa"/>
            <w:vAlign w:val="bottom"/>
          </w:tcPr>
          <w:p>
            <w:pPr>
              <w:jc w:val="right"/>
              <w:ind w:right="55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4,592</w:t>
            </w:r>
          </w:p>
        </w:tc>
        <w:tc>
          <w:tcPr>
            <w:tcW w:w="10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6,834</w:t>
            </w:r>
          </w:p>
        </w:tc>
        <w:tc>
          <w:tcPr>
            <w:tcW w:w="120" w:type="dxa"/>
            <w:vAlign w:val="bottom"/>
          </w:tcPr>
          <w:p>
            <w:pPr>
              <w:spacing w:after="0"/>
              <w:rPr>
                <w:sz w:val="13"/>
                <w:szCs w:val="13"/>
                <w:color w:val="auto"/>
              </w:rPr>
            </w:pPr>
          </w:p>
        </w:tc>
        <w:tc>
          <w:tcPr>
            <w:tcW w:w="240" w:type="dxa"/>
            <w:vAlign w:val="bottom"/>
          </w:tcPr>
          <w:p>
            <w:pPr>
              <w:jc w:val="right"/>
              <w:ind w:right="9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8,553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Provision for title insurance claim losses as a percentage of title 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18985" cy="133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8985" cy="13398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Current year</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18985" cy="1250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8985" cy="125095"/>
                    </a:xfrm>
                    <a:prstGeom prst="rect">
                      <a:avLst/>
                    </a:prstGeom>
                    <a:noFill/>
                  </pic:spPr>
                </pic:pic>
              </a:graphicData>
            </a:graphic>
          </wp:anchor>
        </w:drawing>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Total provision</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2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64"/>
        </w:trPr>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197"/>
        </w:trPr>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26"/>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00" w:lineRule="exact"/>
        <w:rPr>
          <w:sz w:val="20"/>
          <w:szCs w:val="20"/>
          <w:color w:val="auto"/>
        </w:rPr>
      </w:pPr>
    </w:p>
    <w:p>
      <w:pPr>
        <w:sectPr>
          <w:pgSz w:w="11900" w:h="16838" w:orient="portrait"/>
          <w:cols w:equalWidth="0" w:num="2">
            <w:col w:w="6700" w:space="720"/>
            <w:col w:w="3820"/>
          </w:cols>
          <w:pgMar w:left="320" w:top="121"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8"/>
          <w:szCs w:val="18"/>
          <w:color w:val="auto"/>
        </w:rPr>
        <w:t>Actual claims payments consist of loss payments and claims management expenses offset by recoupments and were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Claims</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45"/>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8"/>
              </w:rPr>
              <w:t>Loss Payments</w:t>
            </w:r>
          </w:p>
        </w:tc>
        <w:tc>
          <w:tcPr>
            <w:tcW w:w="200" w:type="dxa"/>
            <w:vAlign w:val="bottom"/>
          </w:tcPr>
          <w:p>
            <w:pPr>
              <w:spacing w:after="0"/>
              <w:rPr>
                <w:sz w:val="12"/>
                <w:szCs w:val="12"/>
                <w:color w:val="auto"/>
              </w:rPr>
            </w:pPr>
          </w:p>
        </w:tc>
        <w:tc>
          <w:tcPr>
            <w:tcW w:w="1020" w:type="dxa"/>
            <w:vAlign w:val="bottom"/>
          </w:tcPr>
          <w:p>
            <w:pPr>
              <w:jc w:val="center"/>
              <w:ind w:right="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Management</w:t>
            </w:r>
          </w:p>
        </w:tc>
        <w:tc>
          <w:tcPr>
            <w:tcW w:w="220" w:type="dxa"/>
            <w:vAlign w:val="bottom"/>
          </w:tcPr>
          <w:p>
            <w:pPr>
              <w:spacing w:after="0"/>
              <w:rPr>
                <w:sz w:val="12"/>
                <w:szCs w:val="12"/>
                <w:color w:val="auto"/>
              </w:rPr>
            </w:pP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Recoupments</w:t>
            </w: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Expenses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90"/>
        </w:trPr>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3"/>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169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90"/>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00" w:type="dxa"/>
            <w:vAlign w:val="bottom"/>
          </w:tcPr>
          <w:p>
            <w:pPr>
              <w:spacing w:after="0"/>
              <w:rPr>
                <w:sz w:val="16"/>
                <w:szCs w:val="16"/>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294</w:t>
            </w:r>
          </w:p>
        </w:tc>
        <w:tc>
          <w:tcPr>
            <w:tcW w:w="20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134</w:t>
            </w:r>
          </w:p>
        </w:tc>
        <w:tc>
          <w:tcPr>
            <w:tcW w:w="22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(175)</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20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171</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124</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As of December 31, 2023, and 2022, our recorded reserves were $1,770 million and $1,810 million, respectively, which we determined were reasonable and represented our best estimate and these recorded amounts were within a reasonable range of the central estimates provided by our actuaries. Our recorded reserves were $70 million above the mid-point of the provided</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range of $1.5 billion to $1.9 billion of our actuarial estimates as of December 31, 2023. Our recorded reserves were $90 million above the mid-point of the provided range of our actuarial estimates of $1.5 billion to $2.0 billion as of December 31, 2022.</w:t>
      </w:r>
    </w:p>
    <w:p>
      <w:pPr>
        <w:spacing w:after="0" w:line="38"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During 2023, 2022, and 2021, payment patterns were consistent with our actuaries' and management's expectations. Also, compared to prior years we have seen a leveling off of the ultimate loss ratios in more mature policy years, particularly 2006-2009. While we still see claims opened on these policy years, the proportion of our claims inventory represented by these policy years has continued to decrease. Additionally, we continued to see stable development relating to the 2012 through 2023 policy years, which we believe is indicative of more stringent underwriting standards by us and the lending industry. Our ending open claim inventory increased from approximately 9,100 claims at December 31, 2022, to approximately 9,200 claims at December 31, 2023. If actual claims loss development varies from what is currently expected and is not offset by other factors, it is possible that our recorded reserves may fall outside a reasonable range of our actuaries' central estimate, which may require additional reserve adjustments in future periods.</w:t>
      </w:r>
    </w:p>
    <w:p>
      <w:pPr>
        <w:spacing w:after="0" w:line="69"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An approximate $46 million increase (decrease) in our annualized provision for title claim losses would occur if our loss provision rate were 1% higher (lower), based on 2023 title premiums of $4,592 million. A 10% increase (decrease) in our reserve for title claim losses, as of December 31, 2023, would result in an increase (decrease) in our provision for title claim losses of approximately $177 million.</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Reserves for Future Policy Benefits and Product Guarantees</w:t>
      </w:r>
    </w:p>
    <w:p>
      <w:pPr>
        <w:spacing w:after="0" w:line="87"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The determination of FPB reserves is dependent on actuarial assumptions. The principal assumptions used to establish liabilities for FPBs are established at issue of the contract and include discount rates, mortality and cash surrender or policy lapse for our traditional life insurance products. The assumptions used require considerable judgment. We review policyholder behavior experience at least annually and update these assumptions when deemed necessary based on additional information that becomes available. Discount rate assumptions are updated at each reporting period and also incorporate changes in risk free rates and option market values. Changes in, or deviations from, the assumptions previously used can significantly affect our reserve levels and related results of operations in a positive or negative direction.</w:t>
      </w:r>
    </w:p>
    <w:p>
      <w:pPr>
        <w:spacing w:after="0" w:line="185" w:lineRule="exact"/>
        <w:rPr>
          <w:sz w:val="20"/>
          <w:szCs w:val="20"/>
          <w:color w:val="auto"/>
        </w:rPr>
      </w:pPr>
    </w:p>
    <w:p>
      <w:pPr>
        <w:jc w:val="both"/>
        <w:ind w:firstLine="316"/>
        <w:spacing w:after="0" w:line="289" w:lineRule="auto"/>
        <w:rPr>
          <w:sz w:val="20"/>
          <w:szCs w:val="20"/>
          <w:color w:val="auto"/>
        </w:rPr>
      </w:pPr>
      <w:r>
        <w:rPr>
          <w:rFonts w:ascii="Times New Roman" w:cs="Times New Roman" w:eastAsia="Times New Roman" w:hAnsi="Times New Roman"/>
          <w:sz w:val="16"/>
          <w:szCs w:val="16"/>
          <w:color w:val="auto"/>
        </w:rPr>
        <w:t>Mortality refers to the incidence of death on covered lives, which triggers contractual death benefit provisions. On our deferred annuities and life insurance products, these provisions may allow for lump sum payments, payments over a period of time, or spousal continuation of the contract. On our life-contingent immediate annuities (which includes life-contingent pension risk transfer (“PRT”) annuities), the death of a named annuitant or certificate holder may trigger the cessation or reduction of future life-contingent payments due, depending on the presence of a joint annuitant/certificate holder and any remaining guaranteed non-life contingent payment periods. We utilize a combination of internal and industry experience when setting our mortality assumptions.</w:t>
      </w:r>
    </w:p>
    <w:p>
      <w:pPr>
        <w:spacing w:after="0" w:line="50"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A surrender rate is the percentage of account value surrendered by the policyholder in exchange for receipt of a cash surrender value. A lapse rate is the percentage of account value canceled by us due to nonpayment of premiums required to maintain coverage on our life insurance products. We make estimates of expected full and partial surrenders of our deferred annuity products based on a combination of internal and industry experience. Management’s best estimate of surrender behavior generally represents a medium-to-long term perspective, as we expect to experience a range of policyholder behavior and market conditions period to period. If actual surrender rates are significantly different from those estimated, such differences could have a significant effect on our reserve levels and related results of operations.</w:t>
      </w:r>
    </w:p>
    <w:p>
      <w:pPr>
        <w:spacing w:after="0" w:line="8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Discount rates refer to the interest rates used to discount future cash flows to the current period to determine a present value. For liability for FPB reserves the discount rate used is based on the yield curve for A-rated corporate bonds as of the valuation date. Changes in the discount rates from the at-issue or at-purchase discount rates flow through other comprehensive income (“OCI”).</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both"/>
        <w:ind w:firstLine="316"/>
        <w:spacing w:after="0" w:line="263" w:lineRule="auto"/>
        <w:rPr>
          <w:sz w:val="20"/>
          <w:szCs w:val="20"/>
          <w:color w:val="auto"/>
        </w:rPr>
      </w:pPr>
      <w:r>
        <w:rPr>
          <w:rFonts w:ascii="Times New Roman" w:cs="Times New Roman" w:eastAsia="Times New Roman" w:hAnsi="Times New Roman"/>
          <w:sz w:val="18"/>
          <w:szCs w:val="18"/>
          <w:color w:val="auto"/>
        </w:rPr>
        <w:t>Our aggregate reserves for contractholder funds, FPBs and MRBs on a direct and net basis as of December 31, 2023, and December 31, 2022,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Deposit Asset/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Reinsurance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40" w:type="dxa"/>
            <w:vAlign w:val="bottom"/>
            <w:tcBorders>
              <w:bottom w:val="single" w:sz="8" w:color="CCEEFF"/>
            </w:tcBorders>
          </w:tcPr>
          <w:p>
            <w:pPr>
              <w:spacing w:after="0"/>
              <w:rPr>
                <w:sz w:val="16"/>
                <w:szCs w:val="16"/>
                <w:color w:val="auto"/>
              </w:rPr>
            </w:pPr>
          </w:p>
        </w:tc>
        <w:tc>
          <w:tcPr>
            <w:tcW w:w="6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Recoverable</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6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indexed annuities ("FIA")</w:t>
            </w:r>
          </w:p>
        </w:tc>
        <w:tc>
          <w:tcPr>
            <w:tcW w:w="1020" w:type="dxa"/>
            <w:vAlign w:val="bottom"/>
            <w:gridSpan w:val="2"/>
          </w:tcPr>
          <w:p>
            <w:pPr>
              <w:jc w:val="right"/>
              <w:ind w:right="8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27,809</w:t>
            </w:r>
          </w:p>
        </w:tc>
        <w:tc>
          <w:tcPr>
            <w:tcW w:w="20" w:type="dxa"/>
            <w:vAlign w:val="bottom"/>
          </w:tcPr>
          <w:p>
            <w:pPr>
              <w:spacing w:after="0"/>
              <w:rPr>
                <w:sz w:val="16"/>
                <w:szCs w:val="16"/>
                <w:color w:val="auto"/>
              </w:rPr>
            </w:pPr>
          </w:p>
        </w:tc>
        <w:tc>
          <w:tcPr>
            <w:tcW w:w="3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4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13,445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(7,521)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Single premium immediate annuities ("SPIA") and other</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IUL and other life</w:t>
            </w: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Funding agreements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10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56,251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(8,960)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47,291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As of December 31, 2022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Deposit Asset/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Recoverable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FIA</w:t>
            </w:r>
          </w:p>
        </w:tc>
        <w:tc>
          <w:tcPr>
            <w:tcW w:w="1020" w:type="dxa"/>
            <w:vAlign w:val="bottom"/>
            <w:gridSpan w:val="2"/>
          </w:tcPr>
          <w:p>
            <w:pPr>
              <w:jc w:val="right"/>
              <w:ind w:right="87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24,704</w:t>
            </w:r>
          </w:p>
        </w:tc>
        <w:tc>
          <w:tcPr>
            <w:tcW w:w="20" w:type="dxa"/>
            <w:vAlign w:val="bottom"/>
          </w:tcPr>
          <w:p>
            <w:pPr>
              <w:spacing w:after="0"/>
              <w:rPr>
                <w:sz w:val="16"/>
                <w:szCs w:val="16"/>
                <w:color w:val="auto"/>
              </w:rPr>
            </w:pPr>
          </w:p>
        </w:tc>
        <w:tc>
          <w:tcPr>
            <w:tcW w:w="3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6"/>
                <w:szCs w:val="16"/>
                <w:color w:val="auto"/>
              </w:rPr>
            </w:pPr>
          </w:p>
        </w:tc>
        <w:tc>
          <w:tcPr>
            <w:tcW w:w="46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24,688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SPIA and other</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IUL and other life</w:t>
            </w: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3,486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Funding agreements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2,172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4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Borders>
              <w:top w:val="single" w:sz="8" w:color="auto"/>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40,729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FIA and IUL products contain an embedded derivative; a feature that permits the holder to elect an interest rate return or an equity-index linked component, where interest credited to the contract is linked to the performance of various equity indices. The FIA/IUL embedded derivatives are valued at fair value and included in the liability for Contractholder funds in our Consolidated Balance Sheets with changes in fair value included as a component of Benefits and other changes in policy reserves in our Consolidated Statements of Earnings.</w:t>
      </w:r>
    </w:p>
    <w:p>
      <w:pPr>
        <w:spacing w:after="0" w:line="13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For life-contingent immediate annuity policies, gross premiums received in excess of net premiums are deferred at initial recognition as a deferred profit liability (“DPL”). Gross premiums are measured using assumptions consistent with those used in the measurement of the related liability for FPBs.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Valuation of Fixed Maturity, Preferred and Equity Securities, and Derivatives and Reinsurance Recoverable</w:t>
      </w:r>
    </w:p>
    <w:p>
      <w:pPr>
        <w:spacing w:after="0" w:line="100"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Our investments in fixed maturity securities have been designated as available-for-sale (“AFS”) and are carried at fair value, net of allowance for expected credit losses, with unrealized gains and losses included within accumulated other comprehensive earnings (loss) (“AOCI”), net of deferred income taxes. Our equity securities are carried at fair value with unrealized gains and losses included in net income (loss). Realized gains and losses on the sale of investments are determined on the basis of first-in first-out cost basis and are credited or charged to income on a trade date basis.</w:t>
      </w:r>
    </w:p>
    <w:p>
      <w:pPr>
        <w:spacing w:after="0" w:line="78" w:lineRule="exact"/>
        <w:rPr>
          <w:sz w:val="20"/>
          <w:szCs w:val="20"/>
          <w:color w:val="auto"/>
        </w:rPr>
      </w:pPr>
    </w:p>
    <w:p>
      <w:pPr>
        <w:jc w:val="both"/>
        <w:ind w:firstLine="316"/>
        <w:spacing w:after="0" w:line="282" w:lineRule="auto"/>
        <w:rPr>
          <w:sz w:val="20"/>
          <w:szCs w:val="20"/>
          <w:color w:val="auto"/>
        </w:rPr>
      </w:pPr>
      <w:r>
        <w:rPr>
          <w:rFonts w:ascii="Times New Roman" w:cs="Times New Roman" w:eastAsia="Times New Roman" w:hAnsi="Times New Roman"/>
          <w:sz w:val="16"/>
          <w:szCs w:val="16"/>
          <w:color w:val="auto"/>
        </w:rPr>
        <w:t>Management’s assessment of all available data when determining fair value of the AFS securities is necessary to appropriately apply fair value accounting. Management utilizes information from independent pricing services, who take into account perceived market movements and sector news, as well as a security’s terms and conditions, including any features specific to that issue that may influence risk and marketability. Depending on the security, the priority of the use of observable market inputs may change as some observable market inputs may not be relevant or additional inputs may be necessary. We generally obtain one value from our primary external pricing service. In situations where a price is not available from the independent pricing service, we may obtain broker quotes or prices from additional parties recognized to be market participants. We believe the broker quotes are prices at which trades could be executed based on historical trades executed at broker-quoted or slightly higher prices. When quoted prices in active markets are not available, the determination of estimated fair value is based on market standard valuation methodologies, including discounted cash flows, matrix pricing, or other similar techniques.</w:t>
      </w:r>
    </w:p>
    <w:p>
      <w:pPr>
        <w:spacing w:after="0" w:line="60"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 xml:space="preserve">We validate external valuations at least quarterly through a combination of procedures that include the evaluation of methodologies used by the pricing services, comparisons to valuations from other independent pricing services, analytical reviews and performance analysis of the prices against trends, and maintenance of a securities watch list. See Note D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and Note E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our Consolidated Financial Statements included in Part II -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 xml:space="preserve">The fair value of derivative assets and liabilities is based upon valuation pricing models or independent broker quotes and represents what we would expect to receive or pay at the balance sheet date if we canceled or exercised the derivative or entered into offsetting positions. Fair values for instruments utilizing valuation pricing models are determined internally using a conventional model and market observable inputs, including interest rates, yield curve volatilities and other factors. Credit risk related to the counterparty is considered when estimating the fair values of these derivatives. However, we are largely protected by collateral arrangements with counterparties when individual counterparty exposures exceed certain thresholds. The fair value of futures contracts (specifically for FIA contracts) at the balance sheet date represents the cumulative unsettled variation margin (open trade equity net of cash settlements). The fair value of an interest rate swap represents the change in projected interest rates between the reporting date and the date the interest rate swap was executed. The fair values of the embedded derivatives in our FIA and IUL contracts are derived using market value of options, use of current and budgeted option cost, swap rates, mortality rates, surrender rates, partial withdrawals, and non-performance spread. The discount rate used to determine the fair value of our FIA/IUL embedded derivative liabilities includes an adjustment to reflect the risk that these obligations will not be fulfilled (“non-performance risk”). For the years ended December 31, 2023, and December 31, 2022, our non-performance risk adjustment was based on the expected loss due to default in debt obligations for similarly rated financial companies. See Note D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and Note F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to our Consolidated Financial Statements included in Part II - Item 8 of this Annual Report on Form 10-K.</w:t>
      </w:r>
    </w:p>
    <w:p>
      <w:pPr>
        <w:spacing w:after="0" w:line="58" w:lineRule="exact"/>
        <w:rPr>
          <w:sz w:val="20"/>
          <w:szCs w:val="20"/>
          <w:color w:val="auto"/>
        </w:rPr>
      </w:pPr>
    </w:p>
    <w:p>
      <w:pPr>
        <w:jc w:val="both"/>
        <w:ind w:firstLine="316"/>
        <w:spacing w:after="0" w:line="284" w:lineRule="auto"/>
        <w:rPr>
          <w:sz w:val="20"/>
          <w:szCs w:val="20"/>
          <w:color w:val="auto"/>
        </w:rPr>
      </w:pPr>
      <w:r>
        <w:rPr>
          <w:rFonts w:ascii="Times New Roman" w:cs="Times New Roman" w:eastAsia="Times New Roman" w:hAnsi="Times New Roman"/>
          <w:sz w:val="16"/>
          <w:szCs w:val="16"/>
          <w:color w:val="auto"/>
        </w:rPr>
        <w:t xml:space="preserve">F&amp;G cedes certain business on a coinsurance funds withheld basis. Investment results for the assets that support the coinsurance that are segregated within the funds withheld account are passed directly to the reinsurer pursuant to the contractual terms of the reinsurance arrangement, which creates embedded derivatives considered to be total return swaps. These total return swaps are not clearly and closely related to the underlying insurance contract and thus require bifurcation. The fair value of the total return swaps is based on the change in fair value of the underlying assets held in the funds withheld account. These embedded derivatives are reported in Prepaid expenses and other assets if in a net gain position, or Accounts payable and accrued liabilities, if in a net loss position on the Consolidated Balance Sheets. The related gains or losses are reported in Recognized gains and (losses), net on the Consolidated Statements of Earnings. See Note O </w:t>
      </w:r>
      <w:r>
        <w:rPr>
          <w:rFonts w:ascii="Times New Roman" w:cs="Times New Roman" w:eastAsia="Times New Roman" w:hAnsi="Times New Roman"/>
          <w:sz w:val="16"/>
          <w:szCs w:val="16"/>
          <w:i w:val="1"/>
          <w:iCs w:val="1"/>
          <w:color w:val="auto"/>
        </w:rPr>
        <w:t>F&amp;G Reinsurance</w:t>
      </w:r>
      <w:r>
        <w:rPr>
          <w:rFonts w:ascii="Times New Roman" w:cs="Times New Roman" w:eastAsia="Times New Roman" w:hAnsi="Times New Roman"/>
          <w:sz w:val="16"/>
          <w:szCs w:val="16"/>
          <w:color w:val="auto"/>
        </w:rPr>
        <w:t xml:space="preserve"> to our Consolidated Financial Statements included in Part II - Item 8 of this Annual Report on Form 10-K.</w:t>
      </w:r>
    </w:p>
    <w:p>
      <w:pPr>
        <w:spacing w:after="0" w:line="29"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categorize our fixed maturity securities, preferred securities, equity securities and derivatives into a three-level hierarchy based on the priority of the inputs to the valuation technique. The fair value hierarchy gives the highest priority to quoted prices in active markets for identical assets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The following table presents the fair value of fixed maturity securities and equity securities by pricing source, hierarchy level and net asset value (“NAV”) as of December 31, 2023, and 2022.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8"/>
          </w:tcPr>
          <w:p>
            <w:pPr>
              <w:jc w:val="center"/>
              <w:ind w:left="590"/>
              <w:spacing w:after="0"/>
              <w:rPr>
                <w:sz w:val="20"/>
                <w:szCs w:val="20"/>
                <w:color w:val="auto"/>
              </w:rPr>
            </w:pPr>
            <w:r>
              <w:rPr>
                <w:rFonts w:ascii="Times New Roman" w:cs="Times New Roman" w:eastAsia="Times New Roman" w:hAnsi="Times New Roman"/>
                <w:sz w:val="14"/>
                <w:szCs w:val="14"/>
                <w:b w:val="1"/>
                <w:bCs w:val="1"/>
                <w:color w:val="auto"/>
                <w:w w:val="99"/>
              </w:rPr>
              <w:t>As of December 31, 2023</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4"/>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4"/>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4"/>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40" w:type="dxa"/>
            <w:vAlign w:val="bottom"/>
          </w:tcPr>
          <w:p>
            <w:pPr>
              <w:spacing w:after="0"/>
              <w:rPr>
                <w:sz w:val="12"/>
                <w:szCs w:val="12"/>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NAV</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1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Fixed maturity securities available-for-sale and</w:t>
            </w:r>
          </w:p>
        </w:tc>
        <w:tc>
          <w:tcPr>
            <w:tcW w:w="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40" w:type="dxa"/>
            <w:vAlign w:val="bottom"/>
            <w:gridSpan w:val="7"/>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securities: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40" w:type="dxa"/>
            <w:vAlign w:val="bottom"/>
            <w:gridSpan w:val="7"/>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Prices via third-party pricing services</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32,714</w:t>
            </w:r>
          </w:p>
        </w:tc>
        <w:tc>
          <w:tcPr>
            <w:tcW w:w="5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895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34,621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Priced via independent broker quotations</w:t>
            </w:r>
          </w:p>
        </w:tc>
        <w:tc>
          <w:tcPr>
            <w:tcW w:w="180" w:type="dxa"/>
            <w:vAlign w:val="bottom"/>
          </w:tcPr>
          <w:p>
            <w:pPr>
              <w:spacing w:after="0"/>
              <w:rPr>
                <w:sz w:val="16"/>
                <w:szCs w:val="16"/>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8,290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8,290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Priced via other methods</w:t>
            </w: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32,714</w:t>
            </w:r>
          </w:p>
        </w:tc>
        <w:tc>
          <w:tcPr>
            <w:tcW w:w="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9,194</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42,979</w:t>
            </w: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Total</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92"/>
        </w:trPr>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gridSpan w:val="8"/>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9"/>
              </w:rPr>
              <w:t>As of December 31,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4"/>
          </w:tcPr>
          <w:p>
            <w:pPr>
              <w:jc w:val="center"/>
              <w:ind w:right="380"/>
              <w:spacing w:after="0" w:line="125"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4"/>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4"/>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1"/>
                <w:szCs w:val="11"/>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NAV</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20" w:type="dxa"/>
            <w:vAlign w:val="bottom"/>
            <w:vMerge w:val="restart"/>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Fixed maturity securities available-for-sale and</w:t>
            </w: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3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40" w:type="dxa"/>
            <w:vAlign w:val="bottom"/>
            <w:gridSpan w:val="7"/>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securities: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40" w:type="dxa"/>
            <w:vAlign w:val="bottom"/>
            <w:gridSpan w:val="7"/>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Prices via third-party pricing services</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25,197</w:t>
            </w:r>
          </w:p>
        </w:tc>
        <w:tc>
          <w:tcPr>
            <w:tcW w:w="5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1,234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27,764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Priced via independent broker quotations</w:t>
            </w:r>
          </w:p>
        </w:tc>
        <w:tc>
          <w:tcPr>
            <w:tcW w:w="180" w:type="dxa"/>
            <w:vAlign w:val="bottom"/>
          </w:tcPr>
          <w:p>
            <w:pPr>
              <w:spacing w:after="0"/>
              <w:rPr>
                <w:sz w:val="16"/>
                <w:szCs w:val="16"/>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6,846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6,846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Priced via other methods</w:t>
            </w: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25,197</w:t>
            </w:r>
          </w:p>
        </w:tc>
        <w:tc>
          <w:tcPr>
            <w:tcW w:w="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8,098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34,675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Total</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 xml:space="preserve">We have made acquisitions that have resulted in a significant amount of goodwill. As of December 31, 2023, and 2022, goodwill was $4,830 million and $4,635 million, respectively. The majority of our goodwill as of December 31, 2023, relates to goodwill recorded in connection with the Chicago Title merger in 2000, our initial acquisition of an ownership interest in ServiceLink in 2014 and our acquisition of F&amp;G in 2020. Refer to Note N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to our Consolidated Financial Statements included in Item 8 of Part II of this Annual Report for a summary of recent changes in our Goodwill balance.</w:t>
      </w:r>
    </w:p>
    <w:p>
      <w:pPr>
        <w:spacing w:after="0" w:line="78" w:lineRule="exact"/>
        <w:rPr>
          <w:sz w:val="20"/>
          <w:szCs w:val="20"/>
          <w:color w:val="auto"/>
        </w:rPr>
      </w:pPr>
    </w:p>
    <w:p>
      <w:pPr>
        <w:jc w:val="both"/>
        <w:ind w:firstLine="316"/>
        <w:spacing w:after="0" w:line="280" w:lineRule="auto"/>
        <w:rPr>
          <w:sz w:val="20"/>
          <w:szCs w:val="20"/>
          <w:color w:val="auto"/>
        </w:rPr>
      </w:pPr>
      <w:r>
        <w:rPr>
          <w:rFonts w:ascii="Times New Roman" w:cs="Times New Roman" w:eastAsia="Times New Roman" w:hAnsi="Times New Roman"/>
          <w:sz w:val="16"/>
          <w:szCs w:val="16"/>
          <w:color w:val="auto"/>
        </w:rPr>
        <w:t>In evaluating the recoverability of goodwill, we perform a qualitative analysis at the reporting unit level to determine whether it is more likely than not that the fair value of our recorded goodwill exceeds its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 We completed annual goodwill impairment analyses in the fourth quarter of each period presented using a September 30 measurement date. For the years ended December 31, 2023, 2022 and 2021, we determined there were no events or circumstances that indicated that the carrying value exceeded the fair value.</w:t>
      </w: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Risk Benefits</w:t>
      </w:r>
    </w:p>
    <w:p>
      <w:pPr>
        <w:spacing w:after="0" w:line="113"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MRBs are contracts or contract features that both provide protection to the contract holder from other-than-nominal capital market risk (equity, interest and foreign exchange risk) and expose the Company to other-than-nominal capital market risk. MRBs include certain contract features primarily on FIA contracts that provide minimum guarantees to policyholders, such as GMDB and GMWB riders. MRBs are measured at fair value using a risk neutral valuation method, which is based on current net amounts at risk, market data, internal and industry experience, and other factors.</w:t>
      </w:r>
    </w:p>
    <w:p>
      <w:pPr>
        <w:spacing w:after="0" w:line="78"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The principal policyholder behavior assumptions used to calculate MRBs are established at issue of the contract and include mortality, contract full and partial surrenders, and utilization of the GMWB rider benefits. The assumptions used reflect a combination of internal experience, industry experience, and judgment. We review overall policyholder behavior experience at least annually and update these assumptions when deemed necessary based on additional information that becomes available. Changes in, or deviations from, the assumptions previously used can significantly affect our MRBs and related results of operations in a positive or negative direction.</w:t>
      </w:r>
    </w:p>
    <w:p>
      <w:pPr>
        <w:spacing w:after="0" w:line="8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Mortality refers to the incidence of death amongst policyholders on covered lives, which triggers contractual death benefit provisions. These provisions may allow for lump sum payments, payments over a period of time, or spousal continuation of the contract. We utilize a combination of actual internal and industry experience when setting our mortality assumptions.</w:t>
      </w:r>
    </w:p>
    <w:p>
      <w:pPr>
        <w:spacing w:after="0" w:line="75"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A surrender rate is the percentage of account value surrendered by the policyholder in exchange for receipt of a cash surrender value. We make estimates of expected full and partial surrenders of our deferred annuity products based on a combination of internal and industry experience. Management’s best estimate of surrender generally represents a medium-to-long term perspective, as we expect to experience a range of policyholder behavior and market conditions period to period. If actual surrender rates are significantly different from those estimated, such differences could have a significant effect on our MRBs and related results of operations.</w:t>
      </w:r>
    </w:p>
    <w:p>
      <w:pPr>
        <w:spacing w:after="0" w:line="80" w:lineRule="exact"/>
        <w:rPr>
          <w:sz w:val="20"/>
          <w:szCs w:val="20"/>
          <w:color w:val="auto"/>
        </w:rPr>
      </w:pPr>
    </w:p>
    <w:p>
      <w:pPr>
        <w:jc w:val="both"/>
        <w:ind w:firstLine="316"/>
        <w:spacing w:after="0" w:line="303" w:lineRule="auto"/>
        <w:rPr>
          <w:sz w:val="20"/>
          <w:szCs w:val="20"/>
          <w:color w:val="auto"/>
        </w:rPr>
      </w:pPr>
      <w:r>
        <w:rPr>
          <w:rFonts w:ascii="Times New Roman" w:cs="Times New Roman" w:eastAsia="Times New Roman" w:hAnsi="Times New Roman"/>
          <w:sz w:val="16"/>
          <w:szCs w:val="16"/>
          <w:color w:val="auto"/>
        </w:rPr>
        <w:t>We have been issuing GMWB products since 2008. We make assumptions for policyholder behavior as it relates to GMWB utilization using a higher degree of industry experience and judgment than our other behavioral assumptions because internal experience, which we review annually, is still emerging. If emerging experience deviates from our assumptions on GMWB utilization, it could have a significant effect on MRBs and related results of operations.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00"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As part of the process of preparing the consolidated financial statements, we are required to determine income taxes in 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realized and, to the extent we believe that realizability is not likely, establish a valuation allowance.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61" w:lineRule="exact"/>
        <w:rPr>
          <w:sz w:val="20"/>
          <w:szCs w:val="20"/>
          <w:color w:val="auto"/>
        </w:rPr>
      </w:pPr>
    </w:p>
    <w:p>
      <w:pPr>
        <w:jc w:val="both"/>
        <w:ind w:firstLine="316"/>
        <w:spacing w:after="0" w:line="237" w:lineRule="auto"/>
        <w:rPr>
          <w:sz w:val="20"/>
          <w:szCs w:val="20"/>
          <w:color w:val="auto"/>
        </w:rPr>
      </w:pPr>
      <w:r>
        <w:rPr>
          <w:rFonts w:ascii="Times New Roman" w:cs="Times New Roman" w:eastAsia="Times New Roman" w:hAnsi="Times New Roman"/>
          <w:sz w:val="18"/>
          <w:szCs w:val="18"/>
          <w:color w:val="auto"/>
        </w:rPr>
        <w:t>For the year ended December 31, 2023, changes in market conditions, including changing interest rates, resulted in deferred tax assets related to the net unrealized capital losses in the Company’s investment portfolio. U.S. GAAP requires the evaluation of the recoverability of deferred tax assets and the establishment of a valuation allowance, if necessary, to reduce the deferred tax asset to an amount that is more likely than not to be realized. When assessing the need for valuation allowance on the unrealized capital loss deferred tax assets, we assert a tax planning strategy to hold certain underlying securities to recovery or maturity. Our ability to assert such a tax planning strategy is dependent upon factors such as the Company’s asset/liability matching process, overall investment strategy, projected future annuity product sales, and expected liquidity needs. In the event these estimates differ from our prior estimates due to the receipt of new information, we may be required to significantly change the income tax expense recorded in the Consolidated Financial Statements. This includes a further significant decline in value of assets incorporated into our tax planning strategies, which could lead to an increase of our valuation allowance on deferred tax assets having an adverse effect on current and future results.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Refer to Note T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Consolidated Financial Statements in Item 8 of Part II of this Annual Report for details.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years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20" w:type="dxa"/>
            <w:vAlign w:val="bottom"/>
            <w:gridSpan w:val="6"/>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0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7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0"/>
        </w:trPr>
        <w:tc>
          <w:tcPr>
            <w:tcW w:w="7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w:t>
            </w:r>
          </w:p>
        </w:tc>
      </w:tr>
      <w:tr>
        <w:trPr>
          <w:trHeight w:val="20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w:t>
            </w:r>
          </w:p>
        </w:tc>
      </w:tr>
      <w:tr>
        <w:trPr>
          <w:trHeight w:val="190"/>
        </w:trPr>
        <w:tc>
          <w:tcPr>
            <w:tcW w:w="7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w:t>
            </w:r>
          </w:p>
        </w:tc>
      </w:tr>
      <w:tr>
        <w:trPr>
          <w:trHeight w:val="20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r>
      <w:tr>
        <w:trPr>
          <w:trHeight w:val="191"/>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r>
      <w:tr>
        <w:trPr>
          <w:trHeight w:val="197"/>
        </w:trPr>
        <w:tc>
          <w:tcPr>
            <w:tcW w:w="7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11,752</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15,655</w:t>
            </w:r>
          </w:p>
        </w:tc>
      </w:tr>
      <w:tr>
        <w:trPr>
          <w:trHeight w:val="167"/>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
        </w:trPr>
        <w:tc>
          <w:tcPr>
            <w:tcW w:w="7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7"/>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w:t>
            </w:r>
          </w:p>
        </w:tc>
      </w:tr>
      <w:tr>
        <w:trPr>
          <w:trHeight w:val="190"/>
        </w:trPr>
        <w:tc>
          <w:tcPr>
            <w:tcW w:w="7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Agent commissions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w:t>
            </w:r>
          </w:p>
        </w:tc>
      </w:tr>
      <w:tr>
        <w:trPr>
          <w:trHeight w:val="20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w:t>
            </w:r>
          </w:p>
        </w:tc>
      </w:tr>
      <w:tr>
        <w:trPr>
          <w:trHeight w:val="190"/>
        </w:trPr>
        <w:tc>
          <w:tcPr>
            <w:tcW w:w="7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r>
      <w:tr>
        <w:trPr>
          <w:trHeight w:val="20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risk benefit (gains) losses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0"/>
        </w:trPr>
        <w:tc>
          <w:tcPr>
            <w:tcW w:w="7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20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r>
      <w:tr>
        <w:trPr>
          <w:trHeight w:val="191"/>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97"/>
        </w:trPr>
        <w:tc>
          <w:tcPr>
            <w:tcW w:w="7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11,059</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12,097</w:t>
            </w:r>
          </w:p>
        </w:tc>
      </w:tr>
      <w:tr>
        <w:trPr>
          <w:trHeight w:val="18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 and equity in earnings of unconsolidated affiliates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w:t>
            </w:r>
          </w:p>
        </w:tc>
      </w:tr>
      <w:tr>
        <w:trPr>
          <w:trHeight w:val="20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r>
      <w:tr>
        <w:trPr>
          <w:trHeight w:val="191"/>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22"/>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from continuing operations</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1"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Total revenues increased by $187 million in 2023 compared to 2022, primarily attributable to increases in escrow title-related and other fees, increases in interest and investment income and decreases in net recognized investments losses, partially offset by decreases in both direct and agency premiums. Total revenues decreased by $4,090 million in 2022 compared to 2021, primarily attributable to decreases in both direct and agency premiums, decreases in escrow title-related and other fees, decreases in interest and investment income and net recognized losses on our investment holdings in 2022 as compared to net recognized gains on our investment holdings in 2021.</w:t>
      </w:r>
    </w:p>
    <w:p>
      <w:pPr>
        <w:spacing w:after="0" w:line="78"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color w:val="auto"/>
        </w:rPr>
        <w:t xml:space="preserve">See Note L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to our Consolidated Financial Statements included in Item 8 of Part II of this Annual Report for a breakout of our consolidated revenues.</w:t>
      </w:r>
    </w:p>
    <w:p>
      <w:pPr>
        <w:spacing w:after="0" w:line="6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Total net earnings from continuing operations decreased by $788 million in 2023 compared to 2022, and decreased by $1,503 million in 2022 compared to 2021.</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revenue and net earnings from our reportable segments is discussed in further detail at the segment level below.</w:t>
      </w:r>
    </w:p>
    <w:p>
      <w:pPr>
        <w:spacing w:after="0" w:line="109" w:lineRule="exact"/>
        <w:rPr>
          <w:sz w:val="20"/>
          <w:szCs w:val="20"/>
          <w:color w:val="auto"/>
        </w:rPr>
      </w:pPr>
    </w:p>
    <w:p>
      <w:pPr>
        <w:jc w:val="both"/>
        <w:ind w:firstLine="316"/>
        <w:spacing w:after="0" w:line="332" w:lineRule="auto"/>
        <w:rPr>
          <w:sz w:val="20"/>
          <w:szCs w:val="20"/>
          <w:color w:val="auto"/>
        </w:rPr>
      </w:pPr>
      <w:r>
        <w:rPr>
          <w:rFonts w:ascii="Times New Roman" w:cs="Times New Roman" w:eastAsia="Times New Roman" w:hAnsi="Times New Roman"/>
          <w:sz w:val="16"/>
          <w:szCs w:val="16"/>
          <w:color w:val="auto"/>
        </w:rPr>
        <w:t>Interest and investment income levels are primarily a function of securities markets, interest rates and the amount of cash available for investment. Interest and investment income was $2,607 million, $1,891 million, and $1,961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Recognized gains and losses, net totaled $(164) million, $(1,493) million, and $334 million for the years ended December 31, 2023, 2022, and 2021, respectively. Recognized gains and losses, net for the year ended December 31, 2023 are primarily attributable to losses on sales of fixed maturity securities of $166 million, losses on sales of equity and preferred securities of $104 million and losses on sales of mortgages and other assets of $75 million, partially offset by non-cash valuation gains on equity and preferred security holdings and other invested assets of $181 million. Recognized gains and losses, net for the year ended December 31, 2022 are primarily attributable to realized losses on derivatives of $515 million, losses on sales of fixed maturity securities of $282 million, losses on sales of mortgages and other assets of $80 million, losses on sales of equity and preferred securities of $31 million and non-cash valuation losses on equity and preferred security holdings of $584 million. Recognized gains and losses, net for the year ended December 31, 2021 are primarily attributable to realized gains on derivatives of $655 million, gains on sales of fixed maturity securities of $114 million and gains on sales of mortgages and other assets of $13 million, partially offset by losses on sales of equity and preferred securities of $19 million and non-cash net valuation losses on equity and preferred securities of $429 million.</w:t>
      </w:r>
    </w:p>
    <w:p>
      <w:pPr>
        <w:spacing w:after="0" w:line="87"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color w:val="auto"/>
        </w:rPr>
        <w:t xml:space="preserve">See Note 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our Consolidated Financial Statements included in Item 8 of Part II of this Annual Report for a breakout of our consolidated interest and investment income and realized gains and losses.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3" w:lineRule="exact"/>
        <w:rPr>
          <w:sz w:val="20"/>
          <w:szCs w:val="20"/>
          <w:color w:val="auto"/>
        </w:rPr>
      </w:pPr>
    </w:p>
    <w:p>
      <w:pPr>
        <w:jc w:val="both"/>
        <w:ind w:firstLine="316"/>
        <w:spacing w:after="0" w:line="244"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Other operating expenses, which in our Title segment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8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Agent commissions represent the portion of premiums retained by our third-party agents pursuant to the terms of their respective agency contracts.</w:t>
      </w:r>
    </w:p>
    <w:p>
      <w:pPr>
        <w:spacing w:after="0" w:line="109"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Benefit expenses for deferred annuity, FIA and IUL policies include index credits and interest credited to contractholder account balances and benefit claims in excess of contract account balances, net of reinsurance recoveries. Other changes in policy reserves include the change in the fair value of the FIA embedded derivative and the change in the reserve for secondary guarantee benefit payments. Other changes in policy reserves also include the change in reserves for life insurance products.</w:t>
      </w:r>
    </w:p>
    <w:p>
      <w:pPr>
        <w:spacing w:after="0" w:line="78"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expenses attributable to our reportable segments is discussed in further detail at the segment level below.</w:t>
      </w:r>
    </w:p>
    <w:p>
      <w:pPr>
        <w:spacing w:after="0" w:line="96" w:lineRule="exact"/>
        <w:rPr>
          <w:sz w:val="20"/>
          <w:szCs w:val="20"/>
          <w:color w:val="auto"/>
        </w:rPr>
      </w:pPr>
    </w:p>
    <w:p>
      <w:pPr>
        <w:jc w:val="both"/>
        <w:ind w:firstLine="316"/>
        <w:spacing w:after="0" w:line="234" w:lineRule="auto"/>
        <w:rPr>
          <w:sz w:val="20"/>
          <w:szCs w:val="20"/>
          <w:color w:val="auto"/>
        </w:rPr>
      </w:pPr>
      <w:r>
        <w:rPr>
          <w:rFonts w:ascii="Times New Roman" w:cs="Times New Roman" w:eastAsia="Times New Roman" w:hAnsi="Times New Roman"/>
          <w:sz w:val="18"/>
          <w:szCs w:val="18"/>
          <w:color w:val="auto"/>
        </w:rPr>
        <w:t>Income tax expense was $192 million, $439 million, and $813 million for the years ended December 31, 2023, 2022, and 2021, respectively. Income tax expense as a percentage of earnings before income taxes was 27.7%, 25.4%, and 22.8% in the years ended December 31, 2023, 2022, and 2021 respectively. The increase in income tax expense as a percentage of earnings before taxes in 2023 as compared to 2022 is primarily attributable the non-recurring tax benefit in 2022 of realized capital losses carried back to 2017. The increase in income tax expense as a percentage of earnings before taxes in 2022 as compared to 2021 is primarily attributable to the recording of a valuation allowance in 2022, partially offset by the non-recurring tax benefit in 2022 of realized capital losses carried back to 2017.</w:t>
      </w:r>
    </w:p>
    <w:p>
      <w:pPr>
        <w:spacing w:after="0" w:line="92"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changes in market conditions, including changing interest rates, resulted in deferred tax assets related to the net unrealized capital losses in the Company’s investment portfolio. U.S. GAAP requires the evaluation of the recoverability of deferred tax assets and the establishment of a valuation allowance, if necessary, to reduce the deferred tax asset to an amount that is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When assessing the need for valuation allowance for the F&amp;G segment on the unrealized capital loss deferred tax assets, F&amp;G asserts a tax planning strategy to hold the vast majority of underlying securities to recovery or maturity. F&amp;G’s ability to assert such a tax planning strategy is dependent upon factors such as F&amp;G’s asset/liability matching process, overall investment strategy, projected future annuity product sales, and expected liquidity needs.</w:t>
      </w:r>
    </w:p>
    <w:p>
      <w:pPr>
        <w:spacing w:after="0" w:line="75" w:lineRule="exact"/>
        <w:rPr>
          <w:sz w:val="20"/>
          <w:szCs w:val="20"/>
          <w:color w:val="auto"/>
        </w:rPr>
      </w:pPr>
    </w:p>
    <w:p>
      <w:pPr>
        <w:jc w:val="both"/>
        <w:ind w:firstLine="316"/>
        <w:spacing w:after="0" w:line="303" w:lineRule="auto"/>
        <w:rPr>
          <w:sz w:val="20"/>
          <w:szCs w:val="20"/>
          <w:color w:val="auto"/>
        </w:rPr>
      </w:pPr>
      <w:r>
        <w:rPr>
          <w:rFonts w:ascii="Times New Roman" w:cs="Times New Roman" w:eastAsia="Times New Roman" w:hAnsi="Times New Roman"/>
          <w:sz w:val="16"/>
          <w:szCs w:val="16"/>
          <w:color w:val="auto"/>
        </w:rPr>
        <w:t>In the event these estimates differ from our prior estimates due to the receipt of new information, the Company may be required to significantly change the income tax expense recorded in the Consolidated Financial Statements. This includes a further significant decline in value of assets incorporated into our tax planning strategies, which could lead to an increase of our valuation allowance on deferred tax assets having an adverse effect on current and future results.</w:t>
      </w:r>
    </w:p>
    <w:p>
      <w:pPr>
        <w:spacing w:after="0" w:line="27" w:lineRule="exact"/>
        <w:rPr>
          <w:sz w:val="20"/>
          <w:szCs w:val="20"/>
          <w:color w:val="auto"/>
        </w:rPr>
      </w:pPr>
    </w:p>
    <w:p>
      <w:pPr>
        <w:jc w:val="both"/>
        <w:ind w:firstLine="316"/>
        <w:spacing w:after="0" w:line="24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developed guidance known as the Global Anti-Base Erosion Pillar Two minimum tax rules, or Pillar Two, which generally provide for a minimum effective tax rate of 15% and are intended to apply to tax years beginning in 2024. The Company does not expect these rules to have a material impact on our income tax provision in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results of operations of our Title segment for the years indicated:</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0" w:type="dxa"/>
            <w:vAlign w:val="bottom"/>
            <w:gridSpan w:val="6"/>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5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7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7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0" w:type="dxa"/>
            <w:vAlign w:val="bottom"/>
          </w:tcPr>
          <w:p>
            <w:pPr>
              <w:spacing w:after="0"/>
              <w:rPr>
                <w:sz w:val="1"/>
                <w:szCs w:val="1"/>
                <w:color w:val="auto"/>
              </w:rPr>
            </w:pPr>
          </w:p>
        </w:tc>
      </w:tr>
      <w:tr>
        <w:trPr>
          <w:trHeight w:val="190"/>
        </w:trPr>
        <w:tc>
          <w:tcPr>
            <w:tcW w:w="7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4,982</w:t>
            </w:r>
          </w:p>
        </w:tc>
        <w:tc>
          <w:tcPr>
            <w:tcW w:w="0" w:type="dxa"/>
            <w:vAlign w:val="bottom"/>
          </w:tcPr>
          <w:p>
            <w:pPr>
              <w:spacing w:after="0"/>
              <w:rPr>
                <w:sz w:val="1"/>
                <w:szCs w:val="1"/>
                <w:color w:val="auto"/>
              </w:rPr>
            </w:pPr>
          </w:p>
        </w:tc>
      </w:tr>
      <w:tr>
        <w:trPr>
          <w:trHeight w:val="205"/>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0" w:type="dxa"/>
            <w:vAlign w:val="bottom"/>
          </w:tcPr>
          <w:p>
            <w:pPr>
              <w:spacing w:after="0"/>
              <w:rPr>
                <w:sz w:val="1"/>
                <w:szCs w:val="1"/>
                <w:color w:val="auto"/>
              </w:rPr>
            </w:pPr>
          </w:p>
        </w:tc>
      </w:tr>
      <w:tr>
        <w:trPr>
          <w:trHeight w:val="190"/>
        </w:trPr>
        <w:tc>
          <w:tcPr>
            <w:tcW w:w="7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5"/>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7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83"/>
        </w:trPr>
        <w:tc>
          <w:tcPr>
            <w:tcW w:w="75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revenues</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11,497</w:t>
            </w:r>
          </w:p>
        </w:tc>
        <w:tc>
          <w:tcPr>
            <w:tcW w:w="0" w:type="dxa"/>
            <w:vAlign w:val="bottom"/>
          </w:tcPr>
          <w:p>
            <w:pPr>
              <w:spacing w:after="0"/>
              <w:rPr>
                <w:sz w:val="1"/>
                <w:szCs w:val="1"/>
                <w:color w:val="auto"/>
              </w:rPr>
            </w:pP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Personnel costs</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w:t>
            </w:r>
          </w:p>
        </w:tc>
        <w:tc>
          <w:tcPr>
            <w:tcW w:w="0" w:type="dxa"/>
            <w:vAlign w:val="bottom"/>
          </w:tcPr>
          <w:p>
            <w:pPr>
              <w:spacing w:after="0"/>
              <w:rPr>
                <w:sz w:val="1"/>
                <w:szCs w:val="1"/>
                <w:color w:val="auto"/>
              </w:rPr>
            </w:pPr>
          </w:p>
        </w:tc>
      </w:tr>
      <w:tr>
        <w:trPr>
          <w:trHeight w:val="205"/>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Agent commissions</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0" w:type="dxa"/>
            <w:vAlign w:val="bottom"/>
          </w:tcPr>
          <w:p>
            <w:pPr>
              <w:spacing w:after="0"/>
              <w:rPr>
                <w:sz w:val="1"/>
                <w:szCs w:val="1"/>
                <w:color w:val="auto"/>
              </w:rPr>
            </w:pPr>
          </w:p>
        </w:tc>
      </w:tr>
      <w:tr>
        <w:trPr>
          <w:trHeight w:val="190"/>
        </w:trPr>
        <w:tc>
          <w:tcPr>
            <w:tcW w:w="7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operating expenses</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0" w:type="dxa"/>
            <w:vAlign w:val="bottom"/>
          </w:tcPr>
          <w:p>
            <w:pPr>
              <w:spacing w:after="0"/>
              <w:rPr>
                <w:sz w:val="1"/>
                <w:szCs w:val="1"/>
                <w:color w:val="auto"/>
              </w:rPr>
            </w:pPr>
          </w:p>
        </w:tc>
      </w:tr>
      <w:tr>
        <w:trPr>
          <w:trHeight w:val="205"/>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90"/>
        </w:trPr>
        <w:tc>
          <w:tcPr>
            <w:tcW w:w="7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205"/>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expense</w:t>
            </w: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5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Total expenses</w:t>
            </w:r>
          </w:p>
        </w:tc>
        <w:tc>
          <w:tcPr>
            <w:tcW w:w="74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6,155</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8,016</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9,361</w:t>
            </w:r>
          </w:p>
        </w:tc>
        <w:tc>
          <w:tcPr>
            <w:tcW w:w="0" w:type="dxa"/>
            <w:vAlign w:val="bottom"/>
          </w:tcPr>
          <w:p>
            <w:pPr>
              <w:spacing w:after="0"/>
              <w:rPr>
                <w:sz w:val="1"/>
                <w:szCs w:val="1"/>
                <w:color w:val="auto"/>
              </w:rPr>
            </w:pPr>
          </w:p>
        </w:tc>
      </w:tr>
      <w:tr>
        <w:trPr>
          <w:trHeight w:val="222"/>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from continuing operations, before income taxes and equity in earnings of unconsolidated affiliates</w:t>
            </w:r>
          </w:p>
        </w:tc>
        <w:tc>
          <w:tcPr>
            <w:tcW w:w="7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Orders opened by direct title operations (in thousands)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0" w:type="dxa"/>
            <w:vAlign w:val="bottom"/>
          </w:tcPr>
          <w:p>
            <w:pPr>
              <w:spacing w:after="0"/>
              <w:rPr>
                <w:sz w:val="1"/>
                <w:szCs w:val="1"/>
                <w:color w:val="auto"/>
              </w:rPr>
            </w:pP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Orders closed by direct title operations (in thousands)</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0" w:type="dxa"/>
            <w:vAlign w:val="bottom"/>
          </w:tcPr>
          <w:p>
            <w:pPr>
              <w:spacing w:after="0"/>
              <w:rPr>
                <w:sz w:val="1"/>
                <w:szCs w:val="1"/>
                <w:color w:val="auto"/>
              </w:rPr>
            </w:pPr>
          </w:p>
        </w:tc>
      </w:tr>
      <w:tr>
        <w:trPr>
          <w:trHeight w:val="183"/>
        </w:trPr>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Fee per file by direct title operations (in dollars)</w:t>
            </w:r>
          </w:p>
        </w:tc>
        <w:tc>
          <w:tcPr>
            <w:tcW w:w="740" w:type="dxa"/>
            <w:vAlign w:val="bottom"/>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3,381</w:t>
            </w:r>
          </w:p>
        </w:tc>
        <w:tc>
          <w:tcPr>
            <w:tcW w:w="8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Total revenues for the Title segment decreased by $2,068 million, or 23%, in the year ended December 31, 2023, when compared to 2022. Total revenues for the Title segment decreased by $2,391 million, or 21%, in the year ended December 31, 2022, when compared to 2021. The decrease in the year ended December 31, 2023, as compared to 2022 is primarily attributable to decreases in both our direct and agency premiums, decreases in escrow, title-related and other fees, partially offset by an increase in interest and investment income and a decrease in non-cash valuation losses on our equity and preferred investment holdings. The decrease in the year ended December 31, 2022, as compared to 2021 is primarily attributable to decreases in both our direct and agency premiums, decreases in escrow, title-related and other fees and an increase in non-cash valuation losses on our equity and preferred investment holdings, partially offset by an increase in interest and investment income.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presents the percentages of title insurance premiums generated by our direct and agency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Title premiums from direct operations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Title premiums from agency operations</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 title premiums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1"/>
        </w:trPr>
        <w:tc>
          <w:tcPr>
            <w:tcW w:w="120" w:type="dxa"/>
            <w:vAlign w:val="bottom"/>
          </w:tcPr>
          <w:p>
            <w:pPr>
              <w:spacing w:after="0"/>
              <w:rPr>
                <w:sz w:val="16"/>
                <w:szCs w:val="16"/>
                <w:color w:val="auto"/>
              </w:rPr>
            </w:pP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4"/>
        </w:trPr>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186"/>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41.8 %</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41.8 %</w:t>
            </w:r>
          </w:p>
        </w:tc>
      </w:tr>
      <w:tr>
        <w:trPr>
          <w:trHeight w:val="197"/>
        </w:trPr>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11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4,982</w:t>
            </w:r>
          </w:p>
        </w:tc>
        <w:tc>
          <w:tcPr>
            <w:tcW w:w="10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58.2</w:t>
            </w:r>
          </w:p>
        </w:tc>
      </w:tr>
      <w:tr>
        <w:trPr>
          <w:trHeight w:val="24"/>
        </w:trPr>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r>
      <w:tr>
        <w:trPr>
          <w:trHeight w:val="184"/>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6,834</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8,553</w:t>
            </w: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6"/>
        </w:trPr>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-417195</wp:posOffset>
            </wp:positionV>
            <wp:extent cx="7135495" cy="1250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-166370</wp:posOffset>
            </wp:positionV>
            <wp:extent cx="7135495" cy="150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4740" w:space="720"/>
            <w:col w:w="5780"/>
          </w:cols>
          <w:pgMar w:left="320" w:top="121" w:right="339" w:bottom="1440" w:gutter="0" w:footer="0" w:header="0"/>
          <w:type w:val="continuous"/>
        </w:sect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Title premiums decreased by 33% in the year ended December 31, 2023, as compared to 2022. The decrease is primarily attributable to a decrease in Title premiums from direct operations of $876 million, or 31%, and a decrease in Title premiums from agency operations of $1,366 million, or 34%. Title premiums decreased by 20% in the year ended December 31, 2022, as compared to 2021. The decrease is primarily attributable to a decrease in Title premiums from direct operations of $713 million, or 20%, and a decrease in Title premiums from agency operations of $1,006 million, or 20%.</w:t>
      </w:r>
    </w:p>
    <w:p>
      <w:pPr>
        <w:spacing w:after="0" w:line="7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percentages of opened and closed title insurance orders generated by purchase and refinance transactions by our direct operations: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3000" w:type="dxa"/>
            <w:vAlign w:val="bottom"/>
            <w:gridSpan w:val="5"/>
          </w:tcPr>
          <w:p>
            <w:pPr>
              <w:ind w:left="1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4"/>
        </w:trPr>
        <w:tc>
          <w:tcPr>
            <w:tcW w:w="7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7180" w:type="dxa"/>
            <w:vAlign w:val="bottom"/>
          </w:tcPr>
          <w:p>
            <w:pPr>
              <w:spacing w:after="0"/>
              <w:rPr>
                <w:sz w:val="15"/>
                <w:szCs w:val="15"/>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Opened title insurance orders from purchase transactions (1)</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78.9 %</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48.9 %</w:t>
            </w:r>
          </w:p>
        </w:tc>
      </w:tr>
      <w:tr>
        <w:trPr>
          <w:trHeight w:val="19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Opened title insurance orders from refinance transactions (1)</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51.1</w:t>
            </w:r>
          </w:p>
        </w:tc>
      </w:tr>
      <w:tr>
        <w:trPr>
          <w:trHeight w:val="191"/>
        </w:trPr>
        <w:tc>
          <w:tcPr>
            <w:tcW w:w="718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6"/>
        </w:trPr>
        <w:tc>
          <w:tcPr>
            <w:tcW w:w="7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Closed title insurance orders from purchase transactions (1)</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79.8 %</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44.9 %</w:t>
            </w:r>
          </w:p>
        </w:tc>
      </w:tr>
      <w:tr>
        <w:trPr>
          <w:trHeight w:val="19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Closed title insurance orders from refinance transactions (1)</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55.1</w:t>
            </w:r>
          </w:p>
        </w:tc>
      </w:tr>
      <w:tr>
        <w:trPr>
          <w:trHeight w:val="191"/>
        </w:trPr>
        <w:tc>
          <w:tcPr>
            <w:tcW w:w="718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6"/>
        </w:trPr>
        <w:tc>
          <w:tcPr>
            <w:tcW w:w="7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6"/>
          <w:szCs w:val="16"/>
          <w:color w:val="auto"/>
        </w:rPr>
        <w:t>Percentages exclude consideration of an immaterial number of non-purchase and non-refinance orders.</w:t>
      </w:r>
    </w:p>
    <w:p>
      <w:pPr>
        <w:spacing w:after="0" w:line="109"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Title premiums from direct operations decreased in the years ended December 31, 2023, and 2022 as compared to 2022 and 2021, respectively. The decreases are primarily attributable to decreases in total closed order volume, partially offset by increases in fee per file. The decreases in closed our volume are primarily attributable to closed orders from refinance transactions. The residential refinance market has considerably lower fees per closed order than commercial or residential purchase transactions.</w:t>
      </w:r>
    </w:p>
    <w:p>
      <w:pPr>
        <w:spacing w:after="0" w:line="78" w:lineRule="exact"/>
        <w:rPr>
          <w:sz w:val="20"/>
          <w:szCs w:val="20"/>
          <w:color w:val="auto"/>
        </w:rPr>
      </w:pPr>
    </w:p>
    <w:p>
      <w:pPr>
        <w:jc w:val="both"/>
        <w:ind w:firstLine="316"/>
        <w:spacing w:after="0" w:line="282" w:lineRule="auto"/>
        <w:rPr>
          <w:sz w:val="20"/>
          <w:szCs w:val="20"/>
          <w:color w:val="auto"/>
        </w:rPr>
      </w:pPr>
      <w:r>
        <w:rPr>
          <w:rFonts w:ascii="Times New Roman" w:cs="Times New Roman" w:eastAsia="Times New Roman" w:hAnsi="Times New Roman"/>
          <w:sz w:val="16"/>
          <w:szCs w:val="16"/>
          <w:color w:val="auto"/>
        </w:rPr>
        <w:t>We experienced a decrease in closed title insurance order volumes from both purchase and refinance transactions in the year ended December 31, 2023, as compared to 2022. Total closed order volumes were 837,000 in the year ended December 31, 2023, as compared to 1,222,000 in the year ended December 31, 2022, an overall decrease of 32%. Total closed order volumes from refinance transactions, which have a lower fee per file than purchase transactions, were 156,000 in the year ended December 31, 2023, compared to 369,000 in the year ended December 31, 2022, an overall decrease of 57%. Total closed order volumes were 1,222,000 in the year ended December 31, 2022, compared to 2,169,000 in the year ended December 31, 2021, an overall decrease of 44%. Total closed order volumes from refinance transactions, which have a lower fee per file than purchase transactions, were 369,000 in the year ended December 31, 2022, compared to 1,172,000 in the year ended December 31, 2021, an overall decrease of 69%. The decreases in both purchase and refinance transactions in 2023 and 2022 are primarily attributable to higher average mortgage interest rates in 2023 and 2022 as compared to 2022 and 2021, respectively.</w:t>
      </w:r>
    </w:p>
    <w:p>
      <w:pPr>
        <w:spacing w:after="0" w:line="6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Total opened title insurance order volumes decreased in the years ended December 31, 2023, and 2022, as compared to 2022 and 2021, respectively. The decreases in 2023 and 2022 were attributable to decreases in both opened title orders from purchase transactions and refinance transactions as compared to 2022 and 2021, respectively.</w:t>
      </w:r>
    </w:p>
    <w:p>
      <w:pPr>
        <w:spacing w:after="0" w:line="75" w:lineRule="exact"/>
        <w:rPr>
          <w:sz w:val="20"/>
          <w:szCs w:val="20"/>
          <w:color w:val="auto"/>
        </w:rPr>
      </w:pPr>
    </w:p>
    <w:p>
      <w:pPr>
        <w:jc w:val="both"/>
        <w:ind w:firstLine="316"/>
        <w:spacing w:after="0" w:line="286" w:lineRule="auto"/>
        <w:rPr>
          <w:sz w:val="20"/>
          <w:szCs w:val="20"/>
          <w:color w:val="auto"/>
        </w:rPr>
      </w:pPr>
      <w:r>
        <w:rPr>
          <w:rFonts w:ascii="Times New Roman" w:cs="Times New Roman" w:eastAsia="Times New Roman" w:hAnsi="Times New Roman"/>
          <w:sz w:val="16"/>
          <w:szCs w:val="16"/>
          <w:color w:val="auto"/>
        </w:rPr>
        <w:t>The average fee per file in our direct operations was $3,617 in the year ended December 31, 2023, compared to $3,381 in the year ended December 31, 2022. The average fee per file in our direct operations was $3,381 in the year ended December 31, 2022, compared to $2,467 in the year ended December 31,</w:t>
      </w:r>
    </w:p>
    <w:p>
      <w:pPr>
        <w:jc w:val="both"/>
        <w:spacing w:after="0" w:line="309" w:lineRule="auto"/>
        <w:rPr>
          <w:sz w:val="20"/>
          <w:szCs w:val="20"/>
          <w:color w:val="auto"/>
        </w:rPr>
      </w:pPr>
      <w:r>
        <w:rPr>
          <w:rFonts w:ascii="Times New Roman" w:cs="Times New Roman" w:eastAsia="Times New Roman" w:hAnsi="Times New Roman"/>
          <w:sz w:val="16"/>
          <w:szCs w:val="16"/>
          <w:color w:val="auto"/>
        </w:rPr>
        <w:t>2021. The increase in average fee per file in 2023 and 2022 as compared to 2022 and 2021, respectively, reflects an increased proportion of purchase transactions relative to total closed orders and a stable commercial market. The fee per file tends to change as the mix of refinance and purchase transactions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changes, because purchase transactions involve the issuance of both a lender’s policy and an owner’s policy, resulting in higher fees, whereas refinance transactions only require a lender’s policy, resulting in lower fees.</w:t>
      </w:r>
    </w:p>
    <w:p>
      <w:pPr>
        <w:spacing w:after="0" w:line="64"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Title premiums from agency operations decreased $1,366 million, or 34%, in the year ended December 31, 2023, as compared to 2022, and decreased $1,006 million, or 20%, in the year ended December 31, 2022 as compared to 2021. The current trends in the agency business reflect a softening residential purchase environment in many markets throughout the country and a dramatic decline in residential refinance transactions, consistent with trends in the direct business. In addition, in 2021, lower mortgage rates during those years resulted in a surge in refinance business with agents, which was further impacted by changes in underlying real estate activity in the geographic regions in which the independent agents operate.</w:t>
      </w:r>
    </w:p>
    <w:p>
      <w:pPr>
        <w:spacing w:after="0" w:line="80"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Escrow, title-related and other fees decreased by $385 million, or 15%, in the year ended December 31, 2023, as compared to 2022, and decreased by $726 million, or 22%, in the year ended December 31, 2022, as compared to 2021. Escrow fees, which are more closely related to our direct operations, decreased by $214 million, or 22%, in the year ended December 31, 2023, as compared to 2022, and decreased $414 million, or 30%, in the year ended December 31, 2022, as compared to 2021. The decreases in the years ended December 31, 2023, and 2022 as compared to 2022 and 2021, respectively, are primarily due to the decreases in closed order volume including declines in residential refinance volume, which have relatively higher escrow fees than residential purchase and commercial transactions. Other fees in the Title segment, excluding escrow fees, decreased by $172 million, or 11%, in the year ended December 31, 2023, as compared to 2022, and decreased $311 million, or 17%, in the year ended December 31, 2022, as compared to 2021. The decrease in Other fees in the year ended December 31, 2023, as compared to 2022 was primarily driven by decreases in revenues related to our ServiceLink and home warranty businesses and various other immaterial items. The decrease in Other fees in the year ended December 31, 2022, as compared to 2021 was primarily driven by a decrease in revenues related to our ServiceLink business and decreases in various other immaterial items. The change in both escrow fees and other fees is directionally consistent with the change in title premiums from direct operations in 2023 and 2022.</w:t>
      </w:r>
    </w:p>
    <w:p>
      <w:pPr>
        <w:spacing w:after="0" w:line="87"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Interest and investment income levels are primarily a function of securities markets, interest rates and the amount of cash available for investment. Interest and investment income increased $125 million, or 59%, in the year ended December 31, 2023, as compared to 2022, and increased $104 million, or 95%, in the year ended December 31, 2022, as compared to 2021. The increases in the years ended December 31, 2023, and 2022 as compared to 2022 and 2021, respectively, was primarily attributable to increased income from our tax-deferred property exchange business and higher yields on our short-term investments.</w:t>
      </w:r>
    </w:p>
    <w:p>
      <w:pPr>
        <w:spacing w:after="0" w:line="49"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Recognized net losses were $9 million, $443 million, and $393 million in the years ended December 31, 2023, 2022, and 2021, respectively. The variability in recognized gains and losses, net is primarily attributable to fluctuations in non-cash valuation changes on our equity and preferred security holdings in addition to various other individually immaterial items.</w:t>
      </w:r>
    </w:p>
    <w:p>
      <w:pPr>
        <w:spacing w:after="0" w:line="75"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decreased $443 million, or 15%, in the year ended December 31, 2023, as compared to 2022, and decreased $305 million, or 9% in the year ended December 31, 2022, as compared to 2021. The decrease in the year ended December 31, 2023, as compared to 2022 is primarily attributable to the decrease in average headcount in 2023 associated with the decline in closed order volume and decreases in bonuses and commissions associated with the declines in revenue and profitability. The decrease in the year ended December 31, 2022, as compared to 2021 is primarily attributable to lower average head count in 2022 in response to the significant decline in refinance orders and declines in purchase and commercial orders in the second half of 2022, partially offset by an increase in the 401(k) match in 2022. Personnel costs as a percentage of total revenues from direct title premiums and escrow, title-related and other fees were 62%, 56% and 48% for the years ended December 31, 2023, 2022 and 2021, respectively. Average employee count in the Title segment was 21,398, 25,157, and 27,297 in the years ended December 31, 2023, 2022 and 2021, respectively.</w:t>
      </w:r>
    </w:p>
    <w:p>
      <w:pPr>
        <w:spacing w:after="0" w:line="83" w:lineRule="exact"/>
        <w:rPr>
          <w:sz w:val="20"/>
          <w:szCs w:val="20"/>
          <w:color w:val="auto"/>
        </w:rPr>
      </w:pPr>
    </w:p>
    <w:p>
      <w:pPr>
        <w:jc w:val="both"/>
        <w:ind w:firstLine="316"/>
        <w:spacing w:after="0" w:line="303" w:lineRule="auto"/>
        <w:rPr>
          <w:sz w:val="20"/>
          <w:szCs w:val="20"/>
          <w:color w:val="auto"/>
        </w:rPr>
      </w:pPr>
      <w:r>
        <w:rPr>
          <w:rFonts w:ascii="Times New Roman" w:cs="Times New Roman" w:eastAsia="Times New Roman" w:hAnsi="Times New Roman"/>
          <w:sz w:val="16"/>
          <w:szCs w:val="16"/>
          <w:color w:val="auto"/>
        </w:rPr>
        <w:t>Other operating expenses decreased by $273 million, or 18%, in the year ended December 31, 2023, as compared to 2022, and decreased $210 million, or 12%, in the year ended December 31, 2022 compared to 2021. Other operating expenses as a percentage of total revenue excluding agency premiums, interest and investment income, and recognized gains and losses were 30%, 28% and 25% in the years ended December 31, 2023, 2022 and 2021, respectively.</w:t>
      </w:r>
    </w:p>
    <w:p>
      <w:pPr>
        <w:spacing w:after="0" w:line="40" w:lineRule="exact"/>
        <w:rPr>
          <w:sz w:val="20"/>
          <w:szCs w:val="20"/>
          <w:color w:val="auto"/>
        </w:rPr>
      </w:pPr>
    </w:p>
    <w:p>
      <w:pPr>
        <w:jc w:val="both"/>
        <w:ind w:firstLine="316"/>
        <w:spacing w:after="0" w:line="332" w:lineRule="auto"/>
        <w:rPr>
          <w:sz w:val="20"/>
          <w:szCs w:val="20"/>
          <w:color w:val="auto"/>
        </w:rPr>
      </w:pPr>
      <w:r>
        <w:rPr>
          <w:rFonts w:ascii="Times New Roman" w:cs="Times New Roman" w:eastAsia="Times New Roman" w:hAnsi="Times New Roman"/>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premiums and agent commissions: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7"/>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gridSpan w:val="3"/>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4"/>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5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14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11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76.7</w:t>
            </w:r>
          </w:p>
        </w:tc>
      </w:tr>
      <w:tr>
        <w:trPr>
          <w:trHeight w:val="222"/>
        </w:trPr>
        <w:tc>
          <w:tcPr>
            <w:tcW w:w="5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retained agent premiums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The claim loss provision for title insurance was $207 million, $308 million, and $385 million for the years ended December 31, 2023, 2022, and 2021 respectively. The provision reflects a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F&amp;G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Overview</w:t>
      </w:r>
    </w:p>
    <w:p>
      <w:pPr>
        <w:spacing w:after="0" w:line="163"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Through our majority owned F&amp;G subsidiary, which we acquired on June 1, 2020, we provide our principal annuity and life insurance products through the insurance subsidiaries composing our F&amp;G segment, FGL Insurance and FGL NY Insurance. Our customers range across a variety of age groups and are concentrated in the middle-income market. Our FIA products provide for pre-retirement wealth accumulation and post-retirement income management. Our IUL products provide wealth protection and transfer opportunities. Life and annuity products are primarily distributed through IMOs and independent insurance agents, and beginning in 2020, independent broker dealers and banks. Additionally, we provide funding agreements and PRT solutions to various institutions through consultants and brokers.</w:t>
      </w:r>
    </w:p>
    <w:p>
      <w:pPr>
        <w:spacing w:after="0" w:line="133"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In setting the features and pricing of our flagship FIA products relative to our targeted net margin, we take into account our expectations regarding (1)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Historical Results of Operations</w:t>
      </w:r>
    </w:p>
    <w:p>
      <w:pPr>
        <w:spacing w:after="0" w:line="163" w:lineRule="exact"/>
        <w:rPr>
          <w:sz w:val="20"/>
          <w:szCs w:val="20"/>
          <w:color w:val="auto"/>
        </w:rPr>
      </w:pPr>
    </w:p>
    <w:p>
      <w:pPr>
        <w:jc w:val="both"/>
        <w:ind w:firstLine="316"/>
        <w:spacing w:after="0" w:line="281" w:lineRule="auto"/>
        <w:rPr>
          <w:sz w:val="20"/>
          <w:szCs w:val="20"/>
          <w:color w:val="auto"/>
        </w:rPr>
      </w:pPr>
      <w:r>
        <w:rPr>
          <w:rFonts w:ascii="Times New Roman" w:cs="Times New Roman" w:eastAsia="Times New Roman" w:hAnsi="Times New Roman"/>
          <w:sz w:val="16"/>
          <w:szCs w:val="16"/>
          <w:color w:val="auto"/>
        </w:rPr>
        <w:t>Through our insurance subsidiaries, we issue a broad portfolio of deferred annuities (FIA and fixed rate annuities), IUL insurance, immediate annuities, funding agreements and PRT solutions. A deferred annuity is a type of contract that accumulates value on a tax deferred basis and typically begins making specified periodic or lump sum payments a certain number of years after the contract has been issued. IUL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 As defined by the Iowa Insurance Division, a funding agreement is an agreement for an insurer to accept and accumulate funds and to make one or more payments at future dates in amounts that are not based on mortality or morbidity contingencies of the person to whom the funding agreement is issued. In essence, funding agreement providers issue fixed maturity contracts with fixed or floating interest rates in exchange for a single upfront premium. Our PRT products are comparable to income annuities, as we generally receive a single, upfront premium in exchange for paying a guaranteed stream of future income payments, which are typically fixed in nature, but may vary in duration based on participant mortality experience.</w:t>
      </w:r>
    </w:p>
    <w:p>
      <w:pPr>
        <w:spacing w:after="0" w:line="56"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Under GAAP, premium collections for deferred annuities (FIAs and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charges, cost of insurance and other charges deducted from contractholder funds (i.e., amortization of the Unearned Revenue Liability ("URL")), and net realized gains (losses) on investments. Components of expenses for products accounted for as deposit liabilities are interest-sensitive and index product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benefits (primarily interest credited to account balances or the hedging cost of providing index credits to the policyholder), amortization of VOBA, DAC and DSI, and other operating costs and expenses.</w:t>
      </w:r>
    </w:p>
    <w:p>
      <w:pPr>
        <w:spacing w:after="0" w:line="38"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F&amp;G hedges certain portions of its exposure to product related equity market risk by entering into derivative transactions. We purchase derivatives consisting predominantly of call options and, to a lesser degree, futures contracts (specifically for FIA contracts) on the equity indices underlying the applicable policy. These derivatives are used to offset the reserve impact of the index credits due to policyholders under the FIA and IUL contracts. The majority of all such call options are one-year options purchased to match the funding requirements underlying the FIA/IUL contracts. We attempt to manage the cost of these purchases through the terms of our FIA/IUL contracts, which permit us to change caps, spread, or participation rates on each policy's annual anniversary, subject to certain guaranteed minimums that must be maintained.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terms or upon early termination and the changes in fair value of open positions. In addition, to reduce market risks from interest rate changes on our earnings associated with our floating rate investments, during the year ended December 31, 2023, we have executed pay-float and receive-fixed interest rate swaps.</w:t>
      </w:r>
    </w:p>
    <w:p>
      <w:pPr>
        <w:spacing w:after="0" w:line="63"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As noted above, MRBs are contracts or contract features that both provide protection to the contract holder from other-than-nominal capital market risk (equity, interest and foreign exchange risk) and expose the Company to other-than-nominal capital market risk. MRBs are measured at fair value using a risk neutral valuation method, which is based on current net amounts at risk, market data, internal and industry experience, and other factors. The change in fair value of MRBs generally reflects impacts from actual policyholder behavior (including surrenders of the benefit), changes in interest rates, and changes in equity market returns. Generally higher interest rates and equity returns result in gains whereas lower interest rates and equity returns result in losses.</w:t>
      </w:r>
    </w:p>
    <w:p>
      <w:pPr>
        <w:spacing w:after="0" w:line="54"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Earnings from products accounted for as deposit liabilities are primarily generated from the excess of net investment income earned over the sum of interest credited to policyholders and the cost of hedging our risk on FIA/IUL policies. With respect to FIAs/IULs, which includes the expenses incurred to fund the index credits. Proceeds received upon expiration or early termination of call options purchased to fund annual index credits are recorded as part of the change in fair value of derivatives and are largely offset by an expense for index credits earned on annuity contractholder fund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F&amp;G Results of Operations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results of operations of our F&amp;G segment for the years ended December 31, 2023, 2022 and 2021,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
        </w:trPr>
        <w:tc>
          <w:tcPr>
            <w:tcW w:w="712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7120" w:type="dxa"/>
            <w:vAlign w:val="bottom"/>
          </w:tcPr>
          <w:p>
            <w:pPr>
              <w:spacing w:after="0"/>
              <w:rPr>
                <w:sz w:val="15"/>
                <w:szCs w:val="15"/>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r>
      <w:tr>
        <w:trPr>
          <w:trHeight w:val="19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4"/>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Life insurance premiums and other fees</w:t>
            </w:r>
          </w:p>
        </w:tc>
        <w:tc>
          <w:tcPr>
            <w:tcW w:w="5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r>
      <w:tr>
        <w:trPr>
          <w:trHeight w:val="190"/>
        </w:trPr>
        <w:tc>
          <w:tcPr>
            <w:tcW w:w="7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w:t>
            </w:r>
          </w:p>
        </w:tc>
      </w:tr>
      <w:tr>
        <w:trPr>
          <w:trHeight w:val="205"/>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5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r>
      <w:tr>
        <w:trPr>
          <w:trHeight w:val="184"/>
        </w:trPr>
        <w:tc>
          <w:tcPr>
            <w:tcW w:w="7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revenues</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3,974</w:t>
            </w:r>
          </w:p>
        </w:tc>
      </w:tr>
      <w:tr>
        <w:trPr>
          <w:trHeight w:val="184"/>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and expenses:</w:t>
            </w: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0"/>
        </w:trPr>
        <w:tc>
          <w:tcPr>
            <w:tcW w:w="7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r>
      <w:tr>
        <w:trPr>
          <w:trHeight w:val="205"/>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Market risk benefit (gains) losses</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0"/>
        </w:trPr>
        <w:tc>
          <w:tcPr>
            <w:tcW w:w="7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05"/>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Personnel costs</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90"/>
        </w:trPr>
        <w:tc>
          <w:tcPr>
            <w:tcW w:w="7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operating expenses</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05"/>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5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4"/>
        </w:trPr>
        <w:tc>
          <w:tcPr>
            <w:tcW w:w="7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benefits and expenses</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2,422</w:t>
            </w:r>
          </w:p>
        </w:tc>
      </w:tr>
      <w:tr>
        <w:trPr>
          <w:trHeight w:val="197"/>
        </w:trPr>
        <w:tc>
          <w:tcPr>
            <w:tcW w:w="7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r>
      <w:tr>
        <w:trPr>
          <w:trHeight w:val="205"/>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tax expense</w:t>
            </w:r>
          </w:p>
        </w:tc>
        <w:tc>
          <w:tcPr>
            <w:tcW w:w="5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84"/>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5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w:t>
            </w:r>
          </w:p>
        </w:tc>
      </w:tr>
      <w:tr>
        <w:trPr>
          <w:trHeight w:val="191"/>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Earnings from discontinued operations, net of tax</w:t>
            </w:r>
          </w:p>
        </w:tc>
        <w:tc>
          <w:tcPr>
            <w:tcW w:w="5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7"/>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5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w:t>
            </w:r>
          </w:p>
        </w:tc>
      </w:tr>
      <w:tr>
        <w:trPr>
          <w:trHeight w:val="20"/>
        </w:trPr>
        <w:tc>
          <w:tcPr>
            <w:tcW w:w="7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 insurance premiums and other fees</w:t>
      </w:r>
    </w:p>
    <w:p>
      <w:pPr>
        <w:spacing w:after="0" w:line="100"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Life insurance premiums and other fees primarily reflect premiums on life-contingent PRTs and traditional life insurance products, which are recognized as revenue when due from the policyholder, as well as policy rider fees primarily on FIA policies, the cost of insurance on IUL policies and surrender charges assessed against policy withdrawals in excess of the policyholder's allowable penalty-free amounts (up to 10% of the prior year's value, subject to certain limitations). The following table summarizes the Life insurance premiums and other fees, on the Consolidated Statements of Earnings for the respective periods: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716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184"/>
        </w:trPr>
        <w:tc>
          <w:tcPr>
            <w:tcW w:w="7160" w:type="dxa"/>
            <w:vAlign w:val="bottom"/>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1"/>
        </w:trPr>
        <w:tc>
          <w:tcPr>
            <w:tcW w:w="7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4"/>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Life-contingent pension risk transfer premiums</w:t>
            </w:r>
          </w:p>
        </w:tc>
        <w:tc>
          <w:tcPr>
            <w:tcW w:w="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r>
      <w:tr>
        <w:trPr>
          <w:trHeight w:val="19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Traditional life insurance premiums</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5"/>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Life-contingent immediate annuity premiums</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 charges</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Policyholder fees and other income</w:t>
            </w:r>
          </w:p>
        </w:tc>
        <w:tc>
          <w:tcPr>
            <w:tcW w:w="4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97"/>
        </w:trPr>
        <w:tc>
          <w:tcPr>
            <w:tcW w:w="71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Life insurance premiums and other fees</w:t>
            </w:r>
          </w:p>
        </w:tc>
        <w:tc>
          <w:tcPr>
            <w:tcW w:w="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w:t>
            </w:r>
          </w:p>
        </w:tc>
      </w:tr>
      <w:tr>
        <w:trPr>
          <w:trHeight w:val="20"/>
        </w:trPr>
        <w:tc>
          <w:tcPr>
            <w:tcW w:w="7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40" w:hanging="319"/>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Life-contingent pension risk transfer premiums increased for the years ended December 31, 2023 and December 31, 2022, reflecting higher PRT sales.</w:t>
      </w:r>
    </w:p>
    <w:p>
      <w:pPr>
        <w:spacing w:after="0" w:line="131" w:lineRule="exact"/>
        <w:rPr>
          <w:rFonts w:ascii="Times New Roman" w:cs="Times New Roman" w:eastAsia="Times New Roman" w:hAnsi="Times New Roman"/>
          <w:sz w:val="16"/>
          <w:szCs w:val="16"/>
          <w:color w:val="auto"/>
        </w:rPr>
      </w:pPr>
    </w:p>
    <w:p>
      <w:pPr>
        <w:ind w:left="640" w:hanging="319"/>
        <w:spacing w:after="0" w:line="268"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charges increased for the years ended December 31, 2023, and December 31, 2022, primarily reflecting increases in withdrawals from policyholders with surrender changes and market value adjustments (MVAs), primarily on our FIA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40" w:hanging="319"/>
        <w:spacing w:after="0" w:line="256"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Policyholder fees and other income increased for the years ended December 31, 2023, and December 31, 2022, primarily due to increased GMWB rider fees and cost of insurance charges, net of changes in URL on IUL policies from growth in business. GMWB rider fees are based on the policyholder's benefit base and are collected at the end of the policy 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interest and investment income:</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4"/>
        </w:trPr>
        <w:tc>
          <w:tcPr>
            <w:tcW w:w="7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184"/>
        </w:trPr>
        <w:tc>
          <w:tcPr>
            <w:tcW w:w="7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1"/>
        </w:trPr>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r>
      <w:tr>
        <w:trPr>
          <w:trHeight w:val="190"/>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tcPr>
          <w:p>
            <w:pPr>
              <w:spacing w:after="0"/>
              <w:rPr>
                <w:sz w:val="16"/>
                <w:szCs w:val="16"/>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0"/>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Mortgage loans</w:t>
            </w:r>
          </w:p>
        </w:tc>
        <w:tc>
          <w:tcPr>
            <w:tcW w:w="100" w:type="dxa"/>
            <w:vAlign w:val="bottom"/>
          </w:tcPr>
          <w:p>
            <w:pPr>
              <w:spacing w:after="0"/>
              <w:rPr>
                <w:sz w:val="16"/>
                <w:szCs w:val="16"/>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0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0"/>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Limited partnerships</w:t>
            </w:r>
          </w:p>
        </w:tc>
        <w:tc>
          <w:tcPr>
            <w:tcW w:w="100" w:type="dxa"/>
            <w:vAlign w:val="bottom"/>
          </w:tcPr>
          <w:p>
            <w:pPr>
              <w:spacing w:after="0"/>
              <w:rPr>
                <w:sz w:val="16"/>
                <w:szCs w:val="16"/>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r>
      <w:tr>
        <w:trPr>
          <w:trHeight w:val="20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investments</w:t>
            </w: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4"/>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Gross investment income</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2,465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2,015</w:t>
            </w:r>
          </w:p>
        </w:tc>
      </w:tr>
      <w:tr>
        <w:trPr>
          <w:trHeight w:val="19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expense</w:t>
            </w: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97"/>
        </w:trPr>
        <w:tc>
          <w:tcPr>
            <w:tcW w:w="7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2,211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1,852</w:t>
            </w: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316"/>
        <w:spacing w:after="0" w:line="234" w:lineRule="auto"/>
        <w:rPr>
          <w:sz w:val="20"/>
          <w:szCs w:val="20"/>
          <w:color w:val="auto"/>
        </w:rPr>
      </w:pPr>
      <w:r>
        <w:rPr>
          <w:rFonts w:ascii="Times New Roman" w:cs="Times New Roman" w:eastAsia="Times New Roman" w:hAnsi="Times New Roman"/>
          <w:sz w:val="18"/>
          <w:szCs w:val="18"/>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$339 million, $109 million and $53 million, for the years ended December 31, 2023, December 31, 2022, and December 31, 2021, respectively.</w:t>
      </w:r>
    </w:p>
    <w:p>
      <w:pPr>
        <w:sectPr>
          <w:pgSz w:w="11900" w:h="16838" w:orient="portrait"/>
          <w:cols w:equalWidth="0" w:num="1">
            <w:col w:w="11240"/>
          </w:cols>
          <w:pgMar w:left="320" w:top="121" w:right="339"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Recognized gains and (losses), net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Below is a summary of the major components included in recognized gains and losses, net: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right="240"/>
        <w:spacing w:after="0" w:line="245" w:lineRule="auto"/>
        <w:rPr>
          <w:sz w:val="20"/>
          <w:szCs w:val="20"/>
          <w:color w:val="auto"/>
        </w:rPr>
      </w:pPr>
      <w:r>
        <w:rPr>
          <w:rFonts w:ascii="Times New Roman" w:cs="Times New Roman" w:eastAsia="Times New Roman" w:hAnsi="Times New Roman"/>
          <w:sz w:val="14"/>
          <w:szCs w:val="14"/>
          <w:color w:val="auto"/>
        </w:rPr>
        <w:t>Net realized and unrealized (losses) gains on fixed maturity available-for-sale securities, equity securities and other invested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135495" cy="2089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5495" cy="2089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realized and unrealized (losses) gains on certain derivatives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4"/>
        </w:trPr>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18"/>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24"/>
                <w:szCs w:val="24"/>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7"/>
        </w:trPr>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7"/>
        </w:trPr>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197"/>
        </w:trPr>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7"/>
        </w:trPr>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4"/>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w:t>
            </w:r>
          </w:p>
        </w:tc>
      </w:tr>
      <w:tr>
        <w:trPr>
          <w:trHeight w:val="26"/>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720" w:space="280"/>
            <w:col w:w="4240"/>
          </w:cols>
          <w:pgMar w:left="320" w:top="121" w:right="339" w:bottom="1440" w:gutter="0" w:footer="0" w:header="0"/>
          <w:type w:val="continuous"/>
        </w:sectPr>
      </w:pPr>
    </w:p>
    <w:p>
      <w:pPr>
        <w:spacing w:after="0" w:line="229" w:lineRule="exact"/>
        <w:rPr>
          <w:sz w:val="20"/>
          <w:szCs w:val="20"/>
          <w:color w:val="auto"/>
        </w:rPr>
      </w:pPr>
    </w:p>
    <w:p>
      <w:pPr>
        <w:jc w:val="both"/>
        <w:ind w:firstLine="316"/>
        <w:spacing w:after="0" w:line="303" w:lineRule="auto"/>
        <w:rPr>
          <w:sz w:val="20"/>
          <w:szCs w:val="20"/>
          <w:color w:val="auto"/>
        </w:rPr>
      </w:pPr>
      <w:r>
        <w:rPr>
          <w:rFonts w:ascii="Times New Roman" w:cs="Times New Roman" w:eastAsia="Times New Roman" w:hAnsi="Times New Roman"/>
          <w:sz w:val="16"/>
          <w:szCs w:val="16"/>
          <w:color w:val="auto"/>
        </w:rPr>
        <w:t>Recognized gains and losses are shown net of amounts attributable to certain funds withheld reinsurance agreements, which is passed along to the reinsurer in accordance with the terms of these agreements. Recognized gains and losses attributable to these agreements, and thus excluded from the totals in the table above, was $(123) million, $381 million and $15 million for the years ended December 31, 2023, December 31, 2022, and December 31, 2021, respectively.</w:t>
      </w:r>
    </w:p>
    <w:p>
      <w:pPr>
        <w:spacing w:after="0" w:line="303" w:lineRule="exact"/>
        <w:rPr>
          <w:sz w:val="20"/>
          <w:szCs w:val="20"/>
          <w:color w:val="auto"/>
        </w:rPr>
      </w:pPr>
    </w:p>
    <w:p>
      <w:pPr>
        <w:jc w:val="both"/>
        <w:ind w:left="640" w:hanging="319"/>
        <w:spacing w:after="0" w:line="256"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net realized and unrealized gains (losses) on fixed maturity available-for-sale securities, equity securities and other invested assets is primarily the result of realized losses on fixed maturity available-for-sale securities, partially offset by mark-to-market gains on our equity securities and realized gains on other invested assets.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40" w:hanging="319"/>
        <w:spacing w:after="0" w:line="256"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net realized and unrealized gains (losses) on fixed maturity available-for-sale securities, equity securities and other invested assets is primarily the result of realized losses on fixed maturity available-for-sale securities and mark-to-market losses on our equity securities.</w:t>
      </w:r>
    </w:p>
    <w:p>
      <w:pPr>
        <w:spacing w:after="0" w:line="61"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2021, net realized and unrealized gains (losses) on fixed maturity available-for-sale securities, equity securities and other invested assets is primarily the result of realized gains on fixed maturity available-for-sale securities, partially offset by mark-to-market losses on our equity securities.</w:t>
      </w:r>
    </w:p>
    <w:p>
      <w:pPr>
        <w:spacing w:after="0" w:line="48"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periods, net realized and unrealized gains (losses) on certain derivative instruments primarily relate to the net realized and unrealized gains (losses) on options and futures used to hedge FIA and IUL products, including gains on option and futures expiration and changes in the fair value of interest rate swaps. See the table below for primary drivers of gains (losses) on certain derivatives.</w:t>
      </w:r>
    </w:p>
    <w:p>
      <w:pPr>
        <w:spacing w:after="0" w:line="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reinsurance related embedded derivative is based on the change in fair value of the underlying assets held in the funds withheld portfolio.</w:t>
      </w:r>
    </w:p>
    <w:p>
      <w:pPr>
        <w:spacing w:after="0" w:line="51"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We utilize a combination of static (call options) and dynamic (long futures contracts) instruments in our product hedging strategy. A substantial portion of the call options and futures contracts are based upon the S&amp;P 500 Index with the remainder based upon other equity, bond and gold market indices.</w:t>
      </w:r>
    </w:p>
    <w:p>
      <w:pPr>
        <w:spacing w:after="0" w:line="196"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During the year ended December 31, 2023, we began to utilize interest rate swaps to reduce market risks from interest rate changes on our earnings associated with our floating rate investments.</w:t>
      </w:r>
    </w:p>
    <w:p>
      <w:pPr>
        <w:spacing w:after="0" w:line="196"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The components of the realized and unrealized gains (losses) on certain derivative instruments hedging our indexed annuity, universal life products and floating rate investments are summarized in the table below (dollars in millions):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4"/>
        </w:trPr>
        <w:tc>
          <w:tcPr>
            <w:tcW w:w="6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6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1"/>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Call options: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90"/>
        </w:trPr>
        <w:tc>
          <w:tcPr>
            <w:tcW w:w="6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Realized (losses) gains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437</w:t>
            </w:r>
          </w:p>
        </w:tc>
      </w:tr>
      <w:tr>
        <w:trPr>
          <w:trHeight w:val="205"/>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unrealized (losses) gains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160</w:t>
            </w:r>
          </w:p>
        </w:tc>
      </w:tr>
      <w:tr>
        <w:trPr>
          <w:trHeight w:val="190"/>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5"/>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(Losses) gains on futures contracts expiration</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w:t>
            </w:r>
          </w:p>
        </w:tc>
      </w:tr>
      <w:tr>
        <w:trPr>
          <w:trHeight w:val="190"/>
        </w:trPr>
        <w:tc>
          <w:tcPr>
            <w:tcW w:w="6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unrealized gains (losses)</w:t>
            </w:r>
          </w:p>
        </w:tc>
        <w:tc>
          <w:tcPr>
            <w:tcW w:w="140" w:type="dxa"/>
            <w:vAlign w:val="bottom"/>
          </w:tcPr>
          <w:p>
            <w:pPr>
              <w:spacing w:after="0"/>
              <w:rPr>
                <w:sz w:val="16"/>
                <w:szCs w:val="16"/>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r>
      <w:tr>
        <w:trPr>
          <w:trHeight w:val="20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forward:</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5"/>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Gains on foreign currency forward</w:t>
            </w: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w:t>
            </w: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change in fair value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615</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0"/>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Point-to-Point Change in S&amp;P 500 Index during the periods</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20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Secured Overnight Financing Rates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0.05 %</w:t>
            </w:r>
          </w:p>
        </w:tc>
      </w:tr>
    </w:tbl>
    <w:p>
      <w:pPr>
        <w:spacing w:after="0" w:line="140" w:lineRule="exact"/>
        <w:rPr>
          <w:sz w:val="20"/>
          <w:szCs w:val="20"/>
          <w:color w:val="auto"/>
        </w:rPr>
      </w:pPr>
    </w:p>
    <w:p>
      <w:pPr>
        <w:jc w:val="both"/>
        <w:ind w:left="640" w:hanging="319"/>
        <w:spacing w:after="0" w:line="256"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gains and losses on certain derivative instruments are directly correlated to the performance of the indices upon which the call options and futures contracts are based and the value of the derivatives at the time of expiration compared to the value at the time of purchase. Gains (losses) on option expiration reflect the movement during each period on options settled during the respective period.</w:t>
      </w:r>
    </w:p>
    <w:p>
      <w:pPr>
        <w:spacing w:after="0" w:line="61" w:lineRule="exact"/>
        <w:rPr>
          <w:rFonts w:ascii="Times New Roman" w:cs="Times New Roman" w:eastAsia="Times New Roman" w:hAnsi="Times New Roman"/>
          <w:sz w:val="18"/>
          <w:szCs w:val="18"/>
          <w:color w:val="auto"/>
        </w:rPr>
      </w:pPr>
    </w:p>
    <w:p>
      <w:pPr>
        <w:ind w:left="640" w:right="48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unrealized gains (losses) due to fair value of call options is primarily driven by the underlying performance of the S&amp;P 500 Index during each respective period relative to the S&amp;P 500 Index on the policyholder buy dates.</w:t>
      </w:r>
    </w:p>
    <w:p>
      <w:pPr>
        <w:spacing w:after="0" w:line="64" w:lineRule="exact"/>
        <w:rPr>
          <w:rFonts w:ascii="Times New Roman" w:cs="Times New Roman" w:eastAsia="Times New Roman" w:hAnsi="Times New Roman"/>
          <w:sz w:val="18"/>
          <w:szCs w:val="18"/>
          <w:color w:val="auto"/>
        </w:rPr>
      </w:pPr>
    </w:p>
    <w:p>
      <w:pPr>
        <w:ind w:left="640" w:right="68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change in fair value of the call options and futures contracts was primarily driven by movements in the S&amp;P 500 Index relative to the policyholder buy dates.</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change in fair value of the interest rate swaps was primarily driven by fluctuations in the interest rate index underlying the swap contracts.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average index credits to policyholders are as follows:</w:t>
      </w:r>
    </w:p>
    <w:p>
      <w:pPr>
        <w:spacing w:after="0" w:line="129"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tcPr>
          <w:p>
            <w:pPr>
              <w:spacing w:after="0"/>
              <w:rPr>
                <w:sz w:val="16"/>
                <w:szCs w:val="16"/>
                <w:color w:val="auto"/>
              </w:rPr>
            </w:pPr>
          </w:p>
        </w:tc>
      </w:tr>
      <w:tr>
        <w:trPr>
          <w:trHeight w:val="24"/>
        </w:trPr>
        <w:tc>
          <w:tcPr>
            <w:tcW w:w="66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7"/>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Crediting Rate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0"/>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S&amp;P 500 Index:</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5"/>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Point-to-point strategy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0"/>
        </w:trPr>
        <w:tc>
          <w:tcPr>
            <w:tcW w:w="6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Monthly average strategy</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5"/>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Monthly point-to-point strategy</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83"/>
        </w:trPr>
        <w:tc>
          <w:tcPr>
            <w:tcW w:w="6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 year high water mark</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r>
    </w:tbl>
    <w:p>
      <w:pPr>
        <w:spacing w:after="0" w:line="167" w:lineRule="exact"/>
        <w:rPr>
          <w:sz w:val="20"/>
          <w:szCs w:val="20"/>
          <w:color w:val="auto"/>
        </w:rPr>
      </w:pPr>
    </w:p>
    <w:p>
      <w:pPr>
        <w:jc w:val="both"/>
        <w:ind w:left="640" w:hanging="319"/>
        <w:spacing w:after="0" w:line="256"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amounts credited to contractholder fund balances may differ from the index appreciation due to contractual features in the FIA contracts and certain IUL contracts (caps, spreads and participation rates), which allow us to manage the cost of the options purchased to fund the annual index credits.</w:t>
      </w:r>
    </w:p>
    <w:p>
      <w:pPr>
        <w:spacing w:after="0" w:line="61" w:lineRule="exact"/>
        <w:rPr>
          <w:rFonts w:ascii="Times New Roman" w:cs="Times New Roman" w:eastAsia="Times New Roman" w:hAnsi="Times New Roman"/>
          <w:sz w:val="18"/>
          <w:szCs w:val="18"/>
          <w:color w:val="auto"/>
        </w:rPr>
      </w:pPr>
    </w:p>
    <w:p>
      <w:pPr>
        <w:ind w:left="640" w:right="560" w:hanging="319"/>
        <w:spacing w:after="0" w:line="268"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credits for the periods presented were based on comparing the S&amp;P 500 Index on each issue date in the period to the same issue date in the respective prior year periods.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and other changes in policy reserves</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Benefits and other changes in policy reserves: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
        </w:trPr>
        <w:tc>
          <w:tcPr>
            <w:tcW w:w="7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184"/>
        </w:trPr>
        <w:tc>
          <w:tcPr>
            <w:tcW w:w="7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1"/>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agreements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FIA/IUL market related liability movements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20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 credits, interest credited &amp; bonuses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r>
      <w:tr>
        <w:trPr>
          <w:trHeight w:val="191"/>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changes in policy reserves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22"/>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benefits and other changes in policy reserves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40" w:hanging="319"/>
        <w:spacing w:after="0" w:line="268" w:lineRule="auto"/>
        <w:tabs>
          <w:tab w:leader="none" w:pos="636"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PRT agreements increased for the years ended December 31, 2023, and December 31, 2022, reflecting higher pension risk transfer group annuity obligations.</w:t>
      </w:r>
    </w:p>
    <w:p>
      <w:pPr>
        <w:spacing w:after="0" w:line="37" w:lineRule="exact"/>
        <w:rPr>
          <w:rFonts w:ascii="Times New Roman" w:cs="Times New Roman" w:eastAsia="Times New Roman" w:hAnsi="Times New Roman"/>
          <w:sz w:val="18"/>
          <w:szCs w:val="18"/>
          <w:i w:val="1"/>
          <w:iCs w:val="1"/>
          <w:color w:val="auto"/>
        </w:rPr>
      </w:pPr>
    </w:p>
    <w:p>
      <w:pPr>
        <w:jc w:val="both"/>
        <w:ind w:left="640" w:hanging="319"/>
        <w:spacing w:after="0" w:line="249" w:lineRule="auto"/>
        <w:tabs>
          <w:tab w:leader="none" w:pos="636"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FIA/IUL market related liability movements for all periods presented are mainly driven by changes in the equity markets, non-performance spreads, and risk-free rates during the respective periods. The change in risk free rates and non-performance spreads (decreased) increased the FIA market related liability by $106 million, $(656) million and $(74) million during the years ended December 31, 2023, December 31, 2022, and December 31, 2021, respectively. The remaining change in market value of the market related liability movements was driven by equity market impacts. See “</w:t>
      </w:r>
      <w:r>
        <w:rPr>
          <w:rFonts w:ascii="Times New Roman" w:cs="Times New Roman" w:eastAsia="Times New Roman" w:hAnsi="Times New Roman"/>
          <w:sz w:val="18"/>
          <w:szCs w:val="18"/>
          <w:i w:val="1"/>
          <w:iCs w:val="1"/>
          <w:color w:val="auto"/>
        </w:rPr>
        <w:t>Revenues - Recognized gains and (losses), net</w:t>
      </w:r>
      <w:r>
        <w:rPr>
          <w:rFonts w:ascii="Times New Roman" w:cs="Times New Roman" w:eastAsia="Times New Roman" w:hAnsi="Times New Roman"/>
          <w:sz w:val="18"/>
          <w:szCs w:val="18"/>
          <w:color w:val="auto"/>
        </w:rPr>
        <w:t>” above for summary and discussion of net unrealized gains (losses) on certain derivative instruments.</w:t>
      </w:r>
    </w:p>
    <w:p>
      <w:pPr>
        <w:spacing w:after="0" w:line="66" w:lineRule="exact"/>
        <w:rPr>
          <w:rFonts w:ascii="Times New Roman" w:cs="Times New Roman" w:eastAsia="Times New Roman" w:hAnsi="Times New Roman"/>
          <w:sz w:val="18"/>
          <w:szCs w:val="18"/>
          <w:i w:val="1"/>
          <w:iCs w:val="1"/>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typically in the third quarter, we review assumptions associated with reserves for policy benefits and product guarantees.</w:t>
      </w:r>
    </w:p>
    <w:p>
      <w:pPr>
        <w:spacing w:after="0" w:line="95" w:lineRule="exact"/>
        <w:rPr>
          <w:rFonts w:ascii="Times New Roman" w:cs="Times New Roman" w:eastAsia="Times New Roman" w:hAnsi="Times New Roman"/>
          <w:sz w:val="18"/>
          <w:szCs w:val="18"/>
          <w:color w:val="auto"/>
        </w:rPr>
      </w:pPr>
    </w:p>
    <w:p>
      <w:pPr>
        <w:jc w:val="both"/>
        <w:ind w:left="1260" w:hanging="307"/>
        <w:spacing w:after="0" w:line="252" w:lineRule="auto"/>
        <w:tabs>
          <w:tab w:leader="none" w:pos="125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and for the year ended December 31, 2023, based on increases in interest rates and pricing changes, we updated certain FIA assumptions used to calculate the fair value of the embedded derivative component within contractholder funds and also aligned reserves to actual policyholder behavior. These changes, taken together, resulted in an increase in total benefits and other changes in policy reserves of approximately $73 million.</w:t>
      </w:r>
    </w:p>
    <w:p>
      <w:pPr>
        <w:spacing w:after="0" w:line="51" w:lineRule="exact"/>
        <w:rPr>
          <w:rFonts w:ascii="Times New Roman" w:cs="Times New Roman" w:eastAsia="Times New Roman" w:hAnsi="Times New Roman"/>
          <w:sz w:val="18"/>
          <w:szCs w:val="18"/>
          <w:color w:val="auto"/>
        </w:rPr>
      </w:pPr>
    </w:p>
    <w:p>
      <w:pPr>
        <w:jc w:val="both"/>
        <w:ind w:left="1260" w:hanging="307"/>
        <w:spacing w:after="0" w:line="303" w:lineRule="auto"/>
        <w:tabs>
          <w:tab w:leader="none" w:pos="1256"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fourth quarter of 2022, based on increases in interest rates and pricing changes during 2022, we updated certain FIA assumptions used to calculate the fair value of the embedded derivative component within contractholder funds and the fair value of market risk benefits. These changes, taken together, resulted in an increase in contractholder funds and market risk benefits of approximately $99 million.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60" w:hanging="307"/>
        <w:spacing w:after="0" w:line="293" w:lineRule="auto"/>
        <w:tabs>
          <w:tab w:leader="none" w:pos="1256"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third quarter of 2021, we implemented a new actuarial valuation system, and as a result, our third quarter 2021 assumption updates include model refinements and assumption updates resulting from the implementation. The system implementation and assumption review process included refinements in the calculation of the fair value of the embedded derivative component of our fixed indexed annuities. These changes, taken together, resulted in a decrease in contractholder funds and future policy reserves of approximately $435 million.</w:t>
      </w:r>
    </w:p>
    <w:p>
      <w:pPr>
        <w:spacing w:after="0" w:line="220" w:lineRule="exact"/>
        <w:rPr>
          <w:rFonts w:ascii="Times New Roman" w:cs="Times New Roman" w:eastAsia="Times New Roman" w:hAnsi="Times New Roman"/>
          <w:sz w:val="16"/>
          <w:szCs w:val="16"/>
          <w:color w:val="auto"/>
        </w:rPr>
      </w:pPr>
    </w:p>
    <w:p>
      <w:pPr>
        <w:jc w:val="both"/>
        <w:ind w:left="640" w:hanging="319"/>
        <w:spacing w:after="0" w:line="250" w:lineRule="auto"/>
        <w:tabs>
          <w:tab w:leader="none" w:pos="636"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Index credits, interest credited &amp; bonuses for the year ended December 31, 2023, were higher compared to the year ended December 31, 2022, primarily reflecting higher index credits and interest credited on FIA and other policies as a result of market movement during the respective periods and higher interest credited associated with the growth in PRT agreements. Index credits, interest credited &amp; bonuses for the year ended December 31, 2022, were lower compared with the year ended December 31, 2021, primarily reflecting lower index credits on FIA policies as a result of market movement during the respective periods. Refer to average policyholder index discussion above for details on drivers.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benefit (gains) losses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market risk benefit (gains) losses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746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184"/>
        </w:trPr>
        <w:tc>
          <w:tcPr>
            <w:tcW w:w="746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7"/>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 (gains) losses</w:t>
            </w: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bl>
    <w:p>
      <w:pPr>
        <w:spacing w:after="0" w:line="337" w:lineRule="exact"/>
        <w:rPr>
          <w:sz w:val="20"/>
          <w:szCs w:val="20"/>
          <w:color w:val="auto"/>
        </w:rPr>
      </w:pPr>
    </w:p>
    <w:p>
      <w:pPr>
        <w:ind w:left="640" w:hanging="319"/>
        <w:spacing w:after="0" w:line="268" w:lineRule="auto"/>
        <w:tabs>
          <w:tab w:leader="none" w:pos="6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 benefits (gains) losses is primarily driven by attributed fees collected, effects of market related movements (including changes in equity markets and risk-free rates), actual policyholder behavior as compared with expected and changes in assumptions during the periods.</w:t>
      </w:r>
    </w:p>
    <w:p>
      <w:pPr>
        <w:spacing w:after="0" w:line="50" w:lineRule="exact"/>
        <w:rPr>
          <w:rFonts w:ascii="Times New Roman" w:cs="Times New Roman" w:eastAsia="Times New Roman" w:hAnsi="Times New Roman"/>
          <w:sz w:val="18"/>
          <w:szCs w:val="18"/>
          <w:color w:val="auto"/>
        </w:rPr>
      </w:pPr>
    </w:p>
    <w:p>
      <w:pPr>
        <w:jc w:val="both"/>
        <w:ind w:left="1260" w:hanging="307"/>
        <w:spacing w:after="0" w:line="250" w:lineRule="auto"/>
        <w:tabs>
          <w:tab w:leader="none" w:pos="128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risk benefit (gains) losses for the year ended December 31, 2023, compared to the year ended December 31, 2022, primarily reflect less favorable market related movements, a favorable GMWB utilization assumption change in 2022 (that did not recur in 2023) and higher attributed fees. These changes were partially offset by actual policyholder behavior for the year ended December 31, 2023, being more in line with expected, as compared to the year ended December 31, 2022, resulting in a favorable change to the market risk benefit (gains) losses.</w:t>
      </w:r>
    </w:p>
    <w:p>
      <w:pPr>
        <w:spacing w:after="0" w:line="53" w:lineRule="exact"/>
        <w:rPr>
          <w:rFonts w:ascii="Times New Roman" w:cs="Times New Roman" w:eastAsia="Times New Roman" w:hAnsi="Times New Roman"/>
          <w:sz w:val="18"/>
          <w:szCs w:val="18"/>
          <w:color w:val="auto"/>
        </w:rPr>
      </w:pPr>
    </w:p>
    <w:p>
      <w:pPr>
        <w:jc w:val="both"/>
        <w:ind w:left="1260" w:hanging="307"/>
        <w:spacing w:after="0" w:line="252" w:lineRule="auto"/>
        <w:tabs>
          <w:tab w:leader="none" w:pos="127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 benefit gains increased for the year ended December 31, 2022, compared with the year ended December 31, 2021, primarily reflecting favorable market related movements, primarily higher increases in risk free rates. In addition, the favorable impact of a GMWB utilization assumption change in 2022 was mostly offset by unfavorable impacts of actual policyholder behavior differing from expected when comparing the year ended December 31, 2022, with the year ended December 31, 2021.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depreciation and amortization:</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6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6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1"/>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VOBA, DAC and DSI</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91"/>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other intangible assets and other depreciation</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22"/>
        </w:trPr>
        <w:tc>
          <w:tcPr>
            <w:tcW w:w="6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depreciation and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left="640" w:hanging="319"/>
        <w:spacing w:after="0" w:line="252" w:lineRule="auto"/>
        <w:tabs>
          <w:tab w:leader="none" w:pos="6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DAC, VOBA and DSI are amortized on a constant level basis for the grouped contracts over the expected term of the related contracts to approximate straight-line amortization. Depreciation and amortization increased for the years ended December 31, 2023, and December 31, 2022, primarily reflecting increased DAC and DSI associated with the growth of the business. The increase for the year ended December 31, 2023, also reflects a slightly increased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firstLine="632"/>
        <w:spacing w:after="0" w:line="390" w:lineRule="auto"/>
        <w:rPr>
          <w:sz w:val="20"/>
          <w:szCs w:val="20"/>
          <w:color w:val="auto"/>
        </w:rPr>
      </w:pPr>
      <w:r>
        <w:rPr>
          <w:rFonts w:ascii="Times New Roman" w:cs="Times New Roman" w:eastAsia="Times New Roman" w:hAnsi="Times New Roman"/>
          <w:sz w:val="18"/>
          <w:szCs w:val="18"/>
          <w:color w:val="auto"/>
        </w:rPr>
        <w:t xml:space="preserve">amortization rate on some DAC and DSI balances due to updates to the surrender and mortality assumptions for the FIA and fixed-rate annuity blocks. </w:t>
      </w:r>
      <w:r>
        <w:rPr>
          <w:rFonts w:ascii="Times New Roman" w:cs="Times New Roman" w:eastAsia="Times New Roman" w:hAnsi="Times New Roman"/>
          <w:sz w:val="18"/>
          <w:szCs w:val="18"/>
          <w:b w:val="1"/>
          <w:bCs w:val="1"/>
          <w:i w:val="1"/>
          <w:iCs w:val="1"/>
          <w:color w:val="auto"/>
        </w:rPr>
        <w:t>Personnel costs and other operating expenses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personnel costs and other operating expenses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746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184"/>
        </w:trPr>
        <w:tc>
          <w:tcPr>
            <w:tcW w:w="746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7"/>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91"/>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22"/>
        </w:trPr>
        <w:tc>
          <w:tcPr>
            <w:tcW w:w="7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personnel costs and other operating costs</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ind w:left="640" w:hanging="319"/>
        <w:spacing w:after="0" w:line="268" w:lineRule="auto"/>
        <w:tabs>
          <w:tab w:leader="none" w:pos="6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and other operating expenses increased for the years ended December 31, 2023, and December 31, 2022, primarily reflecting headcount growth to support higher sales and assets volumes and strategic growth capabilities.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interest expense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
        </w:trPr>
        <w:tc>
          <w:tcPr>
            <w:tcW w:w="746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184"/>
        </w:trPr>
        <w:tc>
          <w:tcPr>
            <w:tcW w:w="746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0"/>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7"/>
        </w:trPr>
        <w:tc>
          <w:tcPr>
            <w:tcW w:w="74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
        </w:trPr>
        <w:tc>
          <w:tcPr>
            <w:tcW w:w="7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640" w:hanging="319"/>
        <w:spacing w:after="0" w:line="268" w:lineRule="auto"/>
        <w:tabs>
          <w:tab w:leader="none" w:pos="6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increased for the year ended December 31, 2023, as compared to the year ended December 31, 2022, primarily reflecting a full year of interest on the F&amp;G revolving credit facility and the issuance of the 7.40% F&amp;G Notes in January of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 affecting net earnings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income tax expense (benefit):</w:t>
      </w:r>
    </w:p>
    <w:p>
      <w:pPr>
        <w:spacing w:after="0" w:line="37"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before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w w:val="94"/>
              </w:rPr>
              <w:t>(35)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 before valuation allowance</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w w:val="94"/>
              </w:rPr>
              <w:t>(12)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91"/>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4"/>
                <w:szCs w:val="14"/>
                <w:color w:val="auto"/>
                <w:w w:val="99"/>
              </w:rPr>
              <w:t>35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Income tax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w w:val="99"/>
              </w:rPr>
              <w:t>23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Effective rate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640" w:hanging="319"/>
        <w:spacing w:after="0" w:line="250" w:lineRule="auto"/>
        <w:tabs>
          <w:tab w:leader="none" w:pos="636"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The income tax expense for the year ended December 31, 2023, was $23 million compared to income tax expense of $158 million for the year ended December 31, 2022. The effective tax rate was (66)% and 20%, respectively, for the years ended December 31, 2023, and December 31, 2022. The effective tax rate for the year ended December 31, 2023, differs from the statutory rate of 21% primarily due to a tax valuation allowance expense recorded on unrealized losses and capital loss carryforwards. The effective tax rate for the year ended December 31, 2022, differs from the statutory rate of 21% primarily due to favorable permanent tax adjustments.</w:t>
      </w:r>
    </w:p>
    <w:p>
      <w:pPr>
        <w:spacing w:after="0" w:line="66" w:lineRule="exact"/>
        <w:rPr>
          <w:rFonts w:ascii="Times New Roman" w:cs="Times New Roman" w:eastAsia="Times New Roman" w:hAnsi="Times New Roman"/>
          <w:sz w:val="14"/>
          <w:szCs w:val="14"/>
          <w:b w:val="1"/>
          <w:bCs w:val="1"/>
          <w:color w:val="auto"/>
        </w:rPr>
      </w:pPr>
    </w:p>
    <w:p>
      <w:pPr>
        <w:ind w:left="640" w:right="260" w:hanging="319"/>
        <w:spacing w:after="0" w:line="268" w:lineRule="auto"/>
        <w:tabs>
          <w:tab w:leader="none" w:pos="6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expense for the year ended December 31, 2021, was $320 million. The effective tax rate was 21% for the year ended December 31, 2021.</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T Income Taxes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100" w:lineRule="exact"/>
        <w:rPr>
          <w:sz w:val="20"/>
          <w:szCs w:val="20"/>
          <w:color w:val="auto"/>
        </w:rPr>
      </w:pPr>
    </w:p>
    <w:p>
      <w:pPr>
        <w:jc w:val="both"/>
        <w:ind w:firstLine="316"/>
        <w:spacing w:after="0" w:line="303" w:lineRule="auto"/>
        <w:rPr>
          <w:sz w:val="20"/>
          <w:szCs w:val="20"/>
          <w:color w:val="auto"/>
        </w:rPr>
      </w:pPr>
      <w:r>
        <w:rPr>
          <w:rFonts w:ascii="Times New Roman" w:cs="Times New Roman" w:eastAsia="Times New Roman" w:hAnsi="Times New Roman"/>
          <w:sz w:val="16"/>
          <w:szCs w:val="16"/>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40" w:lineRule="exact"/>
        <w:rPr>
          <w:sz w:val="20"/>
          <w:szCs w:val="20"/>
          <w:color w:val="auto"/>
        </w:rPr>
      </w:pPr>
    </w:p>
    <w:p>
      <w:pPr>
        <w:jc w:val="both"/>
        <w:ind w:right="20" w:firstLine="316"/>
        <w:spacing w:after="0" w:line="268" w:lineRule="auto"/>
        <w:rPr>
          <w:sz w:val="20"/>
          <w:szCs w:val="20"/>
          <w:color w:val="auto"/>
        </w:rPr>
      </w:pPr>
      <w:r>
        <w:rPr>
          <w:rFonts w:ascii="Times New Roman" w:cs="Times New Roman" w:eastAsia="Times New Roman" w:hAnsi="Times New Roman"/>
          <w:sz w:val="18"/>
          <w:szCs w:val="18"/>
          <w:color w:val="auto"/>
        </w:rPr>
        <w:t>Our investment portfolio is designed to contribute stable earnings, excluding short-term mark-to-market effects, and balance risk across diverse asset classes and is primarily invested in high quality fixed income securities.</w:t>
      </w:r>
    </w:p>
    <w:p>
      <w:pPr>
        <w:spacing w:after="0" w:line="64"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As of December 31, 2023, and December 31, 2022, the fair value of our investment portfolio was approximately $52 billion and $41 billion, respectively, and was divided among the following asset classes and sectors: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3"/>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5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5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1"/>
        </w:trPr>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6"/>
          </w:tcPr>
          <w:p>
            <w:pPr>
              <w:ind w:left="8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0" w:type="dxa"/>
            <w:vAlign w:val="bottom"/>
          </w:tcPr>
          <w:p>
            <w:pPr>
              <w:spacing w:after="0"/>
              <w:rPr>
                <w:sz w:val="16"/>
                <w:szCs w:val="16"/>
                <w:color w:val="auto"/>
              </w:rPr>
            </w:pPr>
          </w:p>
        </w:tc>
      </w:tr>
      <w:tr>
        <w:trPr>
          <w:trHeight w:val="20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90"/>
        </w:trPr>
        <w:tc>
          <w:tcPr>
            <w:tcW w:w="5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5"/>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Government sponsored entities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0"/>
        </w:trPr>
        <w:tc>
          <w:tcPr>
            <w:tcW w:w="5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5"/>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Governments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5"/>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90"/>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5"/>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0"/>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Wholesale/retail trade</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05"/>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90"/>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Hybrid securities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5"/>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0"/>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205"/>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Asset-backed securities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8,929</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7,245</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91"/>
        </w:trPr>
        <w:tc>
          <w:tcPr>
            <w:tcW w:w="5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Collateral loan obligations ("CLO")</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97"/>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40,419</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31,218</w:t>
            </w:r>
          </w:p>
        </w:tc>
        <w:tc>
          <w:tcPr>
            <w:tcW w:w="12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r>
      <w:tr>
        <w:trPr>
          <w:trHeight w:val="18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 (a)</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90"/>
        </w:trPr>
        <w:tc>
          <w:tcPr>
            <w:tcW w:w="5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Private equity</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5"/>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 assets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91"/>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Credit</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97"/>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Limited partnerships</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12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0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(primarily derivatives and company owned life insurance)</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9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2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7"/>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51,751</w:t>
            </w: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40,808</w:t>
            </w: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investment grade non-redeemable preferred stocks ($428 million and $672 million at December 31, 2023, and December 31, 2022, respectively).</w:t>
      </w:r>
    </w:p>
    <w:p>
      <w:pPr>
        <w:spacing w:after="0" w:line="225"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 primarily high-grade fixed-income assets across a wide range of sectors, including Corporate securities, U.S. Government and government-sponsored agency securities, and Structured securities, among others.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 nationally recognized statistical rating organization (“NRSRO”), the SVO utilizes that rating and assigns an NAIC designation based upon the NAIC published comparison of NRSRO ratings to NAIC designations.</w:t>
      </w:r>
    </w:p>
    <w:p>
      <w:pPr>
        <w:spacing w:after="0" w:line="185"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The NAIC determines ratings for non-agency Residential Mortgage-backed Securities (“RMBS”) and commercial mortgage-backed securities (“CMBS”) using modeling that estimates security level expected losses under a variety of economic scenarios. For such assets issued prior to January 1, 2013, an insurer’s amortized cost basis in applicable assets can impact the assigned rating. In the tables below, we present the rating of structured securities based on ratings from the NAIC rating methodologies described above (which in some cases do not correspond to rating agency designations). All NAIC designations (e.g., NAIC 1-6) are based on the NAIC methodologies.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summarizes the credit quality by NRSRO rating, or NAIC designation equivalent, of our fixed income portfolio (dollars in millions) at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700" w:type="dxa"/>
            <w:vAlign w:val="bottom"/>
            <w:vMerge w:val="restart"/>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NAIC Designation</w:t>
            </w: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6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Percent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 Percent</w:t>
            </w:r>
          </w:p>
        </w:tc>
        <w:tc>
          <w:tcPr>
            <w:tcW w:w="0" w:type="dxa"/>
            <w:vAlign w:val="bottom"/>
          </w:tcPr>
          <w:p>
            <w:pPr>
              <w:spacing w:after="0"/>
              <w:rPr>
                <w:sz w:val="1"/>
                <w:szCs w:val="1"/>
                <w:color w:val="auto"/>
              </w:rPr>
            </w:pPr>
          </w:p>
        </w:tc>
      </w:tr>
      <w:tr>
        <w:trPr>
          <w:trHeight w:val="197"/>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AAA/AA/A</w:t>
            </w:r>
          </w:p>
        </w:tc>
        <w:tc>
          <w:tcPr>
            <w:tcW w:w="1700" w:type="dxa"/>
            <w:vAlign w:val="bottom"/>
            <w:tcBorders>
              <w:top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85"/>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26,170</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21,294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18,681</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0" w:type="dxa"/>
            <w:vAlign w:val="bottom"/>
          </w:tcPr>
          <w:p>
            <w:pPr>
              <w:spacing w:after="0"/>
              <w:rPr>
                <w:sz w:val="1"/>
                <w:szCs w:val="1"/>
                <w:color w:val="auto"/>
              </w:rPr>
            </w:pPr>
          </w:p>
        </w:tc>
      </w:tr>
      <w:tr>
        <w:trPr>
          <w:trHeight w:val="190"/>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1700" w:type="dxa"/>
            <w:vAlign w:val="bottom"/>
          </w:tcPr>
          <w:p>
            <w:pPr>
              <w:jc w:val="center"/>
              <w:ind w:left="90"/>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12,302</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12,422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10,737</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205"/>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17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85"/>
              </w:rPr>
              <w:t>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1,588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0"/>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1700" w:type="dxa"/>
            <w:vAlign w:val="bottom"/>
          </w:tcPr>
          <w:p>
            <w:pPr>
              <w:jc w:val="center"/>
              <w:ind w:left="90"/>
              <w:spacing w:after="0"/>
              <w:rPr>
                <w:sz w:val="20"/>
                <w:szCs w:val="20"/>
                <w:color w:val="auto"/>
              </w:rPr>
            </w:pPr>
            <w:r>
              <w:rPr>
                <w:rFonts w:ascii="Times New Roman" w:cs="Times New Roman" w:eastAsia="Times New Roman" w:hAnsi="Times New Roman"/>
                <w:sz w:val="14"/>
                <w:szCs w:val="14"/>
                <w:color w:val="auto"/>
                <w:w w:val="85"/>
              </w:rPr>
              <w:t>4</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5"/>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CCC</w:t>
            </w:r>
          </w:p>
        </w:tc>
        <w:tc>
          <w:tcPr>
            <w:tcW w:w="17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85"/>
              </w:rPr>
              <w:t>5</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CC and lower</w:t>
            </w:r>
          </w:p>
        </w:tc>
        <w:tc>
          <w:tcPr>
            <w:tcW w:w="1700" w:type="dxa"/>
            <w:vAlign w:val="bottom"/>
          </w:tcPr>
          <w:p>
            <w:pPr>
              <w:jc w:val="center"/>
              <w:ind w:left="90"/>
              <w:spacing w:after="0"/>
              <w:rPr>
                <w:sz w:val="20"/>
                <w:szCs w:val="20"/>
                <w:color w:val="auto"/>
              </w:rPr>
            </w:pPr>
            <w:r>
              <w:rPr>
                <w:rFonts w:ascii="Times New Roman" w:cs="Times New Roman" w:eastAsia="Times New Roman" w:hAnsi="Times New Roman"/>
                <w:sz w:val="14"/>
                <w:szCs w:val="14"/>
                <w:color w:val="auto"/>
                <w:w w:val="85"/>
              </w:rPr>
              <w:t>6</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2"/>
        </w:trPr>
        <w:tc>
          <w:tcPr>
            <w:tcW w:w="18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35,723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Concentrations</w:t>
      </w:r>
    </w:p>
    <w:p>
      <w:pPr>
        <w:spacing w:after="0" w:line="216"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The tables below present the top ten structured security and industry categories of our fixed maturity and equity securities including the fair value and percent of total fixed maturity and equity securities fair value as of December 31, 2023, and 2022 (dollars in millions). Effective January 1, 2023, we updated our industry classifications as a result of a change in our investment accounting software and related service providers. Our investment strategy has remained consistent and our portfolio mix has not materially changed. The December 31, 2022, table was updated to reflect a consistent presentation with the December 31, 2023, 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Top 10 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52641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64150"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ABS Other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CLO securities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Diversified financial services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Banking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Whole loan collateralized mortgage obligation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Municipal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Insurance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Electric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Telecommunications</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2641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6415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Top 10 Concentrations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ABS Other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CLO securities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Diversified financial services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Banking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Insurance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Municipal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Whole loan collateralized mortgage obligations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Electric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Telecommunications</w:t>
      </w:r>
    </w:p>
    <w:p>
      <w:pPr>
        <w:spacing w:after="0" w:line="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Fair Value (In</w:t>
            </w:r>
          </w:p>
        </w:tc>
        <w:tc>
          <w:tcPr>
            <w:tcW w:w="1420" w:type="dxa"/>
            <w:vAlign w:val="bottom"/>
            <w:tcBorders>
              <w:top w:val="single" w:sz="8" w:color="auto"/>
            </w:tcBorders>
          </w:tcPr>
          <w:p>
            <w:pPr>
              <w:jc w:val="right"/>
              <w:ind w:right="10"/>
              <w:spacing w:after="0" w:line="145" w:lineRule="exact"/>
              <w:rPr>
                <w:sz w:val="20"/>
                <w:szCs w:val="20"/>
                <w:color w:val="auto"/>
              </w:rPr>
            </w:pPr>
            <w:r>
              <w:rPr>
                <w:rFonts w:ascii="Times New Roman" w:cs="Times New Roman" w:eastAsia="Times New Roman" w:hAnsi="Times New Roman"/>
                <w:sz w:val="14"/>
                <w:szCs w:val="14"/>
                <w:b w:val="1"/>
                <w:bCs w:val="1"/>
                <w:color w:val="auto"/>
              </w:rPr>
              <w:t>Percent of Total Fair</w:t>
            </w:r>
          </w:p>
        </w:tc>
      </w:tr>
      <w:tr>
        <w:trPr>
          <w:trHeight w:val="191"/>
        </w:trPr>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82"/>
        </w:trPr>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8,929</w:t>
            </w:r>
          </w:p>
        </w:tc>
        <w:tc>
          <w:tcPr>
            <w:tcW w:w="120" w:type="dxa"/>
            <w:vAlign w:val="bottom"/>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88"/>
        </w:trPr>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4"/>
        </w:trPr>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6"/>
        </w:trPr>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31,056</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-5330190</wp:posOffset>
            </wp:positionH>
            <wp:positionV relativeFrom="paragraph">
              <wp:posOffset>-1126490</wp:posOffset>
            </wp:positionV>
            <wp:extent cx="7135495" cy="1250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-875665</wp:posOffset>
            </wp:positionV>
            <wp:extent cx="7135495" cy="1250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-625475</wp:posOffset>
            </wp:positionV>
            <wp:extent cx="7135495" cy="1250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-374650</wp:posOffset>
            </wp:positionV>
            <wp:extent cx="7135495" cy="1250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-123825</wp:posOffset>
            </wp:positionV>
            <wp:extent cx="7135495" cy="133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-1385570</wp:posOffset>
            </wp:positionV>
            <wp:extent cx="7135495" cy="133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Fair Value (In</w:t>
            </w:r>
          </w:p>
        </w:tc>
        <w:tc>
          <w:tcPr>
            <w:tcW w:w="1420" w:type="dxa"/>
            <w:vAlign w:val="bottom"/>
            <w:tcBorders>
              <w:top w:val="single" w:sz="8" w:color="auto"/>
            </w:tcBorders>
          </w:tcPr>
          <w:p>
            <w:pPr>
              <w:jc w:val="right"/>
              <w:ind w:right="10"/>
              <w:spacing w:after="0" w:line="145" w:lineRule="exact"/>
              <w:rPr>
                <w:sz w:val="20"/>
                <w:szCs w:val="20"/>
                <w:color w:val="auto"/>
              </w:rPr>
            </w:pPr>
            <w:r>
              <w:rPr>
                <w:rFonts w:ascii="Times New Roman" w:cs="Times New Roman" w:eastAsia="Times New Roman" w:hAnsi="Times New Roman"/>
                <w:sz w:val="14"/>
                <w:szCs w:val="14"/>
                <w:b w:val="1"/>
                <w:bCs w:val="1"/>
                <w:color w:val="auto"/>
              </w:rPr>
              <w:t>Percent of Total Fair</w:t>
            </w:r>
          </w:p>
        </w:tc>
      </w:tr>
      <w:tr>
        <w:trPr>
          <w:trHeight w:val="191"/>
        </w:trPr>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82"/>
        </w:trPr>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7,359</w:t>
            </w:r>
          </w:p>
        </w:tc>
        <w:tc>
          <w:tcPr>
            <w:tcW w:w="120" w:type="dxa"/>
            <w:vAlign w:val="bottom"/>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88"/>
        </w:trPr>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7"/>
        </w:trPr>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4"/>
        </w:trPr>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24,896</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6"/>
        </w:trPr>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-5330190</wp:posOffset>
            </wp:positionH>
            <wp:positionV relativeFrom="paragraph">
              <wp:posOffset>-1169035</wp:posOffset>
            </wp:positionV>
            <wp:extent cx="7135495" cy="1250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-918210</wp:posOffset>
            </wp:positionV>
            <wp:extent cx="7135495" cy="1250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-668020</wp:posOffset>
            </wp:positionV>
            <wp:extent cx="7135495" cy="1250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-417195</wp:posOffset>
            </wp:positionV>
            <wp:extent cx="7135495" cy="1250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-166370</wp:posOffset>
            </wp:positionV>
            <wp:extent cx="7135495" cy="150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-1428115</wp:posOffset>
            </wp:positionV>
            <wp:extent cx="7135495" cy="133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7680" w:space="720"/>
            <w:col w:w="2840"/>
          </w:cols>
          <w:pgMar w:left="320" w:top="121" w:right="339" w:bottom="1440" w:gutter="0" w:footer="0" w:header="0"/>
          <w:type w:val="continuous"/>
        </w:sect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amortized cost and fair value of fixed maturity AFS securities by contractual maturities as of December 31, 2023, and December 31, 2022, are shown below. Actual maturities may differ from contractual maturities because issuers may have the right to call or prepay obligations.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2580" w:type="dxa"/>
            <w:vAlign w:val="bottom"/>
            <w:gridSpan w:val="4"/>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5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4"/>
        </w:trPr>
        <w:tc>
          <w:tcPr>
            <w:tcW w:w="56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4"/>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Non-structured Hybrids, Municipal and U.S. Government securities: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20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r>
      <w:tr>
        <w:trPr>
          <w:trHeight w:val="20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11,379</w:t>
            </w:r>
          </w:p>
        </w:tc>
      </w:tr>
      <w:tr>
        <w:trPr>
          <w:trHeight w:val="183"/>
        </w:trPr>
        <w:tc>
          <w:tcPr>
            <w:tcW w:w="5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21,745</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18,574</w:t>
            </w:r>
          </w:p>
        </w:tc>
        <w:tc>
          <w:tcPr>
            <w:tcW w:w="8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15,194</w:t>
            </w:r>
          </w:p>
        </w:tc>
      </w:tr>
      <w:tr>
        <w:trPr>
          <w:trHeight w:val="20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14,623</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12,209</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11,467</w:t>
            </w:r>
          </w:p>
        </w:tc>
      </w:tr>
      <w:tr>
        <w:trPr>
          <w:trHeight w:val="20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w:t>
            </w:r>
          </w:p>
        </w:tc>
      </w:tr>
      <w:tr>
        <w:trPr>
          <w:trHeight w:val="191"/>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w:t>
            </w:r>
          </w:p>
        </w:tc>
      </w:tr>
      <w:tr>
        <w:trPr>
          <w:trHeight w:val="191"/>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21,856</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17,149</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16,024</w:t>
            </w:r>
          </w:p>
        </w:tc>
      </w:tr>
      <w:tr>
        <w:trPr>
          <w:trHeight w:val="197"/>
        </w:trPr>
        <w:tc>
          <w:tcPr>
            <w:tcW w:w="5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43,601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40,419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35,723</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31,218</w:t>
            </w: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Non-Agency RMBS Exposure</w:t>
      </w:r>
    </w:p>
    <w:p>
      <w:pPr>
        <w:spacing w:after="0" w:line="98"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 fair value of our investments in subprime securities and Alt-A RMBS securities were $33 million and $49 million as of December 31, 2023, respectively, and $40 million and $54 million as of December 31, 2022, respectively. As of December 31, 2023, and 2022, approximately 95% and 91%, respectively, of the subprime and Alt-A RMBS exposures were rated NAIC 2 or higher.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and CLO Exposures</w:t>
      </w:r>
    </w:p>
    <w:p>
      <w:pPr>
        <w:spacing w:after="0" w:line="8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Our ABS exposures are largely diversified by underlying collateral and issuer type. Our CLO exposures are generally senior tranches of CLOs which have leveraged loans as their underlying collateral.</w:t>
      </w:r>
    </w:p>
    <w:p>
      <w:pPr>
        <w:spacing w:after="0" w:line="9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As of December 31, 2023, the CLO and ABS positions were trading at a net unrealized gain position of $65 million and a net unrealized loss of $344 million, respectively. As of December 31, 2022, the CLO and ABS positions were trading at a net unrealized loss position of $236 million and $499 million, respectively.</w:t>
      </w:r>
    </w:p>
    <w:p>
      <w:pPr>
        <w:spacing w:after="0" w:line="8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AFS ABS portfolio (dollars in millions) at December 31, 2023, and 2022.</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right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4"/>
        </w:trPr>
        <w:tc>
          <w:tcPr>
            <w:tcW w:w="25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3100" w:type="dxa"/>
            <w:vAlign w:val="bottom"/>
          </w:tcPr>
          <w:p>
            <w:pPr>
              <w:jc w:val="center"/>
              <w:ind w:left="1050"/>
              <w:spacing w:after="0"/>
              <w:rPr>
                <w:sz w:val="20"/>
                <w:szCs w:val="20"/>
                <w:color w:val="auto"/>
              </w:rPr>
            </w:pPr>
            <w:r>
              <w:rPr>
                <w:rFonts w:ascii="Times New Roman" w:cs="Times New Roman" w:eastAsia="Times New Roman" w:hAnsi="Times New Roman"/>
                <w:sz w:val="14"/>
                <w:szCs w:val="14"/>
                <w:b w:val="1"/>
                <w:bCs w:val="1"/>
                <w:color w:val="auto"/>
                <w:w w:val="99"/>
              </w:rPr>
              <w:t>NAIC Designation</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4"/>
        </w:trPr>
        <w:tc>
          <w:tcPr>
            <w:tcW w:w="25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7"/>
        </w:trPr>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AAA/AA/A</w:t>
            </w:r>
          </w:p>
        </w:tc>
        <w:tc>
          <w:tcPr>
            <w:tcW w:w="310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w w:val="85"/>
              </w:rPr>
              <w:t>1</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7,023</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5,570</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77%</w:t>
            </w:r>
          </w:p>
        </w:tc>
      </w:tr>
      <w:tr>
        <w:trPr>
          <w:trHeight w:val="190"/>
        </w:trPr>
        <w:tc>
          <w:tcPr>
            <w:tcW w:w="2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BBB</w:t>
            </w:r>
          </w:p>
        </w:tc>
        <w:tc>
          <w:tcPr>
            <w:tcW w:w="310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w w:val="85"/>
              </w:rPr>
              <w:t>2</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4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4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w:t>
            </w:r>
          </w:p>
        </w:tc>
      </w:tr>
      <w:tr>
        <w:trPr>
          <w:trHeight w:val="205"/>
        </w:trPr>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BB</w:t>
            </w:r>
          </w:p>
        </w:tc>
        <w:tc>
          <w:tcPr>
            <w:tcW w:w="310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w w:val="85"/>
              </w:rPr>
              <w:t>3</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w:t>
            </w:r>
          </w:p>
        </w:tc>
      </w:tr>
      <w:tr>
        <w:trPr>
          <w:trHeight w:val="190"/>
        </w:trPr>
        <w:tc>
          <w:tcPr>
            <w:tcW w:w="2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w:t>
            </w:r>
          </w:p>
        </w:tc>
        <w:tc>
          <w:tcPr>
            <w:tcW w:w="310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w w:val="85"/>
              </w:rPr>
              <w:t>4</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r>
      <w:tr>
        <w:trPr>
          <w:trHeight w:val="205"/>
        </w:trPr>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CCC</w:t>
            </w:r>
          </w:p>
        </w:tc>
        <w:tc>
          <w:tcPr>
            <w:tcW w:w="310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w w:val="85"/>
              </w:rPr>
              <w:t>5</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spacing w:after="0"/>
              <w:rPr>
                <w:sz w:val="17"/>
                <w:szCs w:val="17"/>
                <w:color w:val="auto"/>
              </w:rPr>
            </w:pPr>
          </w:p>
        </w:tc>
        <w:tc>
          <w:tcPr>
            <w:tcW w:w="130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2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CC and lower</w:t>
            </w:r>
          </w:p>
        </w:tc>
        <w:tc>
          <w:tcPr>
            <w:tcW w:w="310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w w:val="85"/>
              </w:rPr>
              <w:t>6</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6"/>
                <w:szCs w:val="16"/>
                <w:color w:val="auto"/>
              </w:rPr>
            </w:pPr>
          </w:p>
        </w:tc>
        <w:tc>
          <w:tcPr>
            <w:tcW w:w="13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8,929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AFS CLO portfolio (dollars in millions) at December 31, 2023, and 2022.</w:t>
      </w:r>
    </w:p>
    <w:p>
      <w:pPr>
        <w:spacing w:after="0" w:line="135"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Borders>
              <w:right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4"/>
        </w:trPr>
        <w:tc>
          <w:tcPr>
            <w:tcW w:w="25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3120" w:type="dxa"/>
            <w:vAlign w:val="bottom"/>
          </w:tcPr>
          <w:p>
            <w:pPr>
              <w:jc w:val="center"/>
              <w:ind w:left="105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r>
      <w:tr>
        <w:trPr>
          <w:trHeight w:val="24"/>
        </w:trPr>
        <w:tc>
          <w:tcPr>
            <w:tcW w:w="25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7"/>
        </w:trPr>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AAA/AA/A</w:t>
            </w:r>
          </w:p>
        </w:tc>
        <w:tc>
          <w:tcPr>
            <w:tcW w:w="312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64%</w:t>
            </w:r>
          </w:p>
        </w:tc>
      </w:tr>
      <w:tr>
        <w:trPr>
          <w:trHeight w:val="190"/>
        </w:trPr>
        <w:tc>
          <w:tcPr>
            <w:tcW w:w="2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BBB</w:t>
            </w:r>
          </w:p>
        </w:tc>
        <w:tc>
          <w:tcPr>
            <w:tcW w:w="312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40" w:type="dxa"/>
            <w:vAlign w:val="bottom"/>
          </w:tcPr>
          <w:p>
            <w:pPr>
              <w:spacing w:after="0"/>
              <w:rPr>
                <w:sz w:val="16"/>
                <w:szCs w:val="16"/>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4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29%</w:t>
            </w:r>
          </w:p>
        </w:tc>
      </w:tr>
      <w:tr>
        <w:trPr>
          <w:trHeight w:val="205"/>
        </w:trPr>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BB</w:t>
            </w:r>
          </w:p>
        </w:tc>
        <w:tc>
          <w:tcPr>
            <w:tcW w:w="312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w:t>
            </w:r>
          </w:p>
        </w:tc>
      </w:tr>
      <w:tr>
        <w:trPr>
          <w:trHeight w:val="190"/>
        </w:trPr>
        <w:tc>
          <w:tcPr>
            <w:tcW w:w="2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w:t>
            </w:r>
          </w:p>
        </w:tc>
        <w:tc>
          <w:tcPr>
            <w:tcW w:w="312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CCC</w:t>
            </w:r>
          </w:p>
        </w:tc>
        <w:tc>
          <w:tcPr>
            <w:tcW w:w="312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2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CC and lower</w:t>
            </w:r>
          </w:p>
        </w:tc>
        <w:tc>
          <w:tcPr>
            <w:tcW w:w="3120" w:type="dxa"/>
            <w:vAlign w:val="bottom"/>
            <w:tcBorders>
              <w:bottom w:val="single" w:sz="8" w:color="CCEEFF"/>
            </w:tcBorders>
          </w:tcPr>
          <w:p>
            <w:pPr>
              <w:jc w:val="center"/>
              <w:ind w:left="105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r>
      <w:tr>
        <w:trPr>
          <w:trHeight w:val="222"/>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Bond Exposure</w:t>
      </w:r>
    </w:p>
    <w:p>
      <w:pPr>
        <w:spacing w:after="0" w:line="98"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Our municipal bond exposure is a combination of general obligation bonds (fair value of $231 million and $188 million and an amortized cost of $268 million and $231 million as of December 31, 2023, and December 31, 2022, respectively) and special revenue bonds (fair value of $1,334 million and $1,017 million and an amortized cost of $1,506 million and $1,248 million as of December 31, 2023, and December 31, 2022, respectively).</w:t>
      </w:r>
    </w:p>
    <w:p>
      <w:pPr>
        <w:spacing w:after="0" w:line="6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Across all municipal bonds, the largest issuer represented 5% and 6% of the category as of December 31, 2023, and December 31, 2022, respectively, with less than 1% of the entire portfolio and is rated NAIC 1. Our focus within municipal bonds is on NAIC 1 rated instruments, with 98% and 96% of our municipal bond exposure rated NAIC 1 as of December 31,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Commercial Mortgage Loans</w:t>
      </w:r>
    </w:p>
    <w:p>
      <w:pPr>
        <w:spacing w:after="0" w:line="98"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We diversify our CMLs portfolio by geographic region and property type to attempt to reduce concentration risk. We continuously evaluate CMLs based on relevant current information to ensure properties are performing at a level to secure the related debt. Loan-to-value ("LTV") and debt-service coverage ("DSC") ratios are utilized to assess the risk and quality of CMLs. As of December 31, 2023, and December 31, 2022, our mortgage loans on real estate portfolio had a weighted average DSC ratio of 2.3 times and 2.3 times, respectively, and a weighted average LTV ratio of 55% and 57%, respectively.</w:t>
      </w:r>
    </w:p>
    <w:p>
      <w:pPr>
        <w:spacing w:after="0" w:line="36"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 xml:space="preserve">We consider a CML delinquent when a loan payment is greater than 30 days past due. For mortgage loans that are determined to require foreclosure, the carrying value is reduced to the fair value of the underlying collateral, net of estimated costs to obtain and sell at the point of foreclosure. At December 31, 2023, and 2022, we had no CMLs that were delinquent in principal or interest payments and none in the process of foreclosure. See Note 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Consolidated Financial Statements included in this report for additional information on our CMLs, including our distribution by property type, geographic region, LTV and DSC ratios.</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Residential Mortgage Loans</w:t>
      </w:r>
    </w:p>
    <w:p>
      <w:pPr>
        <w:spacing w:after="0" w:line="98"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Our residential mortgage loans are closed end, amortizing loans and 100% of the properties are in the United States. We diversify our RML portfolio by state to attempt to reduce concentration risk. RMLs have a primary credit quality indicator of either a performing or nonperforming loan. We define nonperforming RMLs as those that are 90 or more days past due and/or in nonaccrual status.</w:t>
      </w:r>
    </w:p>
    <w:p>
      <w:pPr>
        <w:spacing w:after="0" w:line="75"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 xml:space="preserve">Loans are placed on nonaccrual status when they are over 90 days delinquent. If a loan becomes over 90 days delinquent, it is our general policy to initiate foreclosure proceedings unless a workout arrangement to bring the loan current can be put in place. See Note 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Consolidated Financial Statements included in this Annual Report for additional information on our RMLs.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Losses</w:t>
      </w:r>
    </w:p>
    <w:p>
      <w:pPr>
        <w:spacing w:after="0" w:line="124" w:lineRule="exact"/>
        <w:rPr>
          <w:sz w:val="20"/>
          <w:szCs w:val="20"/>
          <w:color w:val="auto"/>
        </w:rPr>
      </w:pPr>
    </w:p>
    <w:p>
      <w:pPr>
        <w:ind w:right="100" w:firstLine="316"/>
        <w:spacing w:after="0" w:line="268" w:lineRule="auto"/>
        <w:rPr>
          <w:sz w:val="20"/>
          <w:szCs w:val="20"/>
          <w:color w:val="auto"/>
        </w:rPr>
      </w:pPr>
      <w:r>
        <w:rPr>
          <w:rFonts w:ascii="Times New Roman" w:cs="Times New Roman" w:eastAsia="Times New Roman" w:hAnsi="Times New Roman"/>
          <w:sz w:val="18"/>
          <w:szCs w:val="18"/>
          <w:color w:val="auto"/>
        </w:rPr>
        <w:t>The amortized cost and fair value of the fixed maturity securities and the equity securities that were in an unrealized loss position as of December 31, 2023, and December 31, 2022, were as follows:</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30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3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00" w:type="dxa"/>
            <w:vAlign w:val="bottom"/>
            <w:gridSpan w:val="3"/>
          </w:tcPr>
          <w:p>
            <w:pPr>
              <w:jc w:val="right"/>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w:t>
            </w:r>
          </w:p>
        </w:tc>
        <w:tc>
          <w:tcPr>
            <w:tcW w:w="0" w:type="dxa"/>
            <w:vAlign w:val="bottom"/>
          </w:tcPr>
          <w:p>
            <w:pPr>
              <w:spacing w:after="0"/>
              <w:rPr>
                <w:sz w:val="1"/>
                <w:szCs w:val="1"/>
                <w:color w:val="auto"/>
              </w:rPr>
            </w:pPr>
          </w:p>
        </w:tc>
      </w:tr>
      <w:tr>
        <w:trPr>
          <w:trHeight w:val="190"/>
        </w:trPr>
        <w:tc>
          <w:tcPr>
            <w:tcW w:w="53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Governments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0"/>
        </w:trPr>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Wholesale/retail trade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3"/>
        </w:trPr>
        <w:tc>
          <w:tcPr>
            <w:tcW w:w="5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29,741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30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3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00" w:type="dxa"/>
            <w:vAlign w:val="bottom"/>
            <w:gridSpan w:val="3"/>
          </w:tcPr>
          <w:p>
            <w:pPr>
              <w:jc w:val="right"/>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5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Governments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Wholesale/retail trade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7"/>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3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The gross unrealized loss position on the fixed maturity available-for-sale fixed and equity portfolio was $3,691 million and $4,744 million as of December 31, 2023, and December 31, 2022, respectively. Most components of the portfolio exhibited price depreciation caused by higher treasury rates and wider spreads. The total amortized cost of all securities in an unrealized loss position was $29,741 million and $34,164 million as of December 31, 2023, and December 31, 2022, respectively. The average market value/book value of the investment category with the largest unrealized loss position was 88% for finance, insurance and real estate as of December 31, 2023. In the aggregate, finance, insurance and real estate represented 19% of the total unrealized loss position as of December 31, 2023. The average market value/book value of the investment category with the largest unrealized loss position was 84% for finance, insurance and real estate as of December 31, 2022. In aggregate, finance, insurance and real estate represented 18% of the total unrealized loss position as of December 31, 2022.</w:t>
      </w:r>
    </w:p>
    <w:p>
      <w:pPr>
        <w:spacing w:after="0" w:line="99"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amortized cost and fair value of fixed maturity available for sale securities under watch list analysis and the number of months in a loss position with investment grade securities (NRSRO rating of BBB/Baa or higher) as of December 31, 2023, and December 31, 2022,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000" w:type="dxa"/>
            <w:vAlign w:val="bottom"/>
          </w:tcPr>
          <w:p>
            <w:pPr>
              <w:jc w:val="center"/>
              <w:ind w:left="230"/>
              <w:spacing w:after="0" w:line="12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2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Allowance for Credit</w:t>
            </w:r>
          </w:p>
        </w:tc>
        <w:tc>
          <w:tcPr>
            <w:tcW w:w="11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91"/>
        </w:trPr>
        <w:tc>
          <w:tcPr>
            <w:tcW w:w="44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100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7"/>
        </w:trPr>
        <w:tc>
          <w:tcPr>
            <w:tcW w:w="44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000" w:type="dxa"/>
            <w:vAlign w:val="bottom"/>
          </w:tcPr>
          <w:p>
            <w:pPr>
              <w:jc w:val="center"/>
              <w:ind w:left="230"/>
              <w:spacing w:after="0" w:line="12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2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Allowance for Credit</w:t>
            </w:r>
          </w:p>
        </w:tc>
        <w:tc>
          <w:tcPr>
            <w:tcW w:w="11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10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19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184"/>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10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97"/>
        </w:trPr>
        <w:tc>
          <w:tcPr>
            <w:tcW w:w="4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4"/>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10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17"/>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and Watch List</w:t>
      </w:r>
    </w:p>
    <w:p>
      <w:pPr>
        <w:spacing w:after="0" w:line="60"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w:t>
      </w:r>
    </w:p>
    <w:p>
      <w:pPr>
        <w:spacing w:after="0" w:line="7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At December 31, 2023, our watch list included 52 securities in an unrealized loss position with an amortized cost of $722 million, no allowance for expected credit losses, unrealized losses of $205 million and a fair value of $517 million.</w:t>
      </w:r>
    </w:p>
    <w:p>
      <w:pPr>
        <w:spacing w:after="0" w:line="64"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At December 31, 2022, our watch list included 146 securities in an unrealized loss position with an amortized cost of $1,435 million, allowance for expected credit losses of $15 million, unrealized losses of $472 million and a fair value of $948 million.</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watch list excludes structured securities as we have separate processes to evaluate the credit quality on the structured securities.</w:t>
      </w:r>
    </w:p>
    <w:p>
      <w:pPr>
        <w:spacing w:after="0" w:line="109"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There were 101 and 64 structured securities with a fair value of $316 million and $162 million, respectively, to which we had potential credit exposure as of December 31, 2023, and December 31, 2022, respectively. Our analysis of these structured securities, which included cash flow testing, resulted in allowances for expected credit losses of $35 million and $16 million as of December 31, 2023, and December 31, 2022,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to Sovereign Debt and Certain Other Exposures</w:t>
      </w:r>
    </w:p>
    <w:p>
      <w:pPr>
        <w:spacing w:after="0" w:line="113"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Our investment portfolio had an immaterial amount of direct exposure to European sovereign debt as of December 31, 2023, and December 31, 2022, respectively. We have no exposure to investments in Russia or Ukraine and de minimis investments in peripheral countries in the region.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11"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color w:val="auto"/>
        </w:rPr>
        <w:t xml:space="preserve">For discussion regarding our net investment income and net investment gains (losses) refer to Note 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Consolidated Financial Statements included in Item 8 of Part II of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AFS Securities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For additional information regarding our AFS securities, including the amortized cost, gross unrealized gains (losses), and fair value as well as the amortized cost and fair value of fixed maturity AFS securities by contractual maturities, as of December 31, 2023 and December 31, 2022, refer to Note E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to the Consolidated Financial Statements included in Item 8 of Part II of this Annual Report.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Financial Instruments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detail regarding our concentration of financial instruments refer to Item 7A. of Part II of this Annual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13"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We are exposed to credit loss in the event of nonperformance by our counterparties on derivative instruments. We attempt to reduce this credit risk by purchasing such derivative instruments from large, well-established financial institutions.</w:t>
      </w:r>
    </w:p>
    <w:p>
      <w:pPr>
        <w:spacing w:after="0" w:line="64"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We also hold cash and cash equivalents received from counterparties for derivative instrument collateral, as well as U.S. Government securities pledged as derivative instrument collateral, if our counterparty’s net exposures exceed pre-determined thresholds.</w:t>
      </w:r>
    </w:p>
    <w:p>
      <w:pPr>
        <w:spacing w:after="0" w:line="64"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Consolidated Balance Sheets.</w:t>
      </w:r>
    </w:p>
    <w:p>
      <w:pPr>
        <w:spacing w:after="0" w:line="76"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color w:val="auto"/>
        </w:rPr>
        <w:t xml:space="preserve">See Note F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to the Consolidated Financial Statements included in Item 8 of Part II of this Annual Report for additional information regarding our derivatives and our exposure to credit loss on call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13" w:lineRule="exact"/>
        <w:rPr>
          <w:sz w:val="20"/>
          <w:szCs w:val="20"/>
          <w:color w:val="auto"/>
        </w:rPr>
      </w:pPr>
    </w:p>
    <w:p>
      <w:pPr>
        <w:jc w:val="both"/>
        <w:ind w:right="40" w:firstLine="316"/>
        <w:spacing w:after="0" w:line="256" w:lineRule="auto"/>
        <w:rPr>
          <w:sz w:val="20"/>
          <w:szCs w:val="20"/>
          <w:color w:val="auto"/>
        </w:rPr>
      </w:pPr>
      <w:r>
        <w:rPr>
          <w:rFonts w:ascii="Times New Roman" w:cs="Times New Roman" w:eastAsia="Times New Roman" w:hAnsi="Times New Roman"/>
          <w:sz w:val="18"/>
          <w:szCs w:val="18"/>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results of operations of our Corporate and Other segment for the years indicated:</w:t>
      </w:r>
    </w:p>
    <w:p>
      <w:pPr>
        <w:spacing w:after="0" w:line="142"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7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r>
      <w:tr>
        <w:trPr>
          <w:trHeight w:val="24"/>
        </w:trPr>
        <w:tc>
          <w:tcPr>
            <w:tcW w:w="7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73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7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6"/>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7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7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90"/>
        </w:trPr>
        <w:tc>
          <w:tcPr>
            <w:tcW w:w="7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7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7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3"/>
        </w:trPr>
        <w:tc>
          <w:tcPr>
            <w:tcW w:w="7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7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0"/>
        </w:trPr>
        <w:tc>
          <w:tcPr>
            <w:tcW w:w="7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7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05"/>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90"/>
        </w:trPr>
        <w:tc>
          <w:tcPr>
            <w:tcW w:w="7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5"/>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7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4"/>
        </w:trPr>
        <w:tc>
          <w:tcPr>
            <w:tcW w:w="73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222"/>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 before income taxes and equity in earnings of unconsolidated affiliates</w:t>
            </w:r>
          </w:p>
        </w:tc>
        <w:tc>
          <w:tcPr>
            <w:tcW w:w="78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right="40" w:firstLine="316"/>
        <w:spacing w:after="0" w:line="268" w:lineRule="auto"/>
        <w:rPr>
          <w:sz w:val="20"/>
          <w:szCs w:val="20"/>
          <w:color w:val="auto"/>
        </w:rPr>
      </w:pPr>
      <w:r>
        <w:rPr>
          <w:rFonts w:ascii="Times New Roman" w:cs="Times New Roman" w:eastAsia="Times New Roman" w:hAnsi="Times New Roman"/>
          <w:sz w:val="18"/>
          <w:szCs w:val="18"/>
          <w:color w:val="auto"/>
        </w:rPr>
        <w:t>The revenue in the Corporate and Other segment for all years represents revenue generated by our non-title real estate technology and brokerage subsidiaries as well as mark-to-market valuation changes on certain corporate deferred compensation plans.</w:t>
      </w:r>
    </w:p>
    <w:p>
      <w:pPr>
        <w:spacing w:after="0" w:line="64" w:lineRule="exact"/>
        <w:rPr>
          <w:sz w:val="20"/>
          <w:szCs w:val="20"/>
          <w:color w:val="auto"/>
        </w:rPr>
      </w:pPr>
    </w:p>
    <w:p>
      <w:pPr>
        <w:jc w:val="both"/>
        <w:ind w:right="40" w:firstLine="316"/>
        <w:spacing w:after="0" w:line="247" w:lineRule="auto"/>
        <w:rPr>
          <w:sz w:val="20"/>
          <w:szCs w:val="20"/>
          <w:color w:val="auto"/>
        </w:rPr>
      </w:pPr>
      <w:r>
        <w:rPr>
          <w:rFonts w:ascii="Times New Roman" w:cs="Times New Roman" w:eastAsia="Times New Roman" w:hAnsi="Times New Roman"/>
          <w:sz w:val="18"/>
          <w:szCs w:val="18"/>
          <w:color w:val="auto"/>
        </w:rPr>
        <w:t>Total revenues in the Corporate and Other segment increased $104 million, or 95% in the year ended December 31, 2023, as compared to 2022, and decreased $74 million, or 40%, in the year ended December 31, 2022, as compared to 2021. The increase in the year ended December 31, 2023, as compared to 2022 is primarily attributable to a $71 million increase in valuations associated with our deferred compensation plan assets, which increased both revenue and personnel costs, a $35 million increase in interest and investment income related to cash and short-term investments, and a $33 million impairment of cost method investments in 2023 as compared to a $41 million impairment of cost method investments in 2022, partially offset by various other immaterial items. The decrease in the year ended December 31, 2022, as compared to 2021 is primarily attributable to a $59 million decrease in valuations associated with our deferred compensation plan assets, which decreased both revenue and personnel costs and a $41 million impairment of cost method investments in 2022, partially offset by various other immaterial items.</w:t>
      </w:r>
    </w:p>
    <w:p>
      <w:pPr>
        <w:spacing w:after="0" w:line="85" w:lineRule="exact"/>
        <w:rPr>
          <w:sz w:val="20"/>
          <w:szCs w:val="20"/>
          <w:color w:val="auto"/>
        </w:rPr>
      </w:pPr>
    </w:p>
    <w:p>
      <w:pPr>
        <w:jc w:val="both"/>
        <w:ind w:right="40" w:firstLine="316"/>
        <w:spacing w:after="0" w:line="250" w:lineRule="auto"/>
        <w:rPr>
          <w:sz w:val="20"/>
          <w:szCs w:val="20"/>
          <w:color w:val="auto"/>
        </w:rPr>
      </w:pPr>
      <w:r>
        <w:rPr>
          <w:rFonts w:ascii="Times New Roman" w:cs="Times New Roman" w:eastAsia="Times New Roman" w:hAnsi="Times New Roman"/>
          <w:sz w:val="18"/>
          <w:szCs w:val="18"/>
          <w:color w:val="auto"/>
        </w:rPr>
        <w:t>Personnel costs in the Corporate and Other segment increased $84 million, or 175% in the year ended December 31, 2023, as compared to 2022, and decreased $59 million, or 55%, in the year ended December 31, 2022, as compared to 2021. The increase in the year ended December 31, 2023, as compared to 2022 is primarily attributable to the aforementioned increase in the valuation of deferred compensation plan assets in 2023. The decrease in the year ended December 31, 2022, as compared to 2021 is primarily attributable to the aforementioned decrease in the valuation of deferred compensation plan assets in 2022.</w:t>
      </w:r>
    </w:p>
    <w:p>
      <w:pPr>
        <w:spacing w:after="0" w:line="80" w:lineRule="exact"/>
        <w:rPr>
          <w:sz w:val="20"/>
          <w:szCs w:val="20"/>
          <w:color w:val="auto"/>
        </w:rPr>
      </w:pPr>
    </w:p>
    <w:p>
      <w:pPr>
        <w:jc w:val="both"/>
        <w:ind w:right="40" w:firstLine="316"/>
        <w:spacing w:after="0" w:line="256" w:lineRule="auto"/>
        <w:rPr>
          <w:sz w:val="20"/>
          <w:szCs w:val="20"/>
          <w:color w:val="auto"/>
        </w:rPr>
      </w:pPr>
      <w:r>
        <w:rPr>
          <w:rFonts w:ascii="Times New Roman" w:cs="Times New Roman" w:eastAsia="Times New Roman" w:hAnsi="Times New Roman"/>
          <w:sz w:val="18"/>
          <w:szCs w:val="18"/>
          <w:color w:val="auto"/>
        </w:rPr>
        <w:t>Other operating expenses in the Corporate and Other segment increased $29 million, or 28%, in the year ended December 31, 2023, as compared to 2022, and increased $5 million, or 5% in the year ended December 31, 2022, as compared to 2021. The increase in 2023 as compared to 2022 is attributable to various immaterial items.</w:t>
      </w:r>
    </w:p>
    <w:p>
      <w:pPr>
        <w:spacing w:after="0" w:line="75" w:lineRule="exact"/>
        <w:rPr>
          <w:sz w:val="20"/>
          <w:szCs w:val="20"/>
          <w:color w:val="auto"/>
        </w:rPr>
      </w:pPr>
    </w:p>
    <w:p>
      <w:pPr>
        <w:jc w:val="both"/>
        <w:ind w:right="40" w:firstLine="316"/>
        <w:spacing w:after="0" w:line="303" w:lineRule="auto"/>
        <w:rPr>
          <w:sz w:val="20"/>
          <w:szCs w:val="20"/>
          <w:color w:val="auto"/>
        </w:rPr>
      </w:pPr>
      <w:r>
        <w:rPr>
          <w:rFonts w:ascii="Times New Roman" w:cs="Times New Roman" w:eastAsia="Times New Roman" w:hAnsi="Times New Roman"/>
          <w:sz w:val="16"/>
          <w:szCs w:val="16"/>
          <w:color w:val="auto"/>
        </w:rPr>
        <w:t>Interest expense decreased $9 million, or 10%, in the year ended December 31, 2023, as compared to 2022, and increased $1 million, or 1%, in the year ended December 31, 2022, as compared to 2021. The decrease in the year ended December 31, 2023, as compared to 2022 is primarily attributable to decreased average debt outstanding in 2023 associated with repayment of the $400 million in outstanding principal of our 5.50% Senior Notes in September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9"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claim payments, taxes, payments of interest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debt, capital expenditures, business acquisitions, stock repurchases and dividends on our common stock. We paid dividends of $1.83 per share in 2023, or approximately $500 million to our common shareholders. On February 14, 2024, our Board of Directors declared cash dividends of $0.48 per share, payable on March 29, 2024, to FNF common shareholders of record as of March 15, 2024.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69" w:lineRule="exact"/>
        <w:rPr>
          <w:sz w:val="20"/>
          <w:szCs w:val="20"/>
          <w:color w:val="auto"/>
        </w:rPr>
      </w:pPr>
    </w:p>
    <w:p>
      <w:pPr>
        <w:jc w:val="both"/>
        <w:ind w:firstLine="316"/>
        <w:spacing w:after="0" w:line="219" w:lineRule="auto"/>
        <w:rPr>
          <w:sz w:val="20"/>
          <w:szCs w:val="20"/>
          <w:color w:val="auto"/>
        </w:rPr>
      </w:pPr>
      <w:r>
        <w:rPr>
          <w:rFonts w:ascii="Times New Roman" w:cs="Times New Roman" w:eastAsia="Times New Roman" w:hAnsi="Times New Roman"/>
          <w:sz w:val="18"/>
          <w:szCs w:val="18"/>
          <w:color w:val="auto"/>
        </w:rPr>
        <w:t xml:space="preserve">As of December 31, 2023, we had cash and cash equivalents of $2,767 million, short term investments of $2,119 million and available capacity under our Revolving Credit Facility of $800 million and available capacity under the Amended F&amp;G Credit Agreement of $303 million. Subsequent to December 31, 2023, F&amp;G acquired a 70% majority ownership stake in the equity of Roar Joint Venture, LLC ("Roar"), on January 2, 2024. Roar wholesales life insurance and annuity products to banks and broker dealers through a network of agents. Total initial consideration was approximately $311 million, comprised of cash of approximately $269 million and contingent consideration with an estimated fair value of $45 million. Under the terms of the purchase agreement, F&amp;G has agreed to make cash payments of up to approximately $90 million over a three year period upon the achievement of certain earnings before interest, taxes, depreciation and amortization milestones of Roar. On February 16, 2024, we entered into a Sixth Amended and Restated Credit Agreement for our $800 million revolving credit facility with Bank of America, N.A., as administrative agent and other agents party thereto (the "Sixth Restated Credit Agreement"). Among other changes, the Sixth Amended and Restated Credit Agreement amends the Revolving Credit Facility to extend the maturity date from October 29, 2025, to February 16, 2029. On February 16, 2024, we entered into a Second Amended and Restated F&amp;G Credit Agreement of our $665 million credit agreement, with the guarantors party thereto, the financial institutions party thereto as lenders, and Bank of America, N.A., as administrative agent, swing line lender and an issuing bank (the "Second Amended and Restated F&amp;G Credit Agreement"). Among other changes, the Second Amended and Restated F&amp;G Credit Agreement amends the Amended F&amp;G Credit Agreement to extend the maturity date and increase the aggregate principal amount of commitments under the revolving credit facility to $750 million. On December 6, 2023, F&amp;G completed the public offering of $345 million aggregate principal amount of its 7.95% Senior Notes due 2053 (the "7.95% F&amp;G Notes"). F&amp;G used the net proceeds from the sale of the notes to repay borrowings under its revolving credit facility and for general corporate purposes, including the support of organic growth opportunities. On January 13, 2023, F&amp;G completed its issuance and sale of $500 million aggregate amount of its 7.40% Senior Notes due 2028 (the "7.40% F&amp;G Notes"), pursuant to Rule 144A and Regulation S under the Securities Act of 1933, as amended. F&amp;G intends to use the net proceeds from the offering of the 7.40% F&amp;G Notes for general corporate purposes, including to support the growth of assets under management and for F&amp;G's future liquidity requirements. For further information related to the 7.95% F&amp;G Notes and 7.40% F&amp;G Notes, refer to Note G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to the Consolidated Financial Statements included in Item 8 of Part II of this Annual Report. 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and the F&amp;G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5"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Our title insurance subsidiaries generate cash from premiums earned and their respective investment portfolios, and these funds are adequate to satisfy the payments of claims and other liabilities. Due to the magnitude of our title segment investment portfolio in relation to our title claim loss reserves, we do not specifically match durations of our investments to the cash outflows required to pay claims, but do manage outflows on a shorter time frame.</w:t>
      </w:r>
    </w:p>
    <w:p>
      <w:pPr>
        <w:spacing w:after="0" w:line="75" w:lineRule="exact"/>
        <w:rPr>
          <w:sz w:val="20"/>
          <w:szCs w:val="20"/>
          <w:color w:val="auto"/>
        </w:rPr>
      </w:pPr>
    </w:p>
    <w:p>
      <w:pPr>
        <w:jc w:val="both"/>
        <w:ind w:firstLine="316"/>
        <w:spacing w:after="0" w:line="284" w:lineRule="auto"/>
        <w:rPr>
          <w:sz w:val="20"/>
          <w:szCs w:val="20"/>
          <w:color w:val="auto"/>
        </w:rPr>
      </w:pPr>
      <w:r>
        <w:rPr>
          <w:rFonts w:ascii="Times New Roman" w:cs="Times New Roman" w:eastAsia="Times New Roman" w:hAnsi="Times New Roman"/>
          <w:sz w:val="16"/>
          <w:szCs w:val="16"/>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2023, $1,145 million of our net assets were restricted from dividend payments without prior approval from the relevant departments of insurance. We anticipate that our title insurance subsidiaries will pay or make dividends to us in 2023 of approximately $471 million. Our underwritten title companies and non-insurance subsidiaries are not regulated to the same extent as our insurance subsidiaries.</w:t>
      </w:r>
    </w:p>
    <w:p>
      <w:pPr>
        <w:spacing w:after="0" w:line="55"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7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62"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i w:val="1"/>
          <w:iCs w:val="1"/>
          <w:color w:val="auto"/>
        </w:rPr>
        <w:t>Operating Cash Flow</w:t>
      </w:r>
      <w:r>
        <w:rPr>
          <w:rFonts w:ascii="Times New Roman" w:cs="Times New Roman" w:eastAsia="Times New Roman" w:hAnsi="Times New Roman"/>
          <w:sz w:val="18"/>
          <w:szCs w:val="18"/>
          <w:color w:val="auto"/>
        </w:rPr>
        <w:t>. Our cash flows provided by operations for the years ended December 31, 2023, 2022, 2021 were $6,478 million, $4,355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$4,090 million, respectively. The increase in cash provided by operating activities of $2,123 million in 2023 as compared to 2022 is primarily attributable to increased cash inflows associated with the change in funds withheld from reinsurers of $1,330 million, increased cash inflows associated with the change in future policy benefits of $254 million and net cash inflows associated with the timing of receipts and payments of prepaid assets, payables, and receivables of $384 million in 2023 as compared to net cash outflows of $783 million in 2022, partially offset by decreased net cash inflows from the change in reinsurance recoverable of $198 million, decreased net cash inflows from the change in trade receivables of $141 million and net cash outflows associated with the change in income taxes of $50 million in 2023 as compared to net cash inflows of $66 million in 2022. The increase in cash provided by operating activities of $265 million in 2022 as compared to 2021 is primarily attributable to increased cash inflows associated with the change in funds withheld from reinsurers of $1,206 million, increased cash inflows associated with the change in future policy benefits of $444 million, net cash inflows from the change in trade receivables of $178 million in 2023 as compared to net cash outflows of $120 million in 2021 and increased cash inflows associated with the change in reinsurance recoverable of $217 million, partially offset by net cash outflows associated with the change in the reserve for title claims losses of $73 million in 2022 as compared to net cash inflows of $260 million in 2021, and net cash outflows associated with the timing of receipts and payments of prepaid assets, payables and receivables of $783 million in 2022 as compared to net cash inflows of $199 million in 2021.</w:t>
      </w:r>
    </w:p>
    <w:p>
      <w:pPr>
        <w:spacing w:after="0" w:line="84"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used in investing activities for the years ended December 31, 2023, 2022, and 2021 were $9,090 million, $10,524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$7,449 million, respectively. The decrease in cash used in investing activities in 2023 as compared to 2022 of $1,434 million is primarily associated with increased cash inflows from net proceeds from sales and maturities of short-term investment securities of $340 million in 2023 as compared to net purchases of short-term investment securities of $2,571 million in 2022, partially offset by increased cash outflows for additional investments in unconsolidated affiliates of $219 million, increased cash outflows for purchases of investment securities of $837 million, decreased cash inflows from proceeds from sales, calls and maturities of investment securities of $465 million and increased cash outflows associated with acquisitions of $119 million. The increase in cash used in investing activities in 2022 as compared to 2021 of $3,075 million is primarily associated with net purchases of short-term investment securities of $2,571 million in 2022 as compared to proceeds from sales and maturities of short-term investment securities of $266 million in 2021, partially offset by decreased cash outflows for additional investments in unconsolidated affiliates of $669 million and decreased cash outflows for purchases of investment securities of $2,866 million.</w:t>
      </w:r>
    </w:p>
    <w:p>
      <w:pPr>
        <w:spacing w:after="0" w:line="80"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capitalized software were $132 million, $138 million, and $131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2023, 2022, and 2021 respectively.</w:t>
      </w:r>
    </w:p>
    <w:p>
      <w:pPr>
        <w:spacing w:after="0" w:line="59"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provided by financing activities for the year ended December 31, 2023, 2022, and 2021 were $3,093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$4,095 million, and $5,000 million, respectively. The decrease in cash provided by financing activities of $1,002 million in 2023 as compared to 2022 is primarily associated with increased cash outflows from contractholder withdrawals of $1,175 million, decreased cash inflows from contractholder deposits of $743 million and net F&amp;G Credit Agreement repayments of $185 million, partially offset by the issuance of our 7.95% F&amp;G Notes of $345 million in December of 2023 and the issuance of our 7.40% F&amp;G Notes of $500 million in January of 2023 as compared to the issuance of borrowings of $550 million in 2022, decreased purchases of treasury stock of $547 million and the repayment of $400 million for our 5.50% Notes in September 2022. The decrease in cash provided by financing activities of $905 million in 2022 as compared to 2021 is primarily associated with increased cash outflows for debt service payments, including the repayment of $400 million for our 5.50% Notes that were due in September 2022, increased cash outflows from contractholder withdrawals of $519 million, and net cash outflows associated with the change in secured trust deposits of $72 million in 2022 as compared to net cash inflows of $224 million in 2021, partially offset by increased cash inflows from contractholder deposits of $364 million and borrowings of $550 million in 2022 as compared to the issuance of our 3.45% Notes of $449 million in September of 2021.</w:t>
      </w:r>
    </w:p>
    <w:p>
      <w:pPr>
        <w:spacing w:after="0" w:line="87" w:lineRule="exact"/>
        <w:rPr>
          <w:sz w:val="20"/>
          <w:szCs w:val="20"/>
          <w:color w:val="auto"/>
        </w:rPr>
      </w:pPr>
    </w:p>
    <w:p>
      <w:pPr>
        <w:jc w:val="both"/>
        <w:ind w:firstLine="31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financing arrangements see Note G</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included in Item 8 of Part II of this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incorporated by reference into this Item 7 of 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1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Obligations - Contractual and Other. </w:t>
      </w:r>
      <w:r>
        <w:rPr>
          <w:rFonts w:ascii="Times New Roman" w:cs="Times New Roman" w:eastAsia="Times New Roman" w:hAnsi="Times New Roman"/>
          <w:sz w:val="18"/>
          <w:szCs w:val="18"/>
          <w:color w:val="auto"/>
        </w:rPr>
        <w:t>As of December 31, 2023, our required annual payments relating to contractual and other obligations were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w:t>
      </w:r>
    </w:p>
    <w:p>
      <w:pPr>
        <w:spacing w:after="0" w:line="109"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4"/>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principal repayment</w:t>
            </w: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w:t>
            </w:r>
          </w:p>
        </w:tc>
      </w:tr>
      <w:tr>
        <w:trPr>
          <w:trHeight w:val="19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payments</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20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other benefit payments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Annuity and universal life products</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41,007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70,025</w:t>
            </w:r>
          </w:p>
        </w:tc>
      </w:tr>
      <w:tr>
        <w:trPr>
          <w:trHeight w:val="20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risk transfer annuity payments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4,758</w:t>
            </w:r>
          </w:p>
        </w:tc>
      </w:tr>
      <w:tr>
        <w:trPr>
          <w:trHeight w:val="19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Funding agreements (FABN/FHLB)</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w:t>
            </w:r>
          </w:p>
        </w:tc>
      </w:tr>
      <w:tr>
        <w:trPr>
          <w:trHeight w:val="20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claim loss estimated payments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r>
      <w:tr>
        <w:trPr>
          <w:trHeight w:val="19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fixed rate notes payable</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r>
      <w:tr>
        <w:trPr>
          <w:trHeight w:val="19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197"/>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7,766</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48,783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88,684</w:t>
            </w:r>
          </w:p>
        </w:tc>
      </w:tr>
      <w:tr>
        <w:trPr>
          <w:trHeight w:val="20"/>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As of December 31, 2023, we had title insurance reserves of $1,770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75" w:lineRule="exact"/>
        <w:rPr>
          <w:sz w:val="20"/>
          <w:szCs w:val="20"/>
          <w:color w:val="auto"/>
        </w:rPr>
      </w:pPr>
    </w:p>
    <w:p>
      <w:pPr>
        <w:ind w:left="640" w:hanging="319"/>
        <w:spacing w:after="0" w:line="268" w:lineRule="auto"/>
        <w:tabs>
          <w:tab w:leader="none" w:pos="6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mortgage interest rates, which will affect the number of real estate and refinancing transactions and; therefore, the rate at which title insurance claims will emerge;</w:t>
      </w:r>
    </w:p>
    <w:p>
      <w:pPr>
        <w:spacing w:after="0" w:line="6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environment whereby court decisions and reinterpretations of title insurance policy language to broaden coverage could increase total obligations and influence claim payout patterns;</w:t>
      </w:r>
    </w:p>
    <w:p>
      <w:pPr>
        <w:spacing w:after="0" w:line="6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spacing w:after="0" w:line="6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cost trends whereby increases or decreases in inflationary factors (including the value of real estate) will influence the ultimate amount of title insurance loss payments.</w:t>
      </w:r>
    </w:p>
    <w:p>
      <w:pPr>
        <w:spacing w:after="0" w:line="117"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62"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color w:val="auto"/>
        </w:rPr>
        <w:t xml:space="preserve">We sponsor certain frozen pension and other post-retirement benefit plans. See Note U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xml:space="preserve"> to our Consolidated Financial Statements included in Item 8 of Part II of this Annual Report for further information.</w:t>
      </w:r>
    </w:p>
    <w:p>
      <w:pPr>
        <w:spacing w:after="0" w:line="59"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i w:val="1"/>
          <w:iCs w:val="1"/>
          <w:color w:val="auto"/>
        </w:rPr>
        <w:t>Capital Stock Tran</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actions</w:t>
      </w:r>
      <w:r>
        <w:rPr>
          <w:rFonts w:ascii="Times New Roman" w:cs="Times New Roman" w:eastAsia="Times New Roman" w:hAnsi="Times New Roman"/>
          <w:sz w:val="18"/>
          <w:szCs w:val="18"/>
          <w:color w:val="auto"/>
        </w:rPr>
        <w:t>. On August 3, 2021, our Board of Directors approved the 2021 Repurchase Program under which we may purchase up to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shares of our FNF common stock through July 31, 2024</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We may make repurchases from time to time in the open market, in block purchases or in privately negotiated transactions, depending on market conditions and other factors. We repurchased 100,0000 shares of FNF common stock during the year ended December 31, 2023, for approximately $4 million, or an average of $38.45 per share. Since the original commencement of the 2021 Repurchase Program, we have repurchased a total of 16,449,565 FNF common shares for an aggregate amount of $701 million, or an average of $42.60 per share.</w:t>
      </w:r>
    </w:p>
    <w:p>
      <w:pPr>
        <w:spacing w:after="0" w:line="80"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and Preferred Security Investments. </w:t>
      </w:r>
      <w:r>
        <w:rPr>
          <w:rFonts w:ascii="Times New Roman" w:cs="Times New Roman" w:eastAsia="Times New Roman" w:hAnsi="Times New Roman"/>
          <w:sz w:val="18"/>
          <w:szCs w:val="18"/>
          <w:color w:val="auto"/>
        </w:rPr>
        <w:t>Our equity and preferred security investments may be subject to significant volatility. Currently prevailing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require us to record the change in fair value of equity and preferred security investments held as of any given period end within earnings. Our results of operations in future periods are anticipated to be subject to such volatility.</w:t>
      </w:r>
    </w:p>
    <w:p>
      <w:pPr>
        <w:spacing w:after="0" w:line="72"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In conducting our operations, we routinely hold customers’ assets in escrow, pending completion of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and are responsible for the proper disposition of these balances for our customers. Certain of these amounts are maintained in segregated bank accounts and have not been included in the accompanying Consolidated Balance Sheets, consistent with Generally Accepted Accounting Principles and industry practice. These balances amounted to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$13.5 billion and $18.9 billion at December 31, 2023, and 2022, respectively. As a result of holding these customers’ assets in escrow, we have ongoing programs for realizing economic benefits during the year through favorable borrowing and vendor arrangements with various banks.</w:t>
      </w:r>
    </w:p>
    <w:p>
      <w:pPr>
        <w:spacing w:after="0" w:line="117"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 xml:space="preserve">We have unfunded investment commitments as of December 31, 2023, based upon the timing of when investments are executed compared to when the actual investments are funded, as some investments require that funding occur over a period of months or years. Please refer to Note 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and Note H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the Consolidated Financial Statements included in Item 8 of Part II of this Annual Report for additional details on unfunded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commitments.</w:t>
      </w:r>
    </w:p>
    <w:p>
      <w:pPr>
        <w:spacing w:after="0" w:line="76" w:lineRule="exact"/>
        <w:rPr>
          <w:sz w:val="20"/>
          <w:szCs w:val="20"/>
          <w:color w:val="auto"/>
        </w:rPr>
      </w:pPr>
    </w:p>
    <w:p>
      <w:pPr>
        <w:jc w:val="both"/>
        <w:ind w:firstLine="316"/>
        <w:spacing w:after="0"/>
        <w:rPr>
          <w:sz w:val="20"/>
          <w:szCs w:val="20"/>
          <w:color w:val="auto"/>
        </w:rPr>
      </w:pPr>
      <w:r>
        <w:rPr>
          <w:rFonts w:ascii="Times New Roman" w:cs="Times New Roman" w:eastAsia="Times New Roman" w:hAnsi="Times New Roman"/>
          <w:sz w:val="18"/>
          <w:szCs w:val="18"/>
          <w:i w:val="1"/>
          <w:iCs w:val="1"/>
          <w:color w:val="auto"/>
        </w:rPr>
        <w:t xml:space="preserve">FHLB Collateral. </w:t>
      </w:r>
      <w:r>
        <w:rPr>
          <w:rFonts w:ascii="Times New Roman" w:cs="Times New Roman" w:eastAsia="Times New Roman" w:hAnsi="Times New Roman"/>
          <w:sz w:val="18"/>
          <w:szCs w:val="18"/>
          <w:color w:val="auto"/>
        </w:rPr>
        <w:t>We are currently a member of the FHLB and are required to maintain a collateral deposit that backs any funding agreements issued.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these funding agreements as part of a spread enhancement strategy. We have the ability to obtain funding from the FHLB based on a percentage of the value of our assets, subject to the availability of eligible collateral. Collateral is pledged based on the outstanding balances of FHLB funding agreements. The amount of funding varies based on the type, rating and maturity of the collateral posted to the FHLB. Generally, U.S. government agency notes and mortgage-backed securities are pledged to the FHLB as collateral. Market value fluctuations resulting from changes in interest rates, spreads and other risk factors for each type of asset are monitored and additional collateral is either pledged or released as needed.</w:t>
      </w:r>
    </w:p>
    <w:p>
      <w:pPr>
        <w:spacing w:after="0" w:line="63"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Our borrowing capacity under these credit facilities does not have an expiration date as long as we maintain a satisfactory level of creditworthiness based on the FHLB’s credit assessment. As of December 31, 2023, and 2022, we had $1,983 million and $1,983 million, respectively, in FHLB non-putable funding agreements included under contractholder funds on our consolidated balance sheet. As of December 31, 2023, and 2022, we had assets with a fair value of approximately $4,345 million and $3,387 million, respectively, which collateralized the FHLB funding agreements. Assets pledged to the FHLB are included in fixed maturities, AFS, on our consolidated balance sheets.</w:t>
      </w:r>
    </w:p>
    <w:p>
      <w:pPr>
        <w:spacing w:after="0" w:line="52"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Collateral-Derivative Contracts. </w:t>
      </w:r>
      <w:r>
        <w:rPr>
          <w:rFonts w:ascii="Times New Roman" w:cs="Times New Roman" w:eastAsia="Times New Roman" w:hAnsi="Times New Roman"/>
          <w:sz w:val="18"/>
          <w:szCs w:val="18"/>
          <w:color w:val="auto"/>
        </w:rPr>
        <w:t>Under the terms of our ISDA agreements, we may receive from, or deliver to, counterparties collateral to assure that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ISDA agreements will be met with regard to the Credit Support Annex (“CSA”). The terms of the CSA call for us to pay interest on any cash received equal to the federal funds rate. As of December 31, 2023, and 2022, respectively, $381 million and $219 million of collateral was posted by our counterparties as they did not meet the net exposure thresholds. Collateral requirements are monitored on a daily basis and incorporate changes in market values of both the derivatives contract as well as the collateral pledged. Market value fluctuations are due to changes in interest rates, spreads and other risk factors.</w:t>
      </w:r>
    </w:p>
    <w:p>
      <w:pPr>
        <w:spacing w:after="0" w:line="200" w:lineRule="exact"/>
        <w:rPr>
          <w:sz w:val="20"/>
          <w:szCs w:val="20"/>
          <w:color w:val="auto"/>
        </w:rPr>
      </w:pPr>
    </w:p>
    <w:p>
      <w:pPr>
        <w:spacing w:after="0" w:line="22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 about Market Risk</w:t>
      </w:r>
    </w:p>
    <w:p>
      <w:pPr>
        <w:spacing w:after="0" w:line="25"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 xml:space="preserve">In the normal course of business, we are routinely subject to a variety of risks, as described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Annual Report and in our other filings with the SEC. For example, we are exposed to the risk that decreased real estate activity, which depends in part on the level of interest rates, may reduce our revenues.</w:t>
      </w:r>
    </w:p>
    <w:p>
      <w:pPr>
        <w:spacing w:after="0" w:line="70" w:lineRule="exact"/>
        <w:rPr>
          <w:sz w:val="20"/>
          <w:szCs w:val="20"/>
          <w:color w:val="auto"/>
        </w:rPr>
      </w:pPr>
    </w:p>
    <w:p>
      <w:pPr>
        <w:jc w:val="both"/>
        <w:ind w:firstLine="316"/>
        <w:spacing w:after="0" w:line="332" w:lineRule="auto"/>
        <w:rPr>
          <w:sz w:val="20"/>
          <w:szCs w:val="20"/>
          <w:color w:val="auto"/>
        </w:rPr>
      </w:pPr>
      <w:r>
        <w:rPr>
          <w:rFonts w:ascii="Times New Roman" w:cs="Times New Roman" w:eastAsia="Times New Roman" w:hAnsi="Times New Roman"/>
          <w:sz w:val="16"/>
          <w:szCs w:val="16"/>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fixed income investments.</w:t>
      </w:r>
    </w:p>
    <w:p>
      <w:pPr>
        <w:spacing w:after="0" w:line="4"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We regularly assess these market risks and have established policies and business practices designed to protect against the adverse effects of these exposures.</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2023, we had $3,887 million in long-term debt, none of which bears interest at a floating rate, other than the F&amp;G Credit Facility.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fluctuations in market interest rates will not have a material impact on our resulting interest expense.</w:t>
      </w:r>
    </w:p>
    <w:p>
      <w:pPr>
        <w:spacing w:after="0" w:line="78"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Our fixed maturity investments, certain preferred securities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w:t>
      </w:r>
    </w:p>
    <w:p>
      <w:pPr>
        <w:spacing w:after="0" w:line="67"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Equity price risk is the risk that we will incur economic losses due to adverse changes in equity prices. In the past, our exposure to changes in equity prices primarily resulted from our holdings of equity securities. At December 31, 2023, we held $766 million in marketable equity securities (not including our investments in preferred securities of $621 million and our investments in unconsolidated affiliates of $3,334 million).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primarily of cash equivalents, short-term investments, and trade receivables. We require placement of cash in financial institutions evaluated as highly creditworthy.</w:t>
      </w:r>
    </w:p>
    <w:p>
      <w:pPr>
        <w:spacing w:after="0" w:line="3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For purposes of this Annual Report, we perform a sensitivity analysis to determine the effects that market risk exposures may have on the fair values of our debt and other financial instruments.</w:t>
      </w:r>
    </w:p>
    <w:p>
      <w:pPr>
        <w:spacing w:after="0" w:line="51"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The financial instruments that are included in the sensitivity analysis with respect to interest rate risk include fixed maturity investments, preferred securities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36"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52"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2.4% of total liabilities at December 31, 2023) is not included in the hypothetical effects.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Factors</w:t>
      </w:r>
    </w:p>
    <w:p>
      <w:pPr>
        <w:spacing w:after="0" w:line="98"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Market risk is the risk of the loss of fair value resulting from adverse changes in market rates and prices, such as interest rates, foreign currency exchange rates, commodity prices and equity prices. Market risk is directly influenced by the volatility and liquidity in the markets in which the related underlying financial instruments are traded. We have significant holdings in financial instruments, which are naturally exposed to a variety of market risks. They are primarily exposed to interest rate risk, credit risk and equity price risk and have some exposure to counterparty risk, which affect the fair value of financial instruments subject to market risk.</w:t>
      </w:r>
    </w:p>
    <w:p>
      <w:pPr>
        <w:spacing w:after="0" w:line="54"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We have no market risk sensitive instruments entered into for trading purposes; therefore, all of our market risk sensitive instruments were entered into for purposes other than trading. The results of the sensitivity analysis at December 31, 2023, and 2022, are as follows:</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8"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At December 31, 2023, an increase (decrease) in the levels of interest rates of 100 basis points, with all other variables held constant, would result in a (decrease) increase in the fair value of our fixed maturity securities and certain of our investments in preferred securities, which are tied to interest rates of $2.5 billion as compared with a (decrease) increase of $2.0 billion at December 31, 2022.</w:t>
      </w:r>
    </w:p>
    <w:p>
      <w:pPr>
        <w:spacing w:after="0" w:line="88"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The actuarial models used to estimate the impact of a one percentage point change in market interest rates incorporate numerous assumptions, require significant estimates and assume an immediate and parallel change in interest rates without any management of the investment portfolio in reaction to such change. Consequently, potential changes in value of financial instruments indicated by these simulations will likely be different from the actual changes experienced under given interest rate scenarios, and the differences may be material. Because we actively manage our investments and liabilities, the net exposure to interest rates can vary over time. However, any such decreases in the fair value of fixed maturity securities, unless related to credit concerns of the issuer requiring allowances for credit losses, would generally be realized only if we were required to sell such securities at losses prior to their maturity to meet liquidity needs. Within our F&amp;G segment, liquidity needs are managed using the surrender and withdrawal provisions of the annuity contracts and through other means.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8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At December 31, 2023, a 10% increase (decrease) in market prices, with all other variables held constant, would result in an increase (decrease) in the fair value of our equity securities portfolio of $77 million, as compared with an increase (decrease) of $68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Related to our F&amp;G Segment</w:t>
      </w:r>
    </w:p>
    <w:p>
      <w:pPr>
        <w:spacing w:after="0" w:line="98"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Interest rate risk is the F&amp;G segment's primary market risk exposure. An increase in the levels of interest rates of 100 basis points, with all other variables held constant, would result in a decrease in the fair value of our fixed maturity securities and certain investments in preferred securities of approximately $2.4 billion, a net decrease in the fair value of interest rate swaps of approximately $0.1 billion and a net decrease in the combined fair value of embedded derivatives and MRBs of approximately $0.5 billion at December 31, 2023. For comparison, a similar increase in the levels of interest rates of 100 basis points, with all other variables held constant, would have resulted in a decrease in the fair value of our fixed maturity securities and certain investments in preferred securities of approximately $1.9 billion and a net decrease in the combined fair value of embedded derivatives and MRBs of approximately $0.4 billion at December 31, 2022.</w:t>
      </w:r>
    </w:p>
    <w:p>
      <w:pPr>
        <w:spacing w:after="0" w:line="95"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A 100 basis point shift in interest rates for our floating rate debt and funding agreements will increase or decrease floating expense by approximately $14 million and $11 million per year as of December 31, 2023 and December 31, 2022, respectively. As noted above, the impact to net earnings related to the interest rate swaps and floating rate notes payable and funding agreements will be significantly offset by corresponding changes in investment income associated with our floating rate investments.</w:t>
      </w:r>
    </w:p>
    <w:p>
      <w:pPr>
        <w:spacing w:after="0" w:line="91"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The actuarial models used to estimate the impact of a one percentage point change in market interest rates incorporate numerous assumptions, require significant estimates and assume an immediate and parallel change in interest rates without any management of the investment portfolio in reaction to such change. Consequently, potential changes in value of financial instruments indicated by these simulations will likely be different from the actual changes experienced under given interest rate scenarios, and the differences may be material. Because we actively manage our investments and liabilities, the net exposure to interest rates can vary over time. However, any such decreases in the fair value of fixed maturity securities, unless related to credit concerns of the issuer requiring allowances for credit losses, would generally be realized only if we were required to sell such securities at losses prior to their maturity to meet liquidity needs. Our liquidity needs are managed using the surrender and withdrawal provisions of the annuity contracts and through other means.</w:t>
      </w:r>
    </w:p>
    <w:p>
      <w:pPr>
        <w:spacing w:after="0" w:line="56" w:lineRule="exact"/>
        <w:rPr>
          <w:sz w:val="20"/>
          <w:szCs w:val="20"/>
          <w:color w:val="auto"/>
        </w:rPr>
      </w:pPr>
    </w:p>
    <w:p>
      <w:pPr>
        <w:jc w:val="both"/>
        <w:ind w:firstLine="316"/>
        <w:spacing w:after="0" w:line="282" w:lineRule="auto"/>
        <w:rPr>
          <w:sz w:val="20"/>
          <w:szCs w:val="20"/>
          <w:color w:val="auto"/>
        </w:rPr>
      </w:pPr>
      <w:r>
        <w:rPr>
          <w:rFonts w:ascii="Times New Roman" w:cs="Times New Roman" w:eastAsia="Times New Roman" w:hAnsi="Times New Roman"/>
          <w:sz w:val="16"/>
          <w:szCs w:val="16"/>
          <w:color w:val="auto"/>
        </w:rPr>
        <w:t>As part of F&amp;G's asset liability management (“ALM”) program, F&amp;G has made a significant effort to identify the assets appropriate to different product lines and ensure investing strategies match the profile of these liabilities. The ALM strategy is designed to align the expected cash flows from the investment portfolio with the expected liability cash flows. As such, a major component of F&amp;G's effort to manage interest rate risk has been to structure the investment portfolio with cash flow characteristics that are consistent with the cash flow characteristics of the insurance liabilities. F&amp;G uses actuarial models to simulate the cash flows expected from the existing business under various interest rate scenarios. These simulations enable F&amp;G to measure the potential gain or loss in the fair value of interest rate-sensitive financial instruments, to evaluate the adequacy of expected cash flows from assets to meet the expected cash requirements of the liabilities and to determine if it is necessary to lengthen or shorten the average life and duration of our investment portfolio. Duration measures the price sensitivity of a security to a small change in interest rates. When the durations of assets and liabilities are similar, exposure to interest rate risk is minimized because a change in the value of assets could be expected to be largely offset by a change in the value of liabilities.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duration of the investment portfolio, excluding cash and cash equivalents, derivatives, policy loans, and common stocks as of December 31, 2023,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is summarized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3"/>
          </w:tcPr>
          <w:p>
            <w:pPr>
              <w:jc w:val="right"/>
              <w:ind w:right="107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7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Duration (years)</w:t>
            </w:r>
          </w:p>
        </w:tc>
        <w:tc>
          <w:tcPr>
            <w:tcW w:w="160" w:type="dxa"/>
            <w:vAlign w:val="bottom"/>
          </w:tcPr>
          <w:p>
            <w:pPr>
              <w:spacing w:after="0"/>
              <w:rPr>
                <w:sz w:val="10"/>
                <w:szCs w:val="10"/>
                <w:color w:val="auto"/>
              </w:rPr>
            </w:pPr>
          </w:p>
        </w:tc>
        <w:tc>
          <w:tcPr>
            <w:tcW w:w="156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Amortized Cost (In</w:t>
            </w:r>
          </w:p>
        </w:tc>
        <w:tc>
          <w:tcPr>
            <w:tcW w:w="1720" w:type="dxa"/>
            <w:vAlign w:val="bottom"/>
            <w:vMerge w:val="restart"/>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1"/>
        </w:trPr>
        <w:tc>
          <w:tcPr>
            <w:tcW w:w="7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26,146</w:t>
            </w: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10,455</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9,943</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4"/>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49,263</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3"/>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7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Duration (years)</w:t>
            </w:r>
          </w:p>
        </w:tc>
        <w:tc>
          <w:tcPr>
            <w:tcW w:w="140" w:type="dxa"/>
            <w:vAlign w:val="bottom"/>
          </w:tcPr>
          <w:p>
            <w:pPr>
              <w:spacing w:after="0"/>
              <w:rPr>
                <w:sz w:val="11"/>
                <w:szCs w:val="11"/>
                <w:color w:val="auto"/>
              </w:rPr>
            </w:pPr>
          </w:p>
        </w:tc>
        <w:tc>
          <w:tcPr>
            <w:tcW w:w="152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Amortized Cost (In</w:t>
            </w:r>
          </w:p>
        </w:tc>
        <w:tc>
          <w:tcPr>
            <w:tcW w:w="1680" w:type="dxa"/>
            <w:vAlign w:val="bottom"/>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0"/>
        </w:trPr>
        <w:tc>
          <w:tcPr>
            <w:tcW w:w="7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25,323</w:t>
            </w: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10,010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9,423</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2,515</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7"/>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47,335</w:t>
            </w:r>
          </w:p>
        </w:tc>
        <w:tc>
          <w:tcPr>
            <w:tcW w:w="8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 Related to our F&amp;G Segment</w:t>
      </w:r>
    </w:p>
    <w:p>
      <w:pPr>
        <w:spacing w:after="0" w:line="137"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 xml:space="preserve">Our F&amp;G segment is exposed to equity price risk through certain insurance products. Equity price risk is the risk that we will incur economic losses due to adverse changes in equity prices. In the past, our exposure to changes in equity prices primarily resulted from our holdings of equity securities. Refer to Note D </w:t>
      </w: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to the Consolidated Financial Statements included in Part II - Item 8 of this Annual Report on Form 10-K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details on how the carrying values of these investments are determined as of the balance sheet date. Carrying values are subject to fluctuation and, consequently, the amount realized in the subsequent sale of an investment may significantly differ from the reported carrying value. Fluctuation in the carrying value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59"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are also exposed to equity price risk through certain insurance products. We offer a variety of FIA/ IUL contracts with crediting strategies linked to the performance of indices such as the S&amp;P 500 Index, Dow Jones Industrials or the NASDAQ 100 Index, and target volatility indices. Additionally, the estimated cost of providing GMWB on FIA products incorporates various assumptions about the overall performance of equity markets over certain time periods. Periods of significant and sustained downturns in equity markets or increased equity volatility could result in an increase in the valuation of the MRB liabilities and decrease in the valuation of contractholder funds liabilities associated with such products.</w:t>
      </w:r>
    </w:p>
    <w:p>
      <w:pPr>
        <w:spacing w:after="0" w:line="54"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To economically hedge the equity returns on these products, we purchase derivatives to hedge the FIA and IUL equity exposures. The primary way we hedge FIA/ IUL equity exposure is to purchase over the counter equity index call options from broker-dealer derivative counterparties approved by F&amp;G. The second way to hedge FIA/ IUL equity exposure is by purchasing exchange traded equity index futures contracts. This hedging strategy enables us to reduce the overall hedging costs and achieve a high correlation of returns on the call options purchased relative to the index credits earned by the FIA/ IUL contractholders. The majority of the call options are one-year options purchased to match the funding requirements underlying the FIA/ IUL contracts. These hedge programs are limited to the current policy term of the FIA/ IUL contracts. Future returns, which may be reflected in FIA/ IUL contracts’ credited rates beyond the current policy term, are not hedged. We attempt to manage the costs of these purchases through the terms of the FIA/ IUL contracts, which permit us to change cap, spread or participation rates, subject to certain guaranteed minimums that must be maintained.</w:t>
      </w:r>
    </w:p>
    <w:p>
      <w:pPr>
        <w:spacing w:after="0" w:line="59"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The derivatives are used to fund the FIA/ IUL contract index credits and the cost of the call options purchased is treated as a component of spread earnings. While the FIA/ IUL hedging program does not explicitly hedge GAAP income volatility, the FIA/ IUL hedging program tends to mitigate a significant portion of the GAAP reserve changes associated with movements in the equity market. This is due to the fact that a key component in the calculation of GAAP reserves is the market valuation of the current term embedded derivative. Due to the alignment of the embedded derivative reserve component with hedging of this same embedded derivative, there should be a reasonable match between changes in this component of the reserve and changes in the assets backing this component of the reserve. However, there may be an interim mismatch due to the fact that the hedges, which are put in place are only intended to cover exposures expected to remain until the end of an indexing term. To the extent index credits earned by the contractholder exceed the proceeds from option expirations and futures income, we incur a raw hedging loss.</w:t>
      </w:r>
    </w:p>
    <w:p>
      <w:pPr>
        <w:spacing w:after="0" w:line="83"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color w:val="auto"/>
        </w:rPr>
        <w:t xml:space="preserve">See Note F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to the Consolidated Financial Statements included in Part II - Item 8 of this Annual Report on Form 10-K for additional details on the derivatives portfolio.</w:t>
      </w:r>
    </w:p>
    <w:p>
      <w:pPr>
        <w:spacing w:after="0" w:line="114"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Fair value changes associated with these investments are intended to, but do not always, substantially offset the increase or decrease in the amounts added to contractholder funds for indexed products. When index credits to policyholders exceed option proceeds received at expiration related to such credits, any shortfall is funded by our excess of net investment income earned over the sum of interest credited to policyholders and the cost of hedging our risk on indexed product policies and futures income. For the years ended December 31, 2023, December 31, 2022, and December 31, 2021, the annual index credits to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policyholders on their anniversaries were $203 million, $155 million and $628 million, respectively. Proceeds received at expiration of options related to such credits were $212 million, $158 million and $702 million, respectively.</w:t>
      </w:r>
    </w:p>
    <w:p>
      <w:pPr>
        <w:spacing w:after="0" w:line="51"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Other market exposures are hedged periodically depending on market conditions and our risk tolerance. The FIA/ 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risk tolerance 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and Counterparty Risk Related to our F&amp;G Segment</w:t>
      </w:r>
    </w:p>
    <w:p>
      <w:pPr>
        <w:spacing w:after="0" w:line="163"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Our F&amp;G segment is exposed to the risk that a counterparty will default on its contractual obligation resulting in financial loss. Our major source of credit risk arises predominantly in our insurance operations’ portfolios of debt and similar securities. The fair value of our fixed maturity portfolio totaled $40 billion at December 31, 2023. Our credit risk materializes primarily as impairment losses. We are exposed to occasional cyclical economic downturns, during which impairment losses may be significantly higher than the long-term historical average. This is offset by years where it expects the actual impairment losses to be substantially lower than the long-term average. Credit risk in the portfolio can also materialize as increased capital requirements as assets migrate into lower credit qualities over time. The effect of rating migration on our capital requirements is also dependent on the economic cycle and increased asset impairment levels may go hand in hand with increased asset related capital requirements.</w:t>
      </w:r>
    </w:p>
    <w:p>
      <w:pPr>
        <w:spacing w:after="0" w:line="56"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We attempt to manage the risk of default and rating migration by applying disciplined credit evaluation and underwriting standards and limiting allocations to lower quality, higher risk investments. In addition, we diversify exposure by issuer and country, using rating-based issuer and country limits. We also set investment constraints that limit our exposure by industry segment. To limit the impact that credit risk can have on earnings and capital adequacy levels, we have portfolio-level credit risk constraints in place. Limit compliance is monitored on a monthly basis.</w:t>
      </w:r>
    </w:p>
    <w:p>
      <w:pPr>
        <w:spacing w:after="0" w:line="52"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 xml:space="preserve">In connection with the use of derivative instruments, we are exposed to counterparty credit risk-the risk that a counterparty fails to perform under the terms of the derivative contract. We have adopted a policy of only dealing with credit worthy counterparties and obtaining sufficient collateral where appropriate, as a means of attempting to mitigate the financial loss from defaults. The exposure and credit rating of the counterparties are continuously monitored, and the aggregate value of transactions concluded is spread amongst different approved counterparties to limit the concentration in one counterparty. This policy allows for the purchase of derivative instruments from counterparties and/or clearinghouses that meet the required qualifications under the insurance laws of Iowa. We review the ratings of all the counterparties periodically. Collateral support documents are negotiated to further reduce the exposure when deemed necessary. See Note F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in the Consolidated Financial Statements included in Part II - Item 8 of this Annual Report on Form 10-K for additional information regarding our exposure to credit loss.</w:t>
      </w:r>
    </w:p>
    <w:p>
      <w:pPr>
        <w:spacing w:after="0" w:line="59"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We also have credit risk related to the ability of reinsurance counterparties to honor their obligations to pay the contract amounts under various agreements. To minimize the risk of credit loss on such contracts, we diversify exposures among many reinsurers and limit the amount of exposure to each based on credit rating. We also generally limit selection of counterparties with which to do new transactions to those with an “A-” credit rating or above from at least one of the major rating agencies and/or that are appropriately collateralized and provide credit for reinsurance.</w:t>
      </w:r>
    </w:p>
    <w:p>
      <w:pPr>
        <w:spacing w:after="0" w:line="78"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certain reinsurance recoverables are subject to reviews by the reinsurers. We are not aware of any material disputes arising from these reviews or other communications with the counterparties as of December 31, 2023, and December 31, 2022, that would require an increase to the allowance for credit losses.</w:t>
      </w:r>
    </w:p>
    <w:p>
      <w:pPr>
        <w:spacing w:after="0" w:line="73"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color w:val="auto"/>
        </w:rPr>
        <w:t xml:space="preserve">For information on concentrations of reinsurance risk, refer to Note O </w:t>
      </w:r>
      <w:r>
        <w:rPr>
          <w:rFonts w:ascii="Times New Roman" w:cs="Times New Roman" w:eastAsia="Times New Roman" w:hAnsi="Times New Roman"/>
          <w:sz w:val="18"/>
          <w:szCs w:val="18"/>
          <w:i w:val="1"/>
          <w:iCs w:val="1"/>
          <w:color w:val="auto"/>
        </w:rPr>
        <w:t>F&amp;G Reinsurance</w:t>
      </w:r>
      <w:r>
        <w:rPr>
          <w:rFonts w:ascii="Times New Roman" w:cs="Times New Roman" w:eastAsia="Times New Roman" w:hAnsi="Times New Roman"/>
          <w:sz w:val="18"/>
          <w:szCs w:val="18"/>
          <w:color w:val="auto"/>
        </w:rPr>
        <w:t xml:space="preserve"> in the Consolidated Financial Statements included in Part II - Item 8 of this Annual Report on Form 10-K.</w:t>
      </w:r>
    </w:p>
    <w:p>
      <w:pPr>
        <w:spacing w:after="0" w:line="59"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color w:val="auto"/>
        </w:rPr>
        <w:t xml:space="preserve">For further information on certain risk associated with our business, refer to Note H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Consolidated Financial Statements included in Part II - Item 8 of this Annual Report on Form 10-K.</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87"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included in Item 8 of Part II of this Annual Report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assumptions used.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Financial Instruments Related to our F&amp;G Segment</w:t>
      </w:r>
    </w:p>
    <w:p>
      <w:pPr>
        <w:spacing w:after="0" w:line="85" w:lineRule="exact"/>
        <w:rPr>
          <w:sz w:val="20"/>
          <w:szCs w:val="20"/>
          <w:color w:val="auto"/>
        </w:rPr>
      </w:pPr>
    </w:p>
    <w:p>
      <w:pPr>
        <w:jc w:val="both"/>
        <w:ind w:firstLine="316"/>
        <w:spacing w:after="0" w:line="304" w:lineRule="auto"/>
        <w:rPr>
          <w:sz w:val="20"/>
          <w:szCs w:val="20"/>
          <w:color w:val="auto"/>
        </w:rPr>
      </w:pPr>
      <w:r>
        <w:rPr>
          <w:rFonts w:ascii="Times New Roman" w:cs="Times New Roman" w:eastAsia="Times New Roman" w:hAnsi="Times New Roman"/>
          <w:sz w:val="16"/>
          <w:szCs w:val="16"/>
          <w:color w:val="auto"/>
        </w:rPr>
        <w:t xml:space="preserve">Refer to </w:t>
      </w:r>
      <w:r>
        <w:rPr>
          <w:rFonts w:ascii="Times New Roman" w:cs="Times New Roman" w:eastAsia="Times New Roman" w:hAnsi="Times New Roman"/>
          <w:sz w:val="16"/>
          <w:szCs w:val="16"/>
          <w:i w:val="1"/>
          <w:iCs w:val="1"/>
          <w:color w:val="auto"/>
        </w:rPr>
        <w:t>Management's Discussion and Analysis of Financial Condition and Results of Operations - Investment Portfolio - Investment Industry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Concentrations </w:t>
      </w:r>
      <w:r>
        <w:rPr>
          <w:rFonts w:ascii="Times New Roman" w:cs="Times New Roman" w:eastAsia="Times New Roman" w:hAnsi="Times New Roman"/>
          <w:sz w:val="16"/>
          <w:szCs w:val="16"/>
          <w:color w:val="auto"/>
        </w:rPr>
        <w:t>included in Part II - Item 7 of this Annual Report on Form 10-K regarding the top ten investment concentrations of our fixed maturity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equity securities including the fair value and percent of total fixed maturity and equity securities fair value as of December 31, 2023, and December 31, 2022.</w:t>
      </w:r>
    </w:p>
    <w:p>
      <w:pPr>
        <w:spacing w:after="0" w:line="25"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color w:val="auto"/>
        </w:rPr>
        <w:t xml:space="preserve">Refer to Note D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in the Consolidated Financial Statements included in Part II - Item 8 of this Annual Report on Form 10-K for our underlying investment concentrations that exceed 10% of shareholders equity as of December 31, 2023, and December 31, 2022.</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Financial and Capital Markets Risk Related to our F&amp;G Segment</w:t>
      </w:r>
    </w:p>
    <w:p>
      <w:pPr>
        <w:spacing w:after="0" w:line="87"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Our F&amp;G segment is exposed to financial and capital markets risk, including changes in interest rates and credit spreads, which can have an adverse effect on its results of operations, financial condition and liquidity. Exposure to such financial and capital markets risk relates primarily to the market price and cash flow variability associated with changes in interest rates. A rise in interest rates, in the absence of other countervailing changes, will increase the net unrealized loss position and, if long-term interest rates rise dramatically within a six to twelve-month time period, certain of F&amp;G’s products may be exposed to disintermediation risk. Disintermediation risk refers to the risk that policyholders surrender their contracts in a rising interest rate environment, requiring F&amp;G to liquidate assets in an unrealized loss position. We attempt to mitigate the risk, including changes in interest rates by investing in less rate-sensitive investments, including senior tranches of collateralized loan obligations, non-agency residential mortgage-backed securities, and various types of asset backed securities. Management believes this risk is also mitigated to some extent by surrender charge protection provided by F&amp;G’s products. We expect to continue to face these challenges and uncertainties that could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i w:val="1"/>
          <w:iCs w:val="1"/>
          <w:color w:val="auto"/>
        </w:rPr>
        <w:t>Financial Statements and Supplementary Data</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980" w:type="dxa"/>
            <w:vAlign w:val="bottom"/>
            <w:gridSpan w:val="8"/>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7"/>
              </w:rPr>
              <w:t>FIDELITY NATIONAL FINANCIAL, INC. AND SUBSIDIARIES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80" w:type="dxa"/>
            <w:vAlign w:val="bottom"/>
            <w:gridSpan w:val="8"/>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7"/>
              </w:rPr>
              <w:t>INDEX TO FINANCIAL INFORMATION</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10060" w:type="dxa"/>
            <w:vAlign w:val="bottom"/>
            <w:gridSpan w:val="12"/>
          </w:tcPr>
          <w:p>
            <w:pPr>
              <w:spacing w:after="0" w:line="171"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Effectiveness of Internal Control over Financial Reporting (Ernst &amp; Young,</w:t>
            </w:r>
          </w:p>
        </w:tc>
        <w:tc>
          <w:tcPr>
            <w:tcW w:w="640" w:type="dxa"/>
            <w:vAlign w:val="bottom"/>
            <w:gridSpan w:val="2"/>
            <w:vMerge w:val="restart"/>
          </w:tcPr>
          <w:p>
            <w:pPr>
              <w:jc w:val="center"/>
              <w:ind w:left="381"/>
              <w:spacing w:after="0"/>
              <w:rPr>
                <w:sz w:val="20"/>
                <w:szCs w:val="20"/>
                <w:color w:val="auto"/>
              </w:rPr>
            </w:pPr>
            <w:r>
              <w:rPr>
                <w:rFonts w:ascii="Times New Roman" w:cs="Times New Roman" w:eastAsia="Times New Roman" w:hAnsi="Times New Roman"/>
                <w:sz w:val="18"/>
                <w:szCs w:val="18"/>
                <w:color w:val="0000FF"/>
                <w:w w:val="99"/>
              </w:rPr>
              <w:t>90</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9680" w:type="dxa"/>
            <w:vAlign w:val="bottom"/>
            <w:tcBorders>
              <w:top w:val="single" w:sz="8" w:color="0000FF"/>
            </w:tcBorders>
            <w:gridSpan w:val="11"/>
          </w:tcPr>
          <w:p>
            <w:pPr>
              <w:spacing w:after="0" w:line="138" w:lineRule="exact"/>
              <w:rPr>
                <w:sz w:val="20"/>
                <w:szCs w:val="20"/>
                <w:color w:val="auto"/>
              </w:rPr>
            </w:pPr>
            <w:r>
              <w:rPr>
                <w:rFonts w:ascii="Times New Roman" w:cs="Times New Roman" w:eastAsia="Times New Roman" w:hAnsi="Times New Roman"/>
                <w:sz w:val="15"/>
                <w:szCs w:val="15"/>
                <w:color w:val="0000FF"/>
              </w:rPr>
              <w:t>LLP, Jacksonville, FL, Auditor Firm ID</w:t>
            </w:r>
            <w:r>
              <w:rPr>
                <w:rFonts w:ascii="Times New Roman" w:cs="Times New Roman" w:eastAsia="Times New Roman" w:hAnsi="Times New Roman"/>
                <w:sz w:val="15"/>
                <w:szCs w:val="15"/>
                <w:color w:val="0E32E1"/>
              </w:rPr>
              <w:t>:42)</w:t>
            </w:r>
          </w:p>
        </w:tc>
        <w:tc>
          <w:tcPr>
            <w:tcW w:w="3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60" w:type="dxa"/>
            <w:vAlign w:val="bottom"/>
            <w:gridSpan w:val="12"/>
          </w:tcPr>
          <w:p>
            <w:pPr>
              <w:spacing w:after="0" w:line="197"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Consolidated Financial Statements (Ernst &amp; Young, LLP, Jacksonville, FL,</w:t>
            </w:r>
          </w:p>
        </w:tc>
        <w:tc>
          <w:tcPr>
            <w:tcW w:w="460" w:type="dxa"/>
            <w:vAlign w:val="bottom"/>
            <w:vMerge w:val="restart"/>
          </w:tcPr>
          <w:p>
            <w:pPr>
              <w:spacing w:after="0"/>
              <w:rPr>
                <w:sz w:val="17"/>
                <w:szCs w:val="17"/>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080" w:type="dxa"/>
            <w:vAlign w:val="bottom"/>
            <w:tcBorders>
              <w:top w:val="single" w:sz="8" w:color="0000FF"/>
              <w:bottom w:val="single" w:sz="8" w:color="0000FF"/>
            </w:tcBorders>
            <w:gridSpan w:val="4"/>
          </w:tcPr>
          <w:p>
            <w:pPr>
              <w:spacing w:after="0" w:line="138" w:lineRule="exact"/>
              <w:rPr>
                <w:sz w:val="20"/>
                <w:szCs w:val="20"/>
                <w:color w:val="auto"/>
              </w:rPr>
            </w:pPr>
            <w:r>
              <w:rPr>
                <w:rFonts w:ascii="Times New Roman" w:cs="Times New Roman" w:eastAsia="Times New Roman" w:hAnsi="Times New Roman"/>
                <w:sz w:val="15"/>
                <w:szCs w:val="15"/>
                <w:color w:val="0000FF"/>
              </w:rPr>
              <w:t>Auditor Firm ID</w:t>
            </w:r>
            <w:r>
              <w:rPr>
                <w:rFonts w:ascii="Times New Roman" w:cs="Times New Roman" w:eastAsia="Times New Roman" w:hAnsi="Times New Roman"/>
                <w:sz w:val="15"/>
                <w:szCs w:val="15"/>
                <w:color w:val="0E32E1"/>
              </w:rPr>
              <w:t>: 42)</w:t>
            </w:r>
          </w:p>
        </w:tc>
        <w:tc>
          <w:tcPr>
            <w:tcW w:w="6560" w:type="dxa"/>
            <w:vAlign w:val="bottom"/>
            <w:tcBorders>
              <w:top w:val="single" w:sz="8" w:color="0000FF"/>
            </w:tcBorders>
            <w:gridSpan w:val="6"/>
          </w:tcPr>
          <w:p>
            <w:pPr>
              <w:spacing w:after="0"/>
              <w:rPr>
                <w:sz w:val="13"/>
                <w:szCs w:val="13"/>
                <w:color w:val="auto"/>
              </w:rPr>
            </w:pPr>
          </w:p>
        </w:tc>
        <w:tc>
          <w:tcPr>
            <w:tcW w:w="420" w:type="dxa"/>
            <w:vAlign w:val="bottom"/>
            <w:gridSpan w:val="2"/>
          </w:tcPr>
          <w:p>
            <w:pPr>
              <w:spacing w:after="0"/>
              <w:rPr>
                <w:sz w:val="13"/>
                <w:szCs w:val="13"/>
                <w:color w:val="auto"/>
              </w:rPr>
            </w:pPr>
          </w:p>
        </w:tc>
        <w:tc>
          <w:tcPr>
            <w:tcW w:w="460" w:type="dxa"/>
            <w:vAlign w:val="bottom"/>
            <w:vMerge w:val="continue"/>
          </w:tcPr>
          <w:p>
            <w:pPr>
              <w:spacing w:after="0"/>
              <w:rPr>
                <w:sz w:val="13"/>
                <w:szCs w:val="13"/>
                <w:color w:val="auto"/>
              </w:rPr>
            </w:pPr>
          </w:p>
        </w:tc>
        <w:tc>
          <w:tcPr>
            <w:tcW w:w="180" w:type="dxa"/>
            <w:vAlign w:val="bottom"/>
            <w:tcBorders>
              <w:bottom w:val="single" w:sz="8" w:color="0000FF"/>
            </w:tcBorders>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Consolidated Balance Sheets as of December 31, 2023 and 2022</w:t>
            </w:r>
          </w:p>
        </w:tc>
        <w:tc>
          <w:tcPr>
            <w:tcW w:w="5520" w:type="dxa"/>
            <w:vAlign w:val="bottom"/>
            <w:gridSpan w:val="7"/>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94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580" w:type="dxa"/>
            <w:vAlign w:val="bottom"/>
            <w:tcBorders>
              <w:bottom w:val="single" w:sz="8" w:color="0000FF"/>
            </w:tcBorders>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Statements of Earnings for the years ended December 31, 2023, 2022, and 2021</w:t>
            </w:r>
          </w:p>
        </w:tc>
        <w:tc>
          <w:tcPr>
            <w:tcW w:w="348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E32E1"/>
            </w:tcBorders>
          </w:tcPr>
          <w:p>
            <w:pPr>
              <w:jc w:val="center"/>
              <w:spacing w:after="0" w:line="204" w:lineRule="exact"/>
              <w:rPr>
                <w:sz w:val="20"/>
                <w:szCs w:val="20"/>
                <w:color w:val="auto"/>
              </w:rPr>
            </w:pPr>
            <w:r>
              <w:rPr>
                <w:rFonts w:ascii="Times New Roman" w:cs="Times New Roman" w:eastAsia="Times New Roman" w:hAnsi="Times New Roman"/>
                <w:sz w:val="18"/>
                <w:szCs w:val="18"/>
                <w:color w:val="0E32E1"/>
                <w:w w:val="99"/>
              </w:rPr>
              <w:t>95</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60" w:type="dxa"/>
            <w:vAlign w:val="bottom"/>
            <w:gridSpan w:val="12"/>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Comprehensive Earnings for the years ended December 31, 2023, 2022, and 2021</w:t>
            </w:r>
          </w:p>
        </w:tc>
        <w:tc>
          <w:tcPr>
            <w:tcW w:w="640" w:type="dxa"/>
            <w:vAlign w:val="bottom"/>
            <w:gridSpan w:val="2"/>
          </w:tcPr>
          <w:p>
            <w:pPr>
              <w:jc w:val="center"/>
              <w:ind w:left="381"/>
              <w:spacing w:after="0" w:line="204" w:lineRule="exact"/>
              <w:rPr>
                <w:sz w:val="20"/>
                <w:szCs w:val="20"/>
                <w:color w:val="auto"/>
              </w:rPr>
            </w:pPr>
            <w:r>
              <w:rPr>
                <w:rFonts w:ascii="Times New Roman" w:cs="Times New Roman" w:eastAsia="Times New Roman" w:hAnsi="Times New Roman"/>
                <w:sz w:val="18"/>
                <w:szCs w:val="18"/>
                <w:color w:val="0E32E1"/>
                <w:w w:val="99"/>
              </w:rPr>
              <w:t>96</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20" w:type="dxa"/>
            <w:vAlign w:val="bottom"/>
            <w:tcBorders>
              <w:top w:val="single" w:sz="8" w:color="0000FF"/>
            </w:tcBorders>
            <w:gridSpan w:val="9"/>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Equity for the years ended December 31, 2023, 2022, and 2021</w:t>
            </w:r>
          </w:p>
        </w:tc>
        <w:tc>
          <w:tcPr>
            <w:tcW w:w="234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E32E1"/>
            </w:tcBorders>
          </w:tcPr>
          <w:p>
            <w:pPr>
              <w:jc w:val="center"/>
              <w:spacing w:after="0" w:line="204" w:lineRule="exact"/>
              <w:rPr>
                <w:sz w:val="20"/>
                <w:szCs w:val="20"/>
                <w:color w:val="auto"/>
              </w:rPr>
            </w:pPr>
            <w:r>
              <w:rPr>
                <w:rFonts w:ascii="Times New Roman" w:cs="Times New Roman" w:eastAsia="Times New Roman" w:hAnsi="Times New Roman"/>
                <w:sz w:val="18"/>
                <w:szCs w:val="18"/>
                <w:color w:val="0E32E1"/>
                <w:w w:val="99"/>
              </w:rPr>
              <w:t>97</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gridSpan w:val="4"/>
            <w:shd w:val="clear" w:color="auto" w:fill="0000FF"/>
          </w:tcPr>
          <w:p>
            <w:pPr>
              <w:spacing w:after="0" w:line="20" w:lineRule="exact"/>
              <w:rPr>
                <w:sz w:val="1"/>
                <w:szCs w:val="1"/>
                <w:color w:val="auto"/>
              </w:rPr>
            </w:pPr>
          </w:p>
        </w:tc>
        <w:tc>
          <w:tcPr>
            <w:tcW w:w="334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8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Statements of Cash Flows for the years ended December 31, 2023, 2022, and 2021</w:t>
            </w:r>
          </w:p>
        </w:tc>
        <w:tc>
          <w:tcPr>
            <w:tcW w:w="328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gridSpan w:val="2"/>
          </w:tcPr>
          <w:p>
            <w:pPr>
              <w:jc w:val="center"/>
              <w:ind w:right="440"/>
              <w:spacing w:after="0" w:line="204" w:lineRule="exact"/>
              <w:rPr>
                <w:sz w:val="20"/>
                <w:szCs w:val="20"/>
                <w:color w:val="auto"/>
              </w:rPr>
            </w:pPr>
            <w:r>
              <w:rPr>
                <w:rFonts w:ascii="Times New Roman" w:cs="Times New Roman" w:eastAsia="Times New Roman" w:hAnsi="Times New Roman"/>
                <w:sz w:val="18"/>
                <w:szCs w:val="18"/>
                <w:color w:val="0000FF"/>
                <w:w w:val="81"/>
              </w:rPr>
              <w:t>100</w:t>
            </w:r>
          </w:p>
        </w:tc>
        <w:tc>
          <w:tcPr>
            <w:tcW w:w="0" w:type="dxa"/>
            <w:vAlign w:val="bottom"/>
          </w:tcPr>
          <w:p>
            <w:pPr>
              <w:spacing w:after="0"/>
              <w:rPr>
                <w:sz w:val="1"/>
                <w:szCs w:val="1"/>
                <w:color w:val="auto"/>
              </w:rPr>
            </w:pPr>
          </w:p>
        </w:tc>
      </w:tr>
      <w:tr>
        <w:trPr>
          <w:trHeight w:val="20"/>
        </w:trPr>
        <w:tc>
          <w:tcPr>
            <w:tcW w:w="3080" w:type="dxa"/>
            <w:vAlign w:val="bottom"/>
            <w:gridSpan w:val="4"/>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8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700" w:type="dxa"/>
            <w:vAlign w:val="bottom"/>
            <w:gridSpan w:val="4"/>
          </w:tcPr>
          <w:p>
            <w:pPr>
              <w:spacing w:after="0"/>
              <w:rPr>
                <w:sz w:val="17"/>
                <w:szCs w:val="17"/>
                <w:color w:val="auto"/>
              </w:rPr>
            </w:pPr>
          </w:p>
        </w:tc>
        <w:tc>
          <w:tcPr>
            <w:tcW w:w="328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gridSpan w:val="2"/>
          </w:tcPr>
          <w:p>
            <w:pPr>
              <w:jc w:val="center"/>
              <w:ind w:right="440"/>
              <w:spacing w:after="0" w:line="204" w:lineRule="exact"/>
              <w:rPr>
                <w:sz w:val="20"/>
                <w:szCs w:val="20"/>
                <w:color w:val="auto"/>
              </w:rPr>
            </w:pPr>
            <w:r>
              <w:rPr>
                <w:rFonts w:ascii="Times New Roman" w:cs="Times New Roman" w:eastAsia="Times New Roman" w:hAnsi="Times New Roman"/>
                <w:sz w:val="18"/>
                <w:szCs w:val="18"/>
                <w:color w:val="0E32E1"/>
                <w:w w:val="81"/>
              </w:rPr>
              <w:t>102</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4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Fidelity National Financial, Inc.</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Fidelity National Financial, Inc.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Fidelity National Financial, Inc. and subsidiaries (the Company) maintained, in all material respects, effective internal control over financial reporting as of December 31, 2023, based on the COSO criteria.</w:t>
      </w:r>
    </w:p>
    <w:p>
      <w:pPr>
        <w:spacing w:after="0" w:line="9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earnings, comprehensive earnings, equity and cash flows for each of the three years in the period ended December 31, 2023, and the related notes and financial statement schedules listed in the Index at Item 15(a)(2) and our report dated February 29, 2024 expressed an unqualified opinion thereon.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Fidelity National Financial, Inc.</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Fidelity National Financial, Inc. and subsidiaries (the Company) as of December 31, 2023 and 2022, the related consolidated statements of earnings, comprehensive earnings, equity and cash flows for each of the three years in the period ended December 31, 2023,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1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issued by the Committee of Sponsoring Organizations of the Treadway Commission (2013 framework) and our report dated February 29, 2024, expressed an unqualified opinion thereon.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ASU No. 2018-12</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discussed in Note A to the consolidated financial statements, the Company changed its method of accounting for long-duration contracts in each of the three years in the period ended December 31, 2023 due to the adoption of </w:t>
      </w:r>
      <w:r>
        <w:rPr>
          <w:rFonts w:ascii="Times New Roman" w:cs="Times New Roman" w:eastAsia="Times New Roman" w:hAnsi="Times New Roman"/>
          <w:sz w:val="18"/>
          <w:szCs w:val="18"/>
          <w:i w:val="1"/>
          <w:iCs w:val="1"/>
          <w:color w:val="auto"/>
        </w:rPr>
        <w:t>ASU No. 2018-12, Financial Services – Insurance (Topic 944), Targeted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Accounting for Long-Duration Contracts.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right="200"/>
        <w:spacing w:after="0" w:line="283"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Provision Rate Assumption related to the Reserve for Title Claim Losses</w:t>
      </w:r>
    </w:p>
    <w:p>
      <w:pPr>
        <w:spacing w:after="0" w:line="4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Company’s reserve for title claim losses totaled $1.8 billion as of December 31, 2023. As discussed in Note A to the consolidated financial statements, the reserve for title claim losses includes known claims as well as losses that have been incurred but not yet reported, net of recoupments. The Company establishes reserves for claims which are incurred but not reported at the time premium revenue is recognized based on estimated loss provision rates. There is significant uncertainty inherent in determining the loss provision rates.</w:t>
      </w:r>
    </w:p>
    <w:p>
      <w:pPr>
        <w:spacing w:after="0" w:line="8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Auditing the Company’s reserve for title claim losses was complex because of the highly judgmental nature of the determination of the loss provision rates used in the valuation of the reserve for title claim losses. The significant judgment was primarily due to the sensitivity of management’s estimate to claim loss history, industry trends, and current legal environment.</w:t>
      </w:r>
    </w:p>
    <w:p>
      <w:pPr>
        <w:spacing w:after="0" w:line="144" w:lineRule="exact"/>
        <w:rPr>
          <w:sz w:val="20"/>
          <w:szCs w:val="20"/>
          <w:color w:val="auto"/>
        </w:rPr>
      </w:pPr>
    </w:p>
    <w:p>
      <w:pPr>
        <w:jc w:val="both"/>
        <w:ind w:left="20" w:right="20"/>
        <w:spacing w:after="0" w:line="252"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controls over management’s process for the development of the loss provision rates and the recorded reserve for title claim losses. These controls included, among others, the review and approval process management has in place for the development of the loss provision rates and the estimation of the reserve for title claim losses.</w:t>
      </w:r>
    </w:p>
    <w:p>
      <w:pPr>
        <w:spacing w:after="0" w:line="78"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18"/>
          <w:szCs w:val="18"/>
          <w:color w:val="auto"/>
        </w:rPr>
        <w:t>To evaluate the judgment used by management in determining the loss provision rates, among other procedures, we considered claim loss history, industry trends, current legal environment, and how management assessed these factors in the current period as compared to prior periods. We involved actuarial professionals with specialized skills and industry knowledge, who assisted in performing an evaluation of the Company’s current year loss provision rates compared with those used in prior periods, as well as a review of loss development experience for prior years. We also independently calculated a range of reasonable reserve estimates which we compared to management’s recorded reserve for title claim losses.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Fixed Indexed Annuity Embedded Derivative Liability, Market Risk Benefits, and Future Policy Benefits Liability</w:t>
      </w:r>
    </w:p>
    <w:p>
      <w:pPr>
        <w:spacing w:after="0" w:line="34" w:lineRule="exact"/>
        <w:rPr>
          <w:sz w:val="20"/>
          <w:szCs w:val="20"/>
          <w:color w:val="auto"/>
        </w:rPr>
      </w:pPr>
    </w:p>
    <w:p>
      <w:pPr>
        <w:jc w:val="both"/>
        <w:ind w:left="20"/>
        <w:spacing w:after="0" w:line="221" w:lineRule="auto"/>
        <w:rPr>
          <w:sz w:val="20"/>
          <w:szCs w:val="20"/>
          <w:color w:val="auto"/>
        </w:rPr>
      </w:pPr>
      <w:r>
        <w:rPr>
          <w:rFonts w:ascii="Times New Roman" w:cs="Times New Roman" w:eastAsia="Times New Roman" w:hAnsi="Times New Roman"/>
          <w:sz w:val="18"/>
          <w:szCs w:val="18"/>
          <w:color w:val="auto"/>
        </w:rPr>
        <w:t>At December 31, 2023, the fair value of the Company’s fixed indexed annuity embedded derivative liability totaled $4.3 billion. Certain of the Company’s fixed indexed annuity (FIA) contracts allow the policyholder to elect an equity index linked feature, where amounts credited to the contract’s account value are linked to the performance of designated equity indices and crediting strategy selected by the policyholder. The equity index crediting feature is accounted for as an embedded derivative liability and reported at fair value as discussed in Notes A (see section on Contractholder Funds), D, F, and Y to the consolidated financial statements. A subset of FIA contracts include certain contract features that provide minimum guarantees to policyholders, such as guaranteed minimum withdrawal benefits and guaranteed minimum death benefit features that are market risk benefits (MRB) measured at fair value as discussed in Notes A (see section on MRBs), D, W and X to the consolidated financial statements. The Company’s MRB assets and MRB liabilities totaled $88 million and $403 million, respectively, as of December 31, 2023.</w:t>
      </w:r>
    </w:p>
    <w:p>
      <w:pPr>
        <w:spacing w:after="0" w:line="68" w:lineRule="exact"/>
        <w:rPr>
          <w:sz w:val="20"/>
          <w:szCs w:val="20"/>
          <w:color w:val="auto"/>
        </w:rPr>
      </w:pPr>
    </w:p>
    <w:p>
      <w:pPr>
        <w:jc w:val="both"/>
        <w:ind w:left="20"/>
        <w:spacing w:after="0" w:line="226" w:lineRule="auto"/>
        <w:rPr>
          <w:sz w:val="20"/>
          <w:szCs w:val="20"/>
          <w:color w:val="auto"/>
        </w:rPr>
      </w:pPr>
      <w:r>
        <w:rPr>
          <w:rFonts w:ascii="Times New Roman" w:cs="Times New Roman" w:eastAsia="Times New Roman" w:hAnsi="Times New Roman"/>
          <w:sz w:val="18"/>
          <w:szCs w:val="18"/>
          <w:color w:val="auto"/>
        </w:rPr>
        <w:t>At December 31, 2023, future policy benefits (FPB) liabilities related to traditional life and life-contingent immediate annuity policies (which includes life-contingent pension risk transfer annuities) totaled $7.0 billion. The future policy benefits liability related to these products is based on estimates of how much the Company will need to pay for future benefits and related claim expenses and the amount of net premiums to be collected from policyholders as discussed in Notes A (see section on Future Policy Benefits), W, and Z to the consolidated financial statements.</w:t>
      </w:r>
    </w:p>
    <w:p>
      <w:pPr>
        <w:spacing w:after="0" w:line="78" w:lineRule="exact"/>
        <w:rPr>
          <w:sz w:val="20"/>
          <w:szCs w:val="20"/>
          <w:color w:val="auto"/>
        </w:rPr>
      </w:pPr>
    </w:p>
    <w:p>
      <w:pPr>
        <w:jc w:val="both"/>
        <w:ind w:left="20"/>
        <w:spacing w:after="0" w:line="223" w:lineRule="auto"/>
        <w:rPr>
          <w:sz w:val="20"/>
          <w:szCs w:val="20"/>
          <w:color w:val="auto"/>
        </w:rPr>
      </w:pPr>
      <w:r>
        <w:rPr>
          <w:rFonts w:ascii="Times New Roman" w:cs="Times New Roman" w:eastAsia="Times New Roman" w:hAnsi="Times New Roman"/>
          <w:sz w:val="18"/>
          <w:szCs w:val="18"/>
          <w:color w:val="auto"/>
        </w:rPr>
        <w:t>Auditing the valuation of the Company’s fixed indexed annuity embedded derivative, MRBs, and FPB liabilities was complex because of the highly judgmental nature of the determination of the assumptions required to determine the fair value of the embedded derivative and MRBs and valuation of FPB liabilities. In particular, the fair value of fixed indexed annuity embedded derivative and MRBs was sensitive to the significant assumptions including surrender rates, GMWB utilization, and non-performance spread. In addition, option cost was a significant assumption used in the valuation of fixed index annuity embedded derivatives and mortality, partial withdrawals, and capital market performance scenarios were significant assumptions used in the valuation of MRBs. Mortality is a significant assumption used in the valuation of FPB liabilities.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67945</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1840" w:space="720"/>
            <w:col w:w="866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91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6"/>
              </w:rPr>
              <w:t>We obtained an understanding, evaluated the design, and tested the operating effectiveness of the Company’s controls over</w:t>
            </w:r>
          </w:p>
        </w:tc>
      </w:tr>
      <w:tr>
        <w:trPr>
          <w:trHeight w:val="205"/>
        </w:trPr>
        <w:tc>
          <w:tcPr>
            <w:tcW w:w="2060" w:type="dxa"/>
            <w:vAlign w:val="bottom"/>
          </w:tcPr>
          <w:p>
            <w:pPr>
              <w:spacing w:after="0" w:line="206" w:lineRule="exact"/>
              <w:rPr>
                <w:sz w:val="20"/>
                <w:szCs w:val="20"/>
                <w:color w:val="auto"/>
              </w:rPr>
            </w:pPr>
            <w:r>
              <w:rPr>
                <w:rFonts w:ascii="Times New Roman" w:cs="Times New Roman" w:eastAsia="Times New Roman" w:hAnsi="Times New Roman"/>
                <w:sz w:val="18"/>
                <w:szCs w:val="18"/>
                <w:i w:val="1"/>
                <w:iCs w:val="1"/>
                <w:color w:val="auto"/>
              </w:rPr>
              <w:t>Matter in Our Audit</w:t>
            </w:r>
          </w:p>
        </w:tc>
        <w:tc>
          <w:tcPr>
            <w:tcW w:w="9100" w:type="dxa"/>
            <w:vAlign w:val="bottom"/>
          </w:tcPr>
          <w:p>
            <w:pPr>
              <w:ind w:left="480"/>
              <w:spacing w:after="0" w:line="206" w:lineRule="exact"/>
              <w:rPr>
                <w:sz w:val="20"/>
                <w:szCs w:val="20"/>
                <w:color w:val="auto"/>
              </w:rPr>
            </w:pPr>
            <w:r>
              <w:rPr>
                <w:rFonts w:ascii="Times New Roman" w:cs="Times New Roman" w:eastAsia="Times New Roman" w:hAnsi="Times New Roman"/>
                <w:sz w:val="18"/>
                <w:szCs w:val="18"/>
                <w:color w:val="auto"/>
              </w:rPr>
              <w:t>management’s process for the development of the significant assumptions used in measuring the fair value of the</w:t>
            </w:r>
          </w:p>
        </w:tc>
      </w:tr>
      <w:tr>
        <w:trPr>
          <w:trHeight w:val="184"/>
        </w:trPr>
        <w:tc>
          <w:tcPr>
            <w:tcW w:w="2060" w:type="dxa"/>
            <w:vAlign w:val="bottom"/>
          </w:tcPr>
          <w:p>
            <w:pPr>
              <w:spacing w:after="0"/>
              <w:rPr>
                <w:sz w:val="16"/>
                <w:szCs w:val="16"/>
                <w:color w:val="auto"/>
              </w:rPr>
            </w:pPr>
          </w:p>
        </w:tc>
        <w:tc>
          <w:tcPr>
            <w:tcW w:w="91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w w:val="98"/>
              </w:rPr>
              <w:t>embedded derivative for fixed indexed annuities and MRBs and the valuation of FPB liabilities. These controls included,</w:t>
            </w:r>
          </w:p>
        </w:tc>
      </w:tr>
      <w:tr>
        <w:trPr>
          <w:trHeight w:val="184"/>
        </w:trPr>
        <w:tc>
          <w:tcPr>
            <w:tcW w:w="2060" w:type="dxa"/>
            <w:vAlign w:val="bottom"/>
          </w:tcPr>
          <w:p>
            <w:pPr>
              <w:spacing w:after="0"/>
              <w:rPr>
                <w:sz w:val="16"/>
                <w:szCs w:val="16"/>
                <w:color w:val="auto"/>
              </w:rPr>
            </w:pPr>
          </w:p>
        </w:tc>
        <w:tc>
          <w:tcPr>
            <w:tcW w:w="91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among others, the review and approval process management has in place for the development of the significant</w:t>
            </w:r>
          </w:p>
        </w:tc>
      </w:tr>
      <w:tr>
        <w:trPr>
          <w:trHeight w:val="228"/>
        </w:trPr>
        <w:tc>
          <w:tcPr>
            <w:tcW w:w="2060" w:type="dxa"/>
            <w:vAlign w:val="bottom"/>
          </w:tcPr>
          <w:p>
            <w:pPr>
              <w:spacing w:after="0"/>
              <w:rPr>
                <w:sz w:val="19"/>
                <w:szCs w:val="19"/>
                <w:color w:val="auto"/>
              </w:rPr>
            </w:pPr>
          </w:p>
        </w:tc>
        <w:tc>
          <w:tcPr>
            <w:tcW w:w="9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assumptions.</w:t>
            </w:r>
          </w:p>
        </w:tc>
      </w:tr>
      <w:tr>
        <w:trPr>
          <w:trHeight w:val="259"/>
        </w:trPr>
        <w:tc>
          <w:tcPr>
            <w:tcW w:w="2060" w:type="dxa"/>
            <w:vAlign w:val="bottom"/>
          </w:tcPr>
          <w:p>
            <w:pPr>
              <w:spacing w:after="0"/>
              <w:rPr>
                <w:sz w:val="22"/>
                <w:szCs w:val="22"/>
                <w:color w:val="auto"/>
              </w:rPr>
            </w:pPr>
          </w:p>
        </w:tc>
        <w:tc>
          <w:tcPr>
            <w:tcW w:w="9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 evaluate the judgment used by management in determining the assumptions used in measuring the fair value of the</w:t>
            </w:r>
          </w:p>
        </w:tc>
      </w:tr>
      <w:tr>
        <w:trPr>
          <w:trHeight w:val="184"/>
        </w:trPr>
        <w:tc>
          <w:tcPr>
            <w:tcW w:w="2060" w:type="dxa"/>
            <w:vAlign w:val="bottom"/>
          </w:tcPr>
          <w:p>
            <w:pPr>
              <w:spacing w:after="0"/>
              <w:rPr>
                <w:sz w:val="16"/>
                <w:szCs w:val="16"/>
                <w:color w:val="auto"/>
              </w:rPr>
            </w:pPr>
          </w:p>
        </w:tc>
        <w:tc>
          <w:tcPr>
            <w:tcW w:w="91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w w:val="99"/>
              </w:rPr>
              <w:t>fixed indexed annuity embedded derivative and MRBs and the valuation of FPB liabilities, among other procedures, we</w:t>
            </w:r>
          </w:p>
        </w:tc>
      </w:tr>
      <w:tr>
        <w:trPr>
          <w:trHeight w:val="184"/>
        </w:trPr>
        <w:tc>
          <w:tcPr>
            <w:tcW w:w="2060" w:type="dxa"/>
            <w:vAlign w:val="bottom"/>
          </w:tcPr>
          <w:p>
            <w:pPr>
              <w:spacing w:after="0"/>
              <w:rPr>
                <w:sz w:val="16"/>
                <w:szCs w:val="16"/>
                <w:color w:val="auto"/>
              </w:rPr>
            </w:pPr>
          </w:p>
        </w:tc>
        <w:tc>
          <w:tcPr>
            <w:tcW w:w="91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involved actuarial specialists and evaluated the methodology applied by management in determining the valuation with</w:t>
            </w:r>
          </w:p>
        </w:tc>
      </w:tr>
      <w:tr>
        <w:trPr>
          <w:trHeight w:val="184"/>
        </w:trPr>
        <w:tc>
          <w:tcPr>
            <w:tcW w:w="2060" w:type="dxa"/>
            <w:vAlign w:val="bottom"/>
          </w:tcPr>
          <w:p>
            <w:pPr>
              <w:spacing w:after="0"/>
              <w:rPr>
                <w:sz w:val="16"/>
                <w:szCs w:val="16"/>
                <w:color w:val="auto"/>
              </w:rPr>
            </w:pPr>
          </w:p>
        </w:tc>
        <w:tc>
          <w:tcPr>
            <w:tcW w:w="91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those used in the prior period and in the industry. To evaluate the significant assumptions used by management in the</w:t>
            </w:r>
          </w:p>
        </w:tc>
      </w:tr>
      <w:tr>
        <w:trPr>
          <w:trHeight w:val="197"/>
        </w:trPr>
        <w:tc>
          <w:tcPr>
            <w:tcW w:w="2060" w:type="dxa"/>
            <w:vAlign w:val="bottom"/>
          </w:tcPr>
          <w:p>
            <w:pPr>
              <w:spacing w:after="0"/>
              <w:rPr>
                <w:sz w:val="17"/>
                <w:szCs w:val="17"/>
                <w:color w:val="auto"/>
              </w:rPr>
            </w:pPr>
          </w:p>
        </w:tc>
        <w:tc>
          <w:tcPr>
            <w:tcW w:w="9100" w:type="dxa"/>
            <w:vAlign w:val="bottom"/>
          </w:tcPr>
          <w:p>
            <w:pPr>
              <w:ind w:left="480"/>
              <w:spacing w:after="0" w:line="197" w:lineRule="exact"/>
              <w:rPr>
                <w:sz w:val="20"/>
                <w:szCs w:val="20"/>
                <w:color w:val="auto"/>
              </w:rPr>
            </w:pPr>
            <w:r>
              <w:rPr>
                <w:rFonts w:ascii="Times New Roman" w:cs="Times New Roman" w:eastAsia="Times New Roman" w:hAnsi="Times New Roman"/>
                <w:sz w:val="18"/>
                <w:szCs w:val="18"/>
                <w:color w:val="auto"/>
              </w:rPr>
              <w:t>methodology applied, we compared as applicable, the significant assumptions noted above to historical experience,</w:t>
            </w:r>
          </w:p>
        </w:tc>
      </w:tr>
      <w:tr>
        <w:trPr>
          <w:trHeight w:val="184"/>
        </w:trPr>
        <w:tc>
          <w:tcPr>
            <w:tcW w:w="2060" w:type="dxa"/>
            <w:vAlign w:val="bottom"/>
          </w:tcPr>
          <w:p>
            <w:pPr>
              <w:spacing w:after="0"/>
              <w:rPr>
                <w:sz w:val="16"/>
                <w:szCs w:val="16"/>
                <w:color w:val="auto"/>
              </w:rPr>
            </w:pPr>
          </w:p>
        </w:tc>
        <w:tc>
          <w:tcPr>
            <w:tcW w:w="91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w w:val="98"/>
              </w:rPr>
              <w:t>observable market data, and management’s estimates of prospective changes in these assumptions. We also performed an</w:t>
            </w:r>
          </w:p>
        </w:tc>
      </w:tr>
      <w:tr>
        <w:trPr>
          <w:trHeight w:val="184"/>
        </w:trPr>
        <w:tc>
          <w:tcPr>
            <w:tcW w:w="2060" w:type="dxa"/>
            <w:vAlign w:val="bottom"/>
          </w:tcPr>
          <w:p>
            <w:pPr>
              <w:spacing w:after="0"/>
              <w:rPr>
                <w:sz w:val="16"/>
                <w:szCs w:val="16"/>
                <w:color w:val="auto"/>
              </w:rPr>
            </w:pPr>
          </w:p>
        </w:tc>
        <w:tc>
          <w:tcPr>
            <w:tcW w:w="91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independent recalculation of the embedded derivative, MRB, and FPB liabilities for a sample of policies or cohorts for</w:t>
            </w:r>
          </w:p>
        </w:tc>
      </w:tr>
      <w:tr>
        <w:trPr>
          <w:trHeight w:val="228"/>
        </w:trPr>
        <w:tc>
          <w:tcPr>
            <w:tcW w:w="2060" w:type="dxa"/>
            <w:vAlign w:val="bottom"/>
          </w:tcPr>
          <w:p>
            <w:pPr>
              <w:spacing w:after="0"/>
              <w:rPr>
                <w:sz w:val="19"/>
                <w:szCs w:val="19"/>
                <w:color w:val="auto"/>
              </w:rPr>
            </w:pPr>
          </w:p>
        </w:tc>
        <w:tc>
          <w:tcPr>
            <w:tcW w:w="9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comparison with the actuarial models used by management.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4"/>
        </w:trPr>
        <w:tc>
          <w:tcPr>
            <w:tcW w:w="862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62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Fixed maturity securities available for sale, at fair value, at December 31, 2023 and December 31, 2022, at an amortized cost of $45,606 and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6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$37,708, respectively, net of allowance for credit losses of $42 and $39, respectively, and includes pledged fixed maturity securities of $489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42,373</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33,095</w:t>
            </w:r>
          </w:p>
        </w:tc>
        <w:tc>
          <w:tcPr>
            <w:tcW w:w="0" w:type="dxa"/>
            <w:vAlign w:val="bottom"/>
          </w:tcPr>
          <w:p>
            <w:pPr>
              <w:spacing w:after="0"/>
              <w:rPr>
                <w:sz w:val="1"/>
                <w:szCs w:val="1"/>
                <w:color w:val="auto"/>
              </w:rPr>
            </w:pPr>
          </w:p>
        </w:tc>
      </w:tr>
      <w:tr>
        <w:trPr>
          <w:trHeight w:val="187"/>
        </w:trPr>
        <w:tc>
          <w:tcPr>
            <w:tcW w:w="8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$448, respectively, related to secured trust deposits</w:t>
            </w: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11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Preferred securities, at fair value</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securities, at fair value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190"/>
        </w:trPr>
        <w:tc>
          <w:tcPr>
            <w:tcW w:w="8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Derivative investments</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Mortgage loans, net of allowance for credit losses of $66 and $42 at December 31, 2023 and 2022, respectively.</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4,554</w:t>
            </w:r>
          </w:p>
        </w:tc>
        <w:tc>
          <w:tcPr>
            <w:tcW w:w="0" w:type="dxa"/>
            <w:vAlign w:val="bottom"/>
          </w:tcPr>
          <w:p>
            <w:pPr>
              <w:spacing w:after="0"/>
              <w:rPr>
                <w:sz w:val="1"/>
                <w:szCs w:val="1"/>
                <w:color w:val="auto"/>
              </w:rPr>
            </w:pPr>
          </w:p>
        </w:tc>
      </w:tr>
      <w:tr>
        <w:trPr>
          <w:trHeight w:val="190"/>
        </w:trPr>
        <w:tc>
          <w:tcPr>
            <w:tcW w:w="8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32"/>
        </w:trPr>
        <w:tc>
          <w:tcPr>
            <w:tcW w:w="8620" w:type="dxa"/>
            <w:vAlign w:val="bottom"/>
          </w:tcPr>
          <w:p>
            <w:pPr>
              <w:ind w:left="220"/>
              <w:spacing w:after="0" w:line="132" w:lineRule="exact"/>
              <w:rPr>
                <w:sz w:val="20"/>
                <w:szCs w:val="20"/>
                <w:color w:val="auto"/>
              </w:rPr>
            </w:pPr>
            <w:r>
              <w:rPr>
                <w:rFonts w:ascii="Times New Roman" w:cs="Times New Roman" w:eastAsia="Times New Roman" w:hAnsi="Times New Roman"/>
                <w:sz w:val="14"/>
                <w:szCs w:val="14"/>
                <w:color w:val="auto"/>
              </w:rPr>
              <w:t>Short-term investments, at December 31, 2023 and December 31, 2022 includes pledged short-term investments of $1 and $6, respectively, related</w:t>
            </w: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0" w:type="dxa"/>
            <w:vAlign w:val="bottom"/>
          </w:tcPr>
          <w:p>
            <w:pPr>
              <w:spacing w:after="0"/>
              <w:rPr>
                <w:sz w:val="1"/>
                <w:szCs w:val="1"/>
                <w:color w:val="auto"/>
              </w:rPr>
            </w:pPr>
          </w:p>
        </w:tc>
      </w:tr>
      <w:tr>
        <w:trPr>
          <w:trHeight w:val="191"/>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 secured trust deposits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investments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45,370</w:t>
            </w:r>
          </w:p>
        </w:tc>
        <w:tc>
          <w:tcPr>
            <w:tcW w:w="0" w:type="dxa"/>
            <w:vAlign w:val="bottom"/>
          </w:tcPr>
          <w:p>
            <w:pPr>
              <w:spacing w:after="0"/>
              <w:rPr>
                <w:sz w:val="1"/>
                <w:szCs w:val="1"/>
                <w:color w:val="auto"/>
              </w:rPr>
            </w:pPr>
          </w:p>
        </w:tc>
      </w:tr>
      <w:tr>
        <w:trPr>
          <w:trHeight w:val="19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December 31, 2023 and 2022 includes $262 and $242, respectively, of pledged cash related to secured trust deposits</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 of $32 and $33 at December 31, 2023 and 2022, respectively</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9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Reinsurance recoverable, net of allowance for credit losses of $21 and $10 at December 31, 2023 and 2022, respectively</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5,418</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w:t>
            </w:r>
          </w:p>
        </w:tc>
        <w:tc>
          <w:tcPr>
            <w:tcW w:w="0" w:type="dxa"/>
            <w:vAlign w:val="bottom"/>
          </w:tcPr>
          <w:p>
            <w:pPr>
              <w:spacing w:after="0"/>
              <w:rPr>
                <w:sz w:val="1"/>
                <w:szCs w:val="1"/>
                <w:color w:val="auto"/>
              </w:rPr>
            </w:pPr>
          </w:p>
        </w:tc>
      </w:tr>
      <w:tr>
        <w:trPr>
          <w:trHeight w:val="19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assets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9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assets</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w:t>
            </w:r>
          </w:p>
        </w:tc>
        <w:tc>
          <w:tcPr>
            <w:tcW w:w="0" w:type="dxa"/>
            <w:vAlign w:val="bottom"/>
          </w:tcPr>
          <w:p>
            <w:pPr>
              <w:spacing w:after="0"/>
              <w:rPr>
                <w:sz w:val="1"/>
                <w:szCs w:val="1"/>
                <w:color w:val="auto"/>
              </w:rPr>
            </w:pPr>
          </w:p>
        </w:tc>
      </w:tr>
      <w:tr>
        <w:trPr>
          <w:trHeight w:val="19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plants</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9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97"/>
        </w:trPr>
        <w:tc>
          <w:tcPr>
            <w:tcW w:w="86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80,614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65,143</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620" w:type="dxa"/>
            <w:vAlign w:val="bottom"/>
            <w:shd w:val="clear" w:color="auto" w:fill="CCEEFF"/>
          </w:tcPr>
          <w:p>
            <w:pPr>
              <w:ind w:left="47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Contractholder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40,843</w:t>
            </w:r>
          </w:p>
        </w:tc>
        <w:tc>
          <w:tcPr>
            <w:tcW w:w="0" w:type="dxa"/>
            <w:vAlign w:val="bottom"/>
          </w:tcPr>
          <w:p>
            <w:pPr>
              <w:spacing w:after="0"/>
              <w:rPr>
                <w:sz w:val="1"/>
                <w:szCs w:val="1"/>
                <w:color w:val="auto"/>
              </w:rPr>
            </w:pPr>
          </w:p>
        </w:tc>
      </w:tr>
      <w:tr>
        <w:trPr>
          <w:trHeight w:val="19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policy benefits</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5,021</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0" w:type="dxa"/>
            <w:vAlign w:val="bottom"/>
          </w:tcPr>
          <w:p>
            <w:pPr>
              <w:spacing w:after="0"/>
              <w:rPr>
                <w:sz w:val="1"/>
                <w:szCs w:val="1"/>
                <w:color w:val="auto"/>
              </w:rPr>
            </w:pPr>
          </w:p>
        </w:tc>
      </w:tr>
      <w:tr>
        <w:trPr>
          <w:trHeight w:val="19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0" w:type="dxa"/>
            <w:vAlign w:val="bottom"/>
          </w:tcPr>
          <w:p>
            <w:pPr>
              <w:spacing w:after="0"/>
              <w:rPr>
                <w:sz w:val="1"/>
                <w:szCs w:val="1"/>
                <w:color w:val="auto"/>
              </w:rPr>
            </w:pPr>
          </w:p>
        </w:tc>
      </w:tr>
      <w:tr>
        <w:trPr>
          <w:trHeight w:val="19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Reserve for title claim losses</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withheld for reinsurance liabilities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0" w:type="dxa"/>
            <w:vAlign w:val="bottom"/>
          </w:tcPr>
          <w:p>
            <w:pPr>
              <w:spacing w:after="0"/>
              <w:rPr>
                <w:sz w:val="1"/>
                <w:szCs w:val="1"/>
                <w:color w:val="auto"/>
              </w:rPr>
            </w:pPr>
          </w:p>
        </w:tc>
      </w:tr>
      <w:tr>
        <w:trPr>
          <w:trHeight w:val="19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Secured trust deposits</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19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payable</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3"/>
        </w:trPr>
        <w:tc>
          <w:tcPr>
            <w:tcW w:w="86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58,574</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8620" w:type="dxa"/>
            <w:vAlign w:val="bottom"/>
          </w:tcPr>
          <w:p>
            <w:pPr>
              <w:ind w:left="220"/>
              <w:spacing w:after="0" w:line="132" w:lineRule="exact"/>
              <w:rPr>
                <w:sz w:val="20"/>
                <w:szCs w:val="20"/>
                <w:color w:val="auto"/>
              </w:rPr>
            </w:pPr>
            <w:r>
              <w:rPr>
                <w:rFonts w:ascii="Times New Roman" w:cs="Times New Roman" w:eastAsia="Times New Roman" w:hAnsi="Times New Roman"/>
                <w:sz w:val="14"/>
                <w:szCs w:val="14"/>
                <w:color w:val="auto"/>
              </w:rPr>
              <w:t>FNF common stock, $0.0001 par value; authorized 600,000,000 shares as of December 31, 2023 and 2022, respectively; outstanding of 273,251,449</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2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and 272,309,890 as of December 31, 2023 and 2022, respectively, and issued of 329,185,916 and 327,757,349 as of December 31, 2023 and 2022,</w:t>
            </w:r>
          </w:p>
        </w:tc>
        <w:tc>
          <w:tcPr>
            <w:tcW w:w="140" w:type="dxa"/>
            <w:vAlign w:val="bottom"/>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8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stock, $0.0001 par value; authorized 50,000,000 shares; issued and outstanding, none</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0" w:type="dxa"/>
            <w:vAlign w:val="bottom"/>
          </w:tcPr>
          <w:p>
            <w:pPr>
              <w:spacing w:after="0"/>
              <w:rPr>
                <w:sz w:val="1"/>
                <w:szCs w:val="1"/>
                <w:color w:val="auto"/>
              </w:rPr>
            </w:pPr>
          </w:p>
        </w:tc>
      </w:tr>
      <w:tr>
        <w:trPr>
          <w:trHeight w:val="190"/>
        </w:trPr>
        <w:tc>
          <w:tcPr>
            <w:tcW w:w="8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earnings</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Treasury stock, 55,934,467 shares and 55,447,459 shares as of December 31, 2023 and 2022, respectively, at cost</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0" w:type="dxa"/>
            <w:vAlign w:val="bottom"/>
          </w:tcPr>
          <w:p>
            <w:pPr>
              <w:spacing w:after="0"/>
              <w:rPr>
                <w:sz w:val="1"/>
                <w:szCs w:val="1"/>
                <w:color w:val="auto"/>
              </w:rPr>
            </w:pPr>
          </w:p>
        </w:tc>
      </w:tr>
      <w:tr>
        <w:trPr>
          <w:trHeight w:val="183"/>
        </w:trPr>
        <w:tc>
          <w:tcPr>
            <w:tcW w:w="86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Fidelity National Financial, Inc. shareholders’ equity</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6,116</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84"/>
        </w:trPr>
        <w:tc>
          <w:tcPr>
            <w:tcW w:w="86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Total equity</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6,569</w:t>
            </w:r>
          </w:p>
        </w:tc>
        <w:tc>
          <w:tcPr>
            <w:tcW w:w="0" w:type="dxa"/>
            <w:vAlign w:val="bottom"/>
          </w:tcPr>
          <w:p>
            <w:pPr>
              <w:spacing w:after="0"/>
              <w:rPr>
                <w:sz w:val="1"/>
                <w:szCs w:val="1"/>
                <w:color w:val="auto"/>
              </w:rPr>
            </w:pPr>
          </w:p>
        </w:tc>
      </w:tr>
      <w:tr>
        <w:trPr>
          <w:trHeight w:val="222"/>
        </w:trPr>
        <w:tc>
          <w:tcPr>
            <w:tcW w:w="8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80,614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65,143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per share data)</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7"/>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0" w:type="dxa"/>
            <w:vAlign w:val="bottom"/>
          </w:tcPr>
          <w:p>
            <w:pPr>
              <w:spacing w:after="0"/>
              <w:rPr>
                <w:sz w:val="1"/>
                <w:szCs w:val="1"/>
                <w:color w:val="auto"/>
              </w:rPr>
            </w:pPr>
          </w:p>
        </w:tc>
      </w:tr>
      <w:tr>
        <w:trPr>
          <w:trHeight w:val="205"/>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w:t>
            </w:r>
          </w:p>
        </w:tc>
        <w:tc>
          <w:tcPr>
            <w:tcW w:w="0" w:type="dxa"/>
            <w:vAlign w:val="bottom"/>
          </w:tcPr>
          <w:p>
            <w:pPr>
              <w:spacing w:after="0"/>
              <w:rPr>
                <w:sz w:val="1"/>
                <w:szCs w:val="1"/>
                <w:color w:val="auto"/>
              </w:rPr>
            </w:pPr>
          </w:p>
        </w:tc>
      </w:tr>
      <w:tr>
        <w:trPr>
          <w:trHeight w:val="190"/>
        </w:trPr>
        <w:tc>
          <w:tcPr>
            <w:tcW w:w="8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w:t>
            </w:r>
          </w:p>
        </w:tc>
        <w:tc>
          <w:tcPr>
            <w:tcW w:w="0" w:type="dxa"/>
            <w:vAlign w:val="bottom"/>
          </w:tcPr>
          <w:p>
            <w:pPr>
              <w:spacing w:after="0"/>
              <w:rPr>
                <w:sz w:val="1"/>
                <w:szCs w:val="1"/>
                <w:color w:val="auto"/>
              </w:rPr>
            </w:pPr>
          </w:p>
        </w:tc>
      </w:tr>
      <w:tr>
        <w:trPr>
          <w:trHeight w:val="205"/>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0" w:type="dxa"/>
            <w:vAlign w:val="bottom"/>
          </w:tcPr>
          <w:p>
            <w:pPr>
              <w:spacing w:after="0"/>
              <w:rPr>
                <w:sz w:val="1"/>
                <w:szCs w:val="1"/>
                <w:color w:val="auto"/>
              </w:rPr>
            </w:pPr>
          </w:p>
        </w:tc>
      </w:tr>
      <w:tr>
        <w:trPr>
          <w:trHeight w:val="191"/>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97"/>
        </w:trPr>
        <w:tc>
          <w:tcPr>
            <w:tcW w:w="8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15,655</w:t>
            </w:r>
          </w:p>
        </w:tc>
        <w:tc>
          <w:tcPr>
            <w:tcW w:w="0" w:type="dxa"/>
            <w:vAlign w:val="bottom"/>
          </w:tcPr>
          <w:p>
            <w:pPr>
              <w:spacing w:after="0"/>
              <w:rPr>
                <w:sz w:val="1"/>
                <w:szCs w:val="1"/>
                <w:color w:val="auto"/>
              </w:rPr>
            </w:pPr>
          </w:p>
        </w:tc>
      </w:tr>
      <w:tr>
        <w:trPr>
          <w:trHeight w:val="19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0" w:type="dxa"/>
            <w:vAlign w:val="bottom"/>
          </w:tcPr>
          <w:p>
            <w:pPr>
              <w:spacing w:after="0"/>
              <w:rPr>
                <w:sz w:val="1"/>
                <w:szCs w:val="1"/>
                <w:color w:val="auto"/>
              </w:rPr>
            </w:pPr>
          </w:p>
        </w:tc>
      </w:tr>
      <w:tr>
        <w:trPr>
          <w:trHeight w:val="190"/>
        </w:trPr>
        <w:tc>
          <w:tcPr>
            <w:tcW w:w="8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Agent commissions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0" w:type="dxa"/>
            <w:vAlign w:val="bottom"/>
          </w:tcPr>
          <w:p>
            <w:pPr>
              <w:spacing w:after="0"/>
              <w:rPr>
                <w:sz w:val="1"/>
                <w:szCs w:val="1"/>
                <w:color w:val="auto"/>
              </w:rPr>
            </w:pPr>
          </w:p>
        </w:tc>
      </w:tr>
      <w:tr>
        <w:trPr>
          <w:trHeight w:val="205"/>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0" w:type="dxa"/>
            <w:vAlign w:val="bottom"/>
          </w:tcPr>
          <w:p>
            <w:pPr>
              <w:spacing w:after="0"/>
              <w:rPr>
                <w:sz w:val="1"/>
                <w:szCs w:val="1"/>
                <w:color w:val="auto"/>
              </w:rPr>
            </w:pPr>
          </w:p>
        </w:tc>
      </w:tr>
      <w:tr>
        <w:trPr>
          <w:trHeight w:val="190"/>
        </w:trPr>
        <w:tc>
          <w:tcPr>
            <w:tcW w:w="8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0" w:type="dxa"/>
            <w:vAlign w:val="bottom"/>
          </w:tcPr>
          <w:p>
            <w:pPr>
              <w:spacing w:after="0"/>
              <w:rPr>
                <w:sz w:val="1"/>
                <w:szCs w:val="1"/>
                <w:color w:val="auto"/>
              </w:rPr>
            </w:pPr>
          </w:p>
        </w:tc>
      </w:tr>
      <w:tr>
        <w:trPr>
          <w:trHeight w:val="205"/>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risk benefit losses (gains)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0"/>
        </w:trPr>
        <w:tc>
          <w:tcPr>
            <w:tcW w:w="8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205"/>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91"/>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97"/>
        </w:trPr>
        <w:tc>
          <w:tcPr>
            <w:tcW w:w="8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expenses</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11,059</w:t>
            </w: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12,097</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from continuing operations before income taxes and equity in earnings of unconsolidated affiliates</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w:t>
            </w:r>
          </w:p>
        </w:tc>
        <w:tc>
          <w:tcPr>
            <w:tcW w:w="0" w:type="dxa"/>
            <w:vAlign w:val="bottom"/>
          </w:tcPr>
          <w:p>
            <w:pPr>
              <w:spacing w:after="0"/>
              <w:rPr>
                <w:sz w:val="1"/>
                <w:szCs w:val="1"/>
                <w:color w:val="auto"/>
              </w:rPr>
            </w:pPr>
          </w:p>
        </w:tc>
      </w:tr>
      <w:tr>
        <w:trPr>
          <w:trHeight w:val="20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equity in earnings of unconsolidated affiliates</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0" w:type="dxa"/>
            <w:vAlign w:val="bottom"/>
          </w:tcPr>
          <w:p>
            <w:pPr>
              <w:spacing w:after="0"/>
              <w:rPr>
                <w:sz w:val="1"/>
                <w:szCs w:val="1"/>
                <w:color w:val="auto"/>
              </w:rPr>
            </w:pPr>
          </w:p>
        </w:tc>
      </w:tr>
      <w:tr>
        <w:trPr>
          <w:trHeight w:val="20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from continuing operations</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0" w:type="dxa"/>
            <w:vAlign w:val="bottom"/>
          </w:tcPr>
          <w:p>
            <w:pPr>
              <w:spacing w:after="0"/>
              <w:rPr>
                <w:sz w:val="1"/>
                <w:szCs w:val="1"/>
                <w:color w:val="auto"/>
              </w:rPr>
            </w:pPr>
          </w:p>
        </w:tc>
      </w:tr>
      <w:tr>
        <w:trPr>
          <w:trHeight w:val="20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from discontinued operations, net of tax</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0" w:type="dxa"/>
            <w:vAlign w:val="bottom"/>
          </w:tcPr>
          <w:p>
            <w:pPr>
              <w:spacing w:after="0"/>
              <w:rPr>
                <w:sz w:val="1"/>
                <w:szCs w:val="1"/>
                <w:color w:val="auto"/>
              </w:rPr>
            </w:pPr>
          </w:p>
        </w:tc>
      </w:tr>
      <w:tr>
        <w:trPr>
          <w:trHeight w:val="20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earnings attributable to non-controlling interests</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4"/>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Fidelity National Financial, Inc. common shareholders</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Basic</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from continuing operations attributable to FNF common shareholders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0" w:type="dxa"/>
            <w:vAlign w:val="bottom"/>
          </w:tcPr>
          <w:p>
            <w:pPr>
              <w:spacing w:after="0"/>
              <w:rPr>
                <w:sz w:val="1"/>
                <w:szCs w:val="1"/>
                <w:color w:val="auto"/>
              </w:rPr>
            </w:pPr>
          </w:p>
        </w:tc>
      </w:tr>
      <w:tr>
        <w:trPr>
          <w:trHeight w:val="19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from discontinued operations attributable to FNF common shareholders</w:t>
            </w: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22"/>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per share attributable to FNF common shareholders, basic</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4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from continuing operations attributable to FNF common shareholders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9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from discontinued operations attributable to FNF common shareholders</w:t>
            </w: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22"/>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per share attributable to FNF common shareholders, diluted</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8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FNF common stock, basic basis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FNF common stock, diluted basis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0" w:type="dxa"/>
            <w:vAlign w:val="bottom"/>
          </w:tcPr>
          <w:p>
            <w:pPr>
              <w:spacing w:after="0"/>
              <w:rPr>
                <w:sz w:val="1"/>
                <w:szCs w:val="1"/>
                <w:color w:val="auto"/>
              </w:rPr>
            </w:pPr>
          </w:p>
        </w:tc>
      </w:tr>
      <w:tr>
        <w:trPr>
          <w:trHeight w:val="19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8120" w:type="dxa"/>
            <w:vAlign w:val="bottom"/>
            <w:shd w:val="clear" w:color="auto" w:fill="CCEEFF"/>
          </w:tcPr>
          <w:p>
            <w:pPr>
              <w:ind w:left="220"/>
              <w:spacing w:after="0" w:line="143" w:lineRule="exact"/>
              <w:rPr>
                <w:sz w:val="20"/>
                <w:szCs w:val="20"/>
                <w:color w:val="auto"/>
              </w:rPr>
            </w:pPr>
            <w:r>
              <w:rPr>
                <w:rFonts w:ascii="Times New Roman" w:cs="Times New Roman" w:eastAsia="Times New Roman" w:hAnsi="Times New Roman"/>
                <w:sz w:val="14"/>
                <w:szCs w:val="14"/>
                <w:color w:val="auto"/>
              </w:rPr>
              <w:t>Unrealized gain (loss) on investments and other financial instruments, net of adjustments to intangible assets and unearned revenue</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194"/>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(excluding investments in unconsolidated affiliates) (1)</w:t>
            </w: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gain on investments in unconsolidated affiliates (2)</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5"/>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(loss) on foreign currency translation (3)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0"/>
        </w:trPr>
        <w:tc>
          <w:tcPr>
            <w:tcW w:w="8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Reclassification adjustments for change in unrealized gains and losses included in net earnings (4)</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05"/>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current discount rate - future policy benefits (5)</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90"/>
        </w:trPr>
        <w:tc>
          <w:tcPr>
            <w:tcW w:w="8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instrument-specific credit risk - market risk benefits (6)</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5"/>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reinsurance liabilities held at fair value resulting from a change in the instrument-specific credit risk</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8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 earnings attributable to non-controlling interest (7)</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Minimum pension liability adjustment (8)</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4"/>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earnings (loss)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191"/>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Comprehensive earnings attributable to non-controlling interests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2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earnings (loss) attributable to Fidelity National Financial, Inc. common shareholders</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ind w:left="960" w:hanging="955"/>
        <w:spacing w:after="0" w:line="268" w:lineRule="auto"/>
        <w:tabs>
          <w:tab w:leader="none" w:pos="9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$238 million, $(1,246) million, and $(140) million for the years ended December 31, 2023, 2022, and 2021, respectively.</w:t>
      </w:r>
    </w:p>
    <w:p>
      <w:pPr>
        <w:spacing w:after="0" w:line="116" w:lineRule="exact"/>
        <w:rPr>
          <w:rFonts w:ascii="Times New Roman" w:cs="Times New Roman" w:eastAsia="Times New Roman" w:hAnsi="Times New Roman"/>
          <w:sz w:val="18"/>
          <w:szCs w:val="18"/>
          <w:color w:val="auto"/>
        </w:rPr>
      </w:pPr>
    </w:p>
    <w:p>
      <w:pPr>
        <w:ind w:left="940" w:hanging="935"/>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$3 million, $3 million, and $7 million for the years ended December 31, 2023, 2022, and 2021, respectively.</w:t>
      </w:r>
    </w:p>
    <w:p>
      <w:pPr>
        <w:spacing w:after="0" w:line="161" w:lineRule="exact"/>
        <w:rPr>
          <w:rFonts w:ascii="Times New Roman" w:cs="Times New Roman" w:eastAsia="Times New Roman" w:hAnsi="Times New Roman"/>
          <w:sz w:val="18"/>
          <w:szCs w:val="18"/>
          <w:color w:val="auto"/>
        </w:rPr>
      </w:pPr>
    </w:p>
    <w:p>
      <w:pPr>
        <w:ind w:left="940" w:hanging="935"/>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$2 million and $(4) million, for the years ended December 31, 2023 and 2022, respectively.</w:t>
      </w:r>
    </w:p>
    <w:p>
      <w:pPr>
        <w:spacing w:after="0" w:line="161" w:lineRule="exact"/>
        <w:rPr>
          <w:rFonts w:ascii="Times New Roman" w:cs="Times New Roman" w:eastAsia="Times New Roman" w:hAnsi="Times New Roman"/>
          <w:sz w:val="18"/>
          <w:szCs w:val="18"/>
          <w:color w:val="auto"/>
        </w:rPr>
      </w:pPr>
    </w:p>
    <w:p>
      <w:pPr>
        <w:ind w:left="960" w:hanging="955"/>
        <w:spacing w:after="0" w:line="268" w:lineRule="auto"/>
        <w:tabs>
          <w:tab w:leader="none" w:pos="9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$34 million, $45 million and $(26) million for the years ended December 31, 2023, 2021 and 2021, respectively.</w:t>
      </w:r>
    </w:p>
    <w:p>
      <w:pPr>
        <w:spacing w:after="0" w:line="116" w:lineRule="exact"/>
        <w:rPr>
          <w:rFonts w:ascii="Times New Roman" w:cs="Times New Roman" w:eastAsia="Times New Roman" w:hAnsi="Times New Roman"/>
          <w:sz w:val="18"/>
          <w:szCs w:val="18"/>
          <w:color w:val="auto"/>
        </w:rPr>
      </w:pPr>
    </w:p>
    <w:p>
      <w:pPr>
        <w:ind w:left="960" w:hanging="955"/>
        <w:spacing w:after="0" w:line="268" w:lineRule="auto"/>
        <w:tabs>
          <w:tab w:leader="none" w:pos="9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$(50) million, $203 million and $33 million for the years ended December 31, 2023, 2021 and 2021, respectively.</w:t>
      </w:r>
    </w:p>
    <w:p>
      <w:pPr>
        <w:spacing w:after="0" w:line="116" w:lineRule="exact"/>
        <w:rPr>
          <w:rFonts w:ascii="Times New Roman" w:cs="Times New Roman" w:eastAsia="Times New Roman" w:hAnsi="Times New Roman"/>
          <w:sz w:val="18"/>
          <w:szCs w:val="18"/>
          <w:color w:val="auto"/>
        </w:rPr>
      </w:pPr>
    </w:p>
    <w:p>
      <w:pPr>
        <w:ind w:left="960" w:hanging="955"/>
        <w:spacing w:after="0" w:line="268" w:lineRule="auto"/>
        <w:tabs>
          <w:tab w:leader="none" w:pos="9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$(9) million, $18 million and $3 million for the years ended December 31, 2023, 2021 and 2021, respectively.</w:t>
      </w:r>
    </w:p>
    <w:p>
      <w:pPr>
        <w:spacing w:after="0" w:line="116" w:lineRule="exact"/>
        <w:rPr>
          <w:rFonts w:ascii="Times New Roman" w:cs="Times New Roman" w:eastAsia="Times New Roman" w:hAnsi="Times New Roman"/>
          <w:sz w:val="18"/>
          <w:szCs w:val="18"/>
          <w:color w:val="auto"/>
        </w:rPr>
      </w:pPr>
    </w:p>
    <w:p>
      <w:pPr>
        <w:ind w:left="940" w:hanging="935"/>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$(35) million and $9 million for the years ended December 31, 2023, and 2022, respectively.</w:t>
      </w:r>
    </w:p>
    <w:p>
      <w:pPr>
        <w:spacing w:after="0" w:line="161" w:lineRule="exact"/>
        <w:rPr>
          <w:rFonts w:ascii="Times New Roman" w:cs="Times New Roman" w:eastAsia="Times New Roman" w:hAnsi="Times New Roman"/>
          <w:sz w:val="18"/>
          <w:szCs w:val="18"/>
          <w:color w:val="auto"/>
        </w:rPr>
      </w:pPr>
    </w:p>
    <w:p>
      <w:pPr>
        <w:ind w:left="940" w:hanging="935"/>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$2 million and $(2) million for the years ended December 31, 2022, and 2021, respectively.</w:t>
      </w:r>
    </w:p>
    <w:p>
      <w:pPr>
        <w:spacing w:after="0" w:line="16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2"/>
                <w:szCs w:val="12"/>
                <w:b w:val="1"/>
                <w:bCs w:val="1"/>
                <w:color w:val="auto"/>
              </w:rPr>
              <w:t>Fidelity National Financial, Inc. Common Shareholders</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4"/>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left="519"/>
              <w:spacing w:after="0"/>
              <w:rPr>
                <w:sz w:val="20"/>
                <w:szCs w:val="20"/>
                <w:color w:val="auto"/>
              </w:rPr>
            </w:pPr>
            <w:r>
              <w:rPr>
                <w:rFonts w:ascii="Times New Roman" w:cs="Times New Roman" w:eastAsia="Times New Roman" w:hAnsi="Times New Roman"/>
                <w:sz w:val="12"/>
                <w:szCs w:val="12"/>
                <w:b w:val="1"/>
                <w:bCs w:val="1"/>
                <w:color w:val="auto"/>
              </w:rPr>
              <w:t>FNF</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left="339"/>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1"/>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gridSpan w:val="4"/>
          </w:tcPr>
          <w:p>
            <w:pPr>
              <w:jc w:val="center"/>
              <w:ind w:left="339"/>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9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120" w:type="dxa"/>
            <w:vAlign w:val="bottom"/>
          </w:tcPr>
          <w:p>
            <w:pPr>
              <w:spacing w:after="0"/>
              <w:rPr>
                <w:sz w:val="15"/>
                <w:szCs w:val="15"/>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4"/>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2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January 1, 2021</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5,720</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2,468</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1,331</w:t>
            </w:r>
          </w:p>
        </w:tc>
        <w:tc>
          <w:tcPr>
            <w:tcW w:w="12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(1,067)</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8,493</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Purchase of incremental share in consolidated subsidiaries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Treasury stock repurchased</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w:t>
            </w:r>
          </w:p>
        </w:tc>
      </w:tr>
      <w:tr>
        <w:trPr>
          <w:trHeight w:val="124"/>
        </w:trPr>
        <w:tc>
          <w:tcPr>
            <w:tcW w:w="324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 comprehensive earnings - unrealized gain on foreign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earnings - minimum pension liability</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adjustment</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 losses included in net earnings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Shares withheld for taxes and in treasury</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24"/>
        </w:trPr>
        <w:tc>
          <w:tcPr>
            <w:tcW w:w="324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Change in reinsurance liabilities held at fair value resulting</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from change in instrument-specific credit risk</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r>
      <w:tr>
        <w:trPr>
          <w:trHeight w:val="17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2,817</w:t>
            </w:r>
          </w:p>
        </w:tc>
      </w:tr>
      <w:tr>
        <w:trPr>
          <w:trHeight w:val="16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December 31, 2021</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5,810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4,818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878</w:t>
            </w: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10,004</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2"/>
                <w:szCs w:val="12"/>
                <w:b w:val="1"/>
                <w:bCs w:val="1"/>
                <w:color w:val="auto"/>
              </w:rPr>
              <w:t>Fidelity National Financial, Inc. Common Shareholders</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4"/>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left="519"/>
              <w:spacing w:after="0"/>
              <w:rPr>
                <w:sz w:val="20"/>
                <w:szCs w:val="20"/>
                <w:color w:val="auto"/>
              </w:rPr>
            </w:pPr>
            <w:r>
              <w:rPr>
                <w:rFonts w:ascii="Times New Roman" w:cs="Times New Roman" w:eastAsia="Times New Roman" w:hAnsi="Times New Roman"/>
                <w:sz w:val="12"/>
                <w:szCs w:val="12"/>
                <w:b w:val="1"/>
                <w:bCs w:val="1"/>
                <w:color w:val="auto"/>
              </w:rPr>
              <w:t>FNF</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left="339"/>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1"/>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gridSpan w:val="4"/>
          </w:tcPr>
          <w:p>
            <w:pPr>
              <w:jc w:val="center"/>
              <w:ind w:left="339"/>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9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120" w:type="dxa"/>
            <w:vAlign w:val="bottom"/>
          </w:tcPr>
          <w:p>
            <w:pPr>
              <w:spacing w:after="0"/>
              <w:rPr>
                <w:sz w:val="15"/>
                <w:szCs w:val="15"/>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4"/>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2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January 1, 2022</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5,810</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4,818</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878</w:t>
            </w:r>
          </w:p>
        </w:tc>
        <w:tc>
          <w:tcPr>
            <w:tcW w:w="12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(1,545)</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10,004</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Non-controlling interest associated with current period</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acquisitions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7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Treasury stock repurchased</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 of incremental share in consolidated subsidiaries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(4,783)</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(4,783)</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earnings — unrealized gain on foreign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 comprehensive earnings - minimum pension liability</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adjustment</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and losses included in net earnings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 comprehensive earnings attributable to non-controlling</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Shares withheld for taxes and in treasury</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24"/>
        </w:trPr>
        <w:tc>
          <w:tcPr>
            <w:tcW w:w="324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 of 15% of the common stock of F&amp;G</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1,306</w:t>
            </w:r>
          </w:p>
        </w:tc>
      </w:tr>
      <w:tr>
        <w:trPr>
          <w:trHeight w:val="16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December 31, 2022</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5,225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(2,870)</w:t>
            </w: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6,569</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2"/>
                <w:szCs w:val="12"/>
                <w:b w:val="1"/>
                <w:bCs w:val="1"/>
                <w:color w:val="auto"/>
              </w:rPr>
              <w:t>Fidelity National Financial, Inc. Common Shareholders</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4"/>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left="519"/>
              <w:spacing w:after="0"/>
              <w:rPr>
                <w:sz w:val="20"/>
                <w:szCs w:val="20"/>
                <w:color w:val="auto"/>
              </w:rPr>
            </w:pPr>
            <w:r>
              <w:rPr>
                <w:rFonts w:ascii="Times New Roman" w:cs="Times New Roman" w:eastAsia="Times New Roman" w:hAnsi="Times New Roman"/>
                <w:sz w:val="12"/>
                <w:szCs w:val="12"/>
                <w:b w:val="1"/>
                <w:bCs w:val="1"/>
                <w:color w:val="auto"/>
              </w:rPr>
              <w:t>FNF</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left="339"/>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1"/>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gridSpan w:val="4"/>
          </w:tcPr>
          <w:p>
            <w:pPr>
              <w:jc w:val="center"/>
              <w:ind w:left="339"/>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9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120" w:type="dxa"/>
            <w:vAlign w:val="bottom"/>
          </w:tcPr>
          <w:p>
            <w:pPr>
              <w:spacing w:after="0"/>
              <w:rPr>
                <w:sz w:val="15"/>
                <w:szCs w:val="15"/>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4"/>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2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January 1, 2023</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5,870</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5,225</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(2,870)</w:t>
            </w:r>
          </w:p>
        </w:tc>
        <w:tc>
          <w:tcPr>
            <w:tcW w:w="12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(2,109)</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453</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6,569</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Treasury stock repurchased</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Purchase of incremental share in consolidated subsidiaries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24"/>
        </w:trPr>
        <w:tc>
          <w:tcPr>
            <w:tcW w:w="324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earnings - unrealized loss on</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 comprehensive earnings - unrealized loss on foreign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earnings - minimum pension liability</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adjustment</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27"/>
        </w:trPr>
        <w:tc>
          <w:tcPr>
            <w:tcW w:w="32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 losses included in net earnings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Shares withheld for taxes and in treasury</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24"/>
        </w:trPr>
        <w:tc>
          <w:tcPr>
            <w:tcW w:w="324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7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F&amp;G purchases of treasury stock</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18"/>
        </w:trPr>
        <w:tc>
          <w:tcPr>
            <w:tcW w:w="3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earnings attributable to non-controlling</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interest</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w:t>
            </w:r>
          </w:p>
        </w:tc>
      </w:tr>
      <w:tr>
        <w:trPr>
          <w:trHeight w:val="195"/>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December 31,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7,460</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7"/>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4"/>
        </w:trPr>
        <w:tc>
          <w:tcPr>
            <w:tcW w:w="8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4"/>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earnings</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w:t>
            </w: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5"/>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190"/>
        </w:trPr>
        <w:tc>
          <w:tcPr>
            <w:tcW w:w="8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05"/>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Loss (gain) on sales of investments and other assets and asset impairments, net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r>
      <w:tr>
        <w:trPr>
          <w:trHeight w:val="190"/>
        </w:trPr>
        <w:tc>
          <w:tcPr>
            <w:tcW w:w="8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Loss on sale of businesses</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5"/>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Interest credited/index credits to contractholder account balances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r>
      <w:tr>
        <w:trPr>
          <w:trHeight w:val="190"/>
        </w:trPr>
        <w:tc>
          <w:tcPr>
            <w:tcW w:w="8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market risk benefits, net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5"/>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policy acquisition costs and deferred sales inducements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r>
      <w:tr>
        <w:trPr>
          <w:trHeight w:val="190"/>
        </w:trPr>
        <w:tc>
          <w:tcPr>
            <w:tcW w:w="8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Charges assessed to contractholders for mortality and administration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205"/>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Non-cash lease costs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90"/>
        </w:trPr>
        <w:tc>
          <w:tcPr>
            <w:tcW w:w="8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Operating lease payments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205"/>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Distributions from unconsolidated affiliates, return on investment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90"/>
        </w:trPr>
        <w:tc>
          <w:tcPr>
            <w:tcW w:w="8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5"/>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 in NAV of limited partnerships, net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r>
      <w:tr>
        <w:trPr>
          <w:trHeight w:val="190"/>
        </w:trPr>
        <w:tc>
          <w:tcPr>
            <w:tcW w:w="8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valuation of derivatives, equity and preferred securities, net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0"/>
        </w:trPr>
        <w:tc>
          <w:tcPr>
            <w:tcW w:w="82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 in reinsurance recoverable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5"/>
        </w:trPr>
        <w:tc>
          <w:tcPr>
            <w:tcW w:w="8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Change in future policy benefits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r>
      <w:tr>
        <w:trPr>
          <w:trHeight w:val="190"/>
        </w:trPr>
        <w:tc>
          <w:tcPr>
            <w:tcW w:w="82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 in funds withheld from reinsurers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r>
      <w:tr>
        <w:trPr>
          <w:trHeight w:val="205"/>
        </w:trPr>
        <w:tc>
          <w:tcPr>
            <w:tcW w:w="8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decrease (increase) in trade receivables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90"/>
        </w:trPr>
        <w:tc>
          <w:tcPr>
            <w:tcW w:w="82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(decrease) increase in reserve for title claim losses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r>
      <w:tr>
        <w:trPr>
          <w:trHeight w:val="205"/>
        </w:trPr>
        <w:tc>
          <w:tcPr>
            <w:tcW w:w="8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91"/>
        </w:trPr>
        <w:tc>
          <w:tcPr>
            <w:tcW w:w="82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9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r>
      <w:tr>
        <w:trPr>
          <w:trHeight w:val="167"/>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4"/>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sales, calls and maturities of investment securities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9,796</w:t>
            </w: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Fundings of notes receivable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Additions to property and equipment and capitalized software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(16,014)</w:t>
            </w: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proceeds (purchases of) from sales and maturities of short-term investment securities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acquisitions/disposals, net of cash acquired</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Additional investments in unconsolidated affiliates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w:t>
            </w: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Distributions from unconsolidated affiliates, return of investment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other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4"/>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7"/>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4"/>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Borrowings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offering</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F&amp;G Credit Agreement repayments, net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costs/equity issuance additions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service payments</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paid</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Subsidiary dividends paid to non-controlling interest shareholders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change in secured trust deposits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 of additional share in consolidated subsidiaries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 of contingent consideration for prior period acquisitions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for shares withheld for taxes and in treasury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Contractholder account deposits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8,166</w:t>
            </w:r>
          </w:p>
        </w:tc>
        <w:tc>
          <w:tcPr>
            <w:tcW w:w="0" w:type="dxa"/>
            <w:vAlign w:val="bottom"/>
          </w:tcPr>
          <w:p>
            <w:pPr>
              <w:spacing w:after="0"/>
              <w:rPr>
                <w:sz w:val="1"/>
                <w:szCs w:val="1"/>
                <w:color w:val="auto"/>
              </w:rPr>
            </w:pP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Contractholder account withdrawals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(2,931)</w:t>
            </w: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F&amp;G repurchases of F&amp;G stock</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0" w:type="dxa"/>
            <w:vAlign w:val="bottom"/>
          </w:tcPr>
          <w:p>
            <w:pPr>
              <w:spacing w:after="0"/>
              <w:rPr>
                <w:sz w:val="1"/>
                <w:szCs w:val="1"/>
                <w:color w:val="auto"/>
              </w:rPr>
            </w:pP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0" w:type="dxa"/>
            <w:vAlign w:val="bottom"/>
          </w:tcPr>
          <w:p>
            <w:pPr>
              <w:spacing w:after="0"/>
              <w:rPr>
                <w:sz w:val="1"/>
                <w:szCs w:val="1"/>
                <w:color w:val="auto"/>
              </w:rPr>
            </w:pPr>
          </w:p>
        </w:tc>
      </w:tr>
      <w:tr>
        <w:trPr>
          <w:trHeight w:val="197"/>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A.</w:t>
      </w:r>
      <w:r>
        <w:rPr>
          <w:sz w:val="20"/>
          <w:szCs w:val="20"/>
          <w:color w:val="auto"/>
        </w:rPr>
        <w:tab/>
      </w:r>
      <w:r>
        <w:rPr>
          <w:rFonts w:ascii="Times New Roman" w:cs="Times New Roman" w:eastAsia="Times New Roman" w:hAnsi="Times New Roman"/>
          <w:sz w:val="16"/>
          <w:szCs w:val="16"/>
          <w:b w:val="1"/>
          <w:bCs w:val="1"/>
          <w:color w:val="auto"/>
        </w:rPr>
        <w:t>Business and Summary of Significant Accounting Policies</w:t>
      </w:r>
    </w:p>
    <w:p>
      <w:pPr>
        <w:spacing w:after="0" w:line="23"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The following describes the business and significant accounting policies of Fidelity National Financial, Inc. and its subsidiaries (collectively, "we," "us," "our," the "Company" or "FNF"), which have been followed in preparing the accompanying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13"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 owned subsidiary, F&amp;G Annuities &amp; Life ("F&amp;G").</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information about our reportable segments refer to Note J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Amendment to our Revolving Credit Facility</w:t>
      </w:r>
    </w:p>
    <w:p>
      <w:pPr>
        <w:spacing w:after="0" w:line="11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 xml:space="preserve">On February 16, 2024, we entered into a Sixth Amended and Restated Credit Agreement for our $800 million revolving credit facility (the "Amended Revolving Credit Facility") with Bank of America, N.A., as administrative agent and other agents party thereto (the "Sixth Restated Credit Agreement"). For further information related to the Amended Revolving Credit Facility and the Sixth Restated Credit Agreement refer to Note G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Amendment to the F&amp;G Credit Agreement</w:t>
      </w:r>
    </w:p>
    <w:p>
      <w:pPr>
        <w:spacing w:after="0" w:line="111"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 xml:space="preserve">On February 16, 2024, we entered into a Second Amended and Restated F&amp;G Credit Agreement of our $665 million credit agreement, with the guarantors party thereto, the financial institutions party thereto as lenders, and Bank of America, N.A., as administrative agent, swing line lender and an issuing bank (the "Second Amended and Restated F&amp;G Credit Agreement"). For more information related to the Second Amended and Restated F&amp;G Credit Agreement refer to Note G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Acquisition of ROAR</w:t>
      </w:r>
    </w:p>
    <w:p>
      <w:pPr>
        <w:spacing w:after="0" w:line="111"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On January 2, 2024, F&amp;G acquired a 70% majority ownership stake in the equity of Roar Joint Venture, LLC ("Roar"). Roar wholesales life insurance and annuity products to banks and broker dealers through a network of agents. Total initial consideration is comprised of cash of approximately $269 million and contingent consideration. Under the terms of the purchase agreement, the Company has agreed to make cash payments of up to approximately $90 million over a three year period upon the achievement of certain earnings before interest, taxes, depreciation and amortization milestones of Roar.</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Investment of $250 million in F&amp;G</w:t>
      </w:r>
    </w:p>
    <w:p>
      <w:pPr>
        <w:spacing w:after="0" w:line="1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On January 12, 2024, we completed a $250 million preferred stock investment in F&amp;G. F&amp;G will use the net proceeds from the investment to support growth of its assets under management.</w:t>
      </w:r>
    </w:p>
    <w:p>
      <w:pPr>
        <w:spacing w:after="0" w:line="64"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Under the terms of the agreement, we have agreed to invest $250 million in exchange for 5 million shares of F&amp;G's 6.875% Series A Mandatory Convertible Preferred Stock, par value $0.001 per share (the "Mandatory Convertible Preferred Stock"). Each share of Mandatory Convertible Preferred Stock will have a liquidation preference of $50.00 per share. Unless earlier converted at the option of the holder, each outstanding share of the Mandatory Convertible Preferred Stock will automatically convert into shares of common stock of F&amp;G on January 15, 2027 (the "Mandatory Conversion Date"). Upon conversion on the Mandatory Conversion Date, the conversion rate for each share of the Mandatory Convertible Preferred Stock will be no more than 1.1111 shares of common stock and no less than 0.9456 shares of common stock per share of Mandatory Convertible Preferred Stock, depending on the value of F&amp;G's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7.95% F&amp;G Senior Notes</w:t>
      </w:r>
    </w:p>
    <w:p>
      <w:pPr>
        <w:spacing w:after="0" w:line="98" w:lineRule="exact"/>
        <w:rPr>
          <w:sz w:val="20"/>
          <w:szCs w:val="20"/>
          <w:color w:val="auto"/>
        </w:rPr>
      </w:pPr>
    </w:p>
    <w:p>
      <w:pPr>
        <w:jc w:val="both"/>
        <w:ind w:firstLine="316"/>
        <w:spacing w:after="0" w:line="242" w:lineRule="auto"/>
        <w:rPr>
          <w:sz w:val="20"/>
          <w:szCs w:val="20"/>
          <w:color w:val="auto"/>
        </w:rPr>
      </w:pPr>
      <w:r>
        <w:rPr>
          <w:rFonts w:ascii="Times New Roman" w:cs="Times New Roman" w:eastAsia="Times New Roman" w:hAnsi="Times New Roman"/>
          <w:sz w:val="18"/>
          <w:szCs w:val="18"/>
          <w:color w:val="auto"/>
        </w:rPr>
        <w:t xml:space="preserve">On December 6, 2023, F&amp;G completed the public offering of $345 million aggregate principal amount of its 7.95% Senior Notes due 2053 (the "7.95% F&amp;G Notes"). F&amp;G used the net proceeds from the sale of the notes to repay borrowings under its revolving credit facility and for general corporate purposes, including the support of organic growth opportunities. The Senior notes were registered under the Securities Act of 1933 (as amended) (the "Securities Act"). For further information related to the 7.95% F&amp;G Notes, refer to Note G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2023 Cybersecurity Incident</w:t>
      </w:r>
    </w:p>
    <w:p>
      <w:pPr>
        <w:spacing w:after="0" w:line="85"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On November 19, 2023, we became aware of a cybersecurity incident that impacted certain of our systems. We promptly commenced an investigation, retained leading experts to assist the Company, notified law enforcement authorities, regulatory authorities and other stakeholders, and followed our incident response plans. In addition, we took containment measures such as blocking access to certain of our systems resulting in varying levels of disruption to our businesses. The incident was contained on November 26, 2023.</w:t>
      </w:r>
    </w:p>
    <w:p>
      <w:pPr>
        <w:spacing w:after="0" w:line="65"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We completed our forensic investigation on December 13, 2023. We determined that an unauthorized third-party accessed certain of our systems, deployed a type of malware that is not self-propagating, and exfiltrated certain data. We have no evidence that any customer-owned system was directly impacted in the incident, and no customer has reported that this has occurred. The last confirmed date of unauthorized third-party activity in our network occurred on November 20, 2023.</w:t>
      </w:r>
    </w:p>
    <w:p>
      <w:pPr>
        <w:spacing w:after="0" w:line="65" w:lineRule="exact"/>
        <w:rPr>
          <w:sz w:val="20"/>
          <w:szCs w:val="20"/>
          <w:color w:val="auto"/>
        </w:rPr>
      </w:pPr>
    </w:p>
    <w:p>
      <w:pPr>
        <w:jc w:val="both"/>
        <w:ind w:firstLine="316"/>
        <w:spacing w:after="0" w:line="289" w:lineRule="auto"/>
        <w:rPr>
          <w:sz w:val="20"/>
          <w:szCs w:val="20"/>
          <w:color w:val="auto"/>
        </w:rPr>
      </w:pPr>
      <w:r>
        <w:rPr>
          <w:rFonts w:ascii="Times New Roman" w:cs="Times New Roman" w:eastAsia="Times New Roman" w:hAnsi="Times New Roman"/>
          <w:sz w:val="16"/>
          <w:szCs w:val="16"/>
          <w:color w:val="auto"/>
        </w:rPr>
        <w:t xml:space="preserve">We have identified and analyzed the nature and scope of the affected systems and data. We have notified our affected customers and applicable state attorneys general and regulators, and approximately 1.3 million potentially impacted consumers; are providing credit monitoring, web monitoring, and identity theft restoration services; and are fielding questions from customers. We are continuing to coordinate with law enforcement, our customers, regulators, advisors and other stakeholders. We have been named as a defendant in several lawsuits related to this incident. The Company will vigorously defend itself against any litigation filed related to this incident. For further information on the litigation related to this incident, refer to Note H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this time, we do not believe that the incident will have a material impact on the Company.</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7.40% F&amp;G Senior Notes</w:t>
      </w:r>
    </w:p>
    <w:p>
      <w:pPr>
        <w:spacing w:after="0" w:line="1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6"/>
          <w:szCs w:val="16"/>
          <w:color w:val="auto"/>
        </w:rPr>
        <w:t xml:space="preserve">On January 13, 2023, F&amp;G completed its issuance and sale of $500 million aggregate amount of its 7.40% Senior Notes due 2028 (the "7.40% F&amp;G Notes"), pursuant to Rule 144A and Regulation S under the Securities Act of 1933, as amended. The 7.40% F&amp;G Notes are the senior unsecured, unsubordinated obligations of F&amp;G and are guaranteed on an unsecured, unsubordinated basis by each of F&amp;G's subsidiaries that are guarantors of its obligations under the F&amp;G Credit Agreement (the "Guarantors"). F&amp;G intends to use the net proceeds from the offering of the 7.40% F&amp;G Notes for general corporate purposes, including to support the growth of assets under management and for F&amp;G's future liquidity requirements. The interest rate payable on the 7.40% F&amp;G Notes will be subject to adjustment from time to time if either S&amp;P or Fitch (or a substitute rating agency) downgrades (or downgrades and subsequently upgrades) the credit ratings assigned to the 7.40% F&amp;G Notes. For further information related to the 7.40% F&amp;G Notes, refer to Note G </w:t>
      </w:r>
      <w:r>
        <w:rPr>
          <w:rFonts w:ascii="Times New Roman" w:cs="Times New Roman" w:eastAsia="Times New Roman" w:hAnsi="Times New Roman"/>
          <w:sz w:val="16"/>
          <w:szCs w:val="16"/>
          <w:i w:val="1"/>
          <w:iCs w:val="1"/>
          <w:color w:val="auto"/>
        </w:rPr>
        <w:t>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Payable</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Acquisition of TitlePoint</w:t>
      </w:r>
    </w:p>
    <w:p>
      <w:pPr>
        <w:spacing w:after="0" w:line="98" w:lineRule="exact"/>
        <w:rPr>
          <w:sz w:val="20"/>
          <w:szCs w:val="20"/>
          <w:color w:val="auto"/>
        </w:rPr>
      </w:pPr>
    </w:p>
    <w:p>
      <w:pPr>
        <w:jc w:val="both"/>
        <w:ind w:firstLine="316"/>
        <w:spacing w:after="0" w:line="294" w:lineRule="auto"/>
        <w:rPr>
          <w:sz w:val="20"/>
          <w:szCs w:val="20"/>
          <w:color w:val="auto"/>
        </w:rPr>
      </w:pPr>
      <w:r>
        <w:rPr>
          <w:rFonts w:ascii="Times New Roman" w:cs="Times New Roman" w:eastAsia="Times New Roman" w:hAnsi="Times New Roman"/>
          <w:sz w:val="16"/>
          <w:szCs w:val="16"/>
          <w:color w:val="auto"/>
        </w:rPr>
        <w:t xml:space="preserve">On January 1, 2023, we completed our previously announced acquisition of TitlePoint for $224 million in cash, subject to a customary working capital adjustment. TitlePoint enables searches for detailed property information, images of documents and maps from hundreds of counties across the U.S and is a leader in the science of real estate property research technology. For further information related to the acquisition of TitlePoint, refer to Note B </w:t>
      </w:r>
      <w:r>
        <w:rPr>
          <w:rFonts w:ascii="Times New Roman" w:cs="Times New Roman" w:eastAsia="Times New Roman" w:hAnsi="Times New Roman"/>
          <w:sz w:val="16"/>
          <w:szCs w:val="16"/>
          <w:i w:val="1"/>
          <w:iCs w:val="1"/>
          <w:color w:val="auto"/>
        </w:rPr>
        <w:t>Acquisitions</w:t>
      </w:r>
      <w:r>
        <w:rPr>
          <w:rFonts w:ascii="Times New Roman" w:cs="Times New Roman" w:eastAsia="Times New Roman" w:hAnsi="Times New Roman"/>
          <w:sz w:val="16"/>
          <w:szCs w:val="16"/>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87" w:lineRule="exact"/>
        <w:rPr>
          <w:sz w:val="20"/>
          <w:szCs w:val="20"/>
          <w:color w:val="auto"/>
        </w:rPr>
      </w:pPr>
    </w:p>
    <w:p>
      <w:pPr>
        <w:jc w:val="both"/>
        <w:ind w:firstLine="316"/>
        <w:spacing w:after="0" w:line="265" w:lineRule="auto"/>
        <w:rPr>
          <w:sz w:val="20"/>
          <w:szCs w:val="20"/>
          <w:color w:val="auto"/>
        </w:rPr>
      </w:pPr>
      <w:r>
        <w:rPr>
          <w:rFonts w:ascii="Times New Roman" w:cs="Times New Roman" w:eastAsia="Times New Roman" w:hAnsi="Times New Roman"/>
          <w:sz w:val="16"/>
          <w:szCs w:val="16"/>
          <w:color w:val="auto"/>
        </w:rPr>
        <w:t>The accompanying Consolidated Financial Statements are prepared in accordance with generally accepted accounting principles in the United States ("GAAP") and include our accounts as well as our wholly-owned and majority-owned subsidiaries. All intercompany profits, transactions and balances have been eliminated. In our title segment, our investments in unconsolidated subsidiaries and affiliates are accounted for using the equity method until such time that they become wholly or majority-owned. Earnings attributable to noncontrolling interests recorded on the Consolidated Statements of Earnings represents the portion of a majority-owned subsidiary's net earnings or loss that is owned by noncontrolling shareholders of the subsidiary. Noncontrolling interest recorded on the Consolidated Balance Sheets represents the portion of equity in a consolidated subsidiary owned by noncontrolling shareholders.</w:t>
      </w:r>
    </w:p>
    <w:p>
      <w:pPr>
        <w:spacing w:after="0" w:line="44"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We are involved in certain entities that are considered variable interest entities ("VIEs") as defined under GAAP. Our involvement with VIEs is primarily to invest in assets that allow us to gain exposure to a broadly diversified portfolio of asset classes. A VIE is an entity that does not have sufficient equity to finance its own activities without additional financial support, where investors lack certain characteristics of a controlling financial interest, or where the entity is structured with non-substantive voting rights. We assess our relationships with VIEs to evaluate if we are the primary beneficiary of the VIE. If we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determine we are the primary beneficiary of a VIE, we consolidate the assets and liabilities of the VIE in our Consolidated Financial Statements. See Note E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for additional information on our investments in VIEs.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Fixed Maturity Securities Available-for-Sale</w:t>
      </w:r>
    </w:p>
    <w:p>
      <w:pPr>
        <w:spacing w:after="0" w:line="85" w:lineRule="exact"/>
        <w:rPr>
          <w:sz w:val="20"/>
          <w:szCs w:val="20"/>
          <w:color w:val="auto"/>
        </w:rPr>
      </w:pPr>
    </w:p>
    <w:p>
      <w:pPr>
        <w:jc w:val="both"/>
        <w:ind w:firstLine="316"/>
        <w:spacing w:after="0" w:line="261" w:lineRule="auto"/>
        <w:rPr>
          <w:sz w:val="20"/>
          <w:szCs w:val="20"/>
          <w:color w:val="auto"/>
        </w:rPr>
      </w:pPr>
      <w:r>
        <w:rPr>
          <w:rFonts w:ascii="Times New Roman" w:cs="Times New Roman" w:eastAsia="Times New Roman" w:hAnsi="Times New Roman"/>
          <w:sz w:val="16"/>
          <w:szCs w:val="16"/>
          <w:color w:val="auto"/>
        </w:rPr>
        <w:t xml:space="preserve">Fixed maturity securities are purchased to support our investment strategies, which are developed based on factors including rate of return, maturity, credit risk, duration, tax considerations and regulatory requirements. Our investments in fixed maturity securities have been designated as available-for-sale ("AFS") and are carried at fair value, net of allowance for expected credit losses, with unrealized gains and losses included within AOCI, net of deferred income taxes. Fair values for fixed maturity securities are principally a function of current market conditions and are primarily valued based on quoted prices in markets that are not active or model inputs that are observable or unobservable. We recognize investment income on fixed maturities based on the effective interest method, which results in the recognition of a constant rate of return on the investment equal to the prevailing rate at the time of purchase or at the time of subsequent adjustments of book value. In our title segment, realized gains and losses on sales of our fixed maturity securities are determined on the basis of the cost of the specific investments sold and are credited or charged to income on a trade date basis. Our F&amp;G segment uses first-in first-out cost basis and generally records security transactions on a trade date basis except for private placements, which are recorded on a settlement date basis. Realized gains and losses on sales of fixed maturity securities are reported within Recognized gains and losses, net in the accompanying Consolidated Statements of Earnings. Fixed maturity securities AFS are subject to an allowance for credit loss and changes in the allowance are reported in net earnings as a component of Recognized gains and losses, net. For details on our policy around allowance for expected credit losses on AFS securities, refer to Note E </w:t>
      </w:r>
      <w:r>
        <w:rPr>
          <w:rFonts w:ascii="Times New Roman" w:cs="Times New Roman" w:eastAsia="Times New Roman" w:hAnsi="Times New Roman"/>
          <w:sz w:val="16"/>
          <w:szCs w:val="16"/>
          <w:i w:val="1"/>
          <w:iCs w:val="1"/>
          <w:color w:val="auto"/>
        </w:rPr>
        <w:t>Investments.</w:t>
      </w:r>
    </w:p>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Preferred and Equity Securities</w:t>
      </w:r>
    </w:p>
    <w:p>
      <w:pPr>
        <w:spacing w:after="0" w:line="98" w:lineRule="exact"/>
        <w:rPr>
          <w:sz w:val="20"/>
          <w:szCs w:val="20"/>
          <w:color w:val="auto"/>
        </w:rPr>
      </w:pPr>
    </w:p>
    <w:p>
      <w:pPr>
        <w:jc w:val="both"/>
        <w:ind w:firstLine="316"/>
        <w:spacing w:after="0" w:line="286" w:lineRule="auto"/>
        <w:rPr>
          <w:sz w:val="20"/>
          <w:szCs w:val="20"/>
          <w:color w:val="auto"/>
        </w:rPr>
      </w:pPr>
      <w:r>
        <w:rPr>
          <w:rFonts w:ascii="Times New Roman" w:cs="Times New Roman" w:eastAsia="Times New Roman" w:hAnsi="Times New Roman"/>
          <w:sz w:val="16"/>
          <w:szCs w:val="16"/>
          <w:color w:val="auto"/>
        </w:rPr>
        <w:t>Equity and preferred securities held are carried at fair value as of the balance sheet dates. The fair values of our equity and preferred securities are based on quoted prices in active markets, or are valued based on quoted prices in markets that are not active or model inputs that are observable or unobservable or based on net asset value ("NAV"). Changes in fair value and realized gains and losses on sales of our preferred and equity securities are reported within Recognized gains and losses, net in the accompanying Consolidated Statements of Earnings. Recognized gains and losses on sales of our preferred and equity securities are credited or charged to earnings on a trade date basis, unless the security is a private placement in which case settlement date basis is used. Interest and dividend income from these investments is reported in Interest and investment income in the accompanying Consolidated Statements of Earnings.</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85"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In our F&amp;G segment, we hedge certain portions of our exposure to product related equity market risk by entering into derivative transactions (primarily call options). We utilize interest rate swaps to reduce market risks from interest rate changes on our earnings associated with our floating rate investments. All such derivative instruments are recognized as either assets or liabilities in the accompanying Consolidated Balance Sheets at fair value. The changes in fair value are reported within Recognized gains and losses, net in the accompanying Consolidated Statements of Earnings.</w:t>
      </w:r>
    </w:p>
    <w:p>
      <w:pPr>
        <w:spacing w:after="0" w:line="78"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We purchase financial instruments and issue products that may contain embedded derivative instruments. If it is determined that the embedded derivative possesses economic characteristics that are not clearly and closely related to the economic characteristics of the host contract, and a separate instrument with the same terms would qualify as a derivative instrument, the embedded derivative is bifurcated from the host contract for measurement purposes. The Company’s embedded derivative associated to our FIA crediting rates policies is carried at fair value, which is determined through a combination of market observable inputs such as market value of option and interest swap rates and unobservable inputs such as the mortality multiplier, surrender and withdrawal rates and non-performance spread. The changes in fair value of the FIA embedded derivative are reported within Benefits and other changes in policy reserves in the accompanying Consolidated Statements of Earnings.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Reinsurance Related Embedded Derivatives</w:t>
      </w:r>
    </w:p>
    <w:p>
      <w:pPr>
        <w:spacing w:after="0" w:line="83" w:lineRule="exact"/>
        <w:rPr>
          <w:sz w:val="20"/>
          <w:szCs w:val="20"/>
          <w:color w:val="auto"/>
        </w:rPr>
      </w:pPr>
    </w:p>
    <w:p>
      <w:pPr>
        <w:jc w:val="both"/>
        <w:ind w:firstLine="316"/>
        <w:spacing w:after="0" w:line="283" w:lineRule="auto"/>
        <w:rPr>
          <w:sz w:val="20"/>
          <w:szCs w:val="20"/>
          <w:color w:val="auto"/>
        </w:rPr>
      </w:pPr>
      <w:r>
        <w:rPr>
          <w:rFonts w:ascii="Times New Roman" w:cs="Times New Roman" w:eastAsia="Times New Roman" w:hAnsi="Times New Roman"/>
          <w:sz w:val="16"/>
          <w:szCs w:val="16"/>
          <w:color w:val="auto"/>
        </w:rPr>
        <w:t xml:space="preserve">As discussed in Note O </w:t>
      </w:r>
      <w:r>
        <w:rPr>
          <w:rFonts w:ascii="Times New Roman" w:cs="Times New Roman" w:eastAsia="Times New Roman" w:hAnsi="Times New Roman"/>
          <w:sz w:val="16"/>
          <w:szCs w:val="16"/>
          <w:i w:val="1"/>
          <w:iCs w:val="1"/>
          <w:color w:val="auto"/>
        </w:rPr>
        <w:t>F&amp;G Reinsurance</w:t>
      </w:r>
      <w:r>
        <w:rPr>
          <w:rFonts w:ascii="Times New Roman" w:cs="Times New Roman" w:eastAsia="Times New Roman" w:hAnsi="Times New Roman"/>
          <w:sz w:val="16"/>
          <w:szCs w:val="16"/>
          <w:color w:val="auto"/>
        </w:rPr>
        <w:t>, F&amp;G entered into reinsurance agreements to cede a quota share of certain deferred annuity, multi-year guaranteed annuities ("MYGA") and deferred annuity"), respectively, GAAP and statutory reserves on a coinsurance funds withheld basis, net of applicable existing reinsurance. Funds withheld arrangements allow the Company to retain legal ownership of assets backing reinsurance arrangements until they are earned by the reinsurer while passing credit risk associated with the assets in the funds withheld account to the reinsurer. These arrangements create embedded derivatives considered to be total return swaps with contractual returns that are attributable to the assets and liabilities associated with the reinsurance arrangement. The fair value of the total return swap is based on the change in fair value of the underlying assets held in the funds withheld portfolio. Investment results for the assets that support the coinsurance with funds withheld reinsurance arrangement, including gains and losses from sales, are passed directly to the reinsurer pursuant to contractual terms of the reinsurance arrangement. These total return swaps are not clearly and closely related to the underlying reinsurance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 and thus require bifurcation. The reinsurance related embedded derivative is reported in Prepaid expenses and other assets if in a net gain position, or Accounts payable and accrued liabilities, if in a net loss position on the Consolidated Balance Sheets and the related gains or losses are reported in Recognized gains (losses) on the Consolidated Statements of Earnings.</w:t>
      </w:r>
    </w:p>
    <w:p>
      <w:pPr>
        <w:spacing w:after="0" w:line="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8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 xml:space="preserve">Our investment in mortgage loans consists of commercial and residential mortgage loans on real estate, which are reported at amortized cost, less allowance for expected credit losses. For details on our policy around allowance for expected credit losses on mortgage loans, refer to Note 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Commercial mortgage loans ("CMLs") are continuously monitored by reviewing appraisals, operating statements, rent revenues, annual inspection reports, loan specific credit quality, property characteristics, market trends and other factors.</w:t>
      </w:r>
    </w:p>
    <w:p>
      <w:pPr>
        <w:spacing w:after="0" w:line="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CMLs are rated for the purpose of quantifying the level of risk. Loans are placed on a watch list when the debt service coverage ("DSC") ratio falls below certain thresholds and the loan-to-value ("LTV") ratios exceeds certain thresholds. Loans on the watchlist are closely monitored for collateral deficiency or other credit events that may lead to a potential loss of principal or interest. We define delinquent mortgage loans as 30 days past due, consistent with industry practice.</w:t>
      </w:r>
    </w:p>
    <w:p>
      <w:pPr>
        <w:spacing w:after="0" w:line="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Residential mortgage loans ("RMLs") have a primary credit quality indicator of either a performing or nonperforming loan. We define nonperforming RMLs as those that are 90 or more days past due and/or in nonaccrual status, which is assessed monthly. Generally, nonperforming RMLs have a higher risk of experiencing a credit loss. We consider residential mortgage loans that are 90 or more days past due and have an LTV greater than 90% to be foreclosure probable.</w:t>
      </w:r>
    </w:p>
    <w:p>
      <w:pPr>
        <w:spacing w:after="0" w:line="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on loans is recognized on an accrual basis at the applicable interest rate on the principal amount outstanding. Loan origination fees and direct costs, as well as premiums and discounts, are amortized as level yield adjustments over the respective loan terms. Unamortized net fees or costs are recognized upon early repayment of the loans. Loan commitment fees are deferred and amortized on an effective yield basis over the term of the loan. Interest income, amortization of premiums and discounts, prepayment fees, and loan commitment fees are reported in Interest and investment income in the accompanying Consolidated Statements of Earnings.</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85"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Short-term investments consist of financial instruments with an original maturity of one year or less when purchased and include short-term fixed maturity securities and money market instruments, which are carried at fair value, and short-term loans, which are carried at amortized cost, which approximates fair value.</w:t>
      </w:r>
    </w:p>
    <w:p>
      <w:pPr>
        <w:spacing w:after="0" w:line="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85" w:lineRule="exact"/>
        <w:rPr>
          <w:sz w:val="20"/>
          <w:szCs w:val="20"/>
          <w:color w:val="auto"/>
        </w:rPr>
      </w:pPr>
    </w:p>
    <w:p>
      <w:pPr>
        <w:jc w:val="both"/>
        <w:ind w:firstLine="316"/>
        <w:spacing w:after="0" w:line="261" w:lineRule="auto"/>
        <w:rPr>
          <w:sz w:val="20"/>
          <w:szCs w:val="20"/>
          <w:color w:val="auto"/>
        </w:rPr>
      </w:pPr>
      <w:r>
        <w:rPr>
          <w:rFonts w:ascii="Times New Roman" w:cs="Times New Roman" w:eastAsia="Times New Roman" w:hAnsi="Times New Roman"/>
          <w:sz w:val="16"/>
          <w:szCs w:val="16"/>
          <w:color w:val="auto"/>
        </w:rPr>
        <w:t>In our F&amp;G segment, we account for our investments in unconsolidated affiliates using the equity method or by electing the fair value option. Initial investments are recorded at cost. For investments subsequently measured using the equity method (primarily limited partnerships), adjustments to the carrying amount reflect our pro rata ownership percentage of the operating results as indicated by net asset value (“NAV”) in the unconsolidated affiliates’ financial statements, which we may adjust if we determine NAV is not calculated consistent with investment company fair value principles. Distributions received from investments measured using the equity method are recorded as a decrease in the investment balance. For investments subsequently measured using the fair value option, adjustments to the carrying amount reflecting the change in fair value of the investment are reported along with realized gains and losses on sales of investments in unconsolidated affiliates in Recognized gains and (losses), net in the accompanying Consolidated Statements of Earnings. Distributions received from investments measured using the fair value option is reported within Interest and investment income in the accompanying Consolidated Statements of Earnings. Recognition of income and adjustments to the carrying amount can be delayed due to the availability of the related financial statements, which are obtained from the general partner or managing member generally on a one to three-month delay. For investments using the equity method, management inquires quarterly with the general partner or managing member to determine whether any credit or other market events have occurred since prior quarter financial statements to ensure any material events are properly included in current quarter valuation and investment income.</w:t>
      </w:r>
    </w:p>
    <w:p>
      <w:pPr>
        <w:spacing w:after="0" w:line="260" w:lineRule="exact"/>
        <w:rPr>
          <w:sz w:val="20"/>
          <w:szCs w:val="20"/>
          <w:color w:val="auto"/>
        </w:rPr>
      </w:pPr>
    </w:p>
    <w:p>
      <w:pPr>
        <w:jc w:val="both"/>
        <w:ind w:firstLine="316"/>
        <w:spacing w:after="0" w:line="231" w:lineRule="auto"/>
        <w:rPr>
          <w:sz w:val="20"/>
          <w:szCs w:val="20"/>
          <w:color w:val="auto"/>
        </w:rPr>
      </w:pPr>
      <w:r>
        <w:rPr>
          <w:rFonts w:ascii="Times New Roman" w:cs="Times New Roman" w:eastAsia="Times New Roman" w:hAnsi="Times New Roman"/>
          <w:sz w:val="18"/>
          <w:szCs w:val="18"/>
          <w:color w:val="auto"/>
        </w:rPr>
        <w:t>In our title segment, we account for our investments in unconsolidated affiliates using the equity method of accounting and earnings on our investments in unconsolidated affiliates are recorded within Equity in earnings of unconsolidated affiliates within the Consolidated Statements of Earnings. We classify distributions received from unconsolidated affiliates in our Consolidated Statements of Cash Flows using the cumulative earnings approach. Under the cumulative earnings approach, distributions are considered returns on investment and classified as cash inflows from operating activities unless the Company’s cumulative distributions from an investee received exceed the cumulative equity in earnings of such investee. When cumulative distributions from an investee exceed cumulative equity in earnings of the investee, such excess is considered a return of investment and is classified as a cash inflow from investing activities.</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8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Dividends and interest income are recorded in Interest and investment income and recognized when earned. Income or losses upon call or prepayment of fixed maturity securities are recognized in Interest and investment income. Amortization 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premiums and accretion of discounts on investments in fixed maturity securities are reflected in Interest and investment income over the contractual terms of the investments, and for callable investments at a premium, based on the earliest call date of the investments, in a manner that produces a constant effective yield.</w:t>
      </w:r>
    </w:p>
    <w:p>
      <w:pPr>
        <w:spacing w:after="0" w:line="35" w:lineRule="exact"/>
        <w:rPr>
          <w:sz w:val="20"/>
          <w:szCs w:val="20"/>
          <w:color w:val="auto"/>
        </w:rPr>
      </w:pPr>
    </w:p>
    <w:p>
      <w:pPr>
        <w:jc w:val="both"/>
        <w:ind w:firstLine="316"/>
        <w:spacing w:after="0" w:line="236" w:lineRule="auto"/>
        <w:rPr>
          <w:sz w:val="20"/>
          <w:szCs w:val="20"/>
          <w:color w:val="auto"/>
        </w:rPr>
      </w:pPr>
      <w:r>
        <w:rPr>
          <w:rFonts w:ascii="Times New Roman" w:cs="Times New Roman" w:eastAsia="Times New Roman" w:hAnsi="Times New Roman"/>
          <w:sz w:val="18"/>
          <w:szCs w:val="18"/>
          <w:color w:val="auto"/>
        </w:rPr>
        <w:t>For mortgage-backed and asset-backed securities, included in the fixed maturity securities portfolios, one of two models may be used to recognize interest income. For higher rated securities, interest income will be estimated based on an effective yield that considers cash flows received to date plus current expectations of future cash flows. For all other securities, interest income will be estimated based upon an effective yield that considers current expectations of future cash flows. For both interest income models, the estimated future cash flows include assumptions regarding the performance of the underlying collateral pool.</w:t>
      </w:r>
    </w:p>
    <w:p>
      <w:pPr>
        <w:spacing w:after="0" w:line="48" w:lineRule="exact"/>
        <w:rPr>
          <w:sz w:val="20"/>
          <w:szCs w:val="20"/>
          <w:color w:val="auto"/>
        </w:rPr>
      </w:pPr>
    </w:p>
    <w:p>
      <w:pPr>
        <w:ind w:right="1460" w:firstLine="316"/>
        <w:spacing w:after="0" w:line="350" w:lineRule="auto"/>
        <w:rPr>
          <w:sz w:val="20"/>
          <w:szCs w:val="20"/>
          <w:color w:val="auto"/>
        </w:rPr>
      </w:pPr>
      <w:r>
        <w:rPr>
          <w:rFonts w:ascii="Times New Roman" w:cs="Times New Roman" w:eastAsia="Times New Roman" w:hAnsi="Times New Roman"/>
          <w:sz w:val="18"/>
          <w:szCs w:val="18"/>
          <w:color w:val="auto"/>
        </w:rPr>
        <w:t xml:space="preserve">Interest and investment income is presented net of earned investment management fees and the effects of certain reinsurance contracts. </w:t>
      </w:r>
      <w:r>
        <w:rPr>
          <w:rFonts w:ascii="Times New Roman" w:cs="Times New Roman" w:eastAsia="Times New Roman" w:hAnsi="Times New Roman"/>
          <w:sz w:val="18"/>
          <w:szCs w:val="18"/>
          <w:b w:val="1"/>
          <w:bCs w:val="1"/>
          <w:i w:val="1"/>
          <w:iCs w:val="1"/>
          <w:color w:val="auto"/>
        </w:rPr>
        <w:t>Cash and Cash Equivalents</w:t>
      </w:r>
    </w:p>
    <w:p>
      <w:pPr>
        <w:spacing w:after="0" w:line="2"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Highly liquid instruments purchased as part of cash management with original maturities of three months or less are considered cash equivalents. The carrying amounts reported in the Consolidated Balance Sheets for these instruments approximate fair value.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and Notes Receivables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reported in the Consolidated Balance Sheets for trade and notes receivables approximate their fair value.</w:t>
      </w:r>
    </w:p>
    <w:p>
      <w:pPr>
        <w:spacing w:after="0" w:line="83"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Premium revenues from agency title operations are recognized when the underlying title order and transaction closing, if applicable, are complete and reported to us. Premium revenues from agency operations and related commissions include an accrual based on estimated historical transaction volume data for policies that have closed in a particular period in which premiums have not yet been reported to us. Historically, the time lag between the closing of these transactions by our agents and the reporting of these policies, or premiums, to us has been up to 15 months, with 66% - 91% reported within three months following closing, an additional 6% - 17% reported within the next three months and the remainder within seven to fifteen months. In addition to accruing these earned but unreported agency premiums, we also accrue agent commission expense, which was 76.9% of agent premiums earned in 2023, 77.1% of agent premiums earned in 2022, and 76.7% of agent premiums earned in 2021. The amount due from our agents relating to this accrual, i.e., the agent premium less their contractual retained commission, was approximately $35 million and $74 million at December 31, 2023 and 2022, respectively. Due to the offsetting effects of reversing prior period accruals, the impact of this accrual to our recorded Agency title insurance premiums, Agent commissions and net earnings in any given period is not considered material.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7" w:lineRule="exact"/>
        <w:rPr>
          <w:sz w:val="20"/>
          <w:szCs w:val="20"/>
          <w:color w:val="auto"/>
        </w:rPr>
      </w:pPr>
    </w:p>
    <w:p>
      <w:pPr>
        <w:jc w:val="both"/>
        <w:ind w:firstLine="316"/>
        <w:spacing w:after="0" w:line="303" w:lineRule="auto"/>
        <w:rPr>
          <w:sz w:val="20"/>
          <w:szCs w:val="20"/>
          <w:color w:val="auto"/>
        </w:rPr>
      </w:pPr>
      <w:r>
        <w:rPr>
          <w:rFonts w:ascii="Times New Roman" w:cs="Times New Roman" w:eastAsia="Times New Roman" w:hAnsi="Times New Roman"/>
          <w:sz w:val="16"/>
          <w:szCs w:val="16"/>
          <w:color w:val="auto"/>
        </w:rPr>
        <w:t xml:space="preserve">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See a description of the fair value methodology used in Note D </w:t>
      </w:r>
      <w:r>
        <w:rPr>
          <w:rFonts w:ascii="Times New Roman" w:cs="Times New Roman" w:eastAsia="Times New Roman" w:hAnsi="Times New Roman"/>
          <w:sz w:val="16"/>
          <w:szCs w:val="16"/>
          <w:i w:val="1"/>
          <w:iCs w:val="1"/>
          <w:color w:val="auto"/>
        </w:rPr>
        <w:t>Fair Value of Financial Instruments</w:t>
      </w:r>
      <w:r>
        <w:rPr>
          <w:rFonts w:ascii="Times New Roman" w:cs="Times New Roman" w:eastAsia="Times New Roman" w:hAnsi="Times New Roman"/>
          <w:sz w:val="16"/>
          <w:szCs w:val="16"/>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Acquired and Liabilities Assumed in Business Combinations</w:t>
      </w:r>
    </w:p>
    <w:p>
      <w:pPr>
        <w:spacing w:after="0" w:line="100" w:lineRule="exact"/>
        <w:rPr>
          <w:sz w:val="20"/>
          <w:szCs w:val="20"/>
          <w:color w:val="auto"/>
        </w:rPr>
      </w:pPr>
    </w:p>
    <w:p>
      <w:pPr>
        <w:jc w:val="both"/>
        <w:ind w:firstLine="316"/>
        <w:spacing w:after="0" w:line="280" w:lineRule="auto"/>
        <w:rPr>
          <w:sz w:val="20"/>
          <w:szCs w:val="20"/>
          <w:color w:val="auto"/>
        </w:rPr>
      </w:pPr>
      <w:r>
        <w:rPr>
          <w:rFonts w:ascii="Times New Roman" w:cs="Times New Roman" w:eastAsia="Times New Roman" w:hAnsi="Times New Roman"/>
          <w:sz w:val="16"/>
          <w:szCs w:val="16"/>
          <w:color w:val="auto"/>
        </w:rPr>
        <w:t>Financial Accounting Standards Board ("FASB") Accounting Standards Codification ("ASC") Topic 805, Business Combinations, requires an acquirer to recognize, separately from goodwill, the identifiable assets acquired, liabilities assumed, and any noncontrolling interest in the acquiree, and to measure these items generally at their acquisition date fair values. Goodwill is recorded as the residual amount by which the purchase price exceeds the fair value of the net assets acquired. If the initial accounting for a business combination is incomplete by the end of the reporting period in which the combination occurs, we are required to report provisional amounts in the financial statements for the items for which the accounting is incomplete. Adjustments to provisional amounts initially recorded that are identified during the measurement period are recognized in the reporting period in which the adjustment amounts are determined. This includes any effect on earnings of changes in depreciation, amortization, or other income effects as a result of the change to the provisional amounts, calculated as if the accounting had been completed at the acquisition date. During the measurement period, we are also required to recognize additional assets or liabilities if new information is obtained about facts and circumstances that existed as of the acquisition date that, if known, would have resulted in the recognition of those assets and liabilities as of that date. The measurement period ends the sooner of one year from the acquisition date or when we receive the information we were seeking about facts and circumstances that existed as of the acquisition date or learn that more information is not obtainable. Contingent consideration liabilities or receivables recorded in connection with business acquisitions must also be adjusted for changes in fair value until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0"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Goodwill represents the excess of cost over fair value of identifiable net assets acquired and assumed in a business combination. Goodwill and other intangible assets with indefinite useful lives are reviewed for impairment at the reporting unit level on an annual basis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 the fair value of a reporting unit is greater than its carrying amount, prior to performing a full fair-value assessment.</w:t>
      </w:r>
    </w:p>
    <w:p>
      <w:pPr>
        <w:spacing w:after="0" w:line="54"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We completed annual goodwill impairment analyses in the fourth quarter of each period presented using a September 30 measurement date. For the years ended December 31, 2023, 2022 and 2021, we determined there were no events or circumstances that indicated that the carrying value of a reporting unit exceeded the fair value.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VOBA, DAC, DSI and URL</w:t>
      </w:r>
    </w:p>
    <w:p>
      <w:pPr>
        <w:spacing w:after="0" w:line="10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Our intangible assets include the value of insurance and reinsurance contracts acquired (hereafter referred to as "VOBA"), deferred acquisition costs ("DAC"), deferred sales inducements ("DSI") and unearned revenue liabilities ("URL").</w:t>
      </w:r>
    </w:p>
    <w:p>
      <w:pPr>
        <w:spacing w:after="0" w:line="64"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VOBA is an intangible asset that reflects the amount recorded as insurance contract liabilities less the estimated fair value of in-force contracts ("VIF") in a life insurance company acquisition. It represents the portion of the purchase price that is allocated to the value of the rights to receive future cash flows from the business in force at the acquisition date. VOBA is a function of the VIF, current GAAP reserves, GAAP assets, and deferred tax liability. The VIF is determined by the present value of statutory distributable earnings less opening required capital. DAC consists principally of commissions and other acquisition costs that are related directly to the successful sale of new or renewal insurance contracts. Indirect or unsuccessful acquisition costs, maintenance, product development and overhead expenses are charged to expense as incurred. DSI represents up front bonus credits and persistency or vesting bonuses credited to contractholder fund balances.</w:t>
      </w:r>
    </w:p>
    <w:p>
      <w:pPr>
        <w:spacing w:after="0" w:line="82" w:lineRule="exact"/>
        <w:rPr>
          <w:sz w:val="20"/>
          <w:szCs w:val="20"/>
          <w:color w:val="auto"/>
        </w:rPr>
      </w:pPr>
    </w:p>
    <w:p>
      <w:pPr>
        <w:jc w:val="both"/>
        <w:ind w:firstLine="316"/>
        <w:spacing w:after="0" w:line="284" w:lineRule="auto"/>
        <w:rPr>
          <w:sz w:val="20"/>
          <w:szCs w:val="20"/>
          <w:color w:val="auto"/>
        </w:rPr>
      </w:pPr>
      <w:r>
        <w:rPr>
          <w:rFonts w:ascii="Times New Roman" w:cs="Times New Roman" w:eastAsia="Times New Roman" w:hAnsi="Times New Roman"/>
          <w:sz w:val="16"/>
          <w:szCs w:val="16"/>
          <w:color w:val="auto"/>
        </w:rPr>
        <w:t>VOBA, DAC, and DSI are amortized on a constant level basis for the grouped contracts over the expected term of the related contracts to approximate straight-line amortization. Contracts are grouped by product type and feature and issue year into cohorts consistent with the grouping used in estimating the associated liability, where applicable. The constant level amortization bases of VOBA, DAC and DSI varies by product type. For universal life and indexed universal life ("IUL") insurance products, the constant level basis used is face amount in force. For deferred annuities (fixed indexed annuities ("FIA") and fixed rate annuities), the constant level basis used is initial premium deposit for DAC and DSI and vested account value as of the acquisition date for VOBA. For immediate annuity contracts, the VOBA balance is amortized in alignment with the Company’s accounting policy of amortizing the deferred profit liability ("DPL"). All amortization bases are adjusted by full lapses, which includes deaths, full surrenders, annuitizations and maturities, where applicable.</w:t>
      </w:r>
    </w:p>
    <w:p>
      <w:pPr>
        <w:spacing w:after="0" w:line="55"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The constant level bases used for amortization are projected using mortality and lapse assumptions that are based on Company’s experience, industry data, and other factors and are consistent with those used for the future policy benefits ("FPBs"), where applicable. If those projected assumptions change in future periods, they will be reflected in the cohort level amortization basis at that time. Unexpected contract terminations, due to higher mortality and/or lapse experience than expected, are recognized in the current period as a reduction of the capitalized balances. All balances are reduced for actual experience in excess of expected experience with changes in future estimates recognized prospectively over the remaining expected grouped contract term. The impact of changes in projected assumptions and the impact of actual experience that is different from expectations both impact the amortization of these intangible assets, which is reported within Depreciation and amortization in the accompanying Consolidated Statements of Earnings.</w:t>
      </w:r>
    </w:p>
    <w:p>
      <w:pPr>
        <w:spacing w:after="0" w:line="82"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Some of our IUL policies require payment of fees or other policyholder assessments in advance for services that will be rendered over the estimated lives of the policies or contracts. These payments are established as URLs upon receipt and included in Accounts payable and other accrued liabilities in the Consolidated Balance Sheets. URL is amortized like DAC over the estimated lives of these policies.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87" w:lineRule="exact"/>
        <w:rPr>
          <w:sz w:val="20"/>
          <w:szCs w:val="20"/>
          <w:color w:val="auto"/>
        </w:rPr>
      </w:pPr>
    </w:p>
    <w:p>
      <w:pPr>
        <w:jc w:val="both"/>
        <w:ind w:firstLine="316"/>
        <w:spacing w:after="0" w:line="284" w:lineRule="auto"/>
        <w:rPr>
          <w:sz w:val="20"/>
          <w:szCs w:val="20"/>
          <w:color w:val="auto"/>
        </w:rPr>
      </w:pPr>
      <w:r>
        <w:rPr>
          <w:rFonts w:ascii="Times New Roman" w:cs="Times New Roman" w:eastAsia="Times New Roman" w:hAnsi="Times New Roman"/>
          <w:sz w:val="16"/>
          <w:szCs w:val="16"/>
          <w:color w:val="auto"/>
        </w:rPr>
        <w:t>We have other intangible assets, not including goodwill, VOBA, DAC or DSI, which consist primarily of customer relationships and contracts, the value of distribution network acquired ("VODA"), trademarks and tradenames and state licenses, and computer software,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generally ten years, using an accelerated method, which takes into consideration expected customer attrition rates. VODA is an intangible asset that represents the value of an acquired distribution network and is amortized using the sum of years digits method. Contractual relationships are generally amortized over their contractual life. Trademarks and tradenames are generally amortized over ten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years. Capitalized computer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five to ten years. For internal-use computer software products, internal and external costs incurred during the preliminary project stage are expensed as they are incurred. Internal and external costs incurred during the application development stage are capitalized and amortized on a product-by-product basis commencing on the date the software is ready for its intended use. We do not capitalize any costs once the software is ready for its intended use.</w:t>
      </w:r>
    </w:p>
    <w:p>
      <w:pPr>
        <w:spacing w:after="0" w:line="67"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 xml:space="preserve">We review VOBA, DSI and other intangible assets for impairment annually or when events or circumstances occur that indicate a potential change in the underlying basis. For further information, refer to Note M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 Plants</w:t>
      </w:r>
    </w:p>
    <w:p>
      <w:pPr>
        <w:spacing w:after="0" w:line="100"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for the years ended December 31, 2023, 2022 and 2021 and did not record any impairment expense in the years ended December 31, 2023 or 2021. We recorded $1 million of impairment expense related to title plants in the year ended December 31, 2022.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87"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computed primarily using the straight-line method based on the estimated useful lives of the related assets: twenty to thirty years for buildings and three to twenty-five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 We recorded $2 million of impairment expense related to property and equipment in our title segment in the year ended December 31, 2022.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Contractholder Funds</w:t>
      </w:r>
    </w:p>
    <w:p>
      <w:pPr>
        <w:spacing w:after="0" w:line="100"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 xml:space="preserve">Contractholder funds include deferred annuities (FIAs and fixed rate annuities), IULs, funding agreements and non-life contingent ("NLC") immediate annuities (which includes NLC pension risk transfer ("PRT") annuities). The liabilities for contractholder funds for fixed rate annuities, funding agreements and NLC immediate annuities consist of contract account balances that accrue to the benefit of the contractholders. The liabilities for FIA and IUL policies consist of the value of the host contract plus the fair value of the indexed crediting feature of the policy, which is accounted for as an embedded derivative. The embedded derivative liability is carried at fair value in contractholder funds in the accompanying Consolidated Balance Sheets with changes in fair value reported in Benefits and other changes in policy reserves in the accompanying Consolidated Statements of Earnings. See a description of the fair value methodology used in Note D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Policy Benefits</w:t>
      </w:r>
    </w:p>
    <w:p>
      <w:pPr>
        <w:spacing w:after="0" w:line="87"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The FPB is determined as the present value of future policy benefits and related claims expenses to be paid to or on behalf of the policyholder less the present value of future net premiums to be collected from policyholders. The FPB for traditional life policies and life-contingent immediate annuity policies (which includes life-contingent PRT annuities) are estimated using current assumptions that include discount rate, mortality and surrender/lapse terminations for traditional life insurance policies only, and expenses. The expense assumption is locked-in at contract issuance and not subsequently reviewed or updated. The initial assumptions are based on generally accepted actuarial methods and a combination of internal and industry experience. Policies are terminated through surrenders, lapses and maturities, where surrenders represent the voluntary terminations of policies by policyholders, lapses represent cancellations by us due to nonpayment of premiums, and maturities are determined by policy contract terms.</w:t>
      </w:r>
    </w:p>
    <w:p>
      <w:pPr>
        <w:spacing w:after="0" w:line="82"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For traditional life policies and life-contingent immediate annuity policies, contracts are grouped into cohorts by product type, legal entity, and issue year, or acquisition year for cohorts established as of the F&amp;G acquisition date, June 1, 2020. Life-contingent PRT annuities are grouped into cohorts by deal and legal entity. At contract inception, a net premium ratio ("NPR") is determined, which is calculated based on discounted future cash flows projected using best estimate assumptions and is capped at 100%, as net premiums cannot exceed gross premiums. Cohorts with NPRs less than 100% are not used to offset cohorts with NPRs greater than 100%.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The NPR is adjusted for changes in cash flow assumptions and for differences between actual and expected experience. We assess the appropriateness of all future cash flow assumptions, excluding the expense assumption, on a quarterly basis and perform an in-depth review of future cash flow assumptions in the third quarter of each year. Updates are made when evidence suggests a revision is necessary. Updates for actual experience, which includes actual cash flows and insurance in-force, are performed on a quarterly basis. These updated cash flows are used to calculate a revised NPR, which is used to derive an updated liability as of the beginning of the current reporting period, discounted at the original contract issuance date. The updated liability is compared with the carrying amount of the liability as of that same date before the revised NPR. The difference between these amounts is the remeasurement gain or loss, presented parenthetically within Benefits and other changes in policy reserves in the accompanying Consolidated Statements of Earnings. In subsequent periods, the revised NPR, which is capped at 100%, is used to measure the FPB, subject to future revisions. If the NPR is greater than 100%, and therefore capped at 100%, the liability is increased and expensed immediately to reflect the amount necessary for net premiums to equal gross premiums. As the liability assumptions are reviewed and updated, if deemed necessary, at least annually, if conditions improve whereby the contracts are no longer expected to have net premiums in excess of gross premiums, the improvements would be captured in the remeasurement process and reflected in the accompanying Consolidated Statements of Earnings in the period of improvement.</w:t>
      </w:r>
    </w:p>
    <w:p>
      <w:pPr>
        <w:spacing w:after="0" w:line="86"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For traditional life policies and life-contingent immediate annuity policies (which includes life-contingent PRT annuities), the discount rate assumption is an equivalent single rate that is derived based on A-credit-rated fixed-income instruments with similar duration to the liability. We selected fixed-income instruments that have been A-rated by Bloomberg. In order to reflect the duration characteristics of the liability, we will use an implied forward yield curve and linear interpolation will be used for durations that have limited or no market observable points on the curve. The discount rate assumption is updated quarterly and used to remeasure the liability at the reporting date, with the resulting change reflected in the accompanying Consolidated Statements of Comprehensive Earnings.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Profit Liability</w:t>
      </w:r>
    </w:p>
    <w:p>
      <w:pPr>
        <w:spacing w:after="0" w:line="113"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For life-contingent immediate annuity policies, gross premiums received in excess of net premiums are deferred at initial recognition as a DPL. Gross premiums are measured using assumptions consistent with those used in the measurement of the related liability for FPBs, including discount rate, mortality, and expenses.</w:t>
      </w:r>
    </w:p>
    <w:p>
      <w:pPr>
        <w:spacing w:after="0" w:line="75"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The DPL is amortized and recognized as premium revenue with the amount of expected future benefit payments, discounted using the same discount rate determined and locked-in at contract issuance that is used in the measurement of the related FPB. Interest is accreted on the balance of the DPL using this same discount rate. We periodically review and update our estimates using the actual historical experience and updated cash flows for the DPL at the same time as the estimates of cash flows for the FPB. When cash flows are updated, the updated estimates are used to recalculate the initial DPL at contract issuance. The recalculated DPL as of the beginning of the current reporting period is compared to the carrying amount of the DPL as of the beginning of the current reporting period, with any differences recognized as a remeasurement gain or loss, presented parenthetically within Benefits and other changes in policy reserves in the accompanying Consolidated Statements of Earnings. The DPL is recorded as a component of the Future policy benefits in the accompanying Consolidated Balance Sheets.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Benefits</w:t>
      </w:r>
    </w:p>
    <w:p>
      <w:pPr>
        <w:spacing w:after="0" w:line="113"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MRBs are contracts or contract features that both provide protection to the contract holder from other-than-nominal capital market risk (equity, interest rate and foreign exchange risk) and expose the Company to other-than-nominal capital market risk. MRBs include certain contract features primarily on FIA products that provide minimum guarantees to policyholders, such as guaranteed minimum death benefit ("GMDB"), guaranteed minimum withdrawal benefit ("GMWB") riders and guaranteed minimum accumulation benefit ("GMAB") riders.</w:t>
      </w:r>
    </w:p>
    <w:p>
      <w:pPr>
        <w:spacing w:after="0" w:line="78" w:lineRule="exact"/>
        <w:rPr>
          <w:sz w:val="20"/>
          <w:szCs w:val="20"/>
          <w:color w:val="auto"/>
        </w:rPr>
      </w:pPr>
    </w:p>
    <w:p>
      <w:pPr>
        <w:jc w:val="both"/>
        <w:ind w:firstLine="316"/>
        <w:spacing w:after="0" w:line="267" w:lineRule="auto"/>
        <w:rPr>
          <w:sz w:val="20"/>
          <w:szCs w:val="20"/>
          <w:color w:val="auto"/>
        </w:rPr>
      </w:pPr>
      <w:r>
        <w:rPr>
          <w:rFonts w:ascii="Times New Roman" w:cs="Times New Roman" w:eastAsia="Times New Roman" w:hAnsi="Times New Roman"/>
          <w:sz w:val="18"/>
          <w:szCs w:val="18"/>
          <w:color w:val="auto"/>
        </w:rPr>
        <w:t>MRBs are measured at fair value using an attributed fee measurement approach where attributed fees are explicit rider charges collectible from the policyholder used to cover the excess benefits, which represent expected benefits in excess of the policyholder’s account value. At contract inception, an</w:t>
      </w:r>
    </w:p>
    <w:p>
      <w:pPr>
        <w:jc w:val="both"/>
        <w:spacing w:after="0" w:line="247" w:lineRule="auto"/>
        <w:rPr>
          <w:sz w:val="20"/>
          <w:szCs w:val="20"/>
          <w:color w:val="auto"/>
        </w:rPr>
      </w:pPr>
      <w:r>
        <w:rPr>
          <w:rFonts w:ascii="Times New Roman" w:cs="Times New Roman" w:eastAsia="Times New Roman" w:hAnsi="Times New Roman"/>
          <w:sz w:val="18"/>
          <w:szCs w:val="18"/>
          <w:color w:val="auto"/>
        </w:rPr>
        <w:t>attributed fee ratio is calculated equal to rider charges over benefits paid in excess of the account value attributable to the MRBs. The attributed fee ratio remains static over the life of the MRB and is capped at 100%. Each period subsequent to contract inception, the attributed fee ratio is used to calculate the fair value of the MRBs using a risk neutral valuation method and is based on current net amounts at risk, market data, internal and industry experience, and other factors. The balances are computed using assumptions including mortality, full and partial surrender, GMWB utilization, risk-free rates including non-performance spread and risk margin, market value of options and economic scenarios. Policyholder behavior assumptions are reviewed at least annually, typically in the third quarter, for any revisions. MRBs can either be in an asset or liability position and are presented separately on the Consolidated Balance Sheets as the right of setoff criteria are not met. Changes in fair value are recognized in Market risk benefits gain (losses) in the accompanying Consolidated Statements of Earnings, except for the change in fair value due to a change in the instrument-specific credit risk,</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which is recognized in the accompanying Consolidated Statements of Comprehensive Earnings. See a description of the fair value methodology used in Note D </w:t>
      </w: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and Note X</w:t>
      </w:r>
      <w:r>
        <w:rPr>
          <w:rFonts w:ascii="Times New Roman" w:cs="Times New Roman" w:eastAsia="Times New Roman" w:hAnsi="Times New Roman"/>
          <w:sz w:val="18"/>
          <w:szCs w:val="18"/>
          <w:i w:val="1"/>
          <w:iCs w:val="1"/>
          <w:color w:val="auto"/>
        </w:rPr>
        <w:t xml:space="preserve"> Market Risk Benefits</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for Title Claim Losses</w:t>
      </w:r>
    </w:p>
    <w:p>
      <w:pPr>
        <w:spacing w:after="0" w:line="87"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reserve for title claim losses also includes reserves for losses arising from closing and disbursement functions due to fraud or operational error.</w:t>
      </w:r>
    </w:p>
    <w:p>
      <w:pPr>
        <w:spacing w:after="0" w:line="83"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Trust Deposits</w:t>
      </w:r>
    </w:p>
    <w:p>
      <w:pPr>
        <w:spacing w:after="0" w:line="87"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In the state of Illinois, a trust company is permitted to commingle and invest customers’ assets with its own assets, pending completion of real estate transactions. Accordingly, our Consolidated Balance Sheets reflect a secured trust deposit liability of $731 million and $862 million at December 31, 2023 and 2022, respectively, representing customers’ assets held by us and corresponding assets including cash and investments pledged as security for those trust balances.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87"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50" w:lineRule="exact"/>
        <w:rPr>
          <w:sz w:val="20"/>
          <w:szCs w:val="20"/>
          <w:color w:val="auto"/>
        </w:rPr>
      </w:pPr>
    </w:p>
    <w:p>
      <w:pPr>
        <w:jc w:val="center"/>
        <w:ind w:right="10320"/>
        <w:spacing w:after="0"/>
        <w:rPr>
          <w:sz w:val="20"/>
          <w:szCs w:val="20"/>
          <w:color w:val="auto"/>
        </w:rPr>
      </w:pPr>
      <w:r>
        <w:rPr>
          <w:rFonts w:ascii="Times New Roman" w:cs="Times New Roman" w:eastAsia="Times New Roman" w:hAnsi="Times New Roman"/>
          <w:sz w:val="16"/>
          <w:szCs w:val="16"/>
          <w:b w:val="1"/>
          <w:bCs w:val="1"/>
          <w:i w:val="1"/>
          <w:iCs w:val="1"/>
          <w:color w:val="auto"/>
        </w:rPr>
        <w:t>Reinsurance</w:t>
      </w:r>
    </w:p>
    <w:p>
      <w:pPr>
        <w:spacing w:after="0" w:line="134" w:lineRule="exact"/>
        <w:rPr>
          <w:sz w:val="20"/>
          <w:szCs w:val="20"/>
          <w:color w:val="auto"/>
        </w:rPr>
      </w:pPr>
    </w:p>
    <w:p>
      <w:pPr>
        <w:jc w:val="center"/>
        <w:ind w:right="1030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98"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In our Title segment, in a limited number of situations, we limit our maximum loss exposure by reinsuring certain risks with other title insurers. We also earn a small amount of additional income, which is reflected in our direct premiums, by assuming reinsurance for certain risks of other title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w:t>
      </w:r>
    </w:p>
    <w:p>
      <w:pPr>
        <w:spacing w:after="0" w:line="98" w:lineRule="exact"/>
        <w:rPr>
          <w:sz w:val="20"/>
          <w:szCs w:val="20"/>
          <w:color w:val="auto"/>
        </w:rPr>
      </w:pPr>
    </w:p>
    <w:p>
      <w:pPr>
        <w:jc w:val="both"/>
        <w:ind w:firstLine="316"/>
        <w:spacing w:after="0" w:line="286" w:lineRule="auto"/>
        <w:rPr>
          <w:sz w:val="20"/>
          <w:szCs w:val="20"/>
          <w:color w:val="auto"/>
        </w:rPr>
      </w:pPr>
      <w:r>
        <w:rPr>
          <w:rFonts w:ascii="Times New Roman" w:cs="Times New Roman" w:eastAsia="Times New Roman" w:hAnsi="Times New Roman"/>
          <w:sz w:val="16"/>
          <w:szCs w:val="16"/>
          <w:color w:val="auto"/>
        </w:rPr>
        <w:t>In our F&amp;G segment, our insurance subsidiaries enter into reinsurance agreements with other companies in the normal course of business. For arrangements that meet the criteria to be accounted for as reinsurance, we present the amounts consistently and on a gross basis in our Consolidated Balance Sheets with the ceded reserves balance presented as a Reinsurance recoverable. Deferred gains will be included within Accounts payable and accrued expenses with the related accretion reflected within Life insurance premiums and other fees on the Consolidated Balance Sheets and Statements of Earnings, respectively. Deferred costs will be included within the Prepaid expense and other assets with the related amortization reflected within Other operating expenses in the Consolidated Balance Sheets and Statements of Earnings, respectively. Premium and expense are recorded net of reinsurance ceded.</w:t>
      </w:r>
    </w:p>
    <w:p>
      <w:pPr>
        <w:spacing w:after="0" w:line="53" w:lineRule="exact"/>
        <w:rPr>
          <w:sz w:val="20"/>
          <w:szCs w:val="20"/>
          <w:color w:val="auto"/>
        </w:rPr>
      </w:pPr>
    </w:p>
    <w:p>
      <w:pPr>
        <w:jc w:val="both"/>
        <w:ind w:firstLine="316"/>
        <w:spacing w:after="0" w:line="289" w:lineRule="auto"/>
        <w:rPr>
          <w:sz w:val="20"/>
          <w:szCs w:val="20"/>
          <w:color w:val="auto"/>
        </w:rPr>
      </w:pPr>
      <w:r>
        <w:rPr>
          <w:rFonts w:ascii="Times New Roman" w:cs="Times New Roman" w:eastAsia="Times New Roman" w:hAnsi="Times New Roman"/>
          <w:sz w:val="16"/>
          <w:szCs w:val="16"/>
          <w:color w:val="auto"/>
        </w:rPr>
        <w:t>For arrangements in which the underlying contracts do not include insurance risk or do not meet the criteria to be accounted for as reinsurance, the arrangements are accounted for as separate investment contracts or deposit accounting is applied, respectively. In both cases, we calculate a deposit asset based on the actual and expected cash flows associated to each arrangement and use the interest method to accrete the deposit asset using an effective yield based on changes in actual and expected cash flows. The deposit asset is presented within Reinsurance recoverable on the Consolidated Balance Sheets and the accretion of the deposit asset is presented within Benefits and other changes in policy reserves on the accompanying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 xml:space="preserve">For certain arrangements that are not accounted for as reinsurance, the right of offset is applied when there is a right of offset explicit in the reinsurance agreement. This results in the assets and liabilities associated with the arrangement presented on a net basis in the accompanying Consolidated Balance Sheets, and the related net investment income, investment gain/loss, and change in deposit asset are presented net on the accompanying Consolidated Statements of Earnings. F&amp;G intends to apply the right of offset where there is a right of offset explicit in the reinsurance agreement. See Note O </w:t>
      </w:r>
      <w:r>
        <w:rPr>
          <w:rFonts w:ascii="Times New Roman" w:cs="Times New Roman" w:eastAsia="Times New Roman" w:hAnsi="Times New Roman"/>
          <w:sz w:val="18"/>
          <w:szCs w:val="18"/>
          <w:i w:val="1"/>
          <w:iCs w:val="1"/>
          <w:color w:val="auto"/>
        </w:rPr>
        <w:t>F&amp;G Reinsurance</w:t>
      </w:r>
      <w:r>
        <w:rPr>
          <w:rFonts w:ascii="Times New Roman" w:cs="Times New Roman" w:eastAsia="Times New Roman" w:hAnsi="Times New Roman"/>
          <w:sz w:val="18"/>
          <w:szCs w:val="18"/>
          <w:color w:val="auto"/>
        </w:rPr>
        <w:t xml:space="preserve"> for more details over F&amp;G's reinsurance agreements.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Refer to Note L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for a description of our accounting for our various revenue streams.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and Other Changes in Policy Reserves</w:t>
      </w:r>
    </w:p>
    <w:p>
      <w:pPr>
        <w:spacing w:after="0" w:line="87"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Benefit expenses for deferred annuities (FIAs and fixed rate annuities), IUL policies and funding agreements include interest credited, fixed interest, floating interest (specific to funding agreements) and/or index credits (specific to FIA and IUL policies), to contractholder account balances. Benefit claims in excess of contract account balances, net of reinsurance recoveries, are charged to expense in the period that they are earned by the policyholder based on their selected strategy or strategies. Other changes in policy reserves include the change in the fair value of the FIA embedded derivative.</w:t>
      </w:r>
    </w:p>
    <w:p>
      <w:pPr>
        <w:spacing w:after="0" w:line="78"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Other changes in policy reserves also include the change in reserves for life insurance products. For traditional life and life-contingent immediate annuities (which includes PRT annuities with life contingencies), policy benefit claims are charged to expense in the period that the claims are incurred, net of reinsurance recoveries. Remeasurement gains or losses on the related FPB and DPL balances are presented parenthetically within Benefits and other changes in policy reserves in the accompanying Consolidated Statements of Earnings.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87"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We account for stock-based compensation plans using the fair value method. Using the fair value method of accounting, compensation cost is measured based on the fair value of the award at the grant date using quoted market prices, and recognized over the service period.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87"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Basic earnings per share, as presented on the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share-based payments, which have been treated as common share equivalents for purposes of calculating diluted earnings per share for periods in which positive earnings have been reported.</w:t>
      </w:r>
    </w:p>
    <w:p>
      <w:pPr>
        <w:spacing w:after="0" w:line="56"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The net earnings of F&amp;G in our calculation of diluted earnings per share is adjusted for dilution related to certain F&amp;G restricted stock granted to F&amp;G's employees in accordance with ASC 260-10-55-20. We calculate the ratio of the shares of F&amp;G we own to the total weighted average diluted shares of F&amp;G outstanding and multiply the ratio by F&amp;G's net earnings. The result is used for F&amp;G's net earnings attributable to FNF included in our consolidated net earnings in the numerator for our diluted EPS calculation.</w:t>
      </w:r>
    </w:p>
    <w:p>
      <w:pPr>
        <w:spacing w:after="0" w:line="52"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Restricted stock, options or other instruments, which provide the ability to acquire shares of our common stock that are antidilutive are excluded from the computation of diluted earnings per share. There were 1 million antidilutive instruments outstanding for the years ended December 31, 2023 and 2022.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Earnings (Loss)</w:t>
      </w:r>
    </w:p>
    <w:p>
      <w:pPr>
        <w:spacing w:after="0" w:line="113"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We report Comprehensive earnings (loss)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 affiliates, and are included in Recognized gains and losses, net on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Changes in the balance of Other comprehensive earnings (loss) for the years ended December 31, 2023, 2022 and 2021, by component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40" w:right="40" w:hanging="196"/>
        <w:spacing w:after="0" w:line="300" w:lineRule="auto"/>
        <w:rPr>
          <w:sz w:val="20"/>
          <w:szCs w:val="20"/>
          <w:color w:val="auto"/>
        </w:rPr>
      </w:pPr>
      <w:r>
        <w:rPr>
          <w:rFonts w:ascii="Times New Roman" w:cs="Times New Roman" w:eastAsia="Times New Roman" w:hAnsi="Times New Roman"/>
          <w:sz w:val="14"/>
          <w:szCs w:val="14"/>
          <w:color w:val="auto"/>
        </w:rPr>
        <w:t>Balance January 1, 2021 Reclassification adjustments Other comprehensive earnings</w:t>
      </w:r>
    </w:p>
    <w:p>
      <w:pPr>
        <w:spacing w:after="0" w:line="2" w:lineRule="exact"/>
        <w:rPr>
          <w:sz w:val="20"/>
          <w:szCs w:val="20"/>
          <w:color w:val="auto"/>
        </w:rPr>
      </w:pPr>
    </w:p>
    <w:p>
      <w:pPr>
        <w:ind w:left="240" w:right="40" w:hanging="196"/>
        <w:spacing w:after="0" w:line="299" w:lineRule="auto"/>
        <w:rPr>
          <w:sz w:val="20"/>
          <w:szCs w:val="20"/>
          <w:color w:val="auto"/>
        </w:rPr>
      </w:pPr>
      <w:r>
        <w:rPr>
          <w:rFonts w:ascii="Times New Roman" w:cs="Times New Roman" w:eastAsia="Times New Roman" w:hAnsi="Times New Roman"/>
          <w:sz w:val="14"/>
          <w:szCs w:val="14"/>
          <w:color w:val="auto"/>
        </w:rPr>
        <w:t>Balance December 31, 2021 Reclassification adjustments Other comprehensive earnings Non-controlling interest</w:t>
      </w:r>
    </w:p>
    <w:p>
      <w:pPr>
        <w:ind w:left="240" w:right="40" w:hanging="196"/>
        <w:spacing w:after="0" w:line="305" w:lineRule="auto"/>
        <w:rPr>
          <w:sz w:val="20"/>
          <w:szCs w:val="20"/>
          <w:color w:val="auto"/>
        </w:rPr>
      </w:pPr>
      <w:r>
        <w:rPr>
          <w:rFonts w:ascii="Times New Roman" w:cs="Times New Roman" w:eastAsia="Times New Roman" w:hAnsi="Times New Roman"/>
          <w:sz w:val="14"/>
          <w:szCs w:val="14"/>
          <w:color w:val="auto"/>
        </w:rPr>
        <w:t>Balance December 31, 2022 Reclassification adjustments Other comprehensive earnings Non-controlling interest</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December 31, 2023</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gain (loss) on investments</w:t>
            </w:r>
          </w:p>
        </w:tc>
        <w:tc>
          <w:tcPr>
            <w:tcW w:w="100" w:type="dxa"/>
            <w:vAlign w:val="bottom"/>
          </w:tcPr>
          <w:p>
            <w:pPr>
              <w:spacing w:after="0"/>
              <w:rPr>
                <w:sz w:val="13"/>
                <w:szCs w:val="13"/>
                <w:color w:val="auto"/>
              </w:rPr>
            </w:pPr>
          </w:p>
        </w:tc>
        <w:tc>
          <w:tcPr>
            <w:tcW w:w="140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Change in current</w:t>
            </w:r>
          </w:p>
        </w:tc>
        <w:tc>
          <w:tcPr>
            <w:tcW w:w="100" w:type="dxa"/>
            <w:vAlign w:val="bottom"/>
          </w:tcPr>
          <w:p>
            <w:pPr>
              <w:spacing w:after="0"/>
              <w:rPr>
                <w:sz w:val="13"/>
                <w:szCs w:val="13"/>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in instrument-</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Total Accumulated</w:t>
            </w:r>
          </w:p>
        </w:tc>
        <w:tc>
          <w:tcPr>
            <w:tcW w:w="0" w:type="dxa"/>
            <w:vAlign w:val="bottom"/>
          </w:tcPr>
          <w:p>
            <w:pPr>
              <w:spacing w:after="0"/>
              <w:rPr>
                <w:sz w:val="1"/>
                <w:szCs w:val="1"/>
                <w:color w:val="auto"/>
              </w:rPr>
            </w:pPr>
          </w:p>
        </w:tc>
      </w:tr>
      <w:tr>
        <w:trPr>
          <w:trHeight w:val="143"/>
        </w:trPr>
        <w:tc>
          <w:tcPr>
            <w:tcW w:w="2380" w:type="dxa"/>
            <w:vAlign w:val="bottom"/>
            <w:gridSpan w:val="3"/>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and other financial instruments, net</w:t>
            </w: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214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(excluding investments in</w:t>
            </w:r>
          </w:p>
        </w:tc>
        <w:tc>
          <w:tcPr>
            <w:tcW w:w="100" w:type="dxa"/>
            <w:vAlign w:val="bottom"/>
          </w:tcPr>
          <w:p>
            <w:pPr>
              <w:spacing w:after="0"/>
              <w:rPr>
                <w:sz w:val="12"/>
                <w:szCs w:val="12"/>
                <w:color w:val="auto"/>
              </w:rPr>
            </w:pPr>
          </w:p>
        </w:tc>
        <w:tc>
          <w:tcPr>
            <w:tcW w:w="1400" w:type="dxa"/>
            <w:vAlign w:val="bottom"/>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rPr>
              <w:t>discount rate - future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specific credit risk -</w:t>
            </w:r>
          </w:p>
        </w:tc>
        <w:tc>
          <w:tcPr>
            <w:tcW w:w="28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Other Comprehensive</w:t>
            </w:r>
          </w:p>
        </w:tc>
        <w:tc>
          <w:tcPr>
            <w:tcW w:w="0" w:type="dxa"/>
            <w:vAlign w:val="bottom"/>
          </w:tcPr>
          <w:p>
            <w:pPr>
              <w:spacing w:after="0"/>
              <w:rPr>
                <w:sz w:val="1"/>
                <w:szCs w:val="1"/>
                <w:color w:val="auto"/>
              </w:rPr>
            </w:pPr>
          </w:p>
        </w:tc>
      </w:tr>
      <w:tr>
        <w:trPr>
          <w:trHeight w:val="191"/>
        </w:trPr>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unconsolidated affiliates)</w:t>
            </w: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policy benefits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 risk benefits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1"/>
        </w:trPr>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4"/>
        </w:trPr>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4"/>
        </w:trPr>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4"/>
        </w:trPr>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0" w:type="dxa"/>
            <w:vAlign w:val="bottom"/>
          </w:tcPr>
          <w:p>
            <w:pPr>
              <w:spacing w:after="0"/>
              <w:rPr>
                <w:sz w:val="1"/>
                <w:szCs w:val="1"/>
                <w:color w:val="auto"/>
              </w:rPr>
            </w:pPr>
          </w:p>
        </w:tc>
      </w:tr>
      <w:tr>
        <w:trPr>
          <w:trHeight w:val="26"/>
        </w:trPr>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-1706245</wp:posOffset>
            </wp:positionH>
            <wp:positionV relativeFrom="paragraph">
              <wp:posOffset>-1436370</wp:posOffset>
            </wp:positionV>
            <wp:extent cx="7110730" cy="1250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10730" cy="12509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-1186180</wp:posOffset>
            </wp:positionV>
            <wp:extent cx="7110730" cy="133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10730" cy="13398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-927100</wp:posOffset>
            </wp:positionV>
            <wp:extent cx="7110730" cy="1250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0730" cy="12509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-676275</wp:posOffset>
            </wp:positionV>
            <wp:extent cx="7110730" cy="133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0730" cy="13398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-417195</wp:posOffset>
            </wp:positionV>
            <wp:extent cx="7110730" cy="1250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10730" cy="12509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-166370</wp:posOffset>
            </wp:positionV>
            <wp:extent cx="7110730" cy="150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10730" cy="15049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2000" w:space="720"/>
            <w:col w:w="85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Estimates</w:t>
      </w:r>
    </w:p>
    <w:p>
      <w:pPr>
        <w:spacing w:after="0" w:line="113"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48"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Periodically, and at least annually, typically in the third quarter, we review the assumptions associated with reserves for policy benefits and product guarantees. During the third quarter of 2023 and for the year ended December 31, 2023, based on increases in interest rates and pricing changes, we updated certain FIA assumptions to calculate the fair value of the embedded derivative component within the contractholder funds and also aligned reserves to actual policyholder behavior. These changes resulted in an increase in total benefits and other changes in policy reserves of approximately $73 million.</w:t>
      </w:r>
    </w:p>
    <w:p>
      <w:pPr>
        <w:spacing w:after="0" w:line="36"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During the fourth quarter of 2022, based on increases in interest rates and pricing changes during 2022, we updated certain FIA assumptions used to calculate the fair value of the embedded derivative component within contractholder funds and the fair value of market risk benefits. These changes, taken together, resulted in an increase in contractholder funds and market risk benefits of $99 million.</w:t>
      </w:r>
    </w:p>
    <w:p>
      <w:pPr>
        <w:spacing w:after="0" w:line="61" w:lineRule="exact"/>
        <w:rPr>
          <w:sz w:val="20"/>
          <w:szCs w:val="20"/>
          <w:color w:val="auto"/>
        </w:rPr>
      </w:pPr>
    </w:p>
    <w:p>
      <w:pPr>
        <w:jc w:val="both"/>
        <w:ind w:firstLine="316"/>
        <w:spacing w:after="0" w:line="286" w:lineRule="auto"/>
        <w:rPr>
          <w:sz w:val="20"/>
          <w:szCs w:val="20"/>
          <w:color w:val="auto"/>
        </w:rPr>
      </w:pPr>
      <w:r>
        <w:rPr>
          <w:rFonts w:ascii="Times New Roman" w:cs="Times New Roman" w:eastAsia="Times New Roman" w:hAnsi="Times New Roman"/>
          <w:sz w:val="16"/>
          <w:szCs w:val="16"/>
          <w:color w:val="auto"/>
        </w:rPr>
        <w:t>During the third quarter of 2021, we implemented a new actuarial valuation system. As a result, our third quarter 2021 assumption updates include model refinements and assumption updates resulting from the implementation. The system implementation and assumption review process that occurred in the third quarter of 2021, included refinements in the calculation of the fair value of the embedded derivative component of our FIAs within contractholder funds and updates to the surrender rates, GMWB utilization and earned rate assumptions to reflect our current and expected future experience. These changes, taken together, resulted in a decrease in contractholder funds and future policy reserves of $435 million. The majority of the changes represent one-time adjustments in the third quarter of 2021 related to the cumulative impact of the system implementation and are not expected to re-occur in the future.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Owned Distribution Investments</w:t>
      </w:r>
    </w:p>
    <w:p>
      <w:pPr>
        <w:spacing w:after="0" w:line="10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and 2022, we expensed approximately $154 million and $74 million in commissions on sales through our funded owned distribution investments and their affiliates, respectively, with the acquisition expense deferred and amortized in Depreciation and amortization on the accompanying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Acquisitions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TitlePoint</w:t>
      </w:r>
    </w:p>
    <w:p>
      <w:pPr>
        <w:spacing w:after="0" w:line="1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On January 1, 2023, we completed our previously announced acquisition of TitlePoint for $224 million in cash, subject to a customary working capital adjustment.</w:t>
      </w:r>
    </w:p>
    <w:p>
      <w:pPr>
        <w:spacing w:after="0" w:line="64"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under FASB Accounting Standards Codification Topic 805, Business Combinations ("Topic 805"). The purchase price has been allocated to TitlePoint's assets acquired based on their fair values as of the acquisition date. Goodwill has been recorded based on the amount that the purchase price exceeds the fair value of the net assets acquired. Goodwill consists primarily of intangible assets that do not qualify for separate recognition. The goodwill recorded is expected to be deductible for tax purposes. We completed our assessment of the fair value of assets acquired and liabilities assumed within the one-year period from the date of acquisition. In connection with the acquisition, we recorded fair value estimates for goodwill, other intangible assets and other assets of $165 million, $54 million and $6 million, respectively, as of December 31, 2023.</w:t>
      </w:r>
    </w:p>
    <w:p>
      <w:pPr>
        <w:spacing w:after="0" w:line="8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gross carrying value and weighted average estimated useful lives of Other intangible assets acquired in the TitlePoint acquisition consist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43"/>
        </w:trPr>
        <w:tc>
          <w:tcPr>
            <w:tcW w:w="7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00" w:type="dxa"/>
            <w:vAlign w:val="bottom"/>
          </w:tcPr>
          <w:p>
            <w:pPr>
              <w:spacing w:after="0"/>
              <w:rPr>
                <w:sz w:val="12"/>
                <w:szCs w:val="12"/>
                <w:color w:val="auto"/>
              </w:rPr>
            </w:pPr>
          </w:p>
        </w:tc>
        <w:tc>
          <w:tcPr>
            <w:tcW w:w="19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1"/>
        </w:trPr>
        <w:tc>
          <w:tcPr>
            <w:tcW w:w="7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0" w:type="dxa"/>
            <w:vAlign w:val="bottom"/>
          </w:tcPr>
          <w:p>
            <w:pPr>
              <w:spacing w:after="0"/>
              <w:rPr>
                <w:sz w:val="1"/>
                <w:szCs w:val="1"/>
                <w:color w:val="auto"/>
              </w:rPr>
            </w:pPr>
          </w:p>
        </w:tc>
      </w:tr>
      <w:tr>
        <w:trPr>
          <w:trHeight w:val="191"/>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200" w:type="dxa"/>
            <w:vAlign w:val="bottom"/>
          </w:tcPr>
          <w:p>
            <w:pPr>
              <w:spacing w:after="0"/>
              <w:rPr>
                <w:sz w:val="16"/>
                <w:szCs w:val="16"/>
                <w:color w:val="auto"/>
              </w:rPr>
            </w:pPr>
          </w:p>
        </w:tc>
        <w:tc>
          <w:tcPr>
            <w:tcW w:w="172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Customer relationships</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190"/>
        </w:trPr>
        <w:tc>
          <w:tcPr>
            <w:tcW w:w="7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Trade name</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2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198"/>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Software</w:t>
            </w: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7"/>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intangible assets</w:t>
            </w: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AllFirst</w:t>
      </w:r>
    </w:p>
    <w:p>
      <w:pPr>
        <w:spacing w:after="0" w:line="98" w:lineRule="exact"/>
        <w:rPr>
          <w:sz w:val="20"/>
          <w:szCs w:val="20"/>
          <w:color w:val="auto"/>
        </w:rPr>
      </w:pPr>
    </w:p>
    <w:p>
      <w:pPr>
        <w:jc w:val="both"/>
        <w:ind w:firstLine="316"/>
        <w:spacing w:after="0" w:line="239" w:lineRule="auto"/>
        <w:rPr>
          <w:sz w:val="20"/>
          <w:szCs w:val="20"/>
          <w:color w:val="auto"/>
        </w:rPr>
      </w:pPr>
      <w:r>
        <w:rPr>
          <w:rFonts w:ascii="Times New Roman" w:cs="Times New Roman" w:eastAsia="Times New Roman" w:hAnsi="Times New Roman"/>
          <w:sz w:val="18"/>
          <w:szCs w:val="18"/>
          <w:color w:val="auto"/>
        </w:rPr>
        <w:t>On August 9, 2022, we acquired approximately 74% of the outstanding equity of AllFirst for approximately $130 million in cash consideration. On December 19, 2022, we purchased an additional 6% of the outstanding equity of AllFirst for approximately $10 million in cash consideration.</w:t>
      </w:r>
    </w:p>
    <w:p>
      <w:pPr>
        <w:spacing w:after="0" w:line="61"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under FASB Accounting Standards Codification Topic 805, Business Combinations ("Topic 805"). The purchase price has been allocated to AllFirst's assets acquired and liabilities assumed based on their fair values as of August 9, 2022. Goodwill has been recorded based on the amount that the purchase price exceeds the fair value of the net assets acquired. Goodwill consists primarily of intangible assets that do not qualify for separate recognition. The goodwill recorded is expected to be deductible for tax purposes. We completed our assessment of the fair value of assets acquired and liabilities assumed within the one-year period from the date of acquisition. We recorded fair value amounts as of the acquisition date for goodwill, other intangibles, other assets, other liabilities and non-controlling interest of $104 million, $55 million, $40 million, $18 million and $46 million, respectively, as of December 31, 2023.</w:t>
      </w:r>
    </w:p>
    <w:p>
      <w:pPr>
        <w:spacing w:after="0" w:line="69"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gross carrying value and weighted average estimated useful lives of Other intangible assets acquired in the AllFirst acquisition consist of the following (dollars in millions):</w:t>
      </w:r>
    </w:p>
    <w:p>
      <w:pPr>
        <w:spacing w:after="0" w:line="7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33"/>
        </w:trPr>
        <w:tc>
          <w:tcPr>
            <w:tcW w:w="686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85"/>
        </w:trPr>
        <w:tc>
          <w:tcPr>
            <w:tcW w:w="686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0" w:type="dxa"/>
            <w:vAlign w:val="bottom"/>
          </w:tcPr>
          <w:p>
            <w:pPr>
              <w:spacing w:after="0"/>
              <w:rPr>
                <w:sz w:val="1"/>
                <w:szCs w:val="1"/>
                <w:color w:val="auto"/>
              </w:rPr>
            </w:pPr>
          </w:p>
        </w:tc>
      </w:tr>
      <w:tr>
        <w:trPr>
          <w:trHeight w:val="24"/>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6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60" w:type="dxa"/>
            <w:vAlign w:val="bottom"/>
            <w:shd w:val="clear" w:color="auto" w:fill="CCEEFF"/>
          </w:tcPr>
          <w:p>
            <w:pPr>
              <w:jc w:val="right"/>
              <w:ind w:right="145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4"/>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name</w:t>
            </w:r>
          </w:p>
        </w:tc>
        <w:tc>
          <w:tcPr>
            <w:tcW w:w="16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4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4"/>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Non-compete agreements</w:t>
            </w: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Software</w:t>
            </w:r>
          </w:p>
        </w:tc>
        <w:tc>
          <w:tcPr>
            <w:tcW w:w="1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42"/>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660" w:type="dxa"/>
            <w:vAlign w:val="bottom"/>
            <w:tcBorders>
              <w:bottom w:val="single" w:sz="8" w:color="auto"/>
            </w:tcBorders>
            <w:shd w:val="clear" w:color="auto" w:fill="CCEEFF"/>
          </w:tcPr>
          <w:p>
            <w:pPr>
              <w:jc w:val="right"/>
              <w:ind w:right="145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Summary of Reserve for Title Claim Losses</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summary of the reserve for title claim losses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6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r>
      <w:tr>
        <w:trPr>
          <w:trHeight w:val="191"/>
        </w:trPr>
        <w:tc>
          <w:tcPr>
            <w:tcW w:w="6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98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140" w:type="dxa"/>
            <w:vAlign w:val="bottom"/>
            <w:shd w:val="clear" w:color="auto" w:fill="CCEEFF"/>
          </w:tcPr>
          <w:p>
            <w:pPr>
              <w:spacing w:after="0"/>
              <w:rPr>
                <w:sz w:val="17"/>
                <w:szCs w:val="17"/>
                <w:color w:val="auto"/>
              </w:rPr>
            </w:pPr>
          </w:p>
        </w:tc>
      </w:tr>
      <w:tr>
        <w:trPr>
          <w:trHeight w:val="19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insurance recoverable</w:t>
            </w:r>
          </w:p>
        </w:tc>
        <w:tc>
          <w:tcPr>
            <w:tcW w:w="9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Pr>
          <w:p>
            <w:pPr>
              <w:spacing w:after="0"/>
              <w:rPr>
                <w:sz w:val="16"/>
                <w:szCs w:val="16"/>
                <w:color w:val="auto"/>
              </w:rPr>
            </w:pP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Claim loss provision related to:</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0"/>
        </w:trPr>
        <w:tc>
          <w:tcPr>
            <w:tcW w:w="6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year</w:t>
            </w:r>
          </w:p>
        </w:tc>
        <w:tc>
          <w:tcPr>
            <w:tcW w:w="9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40" w:type="dxa"/>
            <w:vAlign w:val="bottom"/>
          </w:tcPr>
          <w:p>
            <w:pPr>
              <w:spacing w:after="0"/>
              <w:rPr>
                <w:sz w:val="16"/>
                <w:szCs w:val="16"/>
                <w:color w:val="auto"/>
              </w:rPr>
            </w:pPr>
          </w:p>
        </w:tc>
      </w:tr>
      <w:tr>
        <w:trPr>
          <w:trHeight w:val="205"/>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Prior years</w:t>
            </w:r>
          </w:p>
        </w:tc>
        <w:tc>
          <w:tcPr>
            <w:tcW w:w="9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r>
      <w:tr>
        <w:trPr>
          <w:trHeight w:val="183"/>
        </w:trPr>
        <w:tc>
          <w:tcPr>
            <w:tcW w:w="66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title claim loss provision</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40" w:type="dxa"/>
            <w:vAlign w:val="bottom"/>
          </w:tcPr>
          <w:p>
            <w:pPr>
              <w:spacing w:after="0"/>
              <w:rPr>
                <w:sz w:val="15"/>
                <w:szCs w:val="15"/>
                <w:color w:val="auto"/>
              </w:rPr>
            </w:pP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Claims paid, net of recoupments related to:</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0"/>
        </w:trPr>
        <w:tc>
          <w:tcPr>
            <w:tcW w:w="6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year</w:t>
            </w:r>
          </w:p>
        </w:tc>
        <w:tc>
          <w:tcPr>
            <w:tcW w:w="9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6"/>
                <w:szCs w:val="16"/>
                <w:color w:val="auto"/>
              </w:rPr>
            </w:pPr>
          </w:p>
        </w:tc>
      </w:tr>
      <w:tr>
        <w:trPr>
          <w:trHeight w:val="205"/>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Prior years</w:t>
            </w:r>
          </w:p>
        </w:tc>
        <w:tc>
          <w:tcPr>
            <w:tcW w:w="9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40" w:type="dxa"/>
            <w:vAlign w:val="bottom"/>
            <w:tcBorders>
              <w:bottom w:val="single" w:sz="8" w:color="auto"/>
            </w:tcBorders>
            <w:shd w:val="clear" w:color="auto" w:fill="CCEEFF"/>
          </w:tcPr>
          <w:p>
            <w:pPr>
              <w:spacing w:after="0"/>
              <w:rPr>
                <w:sz w:val="17"/>
                <w:szCs w:val="17"/>
                <w:color w:val="auto"/>
              </w:rPr>
            </w:pPr>
          </w:p>
        </w:tc>
      </w:tr>
      <w:tr>
        <w:trPr>
          <w:trHeight w:val="184"/>
        </w:trPr>
        <w:tc>
          <w:tcPr>
            <w:tcW w:w="6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title claims paid, net of recoupments</w:t>
            </w:r>
          </w:p>
        </w:tc>
        <w:tc>
          <w:tcPr>
            <w:tcW w:w="9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40" w:type="dxa"/>
            <w:vAlign w:val="bottom"/>
            <w:tcBorders>
              <w:bottom w:val="single" w:sz="8" w:color="auto"/>
            </w:tcBorders>
          </w:tcPr>
          <w:p>
            <w:pPr>
              <w:spacing w:after="0"/>
              <w:rPr>
                <w:sz w:val="15"/>
                <w:szCs w:val="15"/>
                <w:color w:val="auto"/>
              </w:rPr>
            </w:pPr>
          </w:p>
        </w:tc>
      </w:tr>
      <w:tr>
        <w:trPr>
          <w:trHeight w:val="22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of claim loss reserve for title insurance</w:t>
            </w:r>
          </w:p>
        </w:tc>
        <w:tc>
          <w:tcPr>
            <w:tcW w:w="98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40" w:type="dxa"/>
            <w:vAlign w:val="bottom"/>
            <w:tcBorders>
              <w:bottom w:val="single" w:sz="8" w:color="auto"/>
            </w:tcBorders>
            <w:shd w:val="clear" w:color="auto" w:fill="CCEEFF"/>
          </w:tcPr>
          <w:p>
            <w:pPr>
              <w:spacing w:after="0"/>
              <w:rPr>
                <w:sz w:val="18"/>
                <w:szCs w:val="18"/>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title insurance claim losses as a percentage of title insurance premiums</w:t>
            </w: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6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316"/>
        <w:spacing w:after="0" w:line="225" w:lineRule="auto"/>
        <w:rPr>
          <w:sz w:val="20"/>
          <w:szCs w:val="20"/>
          <w:color w:val="auto"/>
        </w:rPr>
      </w:pPr>
      <w:r>
        <w:rPr>
          <w:rFonts w:ascii="Times New Roman" w:cs="Times New Roman" w:eastAsia="Times New Roman" w:hAnsi="Times New Roman"/>
          <w:sz w:val="18"/>
          <w:szCs w:val="18"/>
          <w:color w:val="auto"/>
        </w:rPr>
        <w:t>Several lawsuits have been filed by various parties against Chicago Title Company and Chicago Title Insurance Company as its principal (collectively, the “Named Companies”). Generally, plaintiffs claim they are investors who were solicited by Gina Champion-Cain through her former company, ANI Development LLC (“ANI”), or other affiliates to provide funds that purportedly were to be used for high-interest, short-term loans to parties seeking to acquire California alcoholic beverage licenses. Plaintiffs contend they were told that under California state law, alcoholic beverage license applicants are required to deposit into escrow an amount equal to the license purchase price while their applications remain pending with the State. Plaintiffs further alleged that employees of Chicago Title Company participated with Ms. Champion-Cain and her entities in a fraud scheme involving an escrow account maintained by Chicago Title Company into which some of the plaintiffs’ funds were deposited.</w:t>
      </w:r>
    </w:p>
    <w:p>
      <w:pPr>
        <w:spacing w:after="0" w:line="61" w:lineRule="exact"/>
        <w:rPr>
          <w:sz w:val="20"/>
          <w:szCs w:val="20"/>
          <w:color w:val="auto"/>
        </w:rPr>
      </w:pPr>
    </w:p>
    <w:p>
      <w:pPr>
        <w:jc w:val="both"/>
        <w:ind w:firstLine="316"/>
        <w:spacing w:after="0" w:line="224" w:lineRule="auto"/>
        <w:rPr>
          <w:sz w:val="20"/>
          <w:szCs w:val="20"/>
          <w:color w:val="auto"/>
        </w:rPr>
      </w:pPr>
      <w:r>
        <w:rPr>
          <w:rFonts w:ascii="Times New Roman" w:cs="Times New Roman" w:eastAsia="Times New Roman" w:hAnsi="Times New Roman"/>
          <w:sz w:val="18"/>
          <w:szCs w:val="18"/>
          <w:color w:val="auto"/>
        </w:rPr>
        <w:t xml:space="preserve">In connection with the alcoholic beverage license scheme, a lawsuit styled, </w:t>
      </w:r>
      <w:r>
        <w:rPr>
          <w:rFonts w:ascii="Times New Roman" w:cs="Times New Roman" w:eastAsia="Times New Roman" w:hAnsi="Times New Roman"/>
          <w:sz w:val="18"/>
          <w:szCs w:val="18"/>
          <w:i w:val="1"/>
          <w:iCs w:val="1"/>
          <w:color w:val="auto"/>
        </w:rPr>
        <w:t>Securities and Exchange Commission v. Gina Champion-Cain and ANI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LLC</w:t>
      </w:r>
      <w:r>
        <w:rPr>
          <w:rFonts w:ascii="Times New Roman" w:cs="Times New Roman" w:eastAsia="Times New Roman" w:hAnsi="Times New Roman"/>
          <w:sz w:val="18"/>
          <w:szCs w:val="18"/>
          <w:color w:val="auto"/>
        </w:rPr>
        <w:t>, was filed in the United States District Court for the Southern District of California asserting claims for securities fraud against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Champion-Cain and certain of her affiliated entities. A receiver was appointed by the court to preserve the assets of the defendant affiliated entities (the “receivership entities”), pay their debts, operate the businesses and pursue any claims they may have against third-parties. Pursuant to the authority granted to her by the federal court, on January 7, 2022, a lawsuit styled, </w:t>
      </w:r>
      <w:r>
        <w:rPr>
          <w:rFonts w:ascii="Times New Roman" w:cs="Times New Roman" w:eastAsia="Times New Roman" w:hAnsi="Times New Roman"/>
          <w:sz w:val="18"/>
          <w:szCs w:val="18"/>
          <w:i w:val="1"/>
          <w:iCs w:val="1"/>
          <w:color w:val="auto"/>
        </w:rPr>
        <w:t>Krista Freitag v. Chicago Title Co. and Chicago Title Ins. Co.</w:t>
      </w:r>
      <w:r>
        <w:rPr>
          <w:rFonts w:ascii="Times New Roman" w:cs="Times New Roman" w:eastAsia="Times New Roman" w:hAnsi="Times New Roman"/>
          <w:sz w:val="18"/>
          <w:szCs w:val="18"/>
          <w:color w:val="auto"/>
        </w:rPr>
        <w:t>, was filed in San Diego County Superior Court by the receiver on behalf of the receivership entities against the Named Companies. The receiver sought compensatory, incidental, consequential, and punitive damages, and the recovery of attorneys’ fees. In turn, the Named Companies petitioned the federal court to sue ANI, via the receiver, to pursue indemnity and other claims against the receivership entities as joint tortfeasors, which was granted.</w:t>
      </w:r>
    </w:p>
    <w:p>
      <w:pPr>
        <w:spacing w:after="0" w:line="62" w:lineRule="exact"/>
        <w:rPr>
          <w:sz w:val="20"/>
          <w:szCs w:val="20"/>
          <w:color w:val="auto"/>
        </w:rPr>
      </w:pPr>
    </w:p>
    <w:p>
      <w:pPr>
        <w:jc w:val="both"/>
        <w:ind w:firstLine="316"/>
        <w:spacing w:after="0" w:line="223" w:lineRule="auto"/>
        <w:rPr>
          <w:sz w:val="20"/>
          <w:szCs w:val="20"/>
          <w:color w:val="auto"/>
        </w:rPr>
      </w:pPr>
      <w:r>
        <w:rPr>
          <w:rFonts w:ascii="Times New Roman" w:cs="Times New Roman" w:eastAsia="Times New Roman" w:hAnsi="Times New Roman"/>
          <w:sz w:val="18"/>
          <w:szCs w:val="18"/>
          <w:color w:val="auto"/>
        </w:rPr>
        <w:t>On April 26, 2022, the Named Companies reached a global settlement with the receiver and several other investor claimants. As a condition of the settlement, the Named Companies and the receiver jointly sought court approval of the global settlement and entry of an order barring any claims against the Named Companies related to the alcoholic beverage license scheme. On November 23, 2022, the federal court overruled any objections by non-joining investors and entered an order approving the global settlement and barring further claims against the Named Companies (“Settlement and Bar Order”). The receiver’s lawsuit against the Named Companies has been dismissed. The receiver is in receipt of the settlement payment from Chicago Title Company and will distribute the amount designated for each non-joining investor at the conclusion of any such investor’s appeal of the Settlement and Bar Order (or back to Chicago Title Company if an appeal is successful). Some of the investor claimants who objected to entry of the Settlement and Bar Order appealed the decision to the United States Court of Appeals for the Ninth Circuit by (Cases 22-56206, 22-56208, and 23-55083), and appellate oral argument is expected to be held later this year. After filing its appeal, one of the appellants, CalPrivate Bank (Case 23-55083), entered into a settlement with the receiver that was approved by the federal court. This settlement resolves CalPrivate Bank’s objections to the Settlement and Bar Order, and its appeal has been dismissed.</w:t>
      </w:r>
    </w:p>
    <w:p>
      <w:pPr>
        <w:spacing w:after="0" w:line="64" w:lineRule="exact"/>
        <w:rPr>
          <w:sz w:val="20"/>
          <w:szCs w:val="20"/>
          <w:color w:val="auto"/>
        </w:rPr>
      </w:pPr>
    </w:p>
    <w:p>
      <w:pPr>
        <w:jc w:val="both"/>
        <w:ind w:firstLine="316"/>
        <w:spacing w:after="0" w:line="226" w:lineRule="auto"/>
        <w:rPr>
          <w:sz w:val="20"/>
          <w:szCs w:val="20"/>
          <w:color w:val="auto"/>
        </w:rPr>
      </w:pPr>
      <w:r>
        <w:rPr>
          <w:rFonts w:ascii="Times New Roman" w:cs="Times New Roman" w:eastAsia="Times New Roman" w:hAnsi="Times New Roman"/>
          <w:sz w:val="18"/>
          <w:szCs w:val="18"/>
          <w:color w:val="auto"/>
        </w:rPr>
        <w:t>The following lawsuits remain pending in the Superior Court of San Diego County for the State of California, all of which involve investor claimants who have claims against the Named Companies, objected to the settlement with the receiver, and have appealed the Settlement and Bar Order. Since any pending and future claims against the Named Companies are barred, the state court cases where plaintiffs have served a notice of appeal have been stayed pending the outcome of the appeals, and the claims against the Named Companies by non-appealing plaintiffs have been dismissed with prejudice. While they have not been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into one action, they have been deemed by the court to be related and are assigned to the same judge for purposes of judicial economy.</w:t>
      </w:r>
    </w:p>
    <w:p>
      <w:pPr>
        <w:spacing w:after="0" w:line="225" w:lineRule="exact"/>
        <w:rPr>
          <w:sz w:val="20"/>
          <w:szCs w:val="20"/>
          <w:color w:val="auto"/>
        </w:rPr>
      </w:pPr>
    </w:p>
    <w:p>
      <w:pPr>
        <w:jc w:val="both"/>
        <w:ind w:left="320" w:firstLine="316"/>
        <w:spacing w:after="0" w:line="287" w:lineRule="auto"/>
        <w:rPr>
          <w:sz w:val="20"/>
          <w:szCs w:val="20"/>
          <w:color w:val="auto"/>
        </w:rPr>
      </w:pPr>
      <w:r>
        <w:rPr>
          <w:rFonts w:ascii="Times New Roman" w:cs="Times New Roman" w:eastAsia="Times New Roman" w:hAnsi="Times New Roman"/>
          <w:sz w:val="16"/>
          <w:szCs w:val="16"/>
          <w:color w:val="auto"/>
        </w:rPr>
        <w:t xml:space="preserve">On December 13, 2019, a lawsuit styled, </w:t>
      </w:r>
      <w:r>
        <w:rPr>
          <w:rFonts w:ascii="Times New Roman" w:cs="Times New Roman" w:eastAsia="Times New Roman" w:hAnsi="Times New Roman"/>
          <w:sz w:val="16"/>
          <w:szCs w:val="16"/>
          <w:i w:val="1"/>
          <w:iCs w:val="1"/>
          <w:color w:val="auto"/>
        </w:rPr>
        <w:t>Kim Funding, LLC, Kim H. Peterson, Joseph J. Cohen, and ABC Funding Strategies, LLC v. Chicago Title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 Chicago Title Ins. Co., Thomas Schwiebert, Adelle Ducharme, and Betty Elixman</w:t>
      </w:r>
      <w:r>
        <w:rPr>
          <w:rFonts w:ascii="Times New Roman" w:cs="Times New Roman" w:eastAsia="Times New Roman" w:hAnsi="Times New Roman"/>
          <w:sz w:val="16"/>
          <w:szCs w:val="16"/>
          <w:color w:val="auto"/>
        </w:rPr>
        <w:t>, was filed in San Diego County Superior Court. Plaintiffs claim</w:t>
      </w:r>
    </w:p>
    <w:p>
      <w:pPr>
        <w:spacing w:after="0" w:line="1"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losses of more than $250 million as a result of the alleged fraud scheme, and also seek statutory, treble, and punitive damages, as well as the recovery of attorneys' fees. The Named Companies have filed a cross-complaint against Ms. Champion-Cain, and others. The Named Companies have reached a conditional settlement with the members of ABC Funding Strategies, LLC plaintiffs under confidential terms.</w:t>
      </w:r>
    </w:p>
    <w:p>
      <w:pPr>
        <w:spacing w:after="0" w:line="81" w:lineRule="exact"/>
        <w:rPr>
          <w:sz w:val="20"/>
          <w:szCs w:val="20"/>
          <w:color w:val="auto"/>
        </w:rPr>
      </w:pPr>
    </w:p>
    <w:p>
      <w:pPr>
        <w:jc w:val="both"/>
        <w:ind w:left="320" w:firstLine="316"/>
        <w:spacing w:after="0" w:line="286" w:lineRule="auto"/>
        <w:rPr>
          <w:sz w:val="20"/>
          <w:szCs w:val="20"/>
          <w:color w:val="auto"/>
        </w:rPr>
      </w:pPr>
      <w:r>
        <w:rPr>
          <w:rFonts w:ascii="Times New Roman" w:cs="Times New Roman" w:eastAsia="Times New Roman" w:hAnsi="Times New Roman"/>
          <w:sz w:val="16"/>
          <w:szCs w:val="16"/>
          <w:color w:val="auto"/>
        </w:rPr>
        <w:t xml:space="preserve">On July 7, 2020, a cross-claim styled, </w:t>
      </w:r>
      <w:r>
        <w:rPr>
          <w:rFonts w:ascii="Times New Roman" w:cs="Times New Roman" w:eastAsia="Times New Roman" w:hAnsi="Times New Roman"/>
          <w:sz w:val="16"/>
          <w:szCs w:val="16"/>
          <w:i w:val="1"/>
          <w:iCs w:val="1"/>
          <w:color w:val="auto"/>
        </w:rPr>
        <w:t>Laurie Peterson v. Chicago Title Co., Chicago Title Ins. Co., Thomas Schwiebert, Adelle Ducharme, and Betty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Elixman</w:t>
      </w:r>
      <w:r>
        <w:rPr>
          <w:rFonts w:ascii="Times New Roman" w:cs="Times New Roman" w:eastAsia="Times New Roman" w:hAnsi="Times New Roman"/>
          <w:sz w:val="16"/>
          <w:szCs w:val="16"/>
          <w:color w:val="auto"/>
        </w:rPr>
        <w:t>, was filed in an existing lawsuit styled,</w:t>
      </w:r>
      <w:r>
        <w:rPr>
          <w:rFonts w:ascii="Times New Roman" w:cs="Times New Roman" w:eastAsia="Times New Roman" w:hAnsi="Times New Roman"/>
          <w:sz w:val="16"/>
          <w:szCs w:val="16"/>
          <w:i w:val="1"/>
          <w:iCs w:val="1"/>
          <w:color w:val="auto"/>
        </w:rPr>
        <w:t xml:space="preserve"> Banc of California, National Association v. Laurie Peterson</w:t>
      </w:r>
      <w:r>
        <w:rPr>
          <w:rFonts w:ascii="Times New Roman" w:cs="Times New Roman" w:eastAsia="Times New Roman" w:hAnsi="Times New Roman"/>
          <w:sz w:val="16"/>
          <w:szCs w:val="16"/>
          <w:color w:val="auto"/>
        </w:rPr>
        <w:t>, which is pending in San Diego County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Superior Court. Cross-complaint plaintiff was sued by a bank to recover in excess of $35 million that she allegedly guaranteed to repay for certain investments made by the Banc of California in the alcoholic beverage license scheme. Cross-complaint plaintiff has, in turn, sued the Named Companies in that action seeking in excess of $250 million in monetary losses as well as exemplary damages and attorneys’ fees. The Named Companies filed a cross-complaint against Ms. Champion-Cain, and others, and the Named Companies were substituted in as the Plaintiff following a settlement with the bank.</w:t>
      </w:r>
    </w:p>
    <w:p>
      <w:pPr>
        <w:spacing w:after="0" w:line="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 xml:space="preserve">On September 3, 2020, a cross-claim styled, </w:t>
      </w:r>
      <w:r>
        <w:rPr>
          <w:rFonts w:ascii="Times New Roman" w:cs="Times New Roman" w:eastAsia="Times New Roman" w:hAnsi="Times New Roman"/>
          <w:sz w:val="16"/>
          <w:szCs w:val="16"/>
          <w:i w:val="1"/>
          <w:iCs w:val="1"/>
          <w:color w:val="auto"/>
        </w:rPr>
        <w:t>Kim H. Peterson Trustee of the Peterson Family Trust dated April 14 1992 v. Chicago Title Co., Chicago</w:t>
      </w:r>
    </w:p>
    <w:p>
      <w:pPr>
        <w:spacing w:after="0" w:line="35" w:lineRule="exact"/>
        <w:rPr>
          <w:sz w:val="20"/>
          <w:szCs w:val="20"/>
          <w:color w:val="auto"/>
        </w:rPr>
      </w:pPr>
    </w:p>
    <w:p>
      <w:pPr>
        <w:jc w:val="both"/>
        <w:ind w:left="320"/>
        <w:spacing w:after="0" w:line="220" w:lineRule="auto"/>
        <w:rPr>
          <w:sz w:val="20"/>
          <w:szCs w:val="20"/>
          <w:color w:val="auto"/>
        </w:rPr>
      </w:pPr>
      <w:r>
        <w:rPr>
          <w:rFonts w:ascii="Times New Roman" w:cs="Times New Roman" w:eastAsia="Times New Roman" w:hAnsi="Times New Roman"/>
          <w:sz w:val="18"/>
          <w:szCs w:val="18"/>
          <w:i w:val="1"/>
          <w:iCs w:val="1"/>
          <w:color w:val="auto"/>
        </w:rPr>
        <w:t>Title Ins. Co., Thomas Schwiebert, Adelle Ducharme, and Betty Elixman</w:t>
      </w:r>
      <w:r>
        <w:rPr>
          <w:rFonts w:ascii="Times New Roman" w:cs="Times New Roman" w:eastAsia="Times New Roman" w:hAnsi="Times New Roman"/>
          <w:sz w:val="18"/>
          <w:szCs w:val="18"/>
          <w:color w:val="auto"/>
        </w:rPr>
        <w:t>, was filed in an existing lawsuit styled,</w:t>
      </w:r>
      <w:r>
        <w:rPr>
          <w:rFonts w:ascii="Times New Roman" w:cs="Times New Roman" w:eastAsia="Times New Roman" w:hAnsi="Times New Roman"/>
          <w:sz w:val="18"/>
          <w:szCs w:val="18"/>
          <w:i w:val="1"/>
          <w:iCs w:val="1"/>
          <w:color w:val="auto"/>
        </w:rPr>
        <w:t xml:space="preserve"> CalPrivate Bank v. Kim H. Peterson Trustee of the Peterson Family Trust dated April 14 1992</w:t>
      </w:r>
      <w:r>
        <w:rPr>
          <w:rFonts w:ascii="Times New Roman" w:cs="Times New Roman" w:eastAsia="Times New Roman" w:hAnsi="Times New Roman"/>
          <w:sz w:val="18"/>
          <w:szCs w:val="18"/>
          <w:color w:val="auto"/>
        </w:rPr>
        <w:t>, which is pending in Superior Court of San Diego County for the State of California. Cross-complaint plaintiff was sued by a bank to recover in excess of $12 million that the trustee allegedly guaranteed to repay for certain investments made by CalPrivate Bank in the alcoholic beverage license scheme. Cross-complaint plaintiff has, in turn, sued the Named Companies in that action seeking in excess of $250 million in monetary losses as well as exemplary damages and attorneys’ fees. As a result of the receiver’s settlement with CalPrivate Bank, the receiver has been substituted in as the plaintiff in the suit against the trustee.</w:t>
      </w:r>
    </w:p>
    <w:p>
      <w:pPr>
        <w:spacing w:after="0" w:line="63" w:lineRule="exact"/>
        <w:rPr>
          <w:sz w:val="20"/>
          <w:szCs w:val="20"/>
          <w:color w:val="auto"/>
        </w:rPr>
      </w:pPr>
    </w:p>
    <w:p>
      <w:pPr>
        <w:jc w:val="both"/>
        <w:ind w:left="320" w:firstLine="316"/>
        <w:spacing w:after="0" w:line="230" w:lineRule="auto"/>
        <w:rPr>
          <w:sz w:val="20"/>
          <w:szCs w:val="20"/>
          <w:color w:val="auto"/>
        </w:rPr>
      </w:pPr>
      <w:r>
        <w:rPr>
          <w:rFonts w:ascii="Times New Roman" w:cs="Times New Roman" w:eastAsia="Times New Roman" w:hAnsi="Times New Roman"/>
          <w:sz w:val="18"/>
          <w:szCs w:val="18"/>
          <w:color w:val="auto"/>
        </w:rPr>
        <w:t>On November 2, 2020, a lawsuit styled, C</w:t>
      </w:r>
      <w:r>
        <w:rPr>
          <w:rFonts w:ascii="Times New Roman" w:cs="Times New Roman" w:eastAsia="Times New Roman" w:hAnsi="Times New Roman"/>
          <w:sz w:val="18"/>
          <w:szCs w:val="18"/>
          <w:i w:val="1"/>
          <w:iCs w:val="1"/>
          <w:color w:val="auto"/>
        </w:rPr>
        <w:t>alPrivate Bank v. Chicago Title Co. and Chicago Title Ins. Co.</w:t>
      </w:r>
      <w:r>
        <w:rPr>
          <w:rFonts w:ascii="Times New Roman" w:cs="Times New Roman" w:eastAsia="Times New Roman" w:hAnsi="Times New Roman"/>
          <w:sz w:val="18"/>
          <w:szCs w:val="18"/>
          <w:color w:val="auto"/>
        </w:rPr>
        <w:t>, was also filed in the Superior Court of San Diego County for the State of California. Plaintiff claims losses in excess of $12 million based upon business loan advances made in the alcoholic beverage license scheme and seeks punitive damages and the recovery of attorneys’ fees. The Named Companies have filed a cross-complaint against Ms. Champion-Cain, and others. Given CalPrivate Bank’s settlement with the receiver, this action against the Named Companies will be dismissed.</w:t>
      </w:r>
    </w:p>
    <w:p>
      <w:pPr>
        <w:spacing w:after="0" w:line="195" w:lineRule="exact"/>
        <w:rPr>
          <w:sz w:val="20"/>
          <w:szCs w:val="20"/>
          <w:color w:val="auto"/>
        </w:rPr>
      </w:pPr>
    </w:p>
    <w:p>
      <w:pPr>
        <w:jc w:val="both"/>
        <w:ind w:firstLine="316"/>
        <w:spacing w:after="0" w:line="230" w:lineRule="auto"/>
        <w:rPr>
          <w:sz w:val="20"/>
          <w:szCs w:val="20"/>
          <w:color w:val="auto"/>
        </w:rPr>
      </w:pPr>
      <w:r>
        <w:rPr>
          <w:rFonts w:ascii="Times New Roman" w:cs="Times New Roman" w:eastAsia="Times New Roman" w:hAnsi="Times New Roman"/>
          <w:sz w:val="18"/>
          <w:szCs w:val="18"/>
          <w:color w:val="auto"/>
        </w:rPr>
        <w:t>Chicago Title Company has also resolved a number of other pre-suit claims and previously-disclosed lawsuits from both individual and groups of alleged investors under confidential terms. Based on the facts and circumstances of the remaining claims, including the settlements already reached, we have recorded reserves included in our reserve for title claim losses, which we believe are adequate to cover losses related to this matter, and believe that our reserves for title claim losses are adequate.</w:t>
      </w:r>
    </w:p>
    <w:p>
      <w:pPr>
        <w:spacing w:after="0" w:line="75"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75"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Fair Value of Financial Instruments</w:t>
      </w:r>
    </w:p>
    <w:p>
      <w:pPr>
        <w:spacing w:after="0" w:line="177"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along with NAV. The hierarchy for fair value measurement is defined as follows: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Values are unadjusted quoted prices for identical assets and liabilities in active markets accessible at the measurement date.</w:t>
      </w:r>
    </w:p>
    <w:p>
      <w:pPr>
        <w:spacing w:after="0" w:line="83" w:lineRule="exact"/>
        <w:rPr>
          <w:sz w:val="20"/>
          <w:szCs w:val="20"/>
          <w:color w:val="auto"/>
        </w:rPr>
      </w:pPr>
    </w:p>
    <w:p>
      <w:pPr>
        <w:jc w:val="both"/>
        <w:ind w:left="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or liabilities in active markets, quoted prices from those willing to trade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market data for the term of the instrument. Such inputs include market interest rates and volatilities, spreads, and yield curves.</w:t>
      </w:r>
    </w:p>
    <w:p>
      <w:pPr>
        <w:spacing w:after="0" w:line="46" w:lineRule="exact"/>
        <w:rPr>
          <w:sz w:val="20"/>
          <w:szCs w:val="20"/>
          <w:color w:val="auto"/>
        </w:rPr>
      </w:pPr>
    </w:p>
    <w:p>
      <w:pPr>
        <w:jc w:val="both"/>
        <w:ind w:left="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Certain inputs are unobservable (supported by little or no market activity) and significant to the fair value measurement. Unobservable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Company’s best estimate of what hypothetical market participants would use to determine a transaction price for the asset or liability at the reporting date based on the best information available in the circumstances.</w:t>
      </w:r>
    </w:p>
    <w:p>
      <w:pPr>
        <w:spacing w:after="0" w:line="46" w:lineRule="exact"/>
        <w:rPr>
          <w:sz w:val="20"/>
          <w:szCs w:val="20"/>
          <w:color w:val="auto"/>
        </w:rPr>
      </w:pPr>
    </w:p>
    <w:p>
      <w:pPr>
        <w:jc w:val="both"/>
        <w:ind w:left="40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NAV </w:t>
      </w:r>
      <w:r>
        <w:rPr>
          <w:rFonts w:ascii="Times New Roman" w:cs="Times New Roman" w:eastAsia="Times New Roman" w:hAnsi="Times New Roman"/>
          <w:sz w:val="18"/>
          <w:szCs w:val="18"/>
          <w:color w:val="auto"/>
        </w:rPr>
        <w:t>- Certain equity investments are measured using NAV as a practical expedient in determining fair value. In addition, our unconsolidated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limited partnerships) are primarily accounted for using the equity method of accounting with fair value determined using NAV as a practical expedient. Our carrying value reflects our pro rata ownership percentage as indicated by NAV in the limited partnership financial statements, which we may adjust if we determine NAV is not calculated consistent with investment company fair value principles. The underlying investments of the limited partnerships may have significant unobservable inputs, which may include, but are not limited to, comparable multiples and weighted average cost of capital rates applied in valuation models or a discounted cash flow model. Additionally, management meets quarterly with the general partner to determine whether any credit or other market events have occurred since prior quarter financial statements to ensure any material events are properly included in current quarter valuation and investment income.</w:t>
      </w:r>
    </w:p>
    <w:p>
      <w:pPr>
        <w:spacing w:after="0" w:line="10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88"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 carrying amounts and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2,767</w:t>
            </w:r>
          </w:p>
        </w:tc>
      </w:tr>
      <w:tr>
        <w:trPr>
          <w:trHeight w:val="20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0"/>
        </w:trPr>
        <w:tc>
          <w:tcPr>
            <w:tcW w:w="5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14,342</w:t>
            </w:r>
          </w:p>
        </w:tc>
      </w:tr>
      <w:tr>
        <w:trPr>
          <w:trHeight w:val="205"/>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4,475</w:t>
            </w:r>
          </w:p>
        </w:tc>
      </w:tr>
      <w:tr>
        <w:trPr>
          <w:trHeight w:val="190"/>
        </w:trPr>
        <w:tc>
          <w:tcPr>
            <w:tcW w:w="5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17,896</w:t>
            </w:r>
          </w:p>
        </w:tc>
      </w:tr>
      <w:tr>
        <w:trPr>
          <w:trHeight w:val="205"/>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618</w:t>
            </w:r>
          </w:p>
        </w:tc>
      </w:tr>
      <w:tr>
        <w:trPr>
          <w:trHeight w:val="190"/>
        </w:trPr>
        <w:tc>
          <w:tcPr>
            <w:tcW w:w="5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r>
      <w:tr>
        <w:trPr>
          <w:trHeight w:val="205"/>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2,429</w:t>
            </w:r>
          </w:p>
        </w:tc>
      </w:tr>
      <w:tr>
        <w:trPr>
          <w:trHeight w:val="190"/>
        </w:trPr>
        <w:tc>
          <w:tcPr>
            <w:tcW w:w="5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678</w:t>
            </w:r>
          </w:p>
        </w:tc>
      </w:tr>
      <w:tr>
        <w:trPr>
          <w:trHeight w:val="205"/>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324</w:t>
            </w: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766</w:t>
            </w:r>
          </w:p>
        </w:tc>
      </w:tr>
      <w:tr>
        <w:trPr>
          <w:trHeight w:val="20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621</w:t>
            </w: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797</w:t>
            </w:r>
          </w:p>
        </w:tc>
      </w:tr>
      <w:tr>
        <w:trPr>
          <w:trHeight w:val="20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285</w:t>
            </w: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r>
      <w:tr>
        <w:trPr>
          <w:trHeight w:val="20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Reinsurance related embedded derivative, included in other assets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152</w:t>
            </w: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w:t>
            </w:r>
          </w:p>
        </w:tc>
      </w:tr>
      <w:tr>
        <w:trPr>
          <w:trHeight w:val="20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88</w:t>
            </w:r>
          </w:p>
        </w:tc>
      </w:tr>
      <w:tr>
        <w:trPr>
          <w:trHeight w:val="191"/>
        </w:trPr>
        <w:tc>
          <w:tcPr>
            <w:tcW w:w="51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financial assets at fair value</w:t>
            </w: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33,703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9,677</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50,005</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5"/>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FIA/ IUL embedded derivatives, included in contractholder funds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4,258</w:t>
            </w:r>
          </w:p>
        </w:tc>
      </w:tr>
      <w:tr>
        <w:trPr>
          <w:trHeight w:val="190"/>
        </w:trPr>
        <w:tc>
          <w:tcPr>
            <w:tcW w:w="5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403</w:t>
            </w:r>
          </w:p>
        </w:tc>
      </w:tr>
      <w:tr>
        <w:trPr>
          <w:trHeight w:val="205"/>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 instruments - futures contracts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51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4,662</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48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48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2,286</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w:t>
            </w:r>
          </w:p>
        </w:tc>
      </w:tr>
      <w:tr>
        <w:trPr>
          <w:trHeight w:val="20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0"/>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8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11,467</w:t>
            </w: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8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w:t>
            </w:r>
          </w:p>
        </w:tc>
      </w:tr>
      <w:tr>
        <w:trPr>
          <w:trHeight w:val="190"/>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8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14,337</w:t>
            </w: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190"/>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8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8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w:t>
            </w:r>
          </w:p>
        </w:tc>
      </w:tr>
      <w:tr>
        <w:trPr>
          <w:trHeight w:val="190"/>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8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8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8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r>
      <w:tr>
        <w:trPr>
          <w:trHeight w:val="20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8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20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8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Reinsurance related embedded derivative, included in other assets</w:t>
            </w:r>
          </w:p>
        </w:tc>
        <w:tc>
          <w:tcPr>
            <w:tcW w:w="8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20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2,590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w:t>
            </w: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8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9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8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7"/>
        </w:trPr>
        <w:tc>
          <w:tcPr>
            <w:tcW w:w="4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financial assets at fair value</w:t>
            </w:r>
          </w:p>
        </w:tc>
        <w:tc>
          <w:tcPr>
            <w:tcW w:w="8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6,210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40,263</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FIA/ IUL embedded derivatives, included in contractholder funds</w:t>
            </w:r>
          </w:p>
        </w:tc>
        <w:tc>
          <w:tcPr>
            <w:tcW w:w="8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r>
      <w:tr>
        <w:trPr>
          <w:trHeight w:val="191"/>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8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222"/>
        </w:trPr>
        <w:tc>
          <w:tcPr>
            <w:tcW w:w="48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80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amounts reported in the Consolidated Balance Sheets for these instruments approximate fair value.</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Fixed Maturity, Preferred and Equity Securities</w:t>
      </w:r>
    </w:p>
    <w:p>
      <w:pPr>
        <w:spacing w:after="0" w:line="98"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We measure the fair value of our securities based on assumptions used by market participants in pricing the security. The most appropriate valuation methodology is selected based on the specific characteristics of the fixed maturity, preferred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72"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54"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We analyze the third-party valuation methodologies and related inputs to perform assessments to determine the appropriate level within the fair value hierarchy. However, we did not adjust prices received from third parties as of December 31, 2023 or December 31,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Certain equity investments are measured using NAV as a practical expedient in determining fair value.</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85"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Our call options, futures contracts, and interest rate swaps can either be exchange traded or over the counter. Exchange traded derivatives typically fall within Level 1 of the fair value hierarchy if there is active trading activity. Two methods are used to value over-the-counter derivatives. When required inputs are available, certain derivatives are valued using valuation pricing models, which represent what we would expect to receive or pay at the balance sheet date if we cancelled or exercised the derivative, or entered into offsetting positions. Valuation models require a variety of inputs, which include the use of market-observable inputs, including interest rate, yield curve volatilities, and other factors. These over-the-counter derivatives are typically classified within Level 2 of the fair value hierarchy as the majority trade in liquid markets, we can verify model inputs and model selection does not involve significant management judgment. When inputs aren’t available for valuation models, certain over-the-counter derivatives are valued using independent broker quotes, which are based on unobservable market data and classified within Level 3.</w:t>
      </w:r>
    </w:p>
    <w:p>
      <w:pPr>
        <w:spacing w:after="0" w:line="85"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The fair value measurement of the FIA/IUL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call options in future periods to fund the equity indexed linked feature), surrender rates, mortality multiplier and non-performance spread. The mortality multiplier at December 31, 2023 and December 31, 2022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 Also refer to Management's Estimates in Note A - Business and Summary of Significant Accounting Policies regarding certain assumption updates.</w:t>
      </w:r>
    </w:p>
    <w:p>
      <w:pPr>
        <w:spacing w:after="0" w:line="8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The fair value of the reinsurance-related embedded derivatives in the funds withheld reinsurance agreements are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 See Note E - </w:t>
      </w:r>
      <w:r>
        <w:rPr>
          <w:rFonts w:ascii="Times New Roman" w:cs="Times New Roman" w:eastAsia="Times New Roman" w:hAnsi="Times New Roman"/>
          <w:sz w:val="18"/>
          <w:szCs w:val="18"/>
          <w:i w:val="1"/>
          <w:iCs w:val="1"/>
          <w:color w:val="auto"/>
        </w:rPr>
        <w:t>Reinsurance</w:t>
      </w:r>
      <w:r>
        <w:rPr>
          <w:rFonts w:ascii="Times New Roman" w:cs="Times New Roman" w:eastAsia="Times New Roman" w:hAnsi="Times New Roman"/>
          <w:sz w:val="18"/>
          <w:szCs w:val="18"/>
          <w:color w:val="auto"/>
        </w:rPr>
        <w:t xml:space="preserve"> for further discussion on F&amp;G reinsurance agreements.</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111" w:lineRule="exact"/>
        <w:rPr>
          <w:sz w:val="20"/>
          <w:szCs w:val="20"/>
          <w:color w:val="auto"/>
        </w:rPr>
      </w:pPr>
    </w:p>
    <w:p>
      <w:pPr>
        <w:jc w:val="both"/>
        <w:ind w:firstLine="316"/>
        <w:spacing w:after="0" w:line="265" w:lineRule="auto"/>
        <w:rPr>
          <w:sz w:val="20"/>
          <w:szCs w:val="20"/>
          <w:color w:val="auto"/>
        </w:rPr>
      </w:pPr>
      <w:r>
        <w:rPr>
          <w:rFonts w:ascii="Times New Roman" w:cs="Times New Roman" w:eastAsia="Times New Roman" w:hAnsi="Times New Roman"/>
          <w:sz w:val="18"/>
          <w:szCs w:val="18"/>
          <w:color w:val="auto"/>
        </w:rPr>
        <w:t>We have elected the fair value option for certain investments in unconsolidated affiliates as we believe this better aligns them with other investments in unconsolidated affiliates that are measured using NAV as a practical expedient in determining fair value. Investments measured using the fair value option are included in Level 3 and the fair value of these investments are determined using a multiple of the affiliates’ EBITDA, which is derived from market analysis of transactions involving comparable companies. The EBITDA used in this calculation is based on the affiliates’ financial information. The inputs are usually considered unobservable, as not all market participants have access to this data.</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amounts reported in the Consolidated Balance Sheets for these instruments approximate fair value.</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98"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 xml:space="preserve">We hold a fund-linked note that provides for an additional payment at maturity based on the value of an embedded derivative based on the actual return of a dedicated return fund. Fair value of the embedded derivative is based on an unobservable input, the NAV of the fund at the balance sheet date. The embedded derivative is similar to a call option on the NAV of the fund with a strike price of zero since Fidelity &amp; Guaranty Life Insurance Company ("FGL Insurance") will not be required to make any additional payments at maturity of the fund-linked note in order to receive the NAV of the fund on the maturity date. A Black-Scholes model determines the NAV of the fund as the fair value of the call option regardless of the values used for the other inputs to the option pricing model. The NAV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F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fair value of the credit-linked note is based on a weighted average of a broker quote and a discounted cash flow analysis. The discounted cash flow approach is based on the expected portfolio cash flows and amortization schedule reflecting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investment expectations, adjusted for assumptions on the portfolio's default and recovery rates, and the note's discount rate. The fair value of the note is provided by the fund manager at the end of each quarter.</w:t>
      </w:r>
    </w:p>
    <w:p>
      <w:pPr>
        <w:spacing w:after="0" w:line="38" w:lineRule="exact"/>
        <w:rPr>
          <w:sz w:val="20"/>
          <w:szCs w:val="20"/>
          <w:color w:val="auto"/>
        </w:rPr>
      </w:pPr>
    </w:p>
    <w:p>
      <w:pPr>
        <w:jc w:val="both"/>
        <w:ind w:firstLine="316"/>
        <w:spacing w:after="0" w:line="234" w:lineRule="auto"/>
        <w:rPr>
          <w:sz w:val="20"/>
          <w:szCs w:val="20"/>
          <w:color w:val="auto"/>
        </w:rPr>
      </w:pPr>
      <w:r>
        <w:rPr>
          <w:rFonts w:ascii="Times New Roman" w:cs="Times New Roman" w:eastAsia="Times New Roman" w:hAnsi="Times New Roman"/>
          <w:sz w:val="18"/>
          <w:szCs w:val="18"/>
          <w:color w:val="auto"/>
        </w:rPr>
        <w:t>Quantitative information regarding significant unobservable inputs used for recurring Level 3 fair value measurements of financial instruments carried at fair value as of December 31, 2023 and December 31, 2022, excluding assets and liabilities for which significant quantitative unobservable inputs are not developed internally and not readily available to the Company (primarily those valued using broker quotes and certain third-party pricing services)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40" w:type="dxa"/>
            <w:vAlign w:val="bottom"/>
          </w:tcPr>
          <w:p>
            <w:pPr>
              <w:jc w:val="center"/>
              <w:ind w:left="35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40" w:type="dxa"/>
            <w:vAlign w:val="bottom"/>
          </w:tcPr>
          <w:p>
            <w:pPr>
              <w:jc w:val="center"/>
              <w:ind w:left="33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24"/>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3280" w:type="dxa"/>
            <w:vAlign w:val="bottom"/>
            <w:vMerge w:val="restart"/>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80" w:type="dxa"/>
            <w:vAlign w:val="bottom"/>
            <w:tcBorders>
              <w:bottom w:val="single" w:sz="8" w:color="auto"/>
            </w:tcBorders>
            <w:vMerge w:val="continue"/>
          </w:tcPr>
          <w:p>
            <w:pPr>
              <w:spacing w:after="0"/>
              <w:rPr>
                <w:sz w:val="10"/>
                <w:szCs w:val="10"/>
                <w:color w:val="auto"/>
              </w:rPr>
            </w:pPr>
          </w:p>
        </w:tc>
        <w:tc>
          <w:tcPr>
            <w:tcW w:w="328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1240" w:type="dxa"/>
            <w:vAlign w:val="bottom"/>
          </w:tcPr>
          <w:p>
            <w:pPr>
              <w:jc w:val="right"/>
              <w:ind w:right="107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329"/>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Corporates</w:t>
            </w:r>
          </w:p>
        </w:tc>
        <w:tc>
          <w:tcPr>
            <w:tcW w:w="1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24"/>
                <w:szCs w:val="2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Third-Party Valuation</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329"/>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Corporates</w:t>
            </w:r>
          </w:p>
        </w:tc>
        <w:tc>
          <w:tcPr>
            <w:tcW w:w="1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329"/>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Municipals</w:t>
            </w:r>
          </w:p>
        </w:tc>
        <w:tc>
          <w:tcPr>
            <w:tcW w:w="1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329"/>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Third-Party Valuation</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329"/>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Governments</w:t>
            </w:r>
          </w:p>
        </w:tc>
        <w:tc>
          <w:tcPr>
            <w:tcW w:w="1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4"/>
                <w:szCs w:val="2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Third-Party Valuation</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159"/>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4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3"/>
                <w:szCs w:val="13"/>
                <w:color w:val="auto"/>
              </w:rPr>
            </w:pPr>
          </w:p>
        </w:tc>
        <w:tc>
          <w:tcPr>
            <w:tcW w:w="21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Market Comparable Company</w:t>
            </w: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0" w:type="dxa"/>
            <w:vAlign w:val="bottom"/>
          </w:tcPr>
          <w:p>
            <w:pPr>
              <w:spacing w:after="0"/>
              <w:rPr>
                <w:sz w:val="1"/>
                <w:szCs w:val="1"/>
                <w:color w:val="auto"/>
              </w:rPr>
            </w:pPr>
          </w:p>
        </w:tc>
      </w:tr>
      <w:tr>
        <w:trPr>
          <w:trHeight w:val="183"/>
        </w:trPr>
        <w:tc>
          <w:tcPr>
            <w:tcW w:w="3660" w:type="dxa"/>
            <w:vAlign w:val="bottom"/>
            <w:gridSpan w:val="2"/>
            <w:vMerge w:val="continue"/>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Analysis</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197"/>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197"/>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Black Scholes Model</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Value of Fund</w:t>
            </w:r>
          </w:p>
        </w:tc>
        <w:tc>
          <w:tcPr>
            <w:tcW w:w="0" w:type="dxa"/>
            <w:vAlign w:val="bottom"/>
          </w:tcPr>
          <w:p>
            <w:pPr>
              <w:spacing w:after="0"/>
              <w:rPr>
                <w:sz w:val="1"/>
                <w:szCs w:val="1"/>
                <w:color w:val="auto"/>
              </w:rPr>
            </w:pPr>
          </w:p>
        </w:tc>
      </w:tr>
      <w:tr>
        <w:trPr>
          <w:trHeight w:val="329"/>
        </w:trPr>
        <w:tc>
          <w:tcPr>
            <w:tcW w:w="3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1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0" w:type="dxa"/>
            <w:vAlign w:val="bottom"/>
          </w:tcPr>
          <w:p>
            <w:pPr>
              <w:spacing w:after="0"/>
              <w:rPr>
                <w:sz w:val="1"/>
                <w:szCs w:val="1"/>
                <w:color w:val="auto"/>
              </w:rPr>
            </w:pPr>
          </w:p>
        </w:tc>
      </w:tr>
      <w:tr>
        <w:trPr>
          <w:trHeight w:val="221"/>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financial assets at fair value (a)</w:t>
            </w:r>
          </w:p>
        </w:tc>
        <w:tc>
          <w:tcPr>
            <w:tcW w:w="124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6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660" w:type="dxa"/>
            <w:vAlign w:val="bottom"/>
            <w:gridSpan w:val="2"/>
          </w:tcPr>
          <w:p>
            <w:pPr>
              <w:ind w:left="200"/>
              <w:spacing w:after="0" w:line="159" w:lineRule="exact"/>
              <w:rPr>
                <w:sz w:val="20"/>
                <w:szCs w:val="20"/>
                <w:color w:val="auto"/>
              </w:rPr>
            </w:pPr>
            <w:r>
              <w:rPr>
                <w:rFonts w:ascii="Times New Roman" w:cs="Times New Roman" w:eastAsia="Times New Roman" w:hAnsi="Times New Roman"/>
                <w:sz w:val="14"/>
                <w:szCs w:val="14"/>
                <w:color w:val="auto"/>
              </w:rPr>
              <w:t>FIA/ IUL embedded derivatives, included in contractholder</w:t>
            </w:r>
          </w:p>
        </w:tc>
        <w:tc>
          <w:tcPr>
            <w:tcW w:w="1240" w:type="dxa"/>
            <w:vAlign w:val="bottom"/>
            <w:vMerge w:val="restart"/>
          </w:tcPr>
          <w:p>
            <w:pPr>
              <w:jc w:val="right"/>
              <w:ind w:right="107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100" w:type="dxa"/>
            <w:vAlign w:val="bottom"/>
          </w:tcPr>
          <w:p>
            <w:pPr>
              <w:spacing w:after="0"/>
              <w:rPr>
                <w:sz w:val="13"/>
                <w:szCs w:val="13"/>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0" w:type="dxa"/>
            <w:vAlign w:val="bottom"/>
          </w:tcPr>
          <w:p>
            <w:pPr>
              <w:spacing w:after="0"/>
              <w:rPr>
                <w:sz w:val="1"/>
                <w:szCs w:val="1"/>
                <w:color w:val="auto"/>
              </w:rPr>
            </w:pPr>
          </w:p>
        </w:tc>
      </w:tr>
      <w:tr>
        <w:trPr>
          <w:trHeight w:val="183"/>
        </w:trPr>
        <w:tc>
          <w:tcPr>
            <w:tcW w:w="3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funds</w:t>
            </w:r>
          </w:p>
        </w:tc>
        <w:tc>
          <w:tcPr>
            <w:tcW w:w="12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Swap rates</w:t>
            </w: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Partial Withdrawals</w:t>
            </w:r>
          </w:p>
        </w:tc>
        <w:tc>
          <w:tcPr>
            <w:tcW w:w="0" w:type="dxa"/>
            <w:vAlign w:val="bottom"/>
          </w:tcPr>
          <w:p>
            <w:pPr>
              <w:spacing w:after="0"/>
              <w:rPr>
                <w:sz w:val="1"/>
                <w:szCs w:val="1"/>
                <w:color w:val="auto"/>
              </w:rPr>
            </w:pPr>
          </w:p>
        </w:tc>
      </w:tr>
      <w:tr>
        <w:trPr>
          <w:trHeight w:val="566"/>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1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124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-5840095</wp:posOffset>
            </wp:positionV>
            <wp:extent cx="7135495" cy="2089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-5422265</wp:posOffset>
            </wp:positionV>
            <wp:extent cx="7135495" cy="2089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-5004435</wp:posOffset>
            </wp:positionV>
            <wp:extent cx="7135495" cy="2089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-4586605</wp:posOffset>
            </wp:positionV>
            <wp:extent cx="7135495" cy="1250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-4335780</wp:posOffset>
            </wp:positionV>
            <wp:extent cx="7135495" cy="1250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-4085590</wp:posOffset>
            </wp:positionV>
            <wp:extent cx="7135495" cy="2089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-3667760</wp:posOffset>
            </wp:positionV>
            <wp:extent cx="7135495" cy="2089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-3249930</wp:posOffset>
            </wp:positionV>
            <wp:extent cx="7135495" cy="2089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-2898775</wp:posOffset>
            </wp:positionV>
            <wp:extent cx="7135495" cy="1250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-2647950</wp:posOffset>
            </wp:positionV>
            <wp:extent cx="7135495" cy="2089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-2230120</wp:posOffset>
            </wp:positionV>
            <wp:extent cx="7135495" cy="1250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-1896110</wp:posOffset>
            </wp:positionV>
            <wp:extent cx="7135495" cy="2089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-1327785</wp:posOffset>
            </wp:positionV>
            <wp:extent cx="7135495" cy="1250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-993775</wp:posOffset>
            </wp:positionV>
            <wp:extent cx="7135495" cy="2089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-575945</wp:posOffset>
            </wp:positionV>
            <wp:extent cx="7135495" cy="2089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-158115</wp:posOffset>
            </wp:positionV>
            <wp:extent cx="7135495" cy="142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-6174105</wp:posOffset>
            </wp:positionV>
            <wp:extent cx="7135495" cy="1250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Range (Weighted average)</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5.09% - 6.95%</w:t>
      </w:r>
    </w:p>
    <w:p>
      <w:pPr>
        <w:spacing w:after="0"/>
        <w:rPr>
          <w:sz w:val="20"/>
          <w:szCs w:val="20"/>
          <w:color w:val="auto"/>
        </w:rPr>
      </w:pPr>
      <w:r>
        <w:rPr>
          <w:rFonts w:ascii="Times New Roman" w:cs="Times New Roman" w:eastAsia="Times New Roman" w:hAnsi="Times New Roman"/>
          <w:sz w:val="14"/>
          <w:szCs w:val="14"/>
          <w:color w:val="auto"/>
        </w:rPr>
        <w:t>(6.00%)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0.00% - 12.87%</w:t>
      </w:r>
    </w:p>
    <w:p>
      <w:pPr>
        <w:spacing w:after="0"/>
        <w:rPr>
          <w:sz w:val="20"/>
          <w:szCs w:val="20"/>
          <w:color w:val="auto"/>
        </w:rPr>
      </w:pPr>
      <w:r>
        <w:rPr>
          <w:rFonts w:ascii="Times New Roman" w:cs="Times New Roman" w:eastAsia="Times New Roman" w:hAnsi="Times New Roman"/>
          <w:sz w:val="14"/>
          <w:szCs w:val="14"/>
          <w:color w:val="auto"/>
        </w:rPr>
        <w:t>(6.91%)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44.00% - 100.00%</w:t>
      </w:r>
    </w:p>
    <w:p>
      <w:pPr>
        <w:ind w:left="40"/>
        <w:spacing w:after="0"/>
        <w:rPr>
          <w:sz w:val="20"/>
          <w:szCs w:val="20"/>
          <w:color w:val="auto"/>
        </w:rPr>
      </w:pPr>
      <w:r>
        <w:rPr>
          <w:rFonts w:ascii="Times New Roman" w:cs="Times New Roman" w:eastAsia="Times New Roman" w:hAnsi="Times New Roman"/>
          <w:sz w:val="14"/>
          <w:szCs w:val="14"/>
          <w:color w:val="auto"/>
        </w:rPr>
        <w:t>(75.20%)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6.25% - 6.25%</w:t>
      </w:r>
    </w:p>
    <w:p>
      <w:pPr>
        <w:spacing w:after="0"/>
        <w:rPr>
          <w:sz w:val="20"/>
          <w:szCs w:val="20"/>
          <w:color w:val="auto"/>
        </w:rPr>
      </w:pPr>
      <w:r>
        <w:rPr>
          <w:rFonts w:ascii="Times New Roman" w:cs="Times New Roman" w:eastAsia="Times New Roman" w:hAnsi="Times New Roman"/>
          <w:sz w:val="14"/>
          <w:szCs w:val="14"/>
          <w:color w:val="auto"/>
        </w:rPr>
        <w:t>(6.25%)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5.46%-5.46%</w:t>
      </w:r>
    </w:p>
    <w:p>
      <w:pPr>
        <w:spacing w:after="0"/>
        <w:rPr>
          <w:sz w:val="20"/>
          <w:szCs w:val="20"/>
          <w:color w:val="auto"/>
        </w:rPr>
      </w:pPr>
      <w:r>
        <w:rPr>
          <w:rFonts w:ascii="Times New Roman" w:cs="Times New Roman" w:eastAsia="Times New Roman" w:hAnsi="Times New Roman"/>
          <w:sz w:val="14"/>
          <w:szCs w:val="14"/>
          <w:color w:val="auto"/>
        </w:rPr>
        <w:t>(5.46%)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6.94% - 7.68%</w:t>
      </w:r>
    </w:p>
    <w:p>
      <w:pPr>
        <w:ind w:left="40"/>
        <w:spacing w:after="0"/>
        <w:rPr>
          <w:sz w:val="20"/>
          <w:szCs w:val="20"/>
          <w:color w:val="auto"/>
        </w:rPr>
      </w:pPr>
      <w:r>
        <w:rPr>
          <w:rFonts w:ascii="Times New Roman" w:cs="Times New Roman" w:eastAsia="Times New Roman" w:hAnsi="Times New Roman"/>
          <w:sz w:val="14"/>
          <w:szCs w:val="14"/>
          <w:color w:val="auto"/>
        </w:rPr>
        <w:t>(7.45%)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4.4x - 31.8x</w:t>
      </w:r>
    </w:p>
    <w:p>
      <w:pPr>
        <w:spacing w:after="0"/>
        <w:rPr>
          <w:sz w:val="20"/>
          <w:szCs w:val="20"/>
          <w:color w:val="auto"/>
        </w:rPr>
      </w:pPr>
      <w:r>
        <w:rPr>
          <w:rFonts w:ascii="Times New Roman" w:cs="Times New Roman" w:eastAsia="Times New Roman" w:hAnsi="Times New Roman"/>
          <w:sz w:val="14"/>
          <w:szCs w:val="14"/>
          <w:color w:val="auto"/>
        </w:rPr>
        <w:t>(23.2x)</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100.00%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11.50% - 11.50% (11.50%)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100.00%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100.00% - 100.00%</w:t>
      </w:r>
    </w:p>
    <w:p>
      <w:pPr>
        <w:spacing w:after="0"/>
        <w:rPr>
          <w:sz w:val="20"/>
          <w:szCs w:val="20"/>
          <w:color w:val="auto"/>
        </w:rPr>
      </w:pPr>
      <w:r>
        <w:rPr>
          <w:rFonts w:ascii="Times New Roman" w:cs="Times New Roman" w:eastAsia="Times New Roman" w:hAnsi="Times New Roman"/>
          <w:sz w:val="14"/>
          <w:szCs w:val="14"/>
          <w:color w:val="auto"/>
        </w:rPr>
        <w:t>(100.00%)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0.25% - 10.00%</w:t>
      </w:r>
    </w:p>
    <w:p>
      <w:pPr>
        <w:spacing w:after="0"/>
        <w:rPr>
          <w:sz w:val="20"/>
          <w:szCs w:val="20"/>
          <w:color w:val="auto"/>
        </w:rPr>
      </w:pPr>
      <w:r>
        <w:rPr>
          <w:rFonts w:ascii="Times New Roman" w:cs="Times New Roman" w:eastAsia="Times New Roman" w:hAnsi="Times New Roman"/>
          <w:sz w:val="14"/>
          <w:szCs w:val="14"/>
          <w:color w:val="auto"/>
        </w:rPr>
        <w:t>(5.22%)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- 23.26%</w:t>
      </w:r>
    </w:p>
    <w:p>
      <w:pPr>
        <w:spacing w:after="0"/>
        <w:rPr>
          <w:sz w:val="20"/>
          <w:szCs w:val="20"/>
          <w:color w:val="auto"/>
        </w:rPr>
      </w:pPr>
      <w:r>
        <w:rPr>
          <w:rFonts w:ascii="Times New Roman" w:cs="Times New Roman" w:eastAsia="Times New Roman" w:hAnsi="Times New Roman"/>
          <w:sz w:val="14"/>
          <w:szCs w:val="14"/>
          <w:color w:val="auto"/>
        </w:rPr>
        <w:t>(2.50%)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0.38% - 1.10%</w:t>
      </w:r>
    </w:p>
    <w:p>
      <w:pPr>
        <w:spacing w:after="0"/>
        <w:rPr>
          <w:sz w:val="20"/>
          <w:szCs w:val="20"/>
          <w:color w:val="auto"/>
        </w:rPr>
      </w:pPr>
      <w:r>
        <w:rPr>
          <w:rFonts w:ascii="Times New Roman" w:cs="Times New Roman" w:eastAsia="Times New Roman" w:hAnsi="Times New Roman"/>
          <w:sz w:val="14"/>
          <w:szCs w:val="14"/>
          <w:color w:val="auto"/>
        </w:rPr>
        <w:t>(0.96%)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50.00% - 60.00%</w:t>
      </w:r>
    </w:p>
    <w:p>
      <w:pPr>
        <w:spacing w:after="0"/>
        <w:rPr>
          <w:sz w:val="20"/>
          <w:szCs w:val="20"/>
          <w:color w:val="auto"/>
        </w:rPr>
      </w:pPr>
      <w:r>
        <w:rPr>
          <w:rFonts w:ascii="Times New Roman" w:cs="Times New Roman" w:eastAsia="Times New Roman" w:hAnsi="Times New Roman"/>
          <w:sz w:val="14"/>
          <w:szCs w:val="14"/>
          <w:color w:val="auto"/>
        </w:rPr>
        <w:t>(50.81%)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0.00% - 18.93%</w:t>
      </w:r>
    </w:p>
    <w:p>
      <w:pPr>
        <w:spacing w:after="0"/>
        <w:rPr>
          <w:sz w:val="20"/>
          <w:szCs w:val="20"/>
          <w:color w:val="auto"/>
        </w:rPr>
      </w:pPr>
      <w:r>
        <w:rPr>
          <w:rFonts w:ascii="Times New Roman" w:cs="Times New Roman" w:eastAsia="Times New Roman" w:hAnsi="Times New Roman"/>
          <w:sz w:val="14"/>
          <w:szCs w:val="14"/>
          <w:color w:val="auto"/>
        </w:rPr>
        <w:t>(2.63%)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3.84% - 5.26%</w:t>
      </w:r>
    </w:p>
    <w:p>
      <w:pPr>
        <w:spacing w:after="0"/>
        <w:rPr>
          <w:sz w:val="20"/>
          <w:szCs w:val="20"/>
          <w:color w:val="auto"/>
        </w:rPr>
      </w:pPr>
      <w:r>
        <w:rPr>
          <w:rFonts w:ascii="Times New Roman" w:cs="Times New Roman" w:eastAsia="Times New Roman" w:hAnsi="Times New Roman"/>
          <w:sz w:val="14"/>
          <w:szCs w:val="14"/>
          <w:color w:val="auto"/>
        </w:rPr>
        <w:t>(4.55%)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100.00% - 100.00% (100.00%)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0.25% - 70.00%</w:t>
      </w:r>
    </w:p>
    <w:p>
      <w:pPr>
        <w:spacing w:after="0"/>
        <w:rPr>
          <w:sz w:val="20"/>
          <w:szCs w:val="20"/>
          <w:color w:val="auto"/>
        </w:rPr>
      </w:pPr>
      <w:r>
        <w:rPr>
          <w:rFonts w:ascii="Times New Roman" w:cs="Times New Roman" w:eastAsia="Times New Roman" w:hAnsi="Times New Roman"/>
          <w:sz w:val="14"/>
          <w:szCs w:val="14"/>
          <w:color w:val="auto"/>
        </w:rPr>
        <w:t>(6.83%)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 - 34.48%</w:t>
      </w:r>
    </w:p>
    <w:p>
      <w:pPr>
        <w:spacing w:after="0"/>
        <w:rPr>
          <w:sz w:val="20"/>
          <w:szCs w:val="20"/>
          <w:color w:val="auto"/>
        </w:rPr>
      </w:pPr>
      <w:r>
        <w:rPr>
          <w:rFonts w:ascii="Times New Roman" w:cs="Times New Roman" w:eastAsia="Times New Roman" w:hAnsi="Times New Roman"/>
          <w:sz w:val="14"/>
          <w:szCs w:val="14"/>
          <w:color w:val="auto"/>
        </w:rPr>
        <w:t>(2.74%)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0.38% - 1.10%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(0.96%)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0.07% - 5.48% (2.38%)</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100.00% - 100.00%</w:t>
      </w:r>
    </w:p>
    <w:p>
      <w:pPr>
        <w:spacing w:after="0"/>
        <w:rPr>
          <w:sz w:val="20"/>
          <w:szCs w:val="20"/>
          <w:color w:val="auto"/>
        </w:rPr>
      </w:pPr>
      <w:r>
        <w:rPr>
          <w:rFonts w:ascii="Times New Roman" w:cs="Times New Roman" w:eastAsia="Times New Roman" w:hAnsi="Times New Roman"/>
          <w:sz w:val="14"/>
          <w:szCs w:val="14"/>
          <w:color w:val="auto"/>
        </w:rPr>
        <w:t>(100.00%)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0.25% - 10.00%</w:t>
      </w:r>
    </w:p>
    <w:p>
      <w:pPr>
        <w:spacing w:after="0"/>
        <w:rPr>
          <w:sz w:val="20"/>
          <w:szCs w:val="20"/>
          <w:color w:val="auto"/>
        </w:rPr>
      </w:pPr>
      <w:r>
        <w:rPr>
          <w:rFonts w:ascii="Times New Roman" w:cs="Times New Roman" w:eastAsia="Times New Roman" w:hAnsi="Times New Roman"/>
          <w:sz w:val="14"/>
          <w:szCs w:val="14"/>
          <w:color w:val="auto"/>
        </w:rPr>
        <w:t>(5.22%)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- 23.26%</w:t>
      </w:r>
    </w:p>
    <w:p>
      <w:pPr>
        <w:spacing w:after="0"/>
        <w:rPr>
          <w:sz w:val="20"/>
          <w:szCs w:val="20"/>
          <w:color w:val="auto"/>
        </w:rPr>
      </w:pPr>
      <w:r>
        <w:rPr>
          <w:rFonts w:ascii="Times New Roman" w:cs="Times New Roman" w:eastAsia="Times New Roman" w:hAnsi="Times New Roman"/>
          <w:sz w:val="14"/>
          <w:szCs w:val="14"/>
          <w:color w:val="auto"/>
        </w:rPr>
        <w:t>(2.50%)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0.38% - 1.10%</w:t>
      </w:r>
    </w:p>
    <w:p>
      <w:pPr>
        <w:spacing w:after="0"/>
        <w:rPr>
          <w:sz w:val="20"/>
          <w:szCs w:val="20"/>
          <w:color w:val="auto"/>
        </w:rPr>
      </w:pPr>
      <w:r>
        <w:rPr>
          <w:rFonts w:ascii="Times New Roman" w:cs="Times New Roman" w:eastAsia="Times New Roman" w:hAnsi="Times New Roman"/>
          <w:sz w:val="14"/>
          <w:szCs w:val="14"/>
          <w:color w:val="auto"/>
        </w:rPr>
        <w:t>(0.96%)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50.00% - 60.00%</w:t>
      </w:r>
    </w:p>
    <w:p>
      <w:pPr>
        <w:spacing w:after="0"/>
        <w:rPr>
          <w:sz w:val="20"/>
          <w:szCs w:val="20"/>
          <w:color w:val="auto"/>
        </w:rPr>
      </w:pPr>
      <w:r>
        <w:rPr>
          <w:rFonts w:ascii="Times New Roman" w:cs="Times New Roman" w:eastAsia="Times New Roman" w:hAnsi="Times New Roman"/>
          <w:sz w:val="14"/>
          <w:szCs w:val="14"/>
          <w:color w:val="auto"/>
        </w:rPr>
        <w:t>(50.81%)</w:t>
      </w:r>
    </w:p>
    <w:p>
      <w:pPr>
        <w:spacing w:after="0" w:line="336" w:lineRule="exact"/>
        <w:rPr>
          <w:sz w:val="20"/>
          <w:szCs w:val="20"/>
          <w:color w:val="auto"/>
        </w:rPr>
      </w:pPr>
    </w:p>
    <w:p>
      <w:pPr>
        <w:sectPr>
          <w:pgSz w:w="11900" w:h="16838" w:orient="portrait"/>
          <w:cols w:equalWidth="0" w:num="2">
            <w:col w:w="9160" w:space="120"/>
            <w:col w:w="1960"/>
          </w:cols>
          <w:pgMar w:left="320" w:top="121" w:right="339" w:bottom="1440" w:gutter="0" w:footer="0" w:header="0"/>
          <w:type w:val="continuous"/>
        </w:sectPr>
      </w:pPr>
    </w:p>
    <w:p>
      <w:pPr>
        <w:ind w:firstLine="5"/>
        <w:spacing w:after="0" w:line="268" w:lineRule="auto"/>
        <w:tabs>
          <w:tab w:leader="none" w:pos="20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$$8,365 million of assets for which significant quantitative unobservable inputs are not developed internally and not readily available to the Company (primarily those valued using broker quotes and certain third-party pricing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40" w:type="dxa"/>
            <w:vAlign w:val="bottom"/>
          </w:tcPr>
          <w:p>
            <w:pPr>
              <w:jc w:val="center"/>
              <w:ind w:left="35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240" w:type="dxa"/>
            <w:vAlign w:val="bottom"/>
          </w:tcPr>
          <w:p>
            <w:pPr>
              <w:jc w:val="center"/>
              <w:ind w:left="3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24"/>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3280" w:type="dxa"/>
            <w:vAlign w:val="bottom"/>
            <w:vMerge w:val="restart"/>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80" w:type="dxa"/>
            <w:vAlign w:val="bottom"/>
            <w:tcBorders>
              <w:bottom w:val="single" w:sz="8" w:color="auto"/>
            </w:tcBorders>
            <w:vMerge w:val="continue"/>
          </w:tcPr>
          <w:p>
            <w:pPr>
              <w:spacing w:after="0"/>
              <w:rPr>
                <w:sz w:val="10"/>
                <w:szCs w:val="10"/>
                <w:color w:val="auto"/>
              </w:rPr>
            </w:pPr>
          </w:p>
        </w:tc>
        <w:tc>
          <w:tcPr>
            <w:tcW w:w="328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1240" w:type="dxa"/>
            <w:vAlign w:val="bottom"/>
          </w:tcPr>
          <w:p>
            <w:pPr>
              <w:jc w:val="right"/>
              <w:ind w:right="107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329"/>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Corporates</w:t>
            </w:r>
          </w:p>
        </w:tc>
        <w:tc>
          <w:tcPr>
            <w:tcW w:w="1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197"/>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Corporates</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329"/>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Municipals</w:t>
            </w:r>
          </w:p>
        </w:tc>
        <w:tc>
          <w:tcPr>
            <w:tcW w:w="1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Evaluation</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329"/>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governments</w:t>
            </w:r>
          </w:p>
        </w:tc>
        <w:tc>
          <w:tcPr>
            <w:tcW w:w="1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Evaluation</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159"/>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4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3"/>
                <w:szCs w:val="13"/>
                <w:color w:val="auto"/>
              </w:rPr>
            </w:pPr>
          </w:p>
        </w:tc>
        <w:tc>
          <w:tcPr>
            <w:tcW w:w="21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Market Comparable Company</w:t>
            </w: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0" w:type="dxa"/>
            <w:vAlign w:val="bottom"/>
          </w:tcPr>
          <w:p>
            <w:pPr>
              <w:spacing w:after="0"/>
              <w:rPr>
                <w:sz w:val="1"/>
                <w:szCs w:val="1"/>
                <w:color w:val="auto"/>
              </w:rPr>
            </w:pPr>
          </w:p>
        </w:tc>
      </w:tr>
      <w:tr>
        <w:trPr>
          <w:trHeight w:val="183"/>
        </w:trPr>
        <w:tc>
          <w:tcPr>
            <w:tcW w:w="3660" w:type="dxa"/>
            <w:vAlign w:val="bottom"/>
            <w:gridSpan w:val="2"/>
            <w:vMerge w:val="continue"/>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Analysis</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197"/>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197"/>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Black Scholes model</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value of fund</w:t>
            </w:r>
          </w:p>
        </w:tc>
        <w:tc>
          <w:tcPr>
            <w:tcW w:w="0" w:type="dxa"/>
            <w:vAlign w:val="bottom"/>
          </w:tcPr>
          <w:p>
            <w:pPr>
              <w:spacing w:after="0"/>
              <w:rPr>
                <w:sz w:val="1"/>
                <w:szCs w:val="1"/>
                <w:color w:val="auto"/>
              </w:rPr>
            </w:pPr>
          </w:p>
        </w:tc>
      </w:tr>
      <w:tr>
        <w:trPr>
          <w:trHeight w:val="197"/>
        </w:trPr>
        <w:tc>
          <w:tcPr>
            <w:tcW w:w="36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7"/>
                <w:szCs w:val="17"/>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0" w:type="dxa"/>
            <w:vAlign w:val="bottom"/>
          </w:tcPr>
          <w:p>
            <w:pPr>
              <w:spacing w:after="0"/>
              <w:rPr>
                <w:sz w:val="1"/>
                <w:szCs w:val="1"/>
                <w:color w:val="auto"/>
              </w:rPr>
            </w:pPr>
          </w:p>
        </w:tc>
      </w:tr>
      <w:tr>
        <w:trPr>
          <w:trHeight w:val="221"/>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financial assets at fair value (a)</w:t>
            </w:r>
          </w:p>
        </w:tc>
        <w:tc>
          <w:tcPr>
            <w:tcW w:w="124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6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660" w:type="dxa"/>
            <w:vAlign w:val="bottom"/>
            <w:gridSpan w:val="2"/>
          </w:tcPr>
          <w:p>
            <w:pPr>
              <w:ind w:left="200"/>
              <w:spacing w:after="0" w:line="159" w:lineRule="exact"/>
              <w:rPr>
                <w:sz w:val="20"/>
                <w:szCs w:val="20"/>
                <w:color w:val="auto"/>
              </w:rPr>
            </w:pPr>
            <w:r>
              <w:rPr>
                <w:rFonts w:ascii="Times New Roman" w:cs="Times New Roman" w:eastAsia="Times New Roman" w:hAnsi="Times New Roman"/>
                <w:sz w:val="14"/>
                <w:szCs w:val="14"/>
                <w:color w:val="auto"/>
              </w:rPr>
              <w:t>FIA/ IUL embedded derivatives, included in contractholder</w:t>
            </w:r>
          </w:p>
        </w:tc>
        <w:tc>
          <w:tcPr>
            <w:tcW w:w="1240" w:type="dxa"/>
            <w:vAlign w:val="bottom"/>
            <w:vMerge w:val="restart"/>
          </w:tcPr>
          <w:p>
            <w:pPr>
              <w:jc w:val="right"/>
              <w:ind w:right="107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100" w:type="dxa"/>
            <w:vAlign w:val="bottom"/>
          </w:tcPr>
          <w:p>
            <w:pPr>
              <w:spacing w:after="0"/>
              <w:rPr>
                <w:sz w:val="13"/>
                <w:szCs w:val="13"/>
                <w:color w:val="auto"/>
              </w:rPr>
            </w:pP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0" w:type="dxa"/>
            <w:vAlign w:val="bottom"/>
          </w:tcPr>
          <w:p>
            <w:pPr>
              <w:spacing w:after="0"/>
              <w:rPr>
                <w:sz w:val="1"/>
                <w:szCs w:val="1"/>
                <w:color w:val="auto"/>
              </w:rPr>
            </w:pPr>
          </w:p>
        </w:tc>
      </w:tr>
      <w:tr>
        <w:trPr>
          <w:trHeight w:val="183"/>
        </w:trPr>
        <w:tc>
          <w:tcPr>
            <w:tcW w:w="3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funds</w:t>
            </w:r>
          </w:p>
        </w:tc>
        <w:tc>
          <w:tcPr>
            <w:tcW w:w="12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Swap rates</w:t>
            </w: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Partial withdrawals</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0" w:type="dxa"/>
            <w:vAlign w:val="bottom"/>
          </w:tcPr>
          <w:p>
            <w:pPr>
              <w:spacing w:after="0"/>
              <w:rPr>
                <w:sz w:val="1"/>
                <w:szCs w:val="1"/>
                <w:color w:val="auto"/>
              </w:rPr>
            </w:pPr>
          </w:p>
        </w:tc>
      </w:tr>
      <w:tr>
        <w:trPr>
          <w:trHeight w:val="197"/>
        </w:trPr>
        <w:tc>
          <w:tcPr>
            <w:tcW w:w="3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7"/>
                <w:szCs w:val="17"/>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0" w:type="dxa"/>
            <w:vAlign w:val="bottom"/>
          </w:tcPr>
          <w:p>
            <w:pPr>
              <w:spacing w:after="0"/>
              <w:rPr>
                <w:sz w:val="1"/>
                <w:szCs w:val="1"/>
                <w:color w:val="auto"/>
              </w:rPr>
            </w:pPr>
          </w:p>
        </w:tc>
      </w:tr>
      <w:tr>
        <w:trPr>
          <w:trHeight w:val="221"/>
        </w:trPr>
        <w:tc>
          <w:tcPr>
            <w:tcW w:w="3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124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-5355590</wp:posOffset>
            </wp:positionV>
            <wp:extent cx="7135495" cy="2089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-4937760</wp:posOffset>
            </wp:positionV>
            <wp:extent cx="7135495" cy="1250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-4603115</wp:posOffset>
            </wp:positionV>
            <wp:extent cx="7135495" cy="2089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-4185285</wp:posOffset>
            </wp:positionV>
            <wp:extent cx="7135495" cy="1250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-3935095</wp:posOffset>
            </wp:positionV>
            <wp:extent cx="7135495" cy="1250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-3684270</wp:posOffset>
            </wp:positionV>
            <wp:extent cx="7135495" cy="1250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-3350260</wp:posOffset>
            </wp:positionV>
            <wp:extent cx="7135495" cy="2089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-2932430</wp:posOffset>
            </wp:positionV>
            <wp:extent cx="7135495" cy="1250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-2665095</wp:posOffset>
            </wp:positionV>
            <wp:extent cx="7135495" cy="1250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-2414270</wp:posOffset>
            </wp:positionV>
            <wp:extent cx="7135495" cy="2089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-1996440</wp:posOffset>
            </wp:positionV>
            <wp:extent cx="7135495" cy="1250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-1662430</wp:posOffset>
            </wp:positionV>
            <wp:extent cx="7135495" cy="2089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-1244600</wp:posOffset>
            </wp:positionV>
            <wp:extent cx="7135495" cy="2089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-909955</wp:posOffset>
            </wp:positionV>
            <wp:extent cx="7135495" cy="2089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-492125</wp:posOffset>
            </wp:positionV>
            <wp:extent cx="7135495" cy="2089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-158115</wp:posOffset>
            </wp:positionV>
            <wp:extent cx="7135495" cy="142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Range (Weighted average)</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30480</wp:posOffset>
            </wp:positionV>
            <wp:extent cx="12363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5.23% - 8.98%</w:t>
      </w:r>
    </w:p>
    <w:p>
      <w:pPr>
        <w:spacing w:after="0"/>
        <w:rPr>
          <w:sz w:val="20"/>
          <w:szCs w:val="20"/>
          <w:color w:val="auto"/>
        </w:rPr>
      </w:pPr>
      <w:r>
        <w:rPr>
          <w:rFonts w:ascii="Times New Roman" w:cs="Times New Roman" w:eastAsia="Times New Roman" w:hAnsi="Times New Roman"/>
          <w:sz w:val="14"/>
          <w:szCs w:val="14"/>
          <w:color w:val="auto"/>
        </w:rPr>
        <w:t>(6.07%)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4.75% - 12.45%</w:t>
      </w:r>
    </w:p>
    <w:p>
      <w:pPr>
        <w:spacing w:after="0"/>
        <w:rPr>
          <w:sz w:val="20"/>
          <w:szCs w:val="20"/>
          <w:color w:val="auto"/>
        </w:rPr>
      </w:pPr>
      <w:r>
        <w:rPr>
          <w:rFonts w:ascii="Times New Roman" w:cs="Times New Roman" w:eastAsia="Times New Roman" w:hAnsi="Times New Roman"/>
          <w:sz w:val="14"/>
          <w:szCs w:val="14"/>
          <w:color w:val="auto"/>
        </w:rPr>
        <w:t>(7.22%)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44.00% - 100.00% (77.02%)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7.62% - 7.62%</w:t>
      </w:r>
    </w:p>
    <w:p>
      <w:pPr>
        <w:spacing w:after="0"/>
        <w:rPr>
          <w:sz w:val="20"/>
          <w:szCs w:val="20"/>
          <w:color w:val="auto"/>
        </w:rPr>
      </w:pPr>
      <w:r>
        <w:rPr>
          <w:rFonts w:ascii="Times New Roman" w:cs="Times New Roman" w:eastAsia="Times New Roman" w:hAnsi="Times New Roman"/>
          <w:sz w:val="14"/>
          <w:szCs w:val="14"/>
          <w:color w:val="auto"/>
        </w:rPr>
        <w:t>(7.62%)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5.99% - 6.28%</w:t>
      </w:r>
    </w:p>
    <w:p>
      <w:pPr>
        <w:spacing w:after="0"/>
        <w:rPr>
          <w:sz w:val="20"/>
          <w:szCs w:val="20"/>
          <w:color w:val="auto"/>
        </w:rPr>
      </w:pPr>
      <w:r>
        <w:rPr>
          <w:rFonts w:ascii="Times New Roman" w:cs="Times New Roman" w:eastAsia="Times New Roman" w:hAnsi="Times New Roman"/>
          <w:sz w:val="14"/>
          <w:szCs w:val="14"/>
          <w:color w:val="auto"/>
        </w:rPr>
        <w:t>(6.19%)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5x-5.50x</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100.00%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11.10% - 11.10% (11.10%)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100.00%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100.00% - 100.00% (100.00%)</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0.25% - 10.00%</w:t>
      </w:r>
    </w:p>
    <w:p>
      <w:pPr>
        <w:spacing w:after="0"/>
        <w:rPr>
          <w:sz w:val="20"/>
          <w:szCs w:val="20"/>
          <w:color w:val="auto"/>
        </w:rPr>
      </w:pPr>
      <w:r>
        <w:rPr>
          <w:rFonts w:ascii="Times New Roman" w:cs="Times New Roman" w:eastAsia="Times New Roman" w:hAnsi="Times New Roman"/>
          <w:sz w:val="14"/>
          <w:szCs w:val="14"/>
          <w:color w:val="auto"/>
        </w:rPr>
        <w:t>(4.69%)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 - 21.74%</w:t>
      </w:r>
    </w:p>
    <w:p>
      <w:pPr>
        <w:spacing w:after="0"/>
        <w:rPr>
          <w:sz w:val="20"/>
          <w:szCs w:val="20"/>
          <w:color w:val="auto"/>
        </w:rPr>
      </w:pPr>
      <w:r>
        <w:rPr>
          <w:rFonts w:ascii="Times New Roman" w:cs="Times New Roman" w:eastAsia="Times New Roman" w:hAnsi="Times New Roman"/>
          <w:sz w:val="14"/>
          <w:szCs w:val="14"/>
          <w:color w:val="auto"/>
        </w:rPr>
        <w:t>(2.49%)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0.48% - 1.44%</w:t>
      </w:r>
    </w:p>
    <w:p>
      <w:pPr>
        <w:spacing w:after="0"/>
        <w:rPr>
          <w:sz w:val="20"/>
          <w:szCs w:val="20"/>
          <w:color w:val="auto"/>
        </w:rPr>
      </w:pPr>
      <w:r>
        <w:rPr>
          <w:rFonts w:ascii="Times New Roman" w:cs="Times New Roman" w:eastAsia="Times New Roman" w:hAnsi="Times New Roman"/>
          <w:sz w:val="14"/>
          <w:szCs w:val="14"/>
          <w:color w:val="auto"/>
        </w:rPr>
        <w:t>(1.30%)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50.00% - 60.00% (50.94%)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0.00% - 23.90%</w:t>
      </w:r>
    </w:p>
    <w:p>
      <w:pPr>
        <w:spacing w:after="0"/>
        <w:rPr>
          <w:sz w:val="20"/>
          <w:szCs w:val="20"/>
          <w:color w:val="auto"/>
        </w:rPr>
      </w:pPr>
      <w:r>
        <w:rPr>
          <w:rFonts w:ascii="Times New Roman" w:cs="Times New Roman" w:eastAsia="Times New Roman" w:hAnsi="Times New Roman"/>
          <w:sz w:val="14"/>
          <w:szCs w:val="14"/>
          <w:color w:val="auto"/>
        </w:rPr>
        <w:t>(0.87%)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3.88% - 4.73%</w:t>
      </w:r>
    </w:p>
    <w:p>
      <w:pPr>
        <w:spacing w:after="0"/>
        <w:rPr>
          <w:sz w:val="20"/>
          <w:szCs w:val="20"/>
          <w:color w:val="auto"/>
        </w:rPr>
      </w:pPr>
      <w:r>
        <w:rPr>
          <w:rFonts w:ascii="Times New Roman" w:cs="Times New Roman" w:eastAsia="Times New Roman" w:hAnsi="Times New Roman"/>
          <w:sz w:val="14"/>
          <w:szCs w:val="14"/>
          <w:color w:val="auto"/>
        </w:rPr>
        <w:t>(4.31%)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100.00% - 100.00% (100.00%)</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0.25% - 70.00%</w:t>
      </w:r>
    </w:p>
    <w:p>
      <w:pPr>
        <w:spacing w:after="0"/>
        <w:rPr>
          <w:sz w:val="20"/>
          <w:szCs w:val="20"/>
          <w:color w:val="auto"/>
        </w:rPr>
      </w:pPr>
      <w:r>
        <w:rPr>
          <w:rFonts w:ascii="Times New Roman" w:cs="Times New Roman" w:eastAsia="Times New Roman" w:hAnsi="Times New Roman"/>
          <w:sz w:val="14"/>
          <w:szCs w:val="14"/>
          <w:color w:val="auto"/>
        </w:rPr>
        <w:t>(6.57%)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 - 29.41%</w:t>
      </w:r>
    </w:p>
    <w:p>
      <w:pPr>
        <w:spacing w:after="0"/>
        <w:rPr>
          <w:sz w:val="20"/>
          <w:szCs w:val="20"/>
          <w:color w:val="auto"/>
        </w:rPr>
      </w:pPr>
      <w:r>
        <w:rPr>
          <w:rFonts w:ascii="Times New Roman" w:cs="Times New Roman" w:eastAsia="Times New Roman" w:hAnsi="Times New Roman"/>
          <w:sz w:val="14"/>
          <w:szCs w:val="14"/>
          <w:color w:val="auto"/>
        </w:rPr>
        <w:t>(2.73%)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0.48% - 1.44%</w:t>
      </w:r>
    </w:p>
    <w:p>
      <w:pPr>
        <w:spacing w:after="0"/>
        <w:rPr>
          <w:sz w:val="20"/>
          <w:szCs w:val="20"/>
          <w:color w:val="auto"/>
        </w:rPr>
      </w:pPr>
      <w:r>
        <w:rPr>
          <w:rFonts w:ascii="Times New Roman" w:cs="Times New Roman" w:eastAsia="Times New Roman" w:hAnsi="Times New Roman"/>
          <w:sz w:val="14"/>
          <w:szCs w:val="14"/>
          <w:color w:val="auto"/>
        </w:rPr>
        <w:t>(1.30%)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0.07% - 4.97%</w:t>
      </w:r>
    </w:p>
    <w:p>
      <w:pPr>
        <w:spacing w:after="0"/>
        <w:rPr>
          <w:sz w:val="20"/>
          <w:szCs w:val="20"/>
          <w:color w:val="auto"/>
        </w:rPr>
      </w:pPr>
      <w:r>
        <w:rPr>
          <w:rFonts w:ascii="Times New Roman" w:cs="Times New Roman" w:eastAsia="Times New Roman" w:hAnsi="Times New Roman"/>
          <w:sz w:val="14"/>
          <w:szCs w:val="14"/>
          <w:color w:val="auto"/>
        </w:rPr>
        <w:t>(1.89%)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100.00% - 100.00% (100.00%)</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0.25% - 10.00%</w:t>
      </w:r>
    </w:p>
    <w:p>
      <w:pPr>
        <w:spacing w:after="0"/>
        <w:rPr>
          <w:sz w:val="20"/>
          <w:szCs w:val="20"/>
          <w:color w:val="auto"/>
        </w:rPr>
      </w:pPr>
      <w:r>
        <w:rPr>
          <w:rFonts w:ascii="Times New Roman" w:cs="Times New Roman" w:eastAsia="Times New Roman" w:hAnsi="Times New Roman"/>
          <w:sz w:val="14"/>
          <w:szCs w:val="14"/>
          <w:color w:val="auto"/>
        </w:rPr>
        <w:t>(4.69%)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 - 21.74%</w:t>
      </w:r>
    </w:p>
    <w:p>
      <w:pPr>
        <w:ind w:left="20"/>
        <w:spacing w:after="0"/>
        <w:rPr>
          <w:sz w:val="20"/>
          <w:szCs w:val="20"/>
          <w:color w:val="auto"/>
        </w:rPr>
      </w:pPr>
      <w:r>
        <w:rPr>
          <w:rFonts w:ascii="Times New Roman" w:cs="Times New Roman" w:eastAsia="Times New Roman" w:hAnsi="Times New Roman"/>
          <w:sz w:val="14"/>
          <w:szCs w:val="14"/>
          <w:color w:val="auto"/>
        </w:rPr>
        <w:t>(2.49%)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0.48% - 1.44%</w:t>
      </w:r>
    </w:p>
    <w:p>
      <w:pPr>
        <w:spacing w:after="0"/>
        <w:rPr>
          <w:sz w:val="20"/>
          <w:szCs w:val="20"/>
          <w:color w:val="auto"/>
        </w:rPr>
      </w:pPr>
      <w:r>
        <w:rPr>
          <w:rFonts w:ascii="Times New Roman" w:cs="Times New Roman" w:eastAsia="Times New Roman" w:hAnsi="Times New Roman"/>
          <w:sz w:val="14"/>
          <w:szCs w:val="14"/>
          <w:color w:val="auto"/>
        </w:rPr>
        <w:t>(1.30%)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50.00% - 60.00% (50.94%)</w:t>
      </w:r>
    </w:p>
    <w:p>
      <w:pPr>
        <w:spacing w:after="0" w:line="444" w:lineRule="exact"/>
        <w:rPr>
          <w:sz w:val="20"/>
          <w:szCs w:val="20"/>
          <w:color w:val="auto"/>
        </w:rPr>
      </w:pPr>
    </w:p>
    <w:p>
      <w:pPr>
        <w:sectPr>
          <w:pgSz w:w="11900" w:h="16838" w:orient="portrait"/>
          <w:cols w:equalWidth="0" w:num="2">
            <w:col w:w="9180" w:space="140"/>
            <w:col w:w="1920"/>
          </w:cols>
          <w:pgMar w:left="320" w:top="121" w:right="339" w:bottom="1440" w:gutter="0" w:footer="0" w:header="0"/>
          <w:type w:val="continuous"/>
        </w:sectPr>
      </w:pPr>
    </w:p>
    <w:p>
      <w:pPr>
        <w:ind w:firstLine="5"/>
        <w:spacing w:after="0" w:line="268" w:lineRule="auto"/>
        <w:tabs>
          <w:tab w:leader="none" w:pos="19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$7,174 million of assets for which significant quantitative unobservable inputs are not developed internally and not readily available to the Company (primarily those valued using broker quotes and certain third-party pricing services)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 following tables summarize changes to the Company’s financial instruments carried at fair value and classified within Level 3 of the fair value hierarchy for the years ended December 31, 2023 and December 31, 2022, respectively. The gains and losses below may include changes in fair value due in part to observable inputs that are a component of the valuation methodology.</w:t>
      </w:r>
    </w:p>
    <w:p>
      <w:pPr>
        <w:spacing w:after="0" w:line="55" w:lineRule="exact"/>
        <w:rPr>
          <w:sz w:val="20"/>
          <w:szCs w:val="20"/>
          <w:color w:val="auto"/>
        </w:rPr>
      </w:pPr>
    </w:p>
    <w:p>
      <w:pPr>
        <w:jc w:val="center"/>
        <w:ind w:left="12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p>
      <w:pPr>
        <w:spacing w:after="0" w:line="36" w:lineRule="exact"/>
        <w:rPr>
          <w:sz w:val="20"/>
          <w:szCs w:val="20"/>
          <w:color w:val="auto"/>
        </w:rPr>
      </w:pPr>
    </w:p>
    <w:p>
      <w:pPr>
        <w:jc w:val="center"/>
        <w:ind w:left="12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2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24"/>
                <w:szCs w:val="24"/>
                <w:color w:val="auto"/>
              </w:rPr>
            </w:pPr>
          </w:p>
        </w:tc>
        <w:tc>
          <w:tcPr>
            <w:tcW w:w="9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Net transfer</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0" w:type="dxa"/>
            <w:vAlign w:val="bottom"/>
          </w:tcPr>
          <w:p>
            <w:pPr>
              <w:spacing w:after="0"/>
              <w:rPr>
                <w:sz w:val="1"/>
                <w:szCs w:val="1"/>
                <w:color w:val="auto"/>
              </w:rPr>
            </w:pPr>
          </w:p>
        </w:tc>
      </w:tr>
      <w:tr>
        <w:trPr>
          <w:trHeight w:val="145"/>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6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 (Out) of</w:t>
            </w:r>
          </w:p>
        </w:tc>
        <w:tc>
          <w:tcPr>
            <w:tcW w:w="120" w:type="dxa"/>
            <w:vAlign w:val="bottom"/>
          </w:tcPr>
          <w:p>
            <w:pPr>
              <w:spacing w:after="0"/>
              <w:rPr>
                <w:sz w:val="12"/>
                <w:szCs w:val="12"/>
                <w:color w:val="auto"/>
              </w:rPr>
            </w:pPr>
          </w:p>
        </w:tc>
        <w:tc>
          <w:tcPr>
            <w:tcW w:w="640" w:type="dxa"/>
            <w:vAlign w:val="bottom"/>
          </w:tcPr>
          <w:p>
            <w:pPr>
              <w:jc w:val="right"/>
              <w:ind w:right="110"/>
              <w:spacing w:after="0" w:line="145"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120" w:type="dxa"/>
            <w:vAlign w:val="bottom"/>
          </w:tcPr>
          <w:p>
            <w:pPr>
              <w:spacing w:after="0"/>
              <w:rPr>
                <w:sz w:val="16"/>
                <w:szCs w:val="16"/>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Incl in OCI</w:t>
            </w:r>
          </w:p>
        </w:tc>
        <w:tc>
          <w:tcPr>
            <w:tcW w:w="0" w:type="dxa"/>
            <w:vAlign w:val="bottom"/>
          </w:tcPr>
          <w:p>
            <w:pPr>
              <w:spacing w:after="0"/>
              <w:rPr>
                <w:sz w:val="1"/>
                <w:szCs w:val="1"/>
                <w:color w:val="auto"/>
              </w:rPr>
            </w:pPr>
          </w:p>
        </w:tc>
      </w:tr>
      <w:tr>
        <w:trPr>
          <w:trHeight w:val="160"/>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3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Fixed maturity securities available-for-</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39"/>
        </w:trPr>
        <w:tc>
          <w:tcPr>
            <w:tcW w:w="230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Commercial mortgage-backed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Hybrids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39"/>
        </w:trPr>
        <w:tc>
          <w:tcPr>
            <w:tcW w:w="230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Residential mortgage-backed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Short-term</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 instruments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0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Available-for-sale embedded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derivative</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Credit linked note</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Secured borrowing receivable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2"/>
        </w:trPr>
        <w:tc>
          <w:tcPr>
            <w:tcW w:w="2300" w:type="dxa"/>
            <w:vAlign w:val="bottom"/>
          </w:tcPr>
          <w:p>
            <w:pPr>
              <w:ind w:left="320"/>
              <w:spacing w:after="0" w:line="132" w:lineRule="exact"/>
              <w:rPr>
                <w:sz w:val="20"/>
                <w:szCs w:val="20"/>
                <w:color w:val="auto"/>
              </w:rPr>
            </w:pPr>
            <w:r>
              <w:rPr>
                <w:rFonts w:ascii="Times New Roman" w:cs="Times New Roman" w:eastAsia="Times New Roman" w:hAnsi="Times New Roman"/>
                <w:sz w:val="14"/>
                <w:szCs w:val="14"/>
                <w:b w:val="1"/>
                <w:bCs w:val="1"/>
                <w:color w:val="auto"/>
              </w:rPr>
              <w:t>Subtotal Level 3 assets at fair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8,169</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2,991</w:t>
            </w:r>
          </w:p>
        </w:tc>
        <w:tc>
          <w:tcPr>
            <w:tcW w:w="100" w:type="dxa"/>
            <w:vAlign w:val="bottom"/>
          </w:tcPr>
          <w:p>
            <w:pPr>
              <w:spacing w:after="0"/>
              <w:rPr>
                <w:sz w:val="11"/>
                <w:szCs w:val="11"/>
                <w:color w:val="auto"/>
              </w:rPr>
            </w:pP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9,589</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71"/>
        </w:trPr>
        <w:tc>
          <w:tcPr>
            <w:tcW w:w="23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30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FIA/ IUL embedded derivatives,</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included in contractholder funds</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300" w:type="dxa"/>
            <w:vAlign w:val="bottom"/>
            <w:shd w:val="clear" w:color="auto" w:fill="CCEEFF"/>
          </w:tcPr>
          <w:p>
            <w:pPr>
              <w:ind w:left="320"/>
              <w:spacing w:after="0" w:line="119" w:lineRule="exact"/>
              <w:rPr>
                <w:sz w:val="20"/>
                <w:szCs w:val="20"/>
                <w:color w:val="auto"/>
              </w:rPr>
            </w:pPr>
            <w:r>
              <w:rPr>
                <w:rFonts w:ascii="Times New Roman" w:cs="Times New Roman" w:eastAsia="Times New Roman" w:hAnsi="Times New Roman"/>
                <w:sz w:val="13"/>
                <w:szCs w:val="13"/>
                <w:b w:val="1"/>
                <w:bCs w:val="1"/>
                <w:color w:val="auto"/>
              </w:rPr>
              <w:t>Subtotal Level 3 liabilities at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300" w:type="dxa"/>
            <w:vAlign w:val="bottom"/>
            <w:shd w:val="clear" w:color="auto" w:fill="CCEEFF"/>
          </w:tcPr>
          <w:p>
            <w:pPr>
              <w:ind w:left="320"/>
              <w:spacing w:after="0" w:line="119" w:lineRule="exact"/>
              <w:rPr>
                <w:sz w:val="20"/>
                <w:szCs w:val="20"/>
                <w:color w:val="auto"/>
              </w:rPr>
            </w:pPr>
            <w:r>
              <w:rPr>
                <w:rFonts w:ascii="Times New Roman" w:cs="Times New Roman" w:eastAsia="Times New Roman" w:hAnsi="Times New Roman"/>
                <w:sz w:val="13"/>
                <w:szCs w:val="13"/>
                <w:b w:val="1"/>
                <w:bCs w:val="1"/>
                <w:color w:val="auto"/>
              </w:rPr>
              <w:t>Total Level 3 liabilities at fair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24"/>
                <w:szCs w:val="24"/>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10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45"/>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0"/>
              <w:spacing w:after="0" w:line="145"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8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In (Out) of</w:t>
            </w:r>
          </w:p>
        </w:tc>
        <w:tc>
          <w:tcPr>
            <w:tcW w:w="100" w:type="dxa"/>
            <w:vAlign w:val="bottom"/>
          </w:tcPr>
          <w:p>
            <w:pPr>
              <w:spacing w:after="0"/>
              <w:rPr>
                <w:sz w:val="12"/>
                <w:szCs w:val="12"/>
                <w:color w:val="auto"/>
              </w:rPr>
            </w:pPr>
          </w:p>
        </w:tc>
        <w:tc>
          <w:tcPr>
            <w:tcW w:w="740" w:type="dxa"/>
            <w:vAlign w:val="bottom"/>
          </w:tcPr>
          <w:p>
            <w:pPr>
              <w:jc w:val="right"/>
              <w:ind w:right="150"/>
              <w:spacing w:after="0" w:line="145" w:lineRule="exact"/>
              <w:rPr>
                <w:sz w:val="20"/>
                <w:szCs w:val="20"/>
                <w:color w:val="auto"/>
              </w:rPr>
            </w:pPr>
            <w:r>
              <w:rPr>
                <w:rFonts w:ascii="Times New Roman" w:cs="Times New Roman" w:eastAsia="Times New Roman" w:hAnsi="Times New Roman"/>
                <w:sz w:val="14"/>
                <w:szCs w:val="14"/>
                <w:b w:val="1"/>
                <w:bCs w:val="1"/>
                <w:color w:val="auto"/>
              </w:rPr>
              <w:t>End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0"/>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6"/>
                <w:szCs w:val="16"/>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3 (a)</w:t>
            </w:r>
          </w:p>
        </w:tc>
        <w:tc>
          <w:tcPr>
            <w:tcW w:w="100" w:type="dxa"/>
            <w:vAlign w:val="bottom"/>
          </w:tcPr>
          <w:p>
            <w:pPr>
              <w:spacing w:after="0"/>
              <w:rPr>
                <w:sz w:val="16"/>
                <w:szCs w:val="16"/>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Incl in OCI</w:t>
            </w:r>
          </w:p>
        </w:tc>
        <w:tc>
          <w:tcPr>
            <w:tcW w:w="0" w:type="dxa"/>
            <w:vAlign w:val="bottom"/>
          </w:tcPr>
          <w:p>
            <w:pPr>
              <w:spacing w:after="0"/>
              <w:rPr>
                <w:sz w:val="1"/>
                <w:szCs w:val="1"/>
                <w:color w:val="auto"/>
              </w:rPr>
            </w:pPr>
          </w:p>
        </w:tc>
      </w:tr>
      <w:tr>
        <w:trPr>
          <w:trHeight w:val="159"/>
        </w:trPr>
        <w:tc>
          <w:tcPr>
            <w:tcW w:w="250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43"/>
        </w:trPr>
        <w:tc>
          <w:tcPr>
            <w:tcW w:w="2500" w:type="dxa"/>
            <w:vAlign w:val="bottom"/>
            <w:shd w:val="clear" w:color="auto" w:fill="CCEEFF"/>
          </w:tcPr>
          <w:p>
            <w:pPr>
              <w:ind w:left="220"/>
              <w:spacing w:after="0" w:line="143" w:lineRule="exact"/>
              <w:rPr>
                <w:sz w:val="20"/>
                <w:szCs w:val="20"/>
                <w:color w:val="auto"/>
              </w:rPr>
            </w:pPr>
            <w:r>
              <w:rPr>
                <w:rFonts w:ascii="Times New Roman" w:cs="Times New Roman" w:eastAsia="Times New Roman" w:hAnsi="Times New Roman"/>
                <w:sz w:val="14"/>
                <w:szCs w:val="14"/>
                <w:color w:val="auto"/>
              </w:rPr>
              <w:t>Commercial mortgage-backed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Secured borrowing receivable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Credit linked note</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600" w:type="dxa"/>
            <w:vAlign w:val="bottom"/>
            <w:gridSpan w:val="2"/>
            <w:shd w:val="clear" w:color="auto" w:fill="CCEEFF"/>
          </w:tcPr>
          <w:p>
            <w:pPr>
              <w:ind w:left="340"/>
              <w:spacing w:after="0" w:line="204" w:lineRule="exact"/>
              <w:rPr>
                <w:sz w:val="20"/>
                <w:szCs w:val="20"/>
                <w:color w:val="auto"/>
              </w:rPr>
            </w:pPr>
            <w:r>
              <w:rPr>
                <w:rFonts w:ascii="Times New Roman" w:cs="Times New Roman" w:eastAsia="Times New Roman" w:hAnsi="Times New Roman"/>
                <w:sz w:val="12"/>
                <w:szCs w:val="12"/>
                <w:b w:val="1"/>
                <w:bCs w:val="1"/>
                <w:color w:val="auto"/>
              </w:rPr>
              <w:t xml:space="preserve">Subtotal Level 3 assets at fair value </w:t>
            </w:r>
            <w:r>
              <w:rPr>
                <w:rFonts w:ascii="Times New Roman" w:cs="Times New Roman" w:eastAsia="Times New Roman" w:hAnsi="Times New Roman"/>
                <w:sz w:val="23"/>
                <w:szCs w:val="23"/>
                <w:color w:val="auto"/>
                <w:vertAlign w:val="superscript"/>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FIA embedded derivatives, included in</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contractholder funds</w:t>
            </w: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500" w:type="dxa"/>
            <w:vAlign w:val="bottom"/>
          </w:tcPr>
          <w:p>
            <w:pPr>
              <w:ind w:left="340"/>
              <w:spacing w:after="0" w:line="113" w:lineRule="exact"/>
              <w:rPr>
                <w:sz w:val="20"/>
                <w:szCs w:val="20"/>
                <w:color w:val="auto"/>
              </w:rPr>
            </w:pPr>
            <w:r>
              <w:rPr>
                <w:rFonts w:ascii="Times New Roman" w:cs="Times New Roman" w:eastAsia="Times New Roman" w:hAnsi="Times New Roman"/>
                <w:sz w:val="13"/>
                <w:szCs w:val="13"/>
                <w:b w:val="1"/>
                <w:bCs w:val="1"/>
                <w:color w:val="auto"/>
              </w:rPr>
              <w:t>Subtotal Total liabilities at Level 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00" w:type="dxa"/>
            <w:vAlign w:val="bottom"/>
          </w:tcPr>
          <w:p>
            <w:pPr>
              <w:spacing w:after="0"/>
              <w:rPr>
                <w:sz w:val="9"/>
                <w:szCs w:val="9"/>
                <w:color w:val="auto"/>
              </w:rPr>
            </w:pP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9"/>
                <w:szCs w:val="9"/>
                <w:color w:val="auto"/>
              </w:rPr>
            </w:pPr>
          </w:p>
        </w:tc>
        <w:tc>
          <w:tcPr>
            <w:tcW w:w="1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5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Level 3 liabilities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a) The net transfers out of Level 3 during the year ended December 31, 2022, were to Level 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 and Associated Inputs for Financial Instruments Not Carried at Fair Value</w:t>
      </w:r>
    </w:p>
    <w:p>
      <w:pPr>
        <w:spacing w:after="0" w:line="113"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1"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111" w:lineRule="exact"/>
        <w:rPr>
          <w:sz w:val="20"/>
          <w:szCs w:val="20"/>
          <w:color w:val="auto"/>
        </w:rPr>
      </w:pPr>
    </w:p>
    <w:p>
      <w:pPr>
        <w:jc w:val="both"/>
        <w:ind w:firstLine="316"/>
        <w:spacing w:after="0" w:line="303" w:lineRule="auto"/>
        <w:rPr>
          <w:sz w:val="20"/>
          <w:szCs w:val="20"/>
          <w:color w:val="auto"/>
        </w:rPr>
      </w:pPr>
      <w:r>
        <w:rPr>
          <w:rFonts w:ascii="Times New Roman" w:cs="Times New Roman" w:eastAsia="Times New Roman" w:hAnsi="Times New Roman"/>
          <w:sz w:val="16"/>
          <w:szCs w:val="16"/>
          <w:color w:val="auto"/>
        </w:rPr>
        <w:t>In our F&amp;G segment, the fair value of Investments in unconsolidated affiliates is determined using NAV as a practical expedient and are included in the NAV column in the table below. In our Title segment, Investments in unconsolidated affiliates are accounted for under the equity method of accounting. In our Title segment, Investments in unconsolidated affiliates were $263 million and $187 million as of December 31, 2023 and December 31, 2022, respectively.</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Policy Loans (included within Other long-term investments)</w:t>
      </w:r>
    </w:p>
    <w:p>
      <w:pPr>
        <w:spacing w:after="0" w:line="1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Fair values for policy loans are estimated from a discounted cash flow analysis, using interest rates currently being offered for loans with similar credit risk. Loans with similar characteristics are aggregated for purposes of the calculations, policy loans are classified as Level 3 in the fair value hierarchy.</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Company Owned Life Insurance</w:t>
      </w:r>
    </w:p>
    <w:p>
      <w:pPr>
        <w:spacing w:after="0" w:line="1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Invested Assets (included within Other long-term investments)</w:t>
      </w:r>
    </w:p>
    <w:p>
      <w:pPr>
        <w:spacing w:after="0" w:line="111"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The fair value of the bank loan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Other invested assets are classified as Level 3 within the fair value hierarchy.</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Investment Contracts</w:t>
      </w:r>
    </w:p>
    <w:p>
      <w:pPr>
        <w:spacing w:after="0" w:line="111"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Investment contracts include deferred annuities (FIAs and fixed rate annuities), indexed IULs, funding agreements, PRT solutions and immediate annuity contracts without life contingencies. The FIA/IUL embedded derivatives, included in contractholder funds, are excluded as they are carried at fair value. The fair value of the FIA, fixed rate annuity and IUL contracts is based on their cash surrender value (i.e., the cost the Company would incur to extinguish the liability) as these contracts are generally issued without an annuitization date. The fair value of funding agreements and PRT and immediate annuity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1" w:lineRule="exact"/>
        <w:rPr>
          <w:sz w:val="20"/>
          <w:szCs w:val="20"/>
          <w:color w:val="auto"/>
        </w:rPr>
      </w:pPr>
    </w:p>
    <w:p>
      <w:pPr>
        <w:jc w:val="both"/>
        <w:ind w:firstLine="395"/>
        <w:spacing w:after="0" w:line="267" w:lineRule="auto"/>
        <w:rPr>
          <w:sz w:val="20"/>
          <w:szCs w:val="20"/>
          <w:color w:val="auto"/>
        </w:rPr>
      </w:pPr>
      <w:r>
        <w:rPr>
          <w:rFonts w:ascii="Times New Roman" w:cs="Times New Roman" w:eastAsia="Times New Roman" w:hAnsi="Times New Roman"/>
          <w:sz w:val="18"/>
          <w:szCs w:val="18"/>
          <w:color w:val="auto"/>
        </w:rPr>
        <w:t>Federal Home Loan Bank of Atlanta ("FHLB") common stock, Accounts receivable and Notes receivable are carried at cost, which approximates fair value. The carrying amount of FHLB common stock represents the value it can be sold back to the FHLB and is classified as Level 2 within the hierarchy.</w:t>
      </w:r>
    </w:p>
    <w:p>
      <w:pPr>
        <w:spacing w:after="0"/>
        <w:rPr>
          <w:sz w:val="20"/>
          <w:szCs w:val="20"/>
          <w:color w:val="auto"/>
        </w:rPr>
      </w:pPr>
      <w:r>
        <w:rPr>
          <w:rFonts w:ascii="Times New Roman" w:cs="Times New Roman" w:eastAsia="Times New Roman" w:hAnsi="Times New Roman"/>
          <w:sz w:val="18"/>
          <w:szCs w:val="18"/>
          <w:color w:val="auto"/>
        </w:rPr>
        <w:t>Accounts receivable and Notes receivable are classified as Level 3 within the fair value hierarchy.</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1" w:lineRule="exact"/>
        <w:rPr>
          <w:sz w:val="20"/>
          <w:szCs w:val="20"/>
          <w:color w:val="auto"/>
        </w:rPr>
      </w:pPr>
    </w:p>
    <w:p>
      <w:pPr>
        <w:jc w:val="both"/>
        <w:ind w:firstLine="316"/>
        <w:spacing w:after="0" w:line="303" w:lineRule="auto"/>
        <w:rPr>
          <w:sz w:val="20"/>
          <w:szCs w:val="20"/>
          <w:color w:val="auto"/>
        </w:rPr>
      </w:pPr>
      <w:r>
        <w:rPr>
          <w:rFonts w:ascii="Times New Roman" w:cs="Times New Roman" w:eastAsia="Times New Roman" w:hAnsi="Times New Roman"/>
          <w:sz w:val="16"/>
          <w:szCs w:val="16"/>
          <w:color w:val="auto"/>
        </w:rPr>
        <w:t>The fair value of debt is based on quoted market prices. The inputs used to measure the fair value of our outstanding debt are classified as Level 2 within the fair value hierarchy. The carrying value of the F&amp;G Credit Facility at December 31, 2023, approximates fair value as the rates are comparable to those at which we could currently borrow under similar terms. As such, the fair value of the revolving credit facility was classified as a Level 2 measurement.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tables provide the carrying value and estimated fair value of our financial instruments that are carried on the accompanying Consolidated Balance Sheets at amounts other than fair value, summarized according to the fair value hierarchy previously described.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NAV</w:t>
            </w:r>
          </w:p>
        </w:tc>
        <w:tc>
          <w:tcPr>
            <w:tcW w:w="1380" w:type="dxa"/>
            <w:vAlign w:val="bottom"/>
            <w:gridSpan w:val="5"/>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40" w:type="dxa"/>
            <w:vAlign w:val="bottom"/>
          </w:tcPr>
          <w:p>
            <w:pPr>
              <w:spacing w:after="0"/>
              <w:rPr>
                <w:sz w:val="11"/>
                <w:szCs w:val="11"/>
                <w:color w:val="auto"/>
              </w:rPr>
            </w:pPr>
          </w:p>
        </w:tc>
        <w:tc>
          <w:tcPr>
            <w:tcW w:w="12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30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91"/>
        </w:trPr>
        <w:tc>
          <w:tcPr>
            <w:tcW w:w="3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spacing w:after="0"/>
              <w:rPr>
                <w:sz w:val="16"/>
                <w:szCs w:val="16"/>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5,715</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Borders>
              <w:top w:val="single" w:sz="8" w:color="auto"/>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9,229</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40,229</w:t>
            </w:r>
          </w:p>
        </w:tc>
        <w:tc>
          <w:tcPr>
            <w:tcW w:w="3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44,540</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3,568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0" w:type="dxa"/>
            <w:vAlign w:val="bottom"/>
          </w:tcPr>
          <w:p>
            <w:pPr>
              <w:spacing w:after="0"/>
              <w:rPr>
                <w:sz w:val="1"/>
                <w:szCs w:val="1"/>
                <w:color w:val="auto"/>
              </w:rPr>
            </w:pPr>
          </w:p>
        </w:tc>
      </w:tr>
      <w:tr>
        <w:trPr>
          <w:trHeight w:val="222"/>
        </w:trPr>
        <w:tc>
          <w:tcPr>
            <w:tcW w:w="3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3,568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NAV</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40" w:type="dxa"/>
            <w:vAlign w:val="bottom"/>
          </w:tcPr>
          <w:p>
            <w:pPr>
              <w:spacing w:after="0"/>
              <w:rPr>
                <w:sz w:val="11"/>
                <w:szCs w:val="11"/>
                <w:color w:val="auto"/>
              </w:rPr>
            </w:pPr>
          </w:p>
        </w:tc>
        <w:tc>
          <w:tcPr>
            <w:tcW w:w="12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30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30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30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91"/>
        </w:trPr>
        <w:tc>
          <w:tcPr>
            <w:tcW w:w="3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4,878</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2,427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7,497</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8,076</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38,412</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30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0" w:type="dxa"/>
            <w:vAlign w:val="bottom"/>
          </w:tcPr>
          <w:p>
            <w:pPr>
              <w:spacing w:after="0"/>
              <w:rPr>
                <w:sz w:val="1"/>
                <w:szCs w:val="1"/>
                <w:color w:val="auto"/>
              </w:rPr>
            </w:pPr>
          </w:p>
        </w:tc>
      </w:tr>
      <w:tr>
        <w:trPr>
          <w:trHeight w:val="222"/>
        </w:trPr>
        <w:tc>
          <w:tcPr>
            <w:tcW w:w="3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For investments for which NAV is used, we do not have any significant restrictions in our ability to liquidate our positions in these investments, other than obtaining general partner approval, nor do we believe it is probable a price less than NAV would be received in the event of a liquidation.</w:t>
      </w:r>
    </w:p>
    <w:p>
      <w:pPr>
        <w:spacing w:after="0" w:line="38"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Investments</w:t>
      </w:r>
    </w:p>
    <w:p>
      <w:pPr>
        <w:spacing w:after="0" w:line="32" w:lineRule="exact"/>
        <w:rPr>
          <w:sz w:val="20"/>
          <w:szCs w:val="20"/>
          <w:color w:val="auto"/>
        </w:rPr>
      </w:pPr>
    </w:p>
    <w:p>
      <w:pPr>
        <w:jc w:val="both"/>
        <w:ind w:firstLine="316"/>
        <w:spacing w:after="0" w:line="241" w:lineRule="auto"/>
        <w:rPr>
          <w:sz w:val="20"/>
          <w:szCs w:val="20"/>
          <w:color w:val="auto"/>
        </w:rPr>
      </w:pPr>
      <w:r>
        <w:rPr>
          <w:rFonts w:ascii="Times New Roman" w:cs="Times New Roman" w:eastAsia="Times New Roman" w:hAnsi="Times New Roman"/>
          <w:sz w:val="18"/>
          <w:szCs w:val="18"/>
          <w:color w:val="auto"/>
        </w:rPr>
        <w:t>Our investments in fixed maturity securities have been designated as AFS, and are carried at fair value, net of allowance for expected credit losses, with unrealized gains and losses included within AOCI, net of deferred income taxes. Our preferred and equity securities investments are carried at fair value with unrealized gains and losses included in net earnings. Our consolidated investments are summarized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2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50"/>
              <w:spacing w:after="0" w:line="12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40" w:type="dxa"/>
            <w:vAlign w:val="bottom"/>
          </w:tcPr>
          <w:p>
            <w:pPr>
              <w:spacing w:after="0"/>
              <w:rPr>
                <w:sz w:val="11"/>
                <w:szCs w:val="11"/>
                <w:color w:val="auto"/>
              </w:rPr>
            </w:pPr>
          </w:p>
        </w:tc>
        <w:tc>
          <w:tcPr>
            <w:tcW w:w="1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160" w:type="dxa"/>
            <w:vAlign w:val="bottom"/>
          </w:tcPr>
          <w:p>
            <w:pPr>
              <w:jc w:val="center"/>
              <w:ind w:right="30"/>
              <w:spacing w:after="0" w:line="145"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available-for-sale securities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50"/>
              <w:spacing w:after="0" w:line="12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0" w:type="dxa"/>
            <w:vAlign w:val="bottom"/>
          </w:tcPr>
          <w:p>
            <w:pPr>
              <w:spacing w:after="0"/>
              <w:rPr>
                <w:sz w:val="11"/>
                <w:szCs w:val="11"/>
                <w:color w:val="auto"/>
              </w:rPr>
            </w:pPr>
          </w:p>
        </w:tc>
        <w:tc>
          <w:tcPr>
            <w:tcW w:w="118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160" w:type="dxa"/>
            <w:vAlign w:val="bottom"/>
          </w:tcPr>
          <w:p>
            <w:pPr>
              <w:jc w:val="center"/>
              <w:ind w:right="30"/>
              <w:spacing w:after="0" w:line="145"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(770)</w:t>
            </w: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mortgage-backed/asset-backed securities</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(3,069)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available-for-sale securities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Securities held on deposit with various state regulatory authorities had a fair value of $141 million and $17,870 million at December 31, 2023 and December 31, 2022, respectively. The decrease in securities held on deposit with various state regulatory authorities during the year ended December 31, 2023, is primarily attributable to revisions to regulatory requirements in the state of Iowa.</w:t>
      </w:r>
    </w:p>
    <w:p>
      <w:pPr>
        <w:spacing w:after="0" w:line="8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As of December 31, 2023 and December 31, 2022, we held $47 million and $27 million of investments that were non-income producing for a period greater than twelve months, respectively.</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and December 31, 2022, the Company's accrued interest receivable balance was $481 million and $365 million, respectively.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receivable is classified within Prepaid expenses and other assets within the Consolidated Balance Sheets.</w:t>
      </w:r>
    </w:p>
    <w:p>
      <w:pPr>
        <w:spacing w:after="0" w:line="104"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In accordance with our FHLB agreements, the investments supporting the funding agreement liabilities are pledged as collateral to secure the FHLB funding agreement liabilities and are not available to the Company for general purposes. The collateral investments had a fair value of $4,345 million and $3,387 million at December 31,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The amortized cost and fair value of fixed maturity securities by contractual maturities, as applicable, are shown below. Actual maturities may differ from contractual maturities because issuers may have the right to call or prepay obligations.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2760" w:type="dxa"/>
            <w:vAlign w:val="bottom"/>
            <w:gridSpan w:val="4"/>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7"/>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r>
      <w:tr>
        <w:trPr>
          <w:trHeight w:val="24"/>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6"/>
                <w:szCs w:val="16"/>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6"/>
                <w:szCs w:val="16"/>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4"/>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Corporates, Non-structured Hybrids, Municipal and Government securities:</w:t>
            </w: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90"/>
        </w:trPr>
        <w:tc>
          <w:tcPr>
            <w:tcW w:w="5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in one year or less</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r>
      <w:tr>
        <w:trPr>
          <w:trHeight w:val="20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w:t>
            </w:r>
          </w:p>
        </w:tc>
      </w:tr>
      <w:tr>
        <w:trPr>
          <w:trHeight w:val="190"/>
        </w:trPr>
        <w:tc>
          <w:tcPr>
            <w:tcW w:w="5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w:t>
            </w:r>
          </w:p>
        </w:tc>
      </w:tr>
      <w:tr>
        <w:trPr>
          <w:trHeight w:val="198"/>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ten years</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13,183</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11,457</w:t>
            </w:r>
          </w:p>
        </w:tc>
      </w:tr>
      <w:tr>
        <w:trPr>
          <w:trHeight w:val="190"/>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21,127</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17,012</w:t>
            </w:r>
          </w:p>
        </w:tc>
      </w:tr>
      <w:tr>
        <w:trPr>
          <w:trHeight w:val="20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0"/>
        </w:trPr>
        <w:tc>
          <w:tcPr>
            <w:tcW w:w="5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14,342</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11,467</w:t>
            </w:r>
          </w:p>
        </w:tc>
      </w:tr>
      <w:tr>
        <w:trPr>
          <w:trHeight w:val="20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w:t>
            </w:r>
          </w:p>
        </w:tc>
      </w:tr>
      <w:tr>
        <w:trPr>
          <w:trHeight w:val="190"/>
        </w:trPr>
        <w:tc>
          <w:tcPr>
            <w:tcW w:w="5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Structured hybrids</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8"/>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w:t>
            </w:r>
          </w:p>
        </w:tc>
      </w:tr>
      <w:tr>
        <w:trPr>
          <w:trHeight w:val="191"/>
        </w:trPr>
        <w:tc>
          <w:tcPr>
            <w:tcW w:w="5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21,935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21,246</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16,083</w:t>
            </w:r>
          </w:p>
        </w:tc>
      </w:tr>
      <w:tr>
        <w:trPr>
          <w:trHeight w:val="222"/>
        </w:trPr>
        <w:tc>
          <w:tcPr>
            <w:tcW w:w="5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fixed maturity available-for-sale securities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Current Expected Credit Loss</w:t>
      </w:r>
    </w:p>
    <w:p>
      <w:pPr>
        <w:spacing w:after="0" w:line="139"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77" w:lineRule="exact"/>
        <w:rPr>
          <w:sz w:val="20"/>
          <w:szCs w:val="20"/>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fair value is less than the amortized cost basis;</w:t>
      </w:r>
    </w:p>
    <w:p>
      <w:pPr>
        <w:spacing w:after="0" w:line="1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the decline in value (credit event, currency or interest-rate related, including general credit spread widening);</w:t>
      </w:r>
    </w:p>
    <w:p>
      <w:pPr>
        <w:spacing w:after="0" w:line="135"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near-term prospects of the issuer (including issuer's current credit rating and the probability of full recovery of principal based upon the issuer's financial strength);</w:t>
      </w:r>
    </w:p>
    <w:p>
      <w:pPr>
        <w:spacing w:after="0" w:line="7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delinquencies and nonperforming assets of underlying collateral;</w:t>
      </w:r>
    </w:p>
    <w:p>
      <w:pPr>
        <w:spacing w:after="0" w:line="1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default rates;</w:t>
      </w:r>
    </w:p>
    <w:p>
      <w:pPr>
        <w:spacing w:after="0" w:line="13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value by vintage, geographic region, industry concentration or property type;</w:t>
      </w:r>
    </w:p>
    <w:p>
      <w:pPr>
        <w:spacing w:after="0" w:line="1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Subordination levels or other credit enhancements as of the balance sheet date as compared to origination; and</w:t>
      </w:r>
    </w:p>
    <w:p>
      <w:pPr>
        <w:spacing w:after="0" w:line="1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and regulatory cash obligations and the issuer's plans to meet such obligations.</w:t>
      </w:r>
    </w:p>
    <w:p>
      <w:pPr>
        <w:spacing w:after="0" w:line="135"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Consolidated Statements of Earnings, with an offset for the amount of non-credit impairments recognized in AOCI. We do not measure a credit loss allowance on accrued investment income because we write-off accrued interest through Interest and investment income when collectability concerns arise.</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consider the following in determining whether write-offs of a security’s amortized cost is necessary:</w:t>
      </w:r>
    </w:p>
    <w:p>
      <w:pPr>
        <w:spacing w:after="0" w:line="122" w:lineRule="exact"/>
        <w:rPr>
          <w:sz w:val="20"/>
          <w:szCs w:val="20"/>
          <w:color w:val="auto"/>
        </w:rPr>
      </w:pPr>
    </w:p>
    <w:p>
      <w:pPr>
        <w:ind w:left="680" w:hanging="28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amounts related to securities have become uncollectible; or</w:t>
      </w:r>
    </w:p>
    <w:p>
      <w:pPr>
        <w:spacing w:after="0" w:line="135" w:lineRule="exact"/>
        <w:rPr>
          <w:rFonts w:ascii="Times New Roman" w:cs="Times New Roman" w:eastAsia="Times New Roman" w:hAnsi="Times New Roman"/>
          <w:sz w:val="18"/>
          <w:szCs w:val="18"/>
          <w:color w:val="auto"/>
        </w:rPr>
      </w:pPr>
    </w:p>
    <w:p>
      <w:pPr>
        <w:ind w:left="680" w:hanging="28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sell a security; or</w:t>
      </w:r>
    </w:p>
    <w:p>
      <w:pPr>
        <w:spacing w:after="0" w:line="121" w:lineRule="exact"/>
        <w:rPr>
          <w:rFonts w:ascii="Times New Roman" w:cs="Times New Roman" w:eastAsia="Times New Roman" w:hAnsi="Times New Roman"/>
          <w:sz w:val="18"/>
          <w:szCs w:val="18"/>
          <w:color w:val="auto"/>
        </w:rPr>
      </w:pPr>
    </w:p>
    <w:p>
      <w:pPr>
        <w:ind w:left="680" w:hanging="28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more likely than not that we will be required to sell a security prior to recovery.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316"/>
        <w:spacing w:after="0" w:line="282" w:lineRule="auto"/>
        <w:rPr>
          <w:sz w:val="20"/>
          <w:szCs w:val="20"/>
          <w:color w:val="auto"/>
        </w:rPr>
      </w:pPr>
      <w:r>
        <w:rPr>
          <w:rFonts w:ascii="Times New Roman" w:cs="Times New Roman" w:eastAsia="Times New Roman" w:hAnsi="Times New Roman"/>
          <w:sz w:val="16"/>
          <w:szCs w:val="16"/>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 an impairment is deemed to have occurred and the amortized cost is written down to the estimated recovery value with a corresponding charge, net of any amount previously recognized as an allowance for expected credit loss, to Recognized gains and losses, net in the accompanying Consolidated Statements of Earnings. The remainder of unrealized loss is held in AOCI. As of December 31, 2023 and 2022, our allowance for expected credit losses for AFS securities was $42 million and $39 million, respectively.</w:t>
      </w:r>
    </w:p>
    <w:p>
      <w:pPr>
        <w:spacing w:after="0" w:line="60" w:lineRule="exact"/>
        <w:rPr>
          <w:sz w:val="20"/>
          <w:szCs w:val="20"/>
          <w:color w:val="auto"/>
        </w:rPr>
      </w:pPr>
    </w:p>
    <w:p>
      <w:pPr>
        <w:jc w:val="both"/>
        <w:ind w:firstLine="316"/>
        <w:spacing w:after="0" w:line="263" w:lineRule="auto"/>
        <w:rPr>
          <w:sz w:val="20"/>
          <w:szCs w:val="20"/>
          <w:color w:val="auto"/>
        </w:rPr>
      </w:pPr>
      <w:r>
        <w:rPr>
          <w:rFonts w:ascii="Times New Roman" w:cs="Times New Roman" w:eastAsia="Times New Roman" w:hAnsi="Times New Roman"/>
          <w:sz w:val="18"/>
          <w:szCs w:val="18"/>
          <w:color w:val="auto"/>
        </w:rPr>
        <w:t>The fair value and gross unrealized losses of available-for-sale securities, excluding securities in an unrealized loss position with an allowance for expected credit loss, aggregated by investment category and duration of fair value below amortized cost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jc w:val="center"/>
              <w:ind w:left="27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6"/>
                <w:szCs w:val="16"/>
                <w:color w:val="auto"/>
              </w:rPr>
            </w:pPr>
          </w:p>
        </w:tc>
        <w:tc>
          <w:tcPr>
            <w:tcW w:w="1640" w:type="dxa"/>
            <w:vAlign w:val="bottom"/>
            <w:gridSpan w:val="3"/>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9"/>
              </w:rPr>
              <w:t>12 months or longer</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Borders>
              <w:top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10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7,542</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7"/>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available-for-sale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5,841</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20,908</w:t>
            </w:r>
          </w:p>
        </w:tc>
        <w:tc>
          <w:tcPr>
            <w:tcW w:w="100" w:type="dxa"/>
            <w:vAlign w:val="bottom"/>
          </w:tcPr>
          <w:p>
            <w:pPr>
              <w:spacing w:after="0"/>
              <w:rPr>
                <w:sz w:val="17"/>
                <w:szCs w:val="17"/>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26,749</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12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0" w:type="dxa"/>
            <w:vAlign w:val="bottom"/>
          </w:tcPr>
          <w:p>
            <w:pPr>
              <w:spacing w:after="0"/>
              <w:rPr>
                <w:sz w:val="1"/>
                <w:szCs w:val="1"/>
                <w:color w:val="auto"/>
              </w:rPr>
            </w:pPr>
          </w:p>
        </w:tc>
      </w:tr>
      <w:tr>
        <w:trPr>
          <w:trHeight w:val="187"/>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 less than twelve months</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Total number of available-for-sale securities in an unrealized loss</w:t>
            </w: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1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167"/>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position twelve months or longer</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12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w:t>
            </w:r>
          </w:p>
        </w:tc>
        <w:tc>
          <w:tcPr>
            <w:tcW w:w="0" w:type="dxa"/>
            <w:vAlign w:val="bottom"/>
          </w:tcPr>
          <w:p>
            <w:pPr>
              <w:spacing w:after="0"/>
              <w:rPr>
                <w:sz w:val="1"/>
                <w:szCs w:val="1"/>
                <w:color w:val="auto"/>
              </w:rPr>
            </w:pPr>
          </w:p>
        </w:tc>
      </w:tr>
      <w:tr>
        <w:trPr>
          <w:trHeight w:val="187"/>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3"/>
            <w:vMerge w:val="restart"/>
          </w:tcPr>
          <w:p>
            <w:pPr>
              <w:jc w:val="center"/>
              <w:ind w:left="27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3"/>
            <w:vMerge w:val="continue"/>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6"/>
                <w:szCs w:val="16"/>
                <w:color w:val="auto"/>
              </w:rPr>
            </w:pPr>
          </w:p>
        </w:tc>
        <w:tc>
          <w:tcPr>
            <w:tcW w:w="1640" w:type="dxa"/>
            <w:vAlign w:val="bottom"/>
            <w:gridSpan w:val="3"/>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9"/>
              </w:rPr>
              <w:t>12 months or longer</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Borders>
              <w:top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3,727</w:t>
            </w:r>
          </w:p>
        </w:tc>
        <w:tc>
          <w:tcPr>
            <w:tcW w:w="10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10,728</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7"/>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available-for-sale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21,860</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8,463</w:t>
            </w:r>
          </w:p>
        </w:tc>
        <w:tc>
          <w:tcPr>
            <w:tcW w:w="100" w:type="dxa"/>
            <w:vAlign w:val="bottom"/>
          </w:tcPr>
          <w:p>
            <w:pPr>
              <w:spacing w:after="0"/>
              <w:rPr>
                <w:sz w:val="17"/>
                <w:szCs w:val="17"/>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30,323</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12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0" w:type="dxa"/>
            <w:vAlign w:val="bottom"/>
          </w:tcPr>
          <w:p>
            <w:pPr>
              <w:spacing w:after="0"/>
              <w:rPr>
                <w:sz w:val="1"/>
                <w:szCs w:val="1"/>
                <w:color w:val="auto"/>
              </w:rPr>
            </w:pPr>
          </w:p>
        </w:tc>
      </w:tr>
      <w:tr>
        <w:trPr>
          <w:trHeight w:val="187"/>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 less than twelve months</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Total number of available-for-sale securities in an unrealized loss</w:t>
            </w: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1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67"/>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position twelve months or longer</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12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0" w:type="dxa"/>
            <w:vAlign w:val="bottom"/>
          </w:tcPr>
          <w:p>
            <w:pPr>
              <w:spacing w:after="0"/>
              <w:rPr>
                <w:sz w:val="1"/>
                <w:szCs w:val="1"/>
                <w:color w:val="auto"/>
              </w:rPr>
            </w:pPr>
          </w:p>
        </w:tc>
      </w:tr>
      <w:tr>
        <w:trPr>
          <w:trHeight w:val="187"/>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16"/>
        <w:spacing w:after="0" w:line="237" w:lineRule="auto"/>
        <w:rPr>
          <w:sz w:val="20"/>
          <w:szCs w:val="20"/>
          <w:color w:val="auto"/>
        </w:rPr>
      </w:pPr>
      <w:r>
        <w:rPr>
          <w:rFonts w:ascii="Times New Roman" w:cs="Times New Roman" w:eastAsia="Times New Roman" w:hAnsi="Times New Roman"/>
          <w:sz w:val="18"/>
          <w:szCs w:val="18"/>
          <w:color w:val="auto"/>
        </w:rPr>
        <w:t>We determined the unrealized losses were caused by higher treasury rates compared to those at the time of the F&amp;G acquisition or the purchase of the security if later. For securities in an unrealized loss position as of December 31, 2023, our allowance for expected credit loss was $42 million. We believe that the unrealized loss position for which we have not recorded an allowance for expected credit loss as of December 31, 2023, was primarily attributable to interest rate increases, near-term illiquidity, and other macroeconomic uncertainties as opposed to issuer specific credit concerns.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mortgage loans are collateralized by commercial and residential properties.</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Commercial Mortgage Loans</w:t>
      </w:r>
    </w:p>
    <w:p>
      <w:pPr>
        <w:spacing w:after="0" w:line="111"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CMLs represented approximately 6% of our total investments at December 31, 2023 and December 31, 2022. The mortgage loans in our investment portfolio, are generally comprised of high quality commercial first lien and mezzanine real estate loans. Mortgage loans are primarily on income producing properties including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3"/>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4"/>
        </w:trPr>
        <w:tc>
          <w:tcPr>
            <w:tcW w:w="50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60" w:type="dxa"/>
            <w:vAlign w:val="bottom"/>
            <w:gridSpan w:val="4"/>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90"/>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Hotel</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5"/>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Industrial</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90"/>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Mixed Use</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5"/>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Multifamily</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90"/>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Office</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205"/>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0"/>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Student Housing</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5"/>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1"/>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commercial mortgage loans, gross of valuation allowance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10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5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97"/>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commercial mortgage loans, net of valuation allowance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177"/>
        </w:trPr>
        <w:tc>
          <w:tcPr>
            <w:tcW w:w="5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Region:</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4"/>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East North Central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0"/>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East South Central</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5"/>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Middle Atlantic</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0"/>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Mountain</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205"/>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England</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90"/>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Pacific</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205"/>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South Atlantic</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90"/>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 North Central</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5"/>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West South Central</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1"/>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commercial mortgage loans, gross of valuation allowance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10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5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97"/>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commercial mortgage loans, net of valuation allowance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CMLs segregated by aging of loans and charge offs (by year of origination) were as follows for the year ended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gridSpan w:val="6"/>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4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4"/>
        </w:trPr>
        <w:tc>
          <w:tcPr>
            <w:tcW w:w="4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1"/>
        </w:trPr>
        <w:tc>
          <w:tcPr>
            <w:tcW w:w="46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4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8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213</w:t>
            </w:r>
          </w:p>
        </w:tc>
        <w:tc>
          <w:tcPr>
            <w:tcW w:w="8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w:t>
            </w:r>
          </w:p>
        </w:tc>
      </w:tr>
      <w:tr>
        <w:trPr>
          <w:trHeight w:val="20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8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4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commercial mortgage loans (a)</w:t>
            </w:r>
          </w:p>
        </w:tc>
        <w:tc>
          <w:tcPr>
            <w:tcW w:w="58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91"/>
        </w:trPr>
        <w:tc>
          <w:tcPr>
            <w:tcW w:w="4640" w:type="dxa"/>
            <w:vAlign w:val="bottom"/>
            <w:tcBorders>
              <w:bottom w:val="single" w:sz="8" w:color="CCEEFF"/>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16"/>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Charge offs</w:t>
            </w:r>
          </w:p>
        </w:tc>
        <w:tc>
          <w:tcPr>
            <w:tcW w:w="5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91"/>
        </w:trPr>
        <w:tc>
          <w:tcPr>
            <w:tcW w:w="73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(a) Excludes loans under development with an amortized cost and estimated fair value of $22 million at December 31, 2023.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6"/>
        </w:trPr>
        <w:tc>
          <w:tcPr>
            <w:tcW w:w="8460" w:type="dxa"/>
            <w:vAlign w:val="bottom"/>
            <w:gridSpan w:val="16"/>
          </w:tcPr>
          <w:p>
            <w:pPr>
              <w:ind w:left="320"/>
              <w:spacing w:after="0"/>
              <w:rPr>
                <w:sz w:val="20"/>
                <w:szCs w:val="20"/>
                <w:color w:val="auto"/>
              </w:rPr>
            </w:pPr>
            <w:r>
              <w:rPr>
                <w:rFonts w:ascii="Times New Roman" w:cs="Times New Roman" w:eastAsia="Times New Roman" w:hAnsi="Times New Roman"/>
                <w:sz w:val="18"/>
                <w:szCs w:val="18"/>
                <w:color w:val="auto"/>
                <w:w w:val="97"/>
              </w:rPr>
              <w:t>CMLs segregated by aging of loans (by year of origination) were as follows for the year ended December 31, 2022: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9"/>
        </w:trPr>
        <w:tc>
          <w:tcPr>
            <w:tcW w:w="4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gridSpan w:val="6"/>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
        </w:trPr>
        <w:tc>
          <w:tcPr>
            <w:tcW w:w="4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4"/>
        </w:trPr>
        <w:tc>
          <w:tcPr>
            <w:tcW w:w="4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1"/>
        </w:trPr>
        <w:tc>
          <w:tcPr>
            <w:tcW w:w="46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4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8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341</w:t>
            </w:r>
          </w:p>
        </w:tc>
        <w:tc>
          <w:tcPr>
            <w:tcW w:w="8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2,398</w:t>
            </w:r>
          </w:p>
        </w:tc>
      </w:tr>
      <w:tr>
        <w:trPr>
          <w:trHeight w:val="20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8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22"/>
        </w:trPr>
        <w:tc>
          <w:tcPr>
            <w:tcW w:w="4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commercial mortgage loans(a)</w:t>
            </w:r>
          </w:p>
        </w:tc>
        <w:tc>
          <w:tcPr>
            <w:tcW w:w="58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Excludes loans under development with an amortized cost and estimated fair value of $9 million at December 31, 2022.</w:t>
      </w:r>
    </w:p>
    <w:p>
      <w:pPr>
        <w:spacing w:after="0" w:line="120"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LTV and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8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tables presents the recorded investment in CMLs by LTV and DSC ratio categories and estimated fair value by the indicated loan-to-value ratios, gross of valuation allowances</w:t>
      </w:r>
      <w:r>
        <w:rPr>
          <w:rFonts w:ascii="Times New Roman" w:cs="Times New Roman" w:eastAsia="Times New Roman" w:hAnsi="Times New Roman"/>
          <w:sz w:val="15"/>
          <w:szCs w:val="15"/>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Debt-Service Coverage Ratios</w:t>
            </w:r>
          </w:p>
        </w:tc>
        <w:tc>
          <w:tcPr>
            <w:tcW w:w="120" w:type="dxa"/>
            <w:vAlign w:val="bottom"/>
          </w:tcPr>
          <w:p>
            <w:pPr>
              <w:spacing w:after="0"/>
              <w:rPr>
                <w:sz w:val="16"/>
                <w:szCs w:val="16"/>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43"/>
        </w:trPr>
        <w:tc>
          <w:tcPr>
            <w:tcW w:w="45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4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&gt;1.25</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8"/>
              </w:rPr>
              <w:t>1.00 - 1.25</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&lt;1.00</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20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19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16"/>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 (a)</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4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20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0" w:type="dxa"/>
            <w:vAlign w:val="bottom"/>
          </w:tcPr>
          <w:p>
            <w:pPr>
              <w:spacing w:after="0"/>
              <w:rPr>
                <w:sz w:val="1"/>
                <w:szCs w:val="1"/>
                <w:color w:val="auto"/>
              </w:rPr>
            </w:pPr>
          </w:p>
        </w:tc>
      </w:tr>
      <w:tr>
        <w:trPr>
          <w:trHeight w:val="19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22"/>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Excludes loans under development with an amortized cost and estimated fair value of $22 million and $9 million at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gridSpan w:val="6"/>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6"/>
                <w:szCs w:val="16"/>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LTV</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20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0" w:type="dxa"/>
            <w:vAlign w:val="bottom"/>
          </w:tcPr>
          <w:p>
            <w:pPr>
              <w:spacing w:after="0"/>
              <w:rPr>
                <w:sz w:val="1"/>
                <w:szCs w:val="1"/>
                <w:color w:val="auto"/>
              </w:rPr>
            </w:pP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22"/>
        </w:trPr>
        <w:tc>
          <w:tcPr>
            <w:tcW w:w="4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commercial mortgage loans (a)</w:t>
            </w:r>
          </w:p>
        </w:tc>
        <w:tc>
          <w:tcPr>
            <w:tcW w:w="58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DSCR</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6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5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1"/>
        </w:trPr>
        <w:tc>
          <w:tcPr>
            <w:tcW w:w="4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 mortgage loans (a)</w:t>
            </w:r>
          </w:p>
        </w:tc>
        <w:tc>
          <w:tcPr>
            <w:tcW w:w="5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213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gridSpan w:val="6"/>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6"/>
                <w:szCs w:val="16"/>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LTV</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20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0" w:type="dxa"/>
            <w:vAlign w:val="bottom"/>
          </w:tcPr>
          <w:p>
            <w:pPr>
              <w:spacing w:after="0"/>
              <w:rPr>
                <w:sz w:val="1"/>
                <w:szCs w:val="1"/>
                <w:color w:val="auto"/>
              </w:rPr>
            </w:pP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22"/>
        </w:trPr>
        <w:tc>
          <w:tcPr>
            <w:tcW w:w="4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commercial mortgage loans (a)</w:t>
            </w:r>
          </w:p>
        </w:tc>
        <w:tc>
          <w:tcPr>
            <w:tcW w:w="58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DSCR</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6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1"/>
        </w:trPr>
        <w:tc>
          <w:tcPr>
            <w:tcW w:w="4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 mortgage loans (a)</w:t>
            </w:r>
          </w:p>
        </w:tc>
        <w:tc>
          <w:tcPr>
            <w:tcW w:w="5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341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5"/>
        <w:spacing w:after="0" w:line="268" w:lineRule="auto"/>
        <w:tabs>
          <w:tab w:leader="none" w:pos="21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loans under development with an amortized cost and estimated fair value of $22 million for December 31, 2023, and an amortized cost and estimated fair value of $9 million for December 31, 2022.</w:t>
      </w:r>
    </w:p>
    <w:p>
      <w:pPr>
        <w:spacing w:after="0" w:line="79"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We recognize mortgage loans as delinquent when payments on the loan are greater than 30 days past due. At December 31, 2023 and December 31, 2022, we had no CMLs that were delinquent in principal or interest payments as shown in the risk rating exposure table below.</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Residential Mortgage Loans</w:t>
      </w:r>
    </w:p>
    <w:p>
      <w:pPr>
        <w:spacing w:after="0" w:line="111"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RMLs represented approximately 7% and 5% of our total investments at December 31, 2023 and December 31, 2022, respectively. Our residential mortgage loans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gross of valuation allowances: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3"/>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8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State:</w:t>
            </w:r>
          </w:p>
        </w:tc>
        <w:tc>
          <w:tcPr>
            <w:tcW w:w="120" w:type="dxa"/>
            <w:vAlign w:val="bottom"/>
          </w:tcPr>
          <w:p>
            <w:pPr>
              <w:spacing w:after="0"/>
              <w:rPr>
                <w:sz w:val="11"/>
                <w:szCs w:val="11"/>
                <w:color w:val="auto"/>
              </w:rPr>
            </w:pPr>
          </w:p>
        </w:tc>
        <w:tc>
          <w:tcPr>
            <w:tcW w:w="1320" w:type="dxa"/>
            <w:vAlign w:val="bottom"/>
          </w:tcPr>
          <w:p>
            <w:pPr>
              <w:jc w:val="right"/>
              <w:ind w:right="70"/>
              <w:spacing w:after="0" w:line="127" w:lineRule="exact"/>
              <w:rPr>
                <w:sz w:val="20"/>
                <w:szCs w:val="20"/>
                <w:color w:val="auto"/>
              </w:rPr>
            </w:pPr>
            <w:r>
              <w:rPr>
                <w:rFonts w:ascii="Times New Roman" w:cs="Times New Roman" w:eastAsia="Times New Roman" w:hAnsi="Times New Roman"/>
                <w:sz w:val="14"/>
                <w:szCs w:val="14"/>
                <w:b w:val="1"/>
                <w:bCs w:val="1"/>
                <w:color w:val="auto"/>
              </w:rPr>
              <w:t>Amortized Cost (In</w:t>
            </w:r>
          </w:p>
        </w:tc>
        <w:tc>
          <w:tcPr>
            <w:tcW w:w="140" w:type="dxa"/>
            <w:vAlign w:val="bottom"/>
          </w:tcPr>
          <w:p>
            <w:pPr>
              <w:spacing w:after="0"/>
              <w:rPr>
                <w:sz w:val="11"/>
                <w:szCs w:val="11"/>
                <w:color w:val="auto"/>
              </w:rPr>
            </w:pPr>
          </w:p>
        </w:tc>
        <w:tc>
          <w:tcPr>
            <w:tcW w:w="1540" w:type="dxa"/>
            <w:vAlign w:val="bottom"/>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0"/>
        </w:trPr>
        <w:tc>
          <w:tcPr>
            <w:tcW w:w="8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0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States (1)</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197"/>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 loans, gross of valuation allowance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1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91"/>
        </w:trPr>
        <w:tc>
          <w:tcPr>
            <w:tcW w:w="8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 loans, net of valuation allowance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individual concentration of each state is equal to or less than to 5%.</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3"/>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8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State:</w:t>
            </w:r>
          </w:p>
        </w:tc>
        <w:tc>
          <w:tcPr>
            <w:tcW w:w="120" w:type="dxa"/>
            <w:vAlign w:val="bottom"/>
          </w:tcPr>
          <w:p>
            <w:pPr>
              <w:spacing w:after="0"/>
              <w:rPr>
                <w:sz w:val="11"/>
                <w:szCs w:val="11"/>
                <w:color w:val="auto"/>
              </w:rPr>
            </w:pPr>
          </w:p>
        </w:tc>
        <w:tc>
          <w:tcPr>
            <w:tcW w:w="1320" w:type="dxa"/>
            <w:vAlign w:val="bottom"/>
          </w:tcPr>
          <w:p>
            <w:pPr>
              <w:jc w:val="right"/>
              <w:ind w:right="70"/>
              <w:spacing w:after="0" w:line="127" w:lineRule="exact"/>
              <w:rPr>
                <w:sz w:val="20"/>
                <w:szCs w:val="20"/>
                <w:color w:val="auto"/>
              </w:rPr>
            </w:pPr>
            <w:r>
              <w:rPr>
                <w:rFonts w:ascii="Times New Roman" w:cs="Times New Roman" w:eastAsia="Times New Roman" w:hAnsi="Times New Roman"/>
                <w:sz w:val="14"/>
                <w:szCs w:val="14"/>
                <w:b w:val="1"/>
                <w:bCs w:val="1"/>
                <w:color w:val="auto"/>
              </w:rPr>
              <w:t>Amortized Cost (In</w:t>
            </w:r>
          </w:p>
        </w:tc>
        <w:tc>
          <w:tcPr>
            <w:tcW w:w="140" w:type="dxa"/>
            <w:vAlign w:val="bottom"/>
          </w:tcPr>
          <w:p>
            <w:pPr>
              <w:spacing w:after="0"/>
              <w:rPr>
                <w:sz w:val="11"/>
                <w:szCs w:val="11"/>
                <w:color w:val="auto"/>
              </w:rPr>
            </w:pPr>
          </w:p>
        </w:tc>
        <w:tc>
          <w:tcPr>
            <w:tcW w:w="1540" w:type="dxa"/>
            <w:vAlign w:val="bottom"/>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0"/>
        </w:trPr>
        <w:tc>
          <w:tcPr>
            <w:tcW w:w="8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9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0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20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states (a)</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197"/>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 loans, gross of valuation allowance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91"/>
        </w:trPr>
        <w:tc>
          <w:tcPr>
            <w:tcW w:w="8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 loans, net of valuation allowance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1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individual concentration of each state is less than 5%.</w:t>
      </w:r>
    </w:p>
    <w:p>
      <w:pPr>
        <w:spacing w:after="0" w:line="106"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RMLs have a primary credit quality indicator of either a performing or nonperforming loan. We define non-performing RMLs as those that are 90 or more days past due or in nonaccrual status, which is assessed monthly. The credit quality of RMLs was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2660" w:type="dxa"/>
            <w:vAlign w:val="bottom"/>
            <w:gridSpan w:val="3"/>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indicators:</w:t>
            </w: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40" w:type="dxa"/>
            <w:vAlign w:val="bottom"/>
            <w:vMerge w:val="continue"/>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191"/>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Non-performing</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 loans, gross of valuation allowance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14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0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84"/>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Allowance for expected loan loss</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 loans, net of valuation allowance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There were no charge offs recorded on RMLs during the year ended December 31, 2023. RMLs segregated by aging of the loans (by year of origination) as of December 31, 2023 and 2022 were as follows, gross of valuation allowances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30-89 days past due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90 days or more past due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residential mortgages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4"/>
        </w:trPr>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6"/>
        </w:trPr>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w:t>
            </w:r>
          </w:p>
        </w:tc>
      </w:tr>
      <w:tr>
        <w:trPr>
          <w:trHeight w:val="197"/>
        </w:trPr>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7"/>
        </w:trPr>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4"/>
        </w:trPr>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6"/>
        </w:trPr>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-633730</wp:posOffset>
            </wp:positionV>
            <wp:extent cx="7135495" cy="133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-3044190</wp:posOffset>
            </wp:positionH>
            <wp:positionV relativeFrom="paragraph">
              <wp:posOffset>-374650</wp:posOffset>
            </wp:positionV>
            <wp:extent cx="7135495" cy="1250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-3044190</wp:posOffset>
            </wp:positionH>
            <wp:positionV relativeFrom="paragraph">
              <wp:posOffset>-123825</wp:posOffset>
            </wp:positionV>
            <wp:extent cx="7135495" cy="133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20"/>
            <w:col w:w="6440"/>
          </w:cols>
          <w:pgMar w:left="320" w:top="121" w:right="3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4"/>
          </w:tcPr>
          <w:p>
            <w:pPr>
              <w:jc w:val="center"/>
              <w:ind w:left="45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7"/>
        </w:trPr>
        <w:tc>
          <w:tcPr>
            <w:tcW w:w="4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5"/>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4"/>
        </w:trPr>
        <w:tc>
          <w:tcPr>
            <w:tcW w:w="48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4"/>
        </w:trPr>
        <w:tc>
          <w:tcPr>
            <w:tcW w:w="48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mortgages</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62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w:t>
            </w:r>
          </w:p>
        </w:tc>
      </w:tr>
      <w:tr>
        <w:trPr>
          <w:trHeight w:val="20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1"/>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6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22"/>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mortgages</w:t>
            </w:r>
          </w:p>
        </w:tc>
        <w:tc>
          <w:tcPr>
            <w:tcW w:w="6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of non-accrual loans as of December 31, 2023 and 2022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of loans on non-accrual</w:t>
            </w:r>
          </w:p>
        </w:tc>
        <w:tc>
          <w:tcPr>
            <w:tcW w:w="240" w:type="dxa"/>
            <w:vAlign w:val="bottom"/>
          </w:tcPr>
          <w:p>
            <w:pPr>
              <w:spacing w:after="0"/>
              <w:rPr>
                <w:sz w:val="16"/>
                <w:szCs w:val="16"/>
                <w:color w:val="auto"/>
              </w:rPr>
            </w:pP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Pr>
          <w:p>
            <w:pPr>
              <w:spacing w:after="0"/>
              <w:rPr>
                <w:sz w:val="16"/>
                <w:szCs w:val="16"/>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7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1"/>
        </w:trPr>
        <w:tc>
          <w:tcPr>
            <w:tcW w:w="7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80" w:type="dxa"/>
            <w:vAlign w:val="bottom"/>
            <w:shd w:val="clear" w:color="auto" w:fill="CCEEFF"/>
          </w:tcPr>
          <w:p>
            <w:pPr>
              <w:spacing w:after="0"/>
              <w:rPr>
                <w:sz w:val="16"/>
                <w:szCs w:val="16"/>
                <w:color w:val="auto"/>
              </w:rPr>
            </w:pPr>
          </w:p>
        </w:tc>
      </w:tr>
      <w:tr>
        <w:trPr>
          <w:trHeight w:val="19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9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w:t>
            </w:r>
          </w:p>
        </w:tc>
        <w:tc>
          <w:tcPr>
            <w:tcW w:w="2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non-accrual mortgages</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Immaterial interest income was recognized on non-accrual financing receivables for the years ended December 31, 2023 and December 31, 2022.</w:t>
      </w:r>
    </w:p>
    <w:p>
      <w:pPr>
        <w:spacing w:after="0" w:line="69" w:lineRule="exact"/>
        <w:rPr>
          <w:sz w:val="20"/>
          <w:szCs w:val="20"/>
          <w:color w:val="auto"/>
        </w:rPr>
      </w:pPr>
    </w:p>
    <w:p>
      <w:pPr>
        <w:jc w:val="both"/>
        <w:ind w:firstLine="316"/>
        <w:spacing w:after="0" w:line="232" w:lineRule="auto"/>
        <w:rPr>
          <w:sz w:val="20"/>
          <w:szCs w:val="20"/>
          <w:color w:val="auto"/>
        </w:rPr>
      </w:pPr>
      <w:r>
        <w:rPr>
          <w:rFonts w:ascii="Times New Roman" w:cs="Times New Roman" w:eastAsia="Times New Roman" w:hAnsi="Times New Roman"/>
          <w:sz w:val="18"/>
          <w:szCs w:val="18"/>
          <w:color w:val="auto"/>
        </w:rPr>
        <w:t>It is our policy to cease to accrue interest on loans that are 90 days or more delinquent. For loans less than 90 days delinquent, interest is accrued unless it is determined that the accrued interest is not collectible. If a loan becomes 90 days or more delinquent, it is our general policy to initiate foreclosure proceedings unless a workout arrangement to bring the loan current is in place. As of December 31, 2023 and December 31, 2022, we had $57 million and $71 million, respectively, of mortgage loans that were over 90 days past due, of which $41 million and $38 million was in the process of foreclosure as of December 31, 2023 and December 31, 2022, respectively.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w:t>
      </w:r>
    </w:p>
    <w:p>
      <w:pPr>
        <w:spacing w:after="0" w:line="100"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estimate expected credit losses for our CML and RML portfolios using a probability of default/loss given default model. Significant inputs to this model include, where applicable, the loans' current performance, underlying collateral type, location, contractual life, LTV, DSC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accompanying Consolidated Statements of Earnings.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allowances for our mortgage loan portfolio is summarized as follows (in millions):</w:t>
      </w:r>
    </w:p>
    <w:p>
      <w:pPr>
        <w:spacing w:after="0" w:line="155"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6"/>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6"/>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2022</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20" w:type="dxa"/>
            <w:vAlign w:val="bottom"/>
          </w:tcPr>
          <w:p>
            <w:pPr>
              <w:spacing w:after="0"/>
              <w:rPr>
                <w:sz w:val="11"/>
                <w:szCs w:val="11"/>
                <w:color w:val="auto"/>
              </w:rPr>
            </w:pPr>
          </w:p>
        </w:tc>
        <w:tc>
          <w:tcPr>
            <w:tcW w:w="102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3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7"/>
              </w:rPr>
              <w:t>Commercial</w:t>
            </w:r>
          </w:p>
        </w:tc>
        <w:tc>
          <w:tcPr>
            <w:tcW w:w="320" w:type="dxa"/>
            <w:vAlign w:val="bottom"/>
          </w:tcPr>
          <w:p>
            <w:pPr>
              <w:spacing w:after="0"/>
              <w:rPr>
                <w:sz w:val="11"/>
                <w:szCs w:val="11"/>
                <w:color w:val="auto"/>
              </w:rPr>
            </w:pPr>
          </w:p>
        </w:tc>
        <w:tc>
          <w:tcPr>
            <w:tcW w:w="72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3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1"/>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loan losses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2"/>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6"/>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7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20" w:type="dxa"/>
            <w:vAlign w:val="bottom"/>
          </w:tcPr>
          <w:p>
            <w:pPr>
              <w:spacing w:after="0"/>
              <w:rPr>
                <w:sz w:val="11"/>
                <w:szCs w:val="11"/>
                <w:color w:val="auto"/>
              </w:rPr>
            </w:pPr>
          </w:p>
        </w:tc>
        <w:tc>
          <w:tcPr>
            <w:tcW w:w="102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340" w:type="dxa"/>
            <w:vAlign w:val="bottom"/>
          </w:tcPr>
          <w:p>
            <w:pPr>
              <w:spacing w:after="0"/>
              <w:rPr>
                <w:sz w:val="11"/>
                <w:szCs w:val="11"/>
                <w:color w:val="auto"/>
              </w:rPr>
            </w:pP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3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4"/>
                <w:szCs w:val="14"/>
                <w:color w:val="auto"/>
                <w:w w:val="99"/>
              </w:rPr>
              <w:t>37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1"/>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loan losses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2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An allowance for expected credit loss is not measured on accrued interest income for CMLs as we have a process to write-off interest on loans that enter into non-accrual status (90 days or more past due). Allowances for expected credit losses are measured on accrued interest income for RMLs and were immaterial as of December 31, 2023 and December 31, 2022.</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major sources of Interest and investment income reported on the accompanying Consolidated Statements of Earnings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734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184"/>
        </w:trPr>
        <w:tc>
          <w:tcPr>
            <w:tcW w:w="7340" w:type="dxa"/>
            <w:vAlign w:val="bottom"/>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1"/>
        </w:trPr>
        <w:tc>
          <w:tcPr>
            <w:tcW w:w="7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4"/>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r>
      <w:tr>
        <w:trPr>
          <w:trHeight w:val="19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deferred property exchange income</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1"/>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r>
      <w:tr>
        <w:trPr>
          <w:trHeight w:val="191"/>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222"/>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316"/>
        <w:spacing w:after="0" w:line="235" w:lineRule="auto"/>
        <w:rPr>
          <w:sz w:val="20"/>
          <w:szCs w:val="20"/>
          <w:color w:val="auto"/>
        </w:rPr>
      </w:pPr>
      <w:r>
        <w:rPr>
          <w:rFonts w:ascii="Times New Roman" w:cs="Times New Roman" w:eastAsia="Times New Roman" w:hAnsi="Times New Roman"/>
          <w:sz w:val="18"/>
          <w:szCs w:val="18"/>
          <w:color w:val="auto"/>
        </w:rPr>
        <w:t>The Company’s 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$339 million, $109 million, and $53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Recognized Gains and Losses, net</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Details underlying Recognized gains and losses, net reported on the accompanying Consolidated Statements of Earnings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4"/>
        </w:trPr>
        <w:tc>
          <w:tcPr>
            <w:tcW w:w="734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184"/>
        </w:trPr>
        <w:tc>
          <w:tcPr>
            <w:tcW w:w="73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7"/>
        </w:trPr>
        <w:tc>
          <w:tcPr>
            <w:tcW w:w="7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9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(losses) gains on fixed maturity available-for-sale securities</w:t>
            </w:r>
          </w:p>
        </w:tc>
        <w:tc>
          <w:tcPr>
            <w:tcW w:w="50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6"/>
                <w:szCs w:val="16"/>
                <w:color w:val="auto"/>
              </w:rPr>
            </w:pPr>
          </w:p>
        </w:tc>
        <w:tc>
          <w:tcPr>
            <w:tcW w:w="5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gains on equity securities (1)</w:t>
            </w: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r>
      <w:tr>
        <w:trPr>
          <w:trHeight w:val="19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gains on preferred securities (2)</w:t>
            </w:r>
          </w:p>
        </w:tc>
        <w:tc>
          <w:tcPr>
            <w:tcW w:w="5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(losses) gains on other invested assets</w:t>
            </w: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5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and embedded derivatives:</w:t>
            </w: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90"/>
        </w:trPr>
        <w:tc>
          <w:tcPr>
            <w:tcW w:w="7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Realized (losses) gains on certain derivative instruments</w:t>
            </w:r>
          </w:p>
        </w:tc>
        <w:tc>
          <w:tcPr>
            <w:tcW w:w="5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r>
      <w:tr>
        <w:trPr>
          <w:trHeight w:val="205"/>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(losses) gains on certain derivative instruments</w:t>
            </w: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90"/>
        </w:trPr>
        <w:tc>
          <w:tcPr>
            <w:tcW w:w="7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w:t>
            </w:r>
          </w:p>
        </w:tc>
        <w:tc>
          <w:tcPr>
            <w:tcW w:w="5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5"/>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4"/>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Realized (losses) gains on derivatives and embedded derivatives</w:t>
            </w: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w:t>
            </w:r>
          </w:p>
        </w:tc>
      </w:tr>
      <w:tr>
        <w:trPr>
          <w:trHeight w:val="222"/>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5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200" w:hanging="195"/>
        <w:spacing w:after="0"/>
        <w:tabs>
          <w:tab w:leader="none" w:pos="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(losses) gains of $47 million, $(387) million and $(436) million for the years ended December 31, 2023, 2022, and 2021, respectively.</w:t>
      </w:r>
    </w:p>
    <w:p>
      <w:pPr>
        <w:spacing w:after="0" w:line="21"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losses of $80 million, $198 million, and $14 million for the years ended December 31, 2023, 2022 and 2021, respectively.</w:t>
      </w:r>
    </w:p>
    <w:p>
      <w:pPr>
        <w:spacing w:after="0" w:line="344"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Recognized gains and losses is shown net of amounts attributable to certain funds withheld reinsurance agreements which is passed along to the reinsurer in accordance with the terms of these agreements. Recognized gains and losses attributable to these agreements, and thus excluded from the totals in the table above, was $(123) million, $381 million and $15 million for the years ended December 31, 2023, 2022 and 2021, respectively.</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proceeds from the sale of fixed-maturity securities and the gross gains and losses associated with those transactions were as follows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7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184"/>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7"/>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4,749</w:t>
            </w:r>
          </w:p>
        </w:tc>
      </w:tr>
      <w:tr>
        <w:trPr>
          <w:trHeight w:val="19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gains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0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losses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Variable Interest Entities</w:t>
      </w:r>
    </w:p>
    <w:p>
      <w:pPr>
        <w:spacing w:after="0" w:line="100" w:lineRule="exact"/>
        <w:rPr>
          <w:sz w:val="20"/>
          <w:szCs w:val="20"/>
          <w:color w:val="auto"/>
        </w:rPr>
      </w:pPr>
    </w:p>
    <w:p>
      <w:pPr>
        <w:jc w:val="both"/>
        <w:ind w:firstLine="316"/>
        <w:spacing w:after="0" w:line="286" w:lineRule="auto"/>
        <w:rPr>
          <w:sz w:val="20"/>
          <w:szCs w:val="20"/>
          <w:color w:val="auto"/>
        </w:rPr>
      </w:pPr>
      <w:r>
        <w:rPr>
          <w:rFonts w:ascii="Times New Roman" w:cs="Times New Roman" w:eastAsia="Times New Roman" w:hAnsi="Times New Roman"/>
          <w:sz w:val="16"/>
          <w:szCs w:val="16"/>
          <w:color w:val="auto"/>
        </w:rPr>
        <w:t>The Company owns investments in VIEs that are not consolidated within our financial statements.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While the Company participates in the benefits from VIEs in which it invests, but does not consolidate, the substantive power to make the key economic decisions for each respective VIE resides with entities not under common control with the Company. It is for this reason that the Company is not considered the primary beneficiary for the VIE investments that are not consolidated.</w:t>
      </w:r>
    </w:p>
    <w:p>
      <w:pPr>
        <w:spacing w:after="0" w:line="40"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Consolidated Balance Sheets. In addition, we invest in structured investments that may be VIEs, but for which we are not the primary beneficiary. These structured investments typically invest in fixed income investments and are managed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by third parties and include asset-backed securities, commercial mortgage-backed securities and residential mortgage-backed securities included in fixed maturity securities available for sale on our Consolidated Balance Sheets.</w:t>
      </w:r>
    </w:p>
    <w:p>
      <w:pPr>
        <w:spacing w:after="0" w:line="5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 xml:space="preserve">Our maximum loss exposure with respect to these VIEs is limited to the investment carrying amounts reported in our Consolidated Balance Sheets for limited partnerships and the amortized costs of certain of our fixed maturity securities, in addition to any required unfunded commitments (also refer to Note H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carrying value and the maximum loss exposure of our unconsolidated VIEs: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246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50"/>
              <w:spacing w:after="0" w:line="127" w:lineRule="exact"/>
              <w:rPr>
                <w:sz w:val="20"/>
                <w:szCs w:val="20"/>
                <w:color w:val="auto"/>
              </w:rPr>
            </w:pPr>
            <w:r>
              <w:rPr>
                <w:rFonts w:ascii="Times New Roman" w:cs="Times New Roman" w:eastAsia="Times New Roman" w:hAnsi="Times New Roman"/>
                <w:sz w:val="14"/>
                <w:szCs w:val="14"/>
                <w:b w:val="1"/>
                <w:bCs w:val="1"/>
                <w:color w:val="auto"/>
                <w:w w:val="98"/>
              </w:rPr>
              <w:t>Maximum Loss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90"/>
              <w:spacing w:after="0" w:line="127"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Exposure</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60" w:type="dxa"/>
            <w:vAlign w:val="bottom"/>
            <w:gridSpan w:val="5"/>
            <w:shd w:val="clear" w:color="auto" w:fill="CCEEFF"/>
          </w:tcPr>
          <w:p>
            <w:pPr>
              <w:ind w:left="8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17,404</w:t>
            </w:r>
          </w:p>
        </w:tc>
        <w:tc>
          <w:tcPr>
            <w:tcW w:w="0" w:type="dxa"/>
            <w:vAlign w:val="bottom"/>
          </w:tcPr>
          <w:p>
            <w:pPr>
              <w:spacing w:after="0"/>
              <w:rPr>
                <w:sz w:val="1"/>
                <w:szCs w:val="1"/>
                <w:color w:val="auto"/>
              </w:rPr>
            </w:pPr>
          </w:p>
        </w:tc>
      </w:tr>
      <w:tr>
        <w:trPr>
          <w:trHeight w:val="197"/>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unconsolidated VIE investments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23,908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27,152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18,107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21,434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underlying investment concentrations that exceed 10% of shareholders equity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0" w:type="dxa"/>
            <w:vAlign w:val="bottom"/>
          </w:tcPr>
          <w:p>
            <w:pPr>
              <w:spacing w:after="0"/>
              <w:rPr>
                <w:sz w:val="16"/>
                <w:szCs w:val="16"/>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7"/>
        </w:trPr>
        <w:tc>
          <w:tcPr>
            <w:tcW w:w="7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80" w:type="dxa"/>
            <w:vAlign w:val="bottom"/>
          </w:tcPr>
          <w:p>
            <w:pPr>
              <w:spacing w:after="0"/>
              <w:rPr>
                <w:sz w:val="17"/>
                <w:szCs w:val="17"/>
                <w:color w:val="auto"/>
              </w:rPr>
            </w:pPr>
          </w:p>
        </w:tc>
      </w:tr>
      <w:tr>
        <w:trPr>
          <w:trHeight w:val="24"/>
        </w:trPr>
        <w:tc>
          <w:tcPr>
            <w:tcW w:w="70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1"/>
        </w:trPr>
        <w:tc>
          <w:tcPr>
            <w:tcW w:w="70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4"/>
                <w:szCs w:val="14"/>
                <w:color w:val="auto"/>
              </w:rPr>
              <w:t xml:space="preserve">Blackstone Wave Asset Holdco </w:t>
            </w:r>
            <w:r>
              <w:rPr>
                <w:rFonts w:ascii="Times New Roman" w:cs="Times New Roman" w:eastAsia="Times New Roman" w:hAnsi="Times New Roman"/>
                <w:sz w:val="18"/>
                <w:szCs w:val="18"/>
                <w:color w:val="auto"/>
                <w:vertAlign w:val="superscript"/>
              </w:rPr>
              <w:t>(1)</w:t>
            </w:r>
          </w:p>
        </w:tc>
        <w:tc>
          <w:tcPr>
            <w:tcW w:w="168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725</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ind w:firstLine="5"/>
        <w:spacing w:after="0" w:line="248" w:lineRule="auto"/>
        <w:tabs>
          <w:tab w:leader="none" w:pos="6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special purpose vehicle that holds investments in numerous limited partnership investments whose underlying investments are further diversified by holding interest in multiple individual investments and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Derivative Financial Instruments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amounts of derivative instruments, including derivative instruments embedded in FIA and IUL contracts, and reinsurance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0" w:type="dxa"/>
            <w:vAlign w:val="bottom"/>
          </w:tcPr>
          <w:p>
            <w:pPr>
              <w:spacing w:after="0"/>
              <w:rPr>
                <w:sz w:val="1"/>
                <w:szCs w:val="1"/>
                <w:color w:val="auto"/>
              </w:rPr>
            </w:pPr>
          </w:p>
        </w:tc>
      </w:tr>
      <w:tr>
        <w:trPr>
          <w:trHeight w:val="24"/>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Call options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05"/>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forward</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embedded derivatives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Reinsurance related embedded derivatives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16"/>
        </w:trPr>
        <w:tc>
          <w:tcPr>
            <w:tcW w:w="8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Contractholder funds: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FIA/ IUL embedded derivatives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0" w:type="dxa"/>
            <w:vAlign w:val="bottom"/>
          </w:tcPr>
          <w:p>
            <w:pPr>
              <w:spacing w:after="0"/>
              <w:rPr>
                <w:sz w:val="1"/>
                <w:szCs w:val="1"/>
                <w:color w:val="auto"/>
              </w:rPr>
            </w:pPr>
          </w:p>
        </w:tc>
      </w:tr>
      <w:tr>
        <w:trPr>
          <w:trHeight w:val="191"/>
        </w:trPr>
        <w:tc>
          <w:tcPr>
            <w:tcW w:w="84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0" w:type="dxa"/>
            <w:vAlign w:val="bottom"/>
          </w:tcPr>
          <w:p>
            <w:pPr>
              <w:spacing w:after="0"/>
              <w:rPr>
                <w:sz w:val="1"/>
                <w:szCs w:val="1"/>
                <w:color w:val="auto"/>
              </w:rPr>
            </w:pPr>
          </w:p>
        </w:tc>
      </w:tr>
      <w:tr>
        <w:trPr>
          <w:trHeight w:val="26"/>
        </w:trPr>
        <w:tc>
          <w:tcPr>
            <w:tcW w:w="8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fair value of derivative instruments included within Recognized gains and losses, net, in the accompanying Consolidated Statements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68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880" w:type="dxa"/>
            <w:vAlign w:val="bottom"/>
          </w:tcPr>
          <w:p>
            <w:pPr>
              <w:spacing w:after="0"/>
              <w:rPr>
                <w:sz w:val="15"/>
                <w:szCs w:val="15"/>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gains (losses):</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4"/>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Call options</w:t>
            </w:r>
          </w:p>
        </w:tc>
        <w:tc>
          <w:tcPr>
            <w:tcW w:w="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r>
      <w:tr>
        <w:trPr>
          <w:trHeight w:val="190"/>
        </w:trPr>
        <w:tc>
          <w:tcPr>
            <w:tcW w:w="6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swaps</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Futures contracts</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0"/>
        </w:trPr>
        <w:tc>
          <w:tcPr>
            <w:tcW w:w="6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5"/>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derivatives and embedded derivatives</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1"/>
        </w:trPr>
        <w:tc>
          <w:tcPr>
            <w:tcW w:w="6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Reinsurance related embedded derivatives</w:t>
            </w: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22"/>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investment gains (losses)</w:t>
            </w:r>
          </w:p>
        </w:tc>
        <w:tc>
          <w:tcPr>
            <w:tcW w:w="92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6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7"/>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and other changes in policy reserves:</w:t>
            </w:r>
          </w:p>
        </w:tc>
        <w:tc>
          <w:tcPr>
            <w:tcW w:w="9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r>
      <w:tr>
        <w:trPr>
          <w:trHeight w:val="191"/>
        </w:trPr>
        <w:tc>
          <w:tcPr>
            <w:tcW w:w="6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FIA/ IUL embedded derivatives increase (decrease)</w:t>
            </w:r>
          </w:p>
        </w:tc>
        <w:tc>
          <w:tcPr>
            <w:tcW w:w="9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w:t>
            </w:r>
          </w:p>
        </w:tc>
      </w:tr>
      <w:tr>
        <w:trPr>
          <w:trHeight w:val="20"/>
        </w:trPr>
        <w:tc>
          <w:tcPr>
            <w:tcW w:w="6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Disclosures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FIA/IUL Embedded Derivative, Call Options and Futures</w:t>
      </w:r>
    </w:p>
    <w:p>
      <w:pPr>
        <w:spacing w:after="0" w:line="85"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 xml:space="preserve">We have FIA and IUL contracts that permit the holder to elect an interest rate return or an equity index linked component, where interest credited to the contracts is linked to the performance of various equity indices, primarily the S&amp;P 500 Index. This feature represents an embedded derivative under GAAP. The FIA/IUL embedded derivatives are valued at fair value and included in the liability for contractholder funds in the accompanying Consolidated Balance Sheets with changes in fair value included as a component of Benefits and other changes in policy reserves in the Consolidated Statements of Earnings. See a description of the fair value methodology used in Note D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purchase derivatives consisting of a combination of call options and futures contracts (specifically for FIA contracts) on the applicable market indices to fund the index credits due to FIA/IUL contractholders. The call options are one, two, three, and five year options purchased to match the funding requirements of the underlying policies. On the respective anniversary dates of the indexed policies, the index used to compute the interest credit is reset and we purchase new call options to fund the next index credit. We manage the cost of these purchases through the terms of our FIA/IUL contracts, which permit us to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change caps, spreads or participation rates, subject to guaranteed minimums, on each contract’s anniversary date. The change in the fair value of the call options and futures contracts is generally designed to offset the portion of the change in the fair value of the FIA/IUL embedded derivatives related to index performance through the current credit period. The call options and futures contracts are marked to fair value with the change in fair value included as a component of Recognized gains and losses, net, in the accompanying Consolidated Statements of Earnings. The change in fair value of the call options and futures contracts includes the gains and losses recognized at the expiration of the instrument term or upon early termination and the changes in fair value of open positions.</w:t>
      </w:r>
    </w:p>
    <w:p>
      <w:pPr>
        <w:spacing w:after="0" w:line="133"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Other market exposures are hedged periodically depending on market conditions and our risk tolerance. Our FIA/IUL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42"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We utilize interest rate swaps to reduce market risks from interest rate changes on our earnings associated with our floating rate investments. With an interest rate swap, we agree with another party to exchange the difference between fixed-rate and floating-rate interest amounts tied to an agreed upon notional principal at specified intervals. The interest rate swaps are marked to fair value with the change in fair value, including accrued interest and related periodic cash flows received or paid, included as a component of Recognized gains and losses, net, in the accompanying Consolidated Statements of Earnings.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Reinsurance Related Embedded Derivatives</w:t>
      </w:r>
    </w:p>
    <w:p>
      <w:pPr>
        <w:spacing w:after="0" w:line="85"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F&amp;G cedes certain business on a coinsurance funds withheld basis. Investment results for the assets that support the coinsurance that are segregated within the funds withheld account are passed directly to the reinsurer pursuant to the contractual terms of the reinsurance agreement, which creates embedded derivatives considered to be total return swaps. These total return swaps are not clearly and closely related to the underlying reinsurance contract and thus require bifurcation. The fair value of the total return swaps is based on the change in fair value of the underlying assets held in the funds withheld account. These embedded derivatives are reported in Prepaid expenses and other assets if in a net gain position, or Accounts payable and accrued liabilities, if in a net loss position on the Consolidated Balance Sheets and the related gains or losses are reported in Recognized gains and losses, net, on the Consolidated Statements of Earnings.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63"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We are exposed to credit loss in the event of non-performance by our counterparties on the call options and interest rate swaps and reflect assumptions regarding this non-performance risk in the fair value of the these derivatives.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our exposure to credit loss on the call options and interest rate swaps we hold is presented in the following table:</w:t>
      </w:r>
    </w:p>
    <w:p>
      <w:pPr>
        <w:sectPr>
          <w:pgSz w:w="11900" w:h="16838" w:orient="portrait"/>
          <w:cols w:equalWidth="0" w:num="1">
            <w:col w:w="11240"/>
          </w:cols>
          <w:pgMar w:left="320" w:top="121" w:right="339" w:bottom="1440" w:gutter="0" w:footer="0" w:header="0"/>
        </w:sect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248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w w:val="98"/>
              </w:rPr>
              <w:t>Credit Rating</w:t>
            </w:r>
          </w:p>
        </w:tc>
        <w:tc>
          <w:tcPr>
            <w:tcW w:w="0" w:type="dxa"/>
            <w:vAlign w:val="bottom"/>
          </w:tcPr>
          <w:p>
            <w:pPr>
              <w:spacing w:after="0"/>
              <w:rPr>
                <w:sz w:val="1"/>
                <w:szCs w:val="1"/>
                <w:color w:val="auto"/>
              </w:rPr>
            </w:pPr>
          </w:p>
        </w:tc>
      </w:tr>
      <w:tr>
        <w:trPr>
          <w:trHeight w:val="190"/>
        </w:trPr>
        <w:tc>
          <w:tcPr>
            <w:tcW w:w="3180" w:type="dxa"/>
            <w:vAlign w:val="bottom"/>
            <w:tcBorders>
              <w:bottom w:val="single" w:sz="8" w:color="auto"/>
            </w:tcBorders>
            <w:vMerge w:val="continue"/>
          </w:tcPr>
          <w:p>
            <w:pPr>
              <w:spacing w:after="0"/>
              <w:rPr>
                <w:sz w:val="16"/>
                <w:szCs w:val="16"/>
                <w:color w:val="auto"/>
              </w:rPr>
            </w:pPr>
          </w:p>
        </w:tc>
        <w:tc>
          <w:tcPr>
            <w:tcW w:w="2480" w:type="dxa"/>
            <w:vAlign w:val="bottom"/>
            <w:tcBorders>
              <w:bottom w:val="single" w:sz="8" w:color="auto"/>
            </w:tcBorders>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(Fitch/Moody's/S&amp;P) (a)</w:t>
            </w:r>
          </w:p>
        </w:tc>
        <w:tc>
          <w:tcPr>
            <w:tcW w:w="0" w:type="dxa"/>
            <w:vAlign w:val="bottom"/>
          </w:tcPr>
          <w:p>
            <w:pPr>
              <w:spacing w:after="0"/>
              <w:rPr>
                <w:sz w:val="1"/>
                <w:szCs w:val="1"/>
                <w:color w:val="auto"/>
              </w:rPr>
            </w:pPr>
          </w:p>
        </w:tc>
      </w:tr>
      <w:tr>
        <w:trPr>
          <w:trHeight w:val="36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Merrill Lynch</w:t>
            </w:r>
          </w:p>
        </w:tc>
        <w:tc>
          <w:tcPr>
            <w:tcW w:w="248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w w:val="97"/>
              </w:rPr>
              <w:t>AA/*/A+</w:t>
            </w: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Morgan Stanley</w:t>
            </w:r>
          </w:p>
        </w:tc>
        <w:tc>
          <w:tcPr>
            <w:tcW w:w="248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w w:val="98"/>
              </w:rPr>
              <w:t>AA-/Aa3/A+</w:t>
            </w: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Barclay's Bank</w:t>
            </w:r>
          </w:p>
        </w:tc>
        <w:tc>
          <w:tcPr>
            <w:tcW w:w="248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w w:val="98"/>
              </w:rPr>
              <w:t>A+/A1/A+</w:t>
            </w: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Canadian Imperial Bank of Commerce</w:t>
            </w:r>
          </w:p>
        </w:tc>
        <w:tc>
          <w:tcPr>
            <w:tcW w:w="248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w w:val="99"/>
              </w:rPr>
              <w:t>AA-/A2/A-</w:t>
            </w: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Wells Fargo</w:t>
            </w:r>
          </w:p>
        </w:tc>
        <w:tc>
          <w:tcPr>
            <w:tcW w:w="248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AA-/Aa2/A+</w:t>
            </w: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Goldman Sachs</w:t>
            </w:r>
          </w:p>
        </w:tc>
        <w:tc>
          <w:tcPr>
            <w:tcW w:w="248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w w:val="98"/>
              </w:rPr>
              <w:t>A+/A1/A+</w:t>
            </w: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Suisse</w:t>
            </w:r>
          </w:p>
        </w:tc>
        <w:tc>
          <w:tcPr>
            <w:tcW w:w="248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w w:val="98"/>
              </w:rPr>
              <w:t>A+/A3/A+</w:t>
            </w: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Truist</w:t>
            </w:r>
          </w:p>
        </w:tc>
        <w:tc>
          <w:tcPr>
            <w:tcW w:w="248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w w:val="97"/>
              </w:rPr>
              <w:t>A+/A2/A</w:t>
            </w:r>
          </w:p>
        </w:tc>
        <w:tc>
          <w:tcPr>
            <w:tcW w:w="0" w:type="dxa"/>
            <w:vAlign w:val="bottom"/>
          </w:tcPr>
          <w:p>
            <w:pPr>
              <w:spacing w:after="0"/>
              <w:rPr>
                <w:sz w:val="1"/>
                <w:szCs w:val="1"/>
                <w:color w:val="auto"/>
              </w:rPr>
            </w:pPr>
          </w:p>
        </w:tc>
      </w:tr>
      <w:tr>
        <w:trPr>
          <w:trHeight w:val="23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Citibank</w:t>
            </w:r>
          </w:p>
        </w:tc>
        <w:tc>
          <w:tcPr>
            <w:tcW w:w="2480" w:type="dxa"/>
            <w:vAlign w:val="bottom"/>
          </w:tcPr>
          <w:p>
            <w:pPr>
              <w:jc w:val="center"/>
              <w:ind w:left="908"/>
              <w:spacing w:after="0"/>
              <w:rPr>
                <w:sz w:val="20"/>
                <w:szCs w:val="20"/>
                <w:color w:val="auto"/>
              </w:rPr>
            </w:pPr>
            <w:r>
              <w:rPr>
                <w:rFonts w:ascii="Times New Roman" w:cs="Times New Roman" w:eastAsia="Times New Roman" w:hAnsi="Times New Roman"/>
                <w:sz w:val="18"/>
                <w:szCs w:val="18"/>
                <w:b w:val="1"/>
                <w:bCs w:val="1"/>
                <w:color w:val="auto"/>
                <w:w w:val="98"/>
              </w:rPr>
              <w:t>A+/Aa3/A+</w:t>
            </w:r>
          </w:p>
        </w:tc>
        <w:tc>
          <w:tcPr>
            <w:tcW w:w="0" w:type="dxa"/>
            <w:vAlign w:val="bottom"/>
          </w:tcPr>
          <w:p>
            <w:pPr>
              <w:spacing w:after="0"/>
              <w:rPr>
                <w:sz w:val="1"/>
                <w:szCs w:val="1"/>
                <w:color w:val="auto"/>
              </w:rPr>
            </w:pPr>
          </w:p>
        </w:tc>
      </w:tr>
      <w:tr>
        <w:trPr>
          <w:trHeight w:val="18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JP Morgan</w:t>
            </w:r>
          </w:p>
        </w:tc>
        <w:tc>
          <w:tcPr>
            <w:tcW w:w="248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AA/Aa2/A+</w:t>
            </w:r>
          </w:p>
        </w:tc>
        <w:tc>
          <w:tcPr>
            <w:tcW w:w="0" w:type="dxa"/>
            <w:vAlign w:val="bottom"/>
          </w:tcPr>
          <w:p>
            <w:pPr>
              <w:spacing w:after="0"/>
              <w:rPr>
                <w:sz w:val="1"/>
                <w:szCs w:val="1"/>
                <w:color w:val="auto"/>
              </w:rPr>
            </w:pPr>
          </w:p>
        </w:tc>
      </w:tr>
      <w:tr>
        <w:trPr>
          <w:trHeight w:val="237"/>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-1538605</wp:posOffset>
            </wp:positionV>
            <wp:extent cx="7135495" cy="133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-1279525</wp:posOffset>
            </wp:positionV>
            <wp:extent cx="7135495" cy="1250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-1028700</wp:posOffset>
            </wp:positionV>
            <wp:extent cx="7135495" cy="1250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-777875</wp:posOffset>
            </wp:positionV>
            <wp:extent cx="7135495" cy="1250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-527685</wp:posOffset>
            </wp:positionV>
            <wp:extent cx="7135495" cy="1250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-259715</wp:posOffset>
            </wp:positionV>
            <wp:extent cx="7135495" cy="1250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60"/>
              <w:spacing w:after="0" w:line="147"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Net Credit Risk</w:t>
            </w:r>
          </w:p>
        </w:tc>
        <w:tc>
          <w:tcPr>
            <w:tcW w:w="0" w:type="dxa"/>
            <w:vAlign w:val="bottom"/>
          </w:tcPr>
          <w:p>
            <w:pPr>
              <w:spacing w:after="0"/>
              <w:rPr>
                <w:sz w:val="1"/>
                <w:szCs w:val="1"/>
                <w:color w:val="auto"/>
              </w:rPr>
            </w:pPr>
          </w:p>
        </w:tc>
      </w:tr>
      <w:tr>
        <w:trPr>
          <w:trHeight w:val="190"/>
        </w:trPr>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4,408</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29,968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6"/>
        </w:trPr>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60" w:space="80"/>
            <w:col w:w="5500"/>
          </w:cols>
          <w:pgMar w:left="320" w:top="121"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gridSpan w:val="2"/>
            <w:vMerge w:val="restart"/>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8"/>
              </w:rPr>
              <w:t>Credit Rating</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0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Net Credit Risk</w:t>
            </w:r>
          </w:p>
        </w:tc>
        <w:tc>
          <w:tcPr>
            <w:tcW w:w="0" w:type="dxa"/>
            <w:vAlign w:val="bottom"/>
          </w:tcPr>
          <w:p>
            <w:pPr>
              <w:spacing w:after="0"/>
              <w:rPr>
                <w:sz w:val="1"/>
                <w:szCs w:val="1"/>
                <w:color w:val="auto"/>
              </w:rPr>
            </w:pPr>
          </w:p>
        </w:tc>
      </w:tr>
      <w:tr>
        <w:trPr>
          <w:trHeight w:val="190"/>
        </w:trPr>
        <w:tc>
          <w:tcPr>
            <w:tcW w:w="412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(Fitch/Moody's/S&amp;P)(a)</w:t>
            </w: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0" w:type="dxa"/>
            <w:vAlign w:val="bottom"/>
            <w:tcBorders>
              <w:top w:val="single" w:sz="8" w:color="auto"/>
            </w:tcBorders>
            <w:gridSpan w:val="3"/>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Merrill Lynch</w:t>
            </w: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AA/*/A+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0" w:type="dxa"/>
            <w:vAlign w:val="bottom"/>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Morgan Stanley</w:t>
            </w:r>
          </w:p>
        </w:tc>
        <w:tc>
          <w:tcPr>
            <w:tcW w:w="1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*/Aa3/A+</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Barclay's Bank</w:t>
            </w: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A+/A1/A</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Canadian Imperial Bank of Commerce</w:t>
            </w:r>
          </w:p>
        </w:tc>
        <w:tc>
          <w:tcPr>
            <w:tcW w:w="1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AA/Aa2/A+</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Wells Fargo</w:t>
            </w: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A+/A1/BBB+</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Goldman Sachs</w:t>
            </w:r>
          </w:p>
        </w:tc>
        <w:tc>
          <w:tcPr>
            <w:tcW w:w="1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A/A2/BBB+</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Suisse</w:t>
            </w: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BBB+/A3/A-</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Truist</w:t>
            </w:r>
          </w:p>
        </w:tc>
        <w:tc>
          <w:tcPr>
            <w:tcW w:w="1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A+/A2/A</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Citibank</w:t>
            </w:r>
          </w:p>
        </w:tc>
        <w:tc>
          <w:tcPr>
            <w:tcW w:w="162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A+/Aa3/A+</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41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An * represents credit ratings that were not available.</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Collateral Agreements</w:t>
      </w:r>
    </w:p>
    <w:p>
      <w:pPr>
        <w:spacing w:after="0" w:line="137"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derivative contracts between the parties, at which time any amounts payable by us or the counterparty would be dependent on the market value of the underlying contracts. Our current rating does not allow any counterparty the right to terminate ISDA agreements. In certain transactions, both us and the counterparty have entered into a collateral support agreement requiring either party to post collateral when the net exposures exceed pre-determined thresholds. For all counterparties, except Merrill Lynch, this threshold is set to zero. As of December 31, 2023 and December 31, 2022, counterparties posted $775 million and $219 million, respectively, of collateral, of which $588 million and $178 million, respectively, is included in cash and cash equivalents with an associated payable for this collateral included in accounts payable and accrued liabilities on the Consolidated Balance Sheets. Accordingly, the maximum amount of loss due to credit risk that we would incur if parties to the derivatives failed completely to perform according to the terms of the contracts was $39 million at December 31, 2023, and $33 million at December 31, 2022.</w:t>
      </w:r>
    </w:p>
    <w:p>
      <w:pPr>
        <w:spacing w:after="0" w:line="102"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We are required to pay counterparties the effective federal funds rate each day for cash collateral posted to F&amp;G for daily mark to market margin changes. We reinvest derivative cash collateral to reduce the interest cost. Cash collateral is invested in overnight investment sweep products, which are included in cash and cash equivalents in the accompanying Consolidated Balance Sheets.</w:t>
      </w:r>
    </w:p>
    <w:p>
      <w:pPr>
        <w:spacing w:after="0" w:line="88"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We held 439 and 409 futures contracts at December 31, 2023 and December 31, 2022,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accompanying Consolidated Balance Sheets. The amount of cash collateral held by the counterparties for such contracts was $4 million and $3 million at December 31,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Notes Payable</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Notes payable consists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40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183"/>
        </w:trPr>
        <w:tc>
          <w:tcPr>
            <w:tcW w:w="40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4"/>
          </w:tcPr>
          <w:p>
            <w:pPr>
              <w:jc w:val="right"/>
              <w:ind w:right="1130"/>
              <w:spacing w:after="0"/>
              <w:rPr>
                <w:sz w:val="20"/>
                <w:szCs w:val="20"/>
                <w:color w:val="auto"/>
              </w:rPr>
            </w:pPr>
            <w:r>
              <w:rPr>
                <w:rFonts w:ascii="Times New Roman" w:cs="Times New Roman" w:eastAsia="Times New Roman" w:hAnsi="Times New Roman"/>
                <w:sz w:val="14"/>
                <w:szCs w:val="14"/>
                <w:color w:val="auto"/>
              </w:rPr>
              <w:t>(In millions)</w:t>
            </w:r>
          </w:p>
        </w:tc>
      </w:tr>
      <w:tr>
        <w:trPr>
          <w:trHeight w:val="20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4.50%</w:t>
            </w:r>
          </w:p>
        </w:tc>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net of discount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r>
      <w:tr>
        <w:trPr>
          <w:trHeight w:val="190"/>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3.40%</w:t>
            </w:r>
          </w:p>
        </w:tc>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net of discount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r>
      <w:tr>
        <w:trPr>
          <w:trHeight w:val="20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2.45%</w:t>
            </w:r>
          </w:p>
        </w:tc>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net of discount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r>
      <w:tr>
        <w:trPr>
          <w:trHeight w:val="190"/>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3.20%</w:t>
            </w:r>
          </w:p>
        </w:tc>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net of discount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205"/>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F&amp;G Credit Agreement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r>
      <w:tr>
        <w:trPr>
          <w:trHeight w:val="20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5.50%</w:t>
            </w:r>
          </w:p>
        </w:tc>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r>
      <w:tr>
        <w:trPr>
          <w:trHeight w:val="190"/>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7.40%</w:t>
            </w:r>
          </w:p>
        </w:tc>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7.95%</w:t>
            </w:r>
          </w:p>
        </w:tc>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400" w:type="dxa"/>
            <w:vAlign w:val="bottom"/>
            <w:tcBorders>
              <w:bottom w:val="single" w:sz="8" w:color="CCEEFF"/>
            </w:tcBorders>
            <w:shd w:val="clear" w:color="auto" w:fill="CCEEFF"/>
          </w:tcPr>
          <w:p>
            <w:pPr>
              <w:spacing w:after="0"/>
              <w:rPr>
                <w:sz w:val="18"/>
                <w:szCs w:val="18"/>
                <w:color w:val="auto"/>
              </w:rPr>
            </w:pPr>
          </w:p>
        </w:tc>
        <w:tc>
          <w:tcPr>
            <w:tcW w:w="7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316"/>
        <w:spacing w:after="0" w:line="286" w:lineRule="auto"/>
        <w:rPr>
          <w:sz w:val="20"/>
          <w:szCs w:val="20"/>
          <w:color w:val="auto"/>
        </w:rPr>
      </w:pPr>
      <w:r>
        <w:rPr>
          <w:rFonts w:ascii="Times New Roman" w:cs="Times New Roman" w:eastAsia="Times New Roman" w:hAnsi="Times New Roman"/>
          <w:sz w:val="16"/>
          <w:szCs w:val="16"/>
          <w:color w:val="auto"/>
        </w:rPr>
        <w:t>On December 6th, 2023, F&amp;G issued $345 million of its 7.95% Senior Notes due 2053. The 7.95% F&amp;G Notes were issued at par, net of deferred issuance costs of approximately $9 million. The 7.95% F&amp;G Notes are senior unsecured, unsubordinated obligations of F&amp;G and are guaranteed by each of F&amp;G’s subsidiaries that are guarantors of F&amp;G’s obligations under its existing credit agreement. The 7.95% F&amp;G Notes mature on December 15, 2053, and become callable on or after December 15, 2028. Interest is payable quarterly at a fixed rate of 7.95%, and, if the 7.95% F&amp;G Notes are downgraded, the interest rate payable is subject to adjustment from time to time per the terms of the indenture. F&amp;G used a portion of the net proceeds from the offering to repay borrowings under its revolving credit facility as discussed below and for general corporate purposes, including the support of organic growth opportunities.</w:t>
      </w:r>
    </w:p>
    <w:p>
      <w:pPr>
        <w:spacing w:after="0" w:line="79"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On January 13, 2023, F&amp;G issued $500 million of its 7.40% F&amp;G Notes due 2028. The 7.40% F&amp;G Notes were issued at par, net of deferred issuance costs of approximately $6 million. The 7.40% F&amp;G Notes are senior, unsecured unsubordinated obligation of F&amp;G and are fully and unconditionally guaranteed on an unsecured, unsubordinated basis by each of F&amp;G’s subsidiaries that are guarantors of F&amp;G’s obligations under its existing credit agreement. The 7.40% F&amp;G Notes mature on January 13, 2028, and become callable on or after December 13, 2027. Interest is payable semi-annually at a fixed rate of 7.40%, and if, the 7.40% F&amp;G Notes are downgraded, the interest rate payable is subject to adjustment from time to time per the terms of the indenture. F&amp;G used the net proceeds from the offering for general corporate purposes, including to support the growth of assets under management and for F&amp;G's future liquidity requirements.</w:t>
      </w:r>
    </w:p>
    <w:p>
      <w:pPr>
        <w:spacing w:after="0" w:line="82"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On November 22, 2022, F&amp;G entered into the F&amp;G Credit Agreement pursuant to which the Lenders have made available the F&amp;G Credit Facility in an aggregate principal amount of $550 million to be used for working capital and general corporate purposes.</w:t>
      </w:r>
    </w:p>
    <w:p>
      <w:pPr>
        <w:spacing w:after="0" w:line="64" w:lineRule="exact"/>
        <w:rPr>
          <w:sz w:val="20"/>
          <w:szCs w:val="20"/>
          <w:color w:val="auto"/>
        </w:rPr>
      </w:pPr>
    </w:p>
    <w:p>
      <w:pPr>
        <w:jc w:val="both"/>
        <w:ind w:firstLine="316"/>
        <w:spacing w:after="0" w:line="279" w:lineRule="auto"/>
        <w:rPr>
          <w:sz w:val="20"/>
          <w:szCs w:val="20"/>
          <w:color w:val="auto"/>
        </w:rPr>
      </w:pPr>
      <w:r>
        <w:rPr>
          <w:rFonts w:ascii="Times New Roman" w:cs="Times New Roman" w:eastAsia="Times New Roman" w:hAnsi="Times New Roman"/>
          <w:sz w:val="16"/>
          <w:szCs w:val="16"/>
          <w:color w:val="auto"/>
        </w:rPr>
        <w:t>The F&amp;G Credit Agreement matures the earlier to occur of November 22, 2025 or 91 days prior to May 1, 2025, the stated maturity date of the 5.50% F&amp;G Notes, unless the principal amount of the 5.50% F&amp;G Notes is $150,000,000 or less at such time, the 5.50% F&amp;G Notes have been redeemed or defeased in full, and any refinancing Indebtedness incurred in connection therewith matures at least 91 days after the date that is 3 years from the Effective Date or certain other conditions are met. Revolving loans under the Credit Agreement generally bear interest at a variable rate based on either (i) the base rate (which is the highest of (a) one-half of one percent in excess of the federal funds rate, (b) the Administrative Agent’s “prime rate”, or (c) the sum of one percent plus Term The Secured Overnight Financing Rate (“SOFR”) plus a margin of between 30.0 and 80.0 basis points depending on the non-credit-enhanced, senior unsecured long-term debt ratings of F&amp;G or (ii) Term SOFR plus a margin of between 130.0 and 180.0 basis points depending on the non-credit-enhanced, senior unsecured long-term debt ratings of F&amp;G. As of December 31, 2022, the revolving credit facility was fully drawn with $550 million outstanding, offset by approximately $3 million of unamortized debt issuance costs. On February 21, 2023, F&amp;G entered into the Amended F&amp;G Credit Agreement with the Lenders and the Administrative Agent, swing line lender and issuing bank. The Amended F&amp;G Credit Agreement increased the aggregate principal amount of commitments under the F&amp;G Credit Facility by $115 million to $665 million. On February 16, 2024, we entered into a Second Amended and Restated F&amp;G Credit Agreement. Among other changes, the Second Amended and Restated F&amp;G Credit Agreement amends the Amended F&amp;G Credit Agreement to extend the maturity date and increase the aggregate principal amount of commitments under the revolving credit facility to $750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100" w:firstLine="316"/>
        <w:spacing w:after="0" w:line="256" w:lineRule="auto"/>
        <w:rPr>
          <w:sz w:val="20"/>
          <w:szCs w:val="20"/>
          <w:color w:val="auto"/>
        </w:rPr>
      </w:pPr>
      <w:r>
        <w:rPr>
          <w:rFonts w:ascii="Times New Roman" w:cs="Times New Roman" w:eastAsia="Times New Roman" w:hAnsi="Times New Roman"/>
          <w:sz w:val="18"/>
          <w:szCs w:val="18"/>
          <w:color w:val="auto"/>
        </w:rPr>
        <w:t>As of December 31, 2023, and 2022, $365 million and $550 million, respectively, of gross principal balance, was outstanding under the F&amp;G Credit Agreement. Net partial revolver paydowns of $185 million were made during the year ended December 31, 2023. As of December 31, 2023, we had $300 million of remaining borrowing availability.</w:t>
      </w:r>
    </w:p>
    <w:p>
      <w:pPr>
        <w:spacing w:after="0" w:line="75" w:lineRule="exact"/>
        <w:rPr>
          <w:sz w:val="20"/>
          <w:szCs w:val="20"/>
          <w:color w:val="auto"/>
        </w:rPr>
      </w:pPr>
    </w:p>
    <w:p>
      <w:pPr>
        <w:jc w:val="both"/>
        <w:ind w:right="100" w:firstLine="316"/>
        <w:spacing w:after="0" w:line="252" w:lineRule="auto"/>
        <w:rPr>
          <w:sz w:val="20"/>
          <w:szCs w:val="20"/>
          <w:color w:val="auto"/>
        </w:rPr>
      </w:pPr>
      <w:r>
        <w:rPr>
          <w:rFonts w:ascii="Times New Roman" w:cs="Times New Roman" w:eastAsia="Times New Roman" w:hAnsi="Times New Roman"/>
          <w:sz w:val="18"/>
          <w:szCs w:val="18"/>
          <w:color w:val="auto"/>
        </w:rPr>
        <w:t>On September 17, 2021, we completed our underwritten public offering of $450 million aggregate principal amount of our 3.20% Notes due 2051, pursuant to our registration statement on Form S-3 ASR (File No. 333-239002) and the related prospectus supplement. The net proceeds from the registered offering of the 3.20% Notes were approximately $443 million, after deducting underwriting discounts, commissions and offering expenses. We plan to use the net proceeds from the offering for general corporate purposes.</w:t>
      </w:r>
    </w:p>
    <w:p>
      <w:pPr>
        <w:spacing w:after="0" w:line="65" w:lineRule="exact"/>
        <w:rPr>
          <w:sz w:val="20"/>
          <w:szCs w:val="20"/>
          <w:color w:val="auto"/>
        </w:rPr>
      </w:pPr>
    </w:p>
    <w:p>
      <w:pPr>
        <w:jc w:val="both"/>
        <w:ind w:right="100" w:firstLine="316"/>
        <w:spacing w:after="0" w:line="225" w:lineRule="auto"/>
        <w:rPr>
          <w:sz w:val="20"/>
          <w:szCs w:val="20"/>
          <w:color w:val="auto"/>
        </w:rPr>
      </w:pPr>
      <w:r>
        <w:rPr>
          <w:rFonts w:ascii="Times New Roman" w:cs="Times New Roman" w:eastAsia="Times New Roman" w:hAnsi="Times New Roman"/>
          <w:sz w:val="18"/>
          <w:szCs w:val="18"/>
          <w:color w:val="auto"/>
        </w:rPr>
        <w:t>On October 29, 2020, we entered into the Fifth Restated Credit Agreement for our Amended Revolving Credit Facility with Bank of America, N.A., as administrative agent and the other agents party thereto. Among other changes, the Fifth Restated Credit Agreement amends the Fourth Restated Credit Agreement to extend the maturity date from April 27, 2022 to October 29, 2025. The material terms of the Fourth Restated Credit Agreement are set forth in our Annual Report for the year ended December 31, 2019. As of December 31, 2023, there was no principal outstanding, $2 million of unamortized debt issuance costs, and $800 million of available borrowing capacity under the Revolving Credit Facility. On February 16, 2024, we entered into a Sixth Amended and Restated Credit Agreement. Among other changes, the Sixth Amended and Restated Credit Agreement amends the Fifth Restated Credit Agreement to extend the maturity date from October 29, 2025 to February 16, 2029.</w:t>
      </w:r>
    </w:p>
    <w:p>
      <w:pPr>
        <w:spacing w:after="0" w:line="76" w:lineRule="exact"/>
        <w:rPr>
          <w:sz w:val="20"/>
          <w:szCs w:val="20"/>
          <w:color w:val="auto"/>
        </w:rPr>
      </w:pPr>
    </w:p>
    <w:p>
      <w:pPr>
        <w:jc w:val="both"/>
        <w:ind w:right="100" w:firstLine="316"/>
        <w:spacing w:after="0" w:line="286" w:lineRule="auto"/>
        <w:rPr>
          <w:sz w:val="20"/>
          <w:szCs w:val="20"/>
          <w:color w:val="auto"/>
        </w:rPr>
      </w:pPr>
      <w:r>
        <w:rPr>
          <w:rFonts w:ascii="Times New Roman" w:cs="Times New Roman" w:eastAsia="Times New Roman" w:hAnsi="Times New Roman"/>
          <w:sz w:val="16"/>
          <w:szCs w:val="16"/>
          <w:color w:val="auto"/>
        </w:rPr>
        <w:t>On September 15, 2020, we completed our underwritten public offering of $600 million aggregate principal amount of our 2.45% Notes due March 15, 2031 (the "2.45% Notes") pursuant to an effective registration statement filed with the Securities and Exchange Commission ("SEC"). The net proceeds from the registered offering of the 2.45% Notes were approximately $593 million, after deducting underwriting discounts and commissions and offering expenses. We used the net proceeds from the offering (i) to repay the remaining $260 million outstanding indebtedness under our prior term loan credit agreement dated April 22, 2020, among us, as borrower, various lenders, and Bank of American N.A., as administrative agent (the "Term Loan"), which provided for an aggregate principal borrowing of $1.0 billion that we entered into to fund a portion of the acquisition of F&amp;G and (ii) for general corporate purposes.</w:t>
      </w:r>
    </w:p>
    <w:p>
      <w:pPr>
        <w:spacing w:after="0" w:line="53" w:lineRule="exact"/>
        <w:rPr>
          <w:sz w:val="20"/>
          <w:szCs w:val="20"/>
          <w:color w:val="auto"/>
        </w:rPr>
      </w:pPr>
    </w:p>
    <w:p>
      <w:pPr>
        <w:jc w:val="both"/>
        <w:ind w:right="100" w:firstLine="316"/>
        <w:spacing w:after="0" w:line="242" w:lineRule="auto"/>
        <w:rPr>
          <w:sz w:val="20"/>
          <w:szCs w:val="20"/>
          <w:color w:val="auto"/>
        </w:rPr>
      </w:pPr>
      <w:r>
        <w:rPr>
          <w:rFonts w:ascii="Times New Roman" w:cs="Times New Roman" w:eastAsia="Times New Roman" w:hAnsi="Times New Roman"/>
          <w:sz w:val="18"/>
          <w:szCs w:val="18"/>
          <w:color w:val="auto"/>
        </w:rPr>
        <w:t>On June 12, 2020, we completed our underwritten public offering of $650 million aggregate principal amount of the 3.40% Notes due 2030 (the “3.40% Notes”) pursuant to an effective registration statement filed with the SEC. The net proceeds from the registered offering of the 3.40% Notes were approximately $642 million, after deducting underwriting discounts, and commissions and offering expenses. We used the net proceeds from the offering (i) to repay $640 million of the then outstanding principal amount under the Term Loan, and (ii) for general corporate purposes.</w:t>
      </w:r>
    </w:p>
    <w:p>
      <w:pPr>
        <w:spacing w:after="0" w:line="73" w:lineRule="exact"/>
        <w:rPr>
          <w:sz w:val="20"/>
          <w:szCs w:val="20"/>
          <w:color w:val="auto"/>
        </w:rPr>
      </w:pPr>
    </w:p>
    <w:p>
      <w:pPr>
        <w:jc w:val="both"/>
        <w:ind w:right="100" w:firstLine="316"/>
        <w:spacing w:after="0" w:line="268" w:lineRule="auto"/>
        <w:rPr>
          <w:sz w:val="20"/>
          <w:szCs w:val="20"/>
          <w:color w:val="auto"/>
        </w:rPr>
      </w:pPr>
      <w:r>
        <w:rPr>
          <w:rFonts w:ascii="Times New Roman" w:cs="Times New Roman" w:eastAsia="Times New Roman" w:hAnsi="Times New Roman"/>
          <w:sz w:val="18"/>
          <w:szCs w:val="18"/>
          <w:color w:val="auto"/>
        </w:rPr>
        <w:t>On June 1, 2020, as a result of the F&amp;G acquisition, we assumed $550 million aggregate principal amount of 5.50% senior notes due 2025 (the "5.50% F&amp;G Notes"), originally issued on April 20, 2018, at 99.5% of face value for proceeds of $547 million.</w:t>
      </w:r>
    </w:p>
    <w:p>
      <w:pPr>
        <w:spacing w:after="0" w:line="64" w:lineRule="exact"/>
        <w:rPr>
          <w:sz w:val="20"/>
          <w:szCs w:val="20"/>
          <w:color w:val="auto"/>
        </w:rPr>
      </w:pPr>
    </w:p>
    <w:p>
      <w:pPr>
        <w:jc w:val="both"/>
        <w:ind w:right="100" w:firstLine="316"/>
        <w:spacing w:after="0" w:line="248" w:lineRule="auto"/>
        <w:rPr>
          <w:sz w:val="20"/>
          <w:szCs w:val="20"/>
          <w:color w:val="auto"/>
        </w:rPr>
      </w:pPr>
      <w:r>
        <w:rPr>
          <w:rFonts w:ascii="Times New Roman" w:cs="Times New Roman" w:eastAsia="Times New Roman" w:hAnsi="Times New Roman"/>
          <w:sz w:val="18"/>
          <w:szCs w:val="18"/>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September 1, 2022, we repaid the remaining $400 million in outstanding principal amount of our 5.50% Senior Notes due September 2022.</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9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principal maturities of notes payable at December 31, 2023, are as follows:</w:t>
            </w:r>
          </w:p>
        </w:tc>
        <w:tc>
          <w:tcPr>
            <w:tcW w:w="20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97"/>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4"/>
        </w:trPr>
        <w:tc>
          <w:tcPr>
            <w:tcW w:w="9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7"/>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0"/>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5"/>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0"/>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8"/>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1"/>
        </w:trPr>
        <w:tc>
          <w:tcPr>
            <w:tcW w:w="984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6"/>
        </w:trPr>
        <w:tc>
          <w:tcPr>
            <w:tcW w:w="9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Commitments and Contingencies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Contingencies</w:t>
      </w:r>
    </w:p>
    <w:p>
      <w:pPr>
        <w:spacing w:after="0" w:line="91"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C </w:t>
      </w:r>
      <w:r>
        <w:rPr>
          <w:rFonts w:ascii="Times New Roman" w:cs="Times New Roman" w:eastAsia="Times New Roman" w:hAnsi="Times New Roman"/>
          <w:sz w:val="18"/>
          <w:szCs w:val="18"/>
          <w:i w:val="1"/>
          <w:iCs w:val="1"/>
          <w:color w:val="auto"/>
        </w:rPr>
        <w:t>Summary of Reserve for 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Claim Losses </w:t>
      </w:r>
      <w:r>
        <w:rPr>
          <w:rFonts w:ascii="Times New Roman" w:cs="Times New Roman" w:eastAsia="Times New Roman" w:hAnsi="Times New Roman"/>
          <w:sz w:val="18"/>
          <w:szCs w:val="18"/>
          <w:color w:val="auto"/>
        </w:rPr>
        <w:t>for further discussion. Additionally, like other companies, our ordinary course litigation includes a number of class action and purported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lawsuits, which make allegations related to aspects of our operations. We believe that no actions, other than the matters discussed below, if any, depart from customary litigation incidental to our business.</w:t>
      </w:r>
    </w:p>
    <w:p>
      <w:pPr>
        <w:spacing w:after="0" w:line="80"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has been recorded. Our accrual for legal and regulatory matters was $10 million and $12 million as of December 31, 2023 and 2022,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0" w:lineRule="exact"/>
        <w:rPr>
          <w:sz w:val="20"/>
          <w:szCs w:val="20"/>
          <w:color w:val="auto"/>
        </w:rPr>
      </w:pPr>
    </w:p>
    <w:p>
      <w:pPr>
        <w:jc w:val="both"/>
        <w:ind w:firstLine="316"/>
        <w:spacing w:after="0" w:line="231" w:lineRule="auto"/>
        <w:rPr>
          <w:sz w:val="20"/>
          <w:szCs w:val="20"/>
          <w:color w:val="auto"/>
        </w:rPr>
      </w:pPr>
      <w:r>
        <w:rPr>
          <w:rFonts w:ascii="Times New Roman" w:cs="Times New Roman" w:eastAsia="Times New Roman" w:hAnsi="Times New Roman"/>
          <w:sz w:val="18"/>
          <w:szCs w:val="18"/>
          <w:color w:val="auto"/>
        </w:rPr>
        <w:t>In August 2020, a lawsuit styled, In the Matter of FGL Holdings, was filed in the Grand Court of the Cayman Islands related to FNF's acquisition of F&amp;G where dissenting shareholders, Kingfishers LP, Kingstown 1740 Fund LP, Kingstown Partners II LP, Kingstown Partners Master Ltd., and Ktown LP, asserted statutory appraisal rights relative to their ownership of 12,000,000 shares of F&amp;G stock. They sought a judicial determination of the fair value of their shares of F&amp;G stock as of the date of valuation under the law of the Cayman Islands, together with interest and legal costs. On October 5, 2022, the Grand Court of the Cayman Islands decided in favor of F&amp;G. The dissenting shareholders failed to appeal the fair value order, and its appeal period expired on October 19, 2022. On April 19, 2023, the Grand Court of the Cayman Islands determined that the dissenting shareholders should pay F&amp;G’s Cayman Islands legal expenses and discovery costs relating to the lawsuit by way of an interim payment of $4 million, with the balance to be determined after assessment. We are attempting to collect reimbursement of our expenses in this lawsuit.</w:t>
      </w:r>
    </w:p>
    <w:p>
      <w:pPr>
        <w:spacing w:after="0" w:line="51" w:lineRule="exact"/>
        <w:rPr>
          <w:sz w:val="20"/>
          <w:szCs w:val="20"/>
          <w:color w:val="auto"/>
        </w:rPr>
      </w:pPr>
    </w:p>
    <w:p>
      <w:pPr>
        <w:jc w:val="both"/>
        <w:ind w:firstLine="316"/>
        <w:spacing w:after="0" w:line="232" w:lineRule="auto"/>
        <w:rPr>
          <w:sz w:val="20"/>
          <w:szCs w:val="20"/>
          <w:color w:val="auto"/>
        </w:rPr>
      </w:pPr>
      <w:r>
        <w:rPr>
          <w:rFonts w:ascii="Times New Roman" w:cs="Times New Roman" w:eastAsia="Times New Roman" w:hAnsi="Times New Roman"/>
          <w:sz w:val="18"/>
          <w:szCs w:val="18"/>
          <w:color w:val="auto"/>
        </w:rPr>
        <w:t>F&amp;G is a defendant in two putative class action lawsuits related to the alleged compromise of certain of F&amp;G’s customers’ personal information resulting from an alleged vulnerability in the MOVEit file transfer software. F&amp;G’s vendor, Pension Benefit Information, LLC (“PBI”), used the MOVEit software in the course of providing audit and address research services to F&amp;G and many other corporate customers. Miller v. F&amp;G, No. 4:23-cv-00326, was filed against F&amp;G in the Southern District of Iowa on August 31, 2023. Miller alleges that he is an F&amp;G customer whose information was impacted in the MOVEit incident and brings common law tort and implied contract claims. F&amp;G has yet to be served in Miller. Plaintiff seeks injunctive relief and damages. Cooper v. Progress Software Corp., No. 1:23-cv-12067, was filed against F&amp;G and five other defendants in the District of Massachusetts on September 7, 2023. F&amp;G was served on September 15, 2023. Cooper also alleges that he is an F&amp;G customer and brings similar common law tort claims and alleges claims as a purported third-party beneficiary of an alleged contract. Plaintiff seeks declaratory and injunctive relief and damages. At this time, F&amp;G does not believe the incident will have a material impact on its business, operations, or financial results.</w:t>
      </w:r>
    </w:p>
    <w:p>
      <w:pPr>
        <w:spacing w:after="0" w:line="81" w:lineRule="exact"/>
        <w:rPr>
          <w:sz w:val="20"/>
          <w:szCs w:val="20"/>
          <w:color w:val="auto"/>
        </w:rPr>
      </w:pPr>
    </w:p>
    <w:p>
      <w:pPr>
        <w:jc w:val="both"/>
        <w:ind w:firstLine="316"/>
        <w:spacing w:after="0" w:line="231" w:lineRule="auto"/>
        <w:rPr>
          <w:sz w:val="20"/>
          <w:szCs w:val="20"/>
          <w:color w:val="auto"/>
        </w:rPr>
      </w:pPr>
      <w:r>
        <w:rPr>
          <w:rFonts w:ascii="Times New Roman" w:cs="Times New Roman" w:eastAsia="Times New Roman" w:hAnsi="Times New Roman"/>
          <w:sz w:val="18"/>
          <w:szCs w:val="18"/>
          <w:color w:val="auto"/>
        </w:rPr>
        <w:t xml:space="preserve">Well over 150 similar lawsuits have been filed against other entities impacted by the MOVEit incident including a number of such lawsuits related to PBI’s use of MOVEit. On October 4, 2023, the U.S. Judicial Panel on Multidistrict Litigation (JPML) created a multidistrict litigation (MDL) pursuant to 28 U.S.C. § 1407 to handle all litigation brought by individuals whose information was potentially compromised in connection with the alleged MOVEit vulnerability. The JPML assigned the MDL to Judge Allison Burroughs of the U.S. District Court for the District of Massachusetts. Both </w:t>
      </w:r>
      <w:r>
        <w:rPr>
          <w:rFonts w:ascii="Times New Roman" w:cs="Times New Roman" w:eastAsia="Times New Roman" w:hAnsi="Times New Roman"/>
          <w:sz w:val="18"/>
          <w:szCs w:val="18"/>
          <w:i w:val="1"/>
          <w:iCs w:val="1"/>
          <w:color w:val="auto"/>
        </w:rPr>
        <w:t>Miller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Cooper</w:t>
      </w:r>
      <w:r>
        <w:rPr>
          <w:rFonts w:ascii="Times New Roman" w:cs="Times New Roman" w:eastAsia="Times New Roman" w:hAnsi="Times New Roman"/>
          <w:sz w:val="18"/>
          <w:szCs w:val="18"/>
          <w:color w:val="auto"/>
        </w:rPr>
        <w:t xml:space="preserve"> have been transferred to Judge Burroughs in the MDL. Following creation of the MDL, Judge Burroughs conducted an initial case management conference on November 30, 2023, and appointed lead plaintiffs’ counsel on January 19, 2024. Judge Burroughs is currently considering the parties’ case management schedule proposals submitted on February 16, 2024. Judge Burroughs is likely to issue a Case Management Order with additional processes and a preliminary schedule as a next step in the consolidated litigations.</w:t>
      </w:r>
    </w:p>
    <w:p>
      <w:pPr>
        <w:spacing w:after="0" w:line="77" w:lineRule="exact"/>
        <w:rPr>
          <w:sz w:val="20"/>
          <w:szCs w:val="20"/>
          <w:color w:val="auto"/>
        </w:rPr>
      </w:pPr>
    </w:p>
    <w:p>
      <w:pPr>
        <w:jc w:val="both"/>
        <w:ind w:firstLine="391"/>
        <w:spacing w:after="0" w:line="276" w:lineRule="auto"/>
        <w:rPr>
          <w:sz w:val="20"/>
          <w:szCs w:val="20"/>
          <w:color w:val="auto"/>
        </w:rPr>
      </w:pPr>
      <w:r>
        <w:rPr>
          <w:rFonts w:ascii="Times New Roman" w:cs="Times New Roman" w:eastAsia="Times New Roman" w:hAnsi="Times New Roman"/>
          <w:sz w:val="16"/>
          <w:szCs w:val="16"/>
          <w:color w:val="auto"/>
        </w:rPr>
        <w:t>In connection with the cybersecurity incident initially reported on November 21, 2023, the Company and/or its subsidiaries are named as defendants in putative class action lawsuits recently filed in the U.S. District Courts for the Middle District of Florida and the Central District of California, and the Western District of Missouri. The putative class actions include common law tort and contract claims, and some include certain state statutory claims. The Company has not yet filed responses to these lawsuits. The putative class action lawsuits also include overlapping class definitions for which a class has not been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certified. Because of the procedural posture of these lawsuits and the factual issues involved, the Company has not yet been able to assess the probability of loss or estimate the possible loss or the range of loss.</w:t>
      </w:r>
    </w:p>
    <w:p>
      <w:pPr>
        <w:spacing w:after="0" w:line="64" w:lineRule="exact"/>
        <w:rPr>
          <w:sz w:val="20"/>
          <w:szCs w:val="20"/>
          <w:color w:val="auto"/>
        </w:rPr>
      </w:pPr>
    </w:p>
    <w:p>
      <w:pPr>
        <w:jc w:val="both"/>
        <w:ind w:firstLine="391"/>
        <w:spacing w:after="0" w:line="231"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Escrow Balances</w:t>
      </w:r>
    </w:p>
    <w:p>
      <w:pPr>
        <w:spacing w:after="0" w:line="87"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In conducting our operations, we routinely hold customers’ assets in escrow, pending 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GAAP and industry practice. These balances amounted to $13.5 billion and $18.9 billion at December 31, 2023 and 2022, respectively. As a result of holding these customers’ assets in escrow, we have ongoing programs for realizing economic benefits during the year through favorable borrowing and vendor arrangements with various banks. There were no investments or loans outstanding as of December 31, 2023 and 2022 related to these arrangements.</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F&amp;G Commitments</w:t>
      </w:r>
    </w:p>
    <w:p>
      <w:pPr>
        <w:spacing w:after="0" w:line="8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our F&amp;G segment, we have unfunded investment commitments as of December 31, 2023 and 2022 based upon the timing of when investments are executed compared to when the actual investments are funded, as some investments require that funding occur over a period of months or years. A summary of unfunded commitments by invested asset class is included below:</w:t>
      </w:r>
    </w:p>
    <w:p>
      <w:pPr>
        <w:spacing w:after="0" w:line="174"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9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0" w:type="dxa"/>
            <w:vAlign w:val="bottom"/>
          </w:tcPr>
          <w:p>
            <w:pPr>
              <w:spacing w:after="0"/>
              <w:rPr>
                <w:sz w:val="1"/>
                <w:szCs w:val="1"/>
                <w:color w:val="auto"/>
              </w:rPr>
            </w:pPr>
          </w:p>
        </w:tc>
      </w:tr>
      <w:tr>
        <w:trPr>
          <w:trHeight w:val="24"/>
        </w:trPr>
        <w:tc>
          <w:tcPr>
            <w:tcW w:w="9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 Type</w:t>
            </w: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4"/>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Unconsolidated VIEs: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9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 partnerships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0" w:type="dxa"/>
            <w:vAlign w:val="bottom"/>
          </w:tcPr>
          <w:p>
            <w:pPr>
              <w:spacing w:after="0"/>
              <w:rPr>
                <w:sz w:val="1"/>
                <w:szCs w:val="1"/>
                <w:color w:val="auto"/>
              </w:rPr>
            </w:pPr>
          </w:p>
        </w:tc>
      </w:tr>
      <w:tr>
        <w:trPr>
          <w:trHeight w:val="205"/>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Whole loans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190"/>
        </w:trPr>
        <w:tc>
          <w:tcPr>
            <w:tcW w:w="9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 ABS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0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Lending</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19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fixed maturity securities, AFS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9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1"/>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Committed amounts included in liabilities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316"/>
        <w:spacing w:after="0" w:line="255" w:lineRule="auto"/>
        <w:rPr>
          <w:sz w:val="20"/>
          <w:szCs w:val="20"/>
          <w:color w:val="auto"/>
        </w:rPr>
      </w:pPr>
      <w:r>
        <w:rPr>
          <w:rFonts w:ascii="Times New Roman" w:cs="Times New Roman" w:eastAsia="Times New Roman" w:hAnsi="Times New Roman"/>
          <w:sz w:val="18"/>
          <w:szCs w:val="18"/>
          <w:color w:val="auto"/>
        </w:rPr>
        <w:t xml:space="preserve">See Note A </w:t>
      </w:r>
      <w:r>
        <w:rPr>
          <w:rFonts w:ascii="Times New Roman" w:cs="Times New Roman" w:eastAsia="Times New Roman" w:hAnsi="Times New Roman"/>
          <w:sz w:val="18"/>
          <w:szCs w:val="18"/>
          <w:i w:val="1"/>
          <w:iCs w:val="1"/>
          <w:color w:val="auto"/>
        </w:rPr>
        <w:t>Business and Summary of Significant Accounting Policies</w:t>
      </w:r>
      <w:r>
        <w:rPr>
          <w:rFonts w:ascii="Times New Roman" w:cs="Times New Roman" w:eastAsia="Times New Roman" w:hAnsi="Times New Roman"/>
          <w:sz w:val="18"/>
          <w:szCs w:val="18"/>
          <w:color w:val="auto"/>
        </w:rPr>
        <w:t>, for discussion of funding agreements that have been issued pursuant to the FABN Program as well as to the FHLB that are included in Contractholder funds.</w:t>
      </w:r>
    </w:p>
    <w:p>
      <w:pPr>
        <w:spacing w:after="0" w:line="10" w:lineRule="exact"/>
        <w:rPr>
          <w:sz w:val="20"/>
          <w:szCs w:val="20"/>
          <w:color w:val="auto"/>
        </w:rPr>
      </w:pPr>
    </w:p>
    <w:p>
      <w:pPr>
        <w:jc w:val="both"/>
        <w:ind w:firstLine="316"/>
        <w:spacing w:after="0" w:line="231" w:lineRule="auto"/>
        <w:rPr>
          <w:sz w:val="20"/>
          <w:szCs w:val="20"/>
          <w:color w:val="auto"/>
        </w:rPr>
      </w:pPr>
      <w:r>
        <w:rPr>
          <w:rFonts w:ascii="Times New Roman" w:cs="Times New Roman" w:eastAsia="Times New Roman" w:hAnsi="Times New Roman"/>
          <w:sz w:val="18"/>
          <w:szCs w:val="18"/>
          <w:color w:val="auto"/>
        </w:rPr>
        <w:t>F&amp;G has a reinsurance agreement with Kubera to cede certain FIA statutory reserves on a coinsurance funds withheld basis, net of applicable existing reinsurance. To enhance Kubera's ability to pay its obligations under the amended reinsurance agreement, effective October 31, 2021, F&amp;G entered into a Variable Note Purchase Agreement (the “NPA”), whereby F&amp;G agreed to fund a note to Kubera to be used to ultimately settle with F&amp;G, with principal increases up to a maximum amount of $300 million, to the extent a potential funding shortfall (treaty assets are less than the total funding requirement) is projected relative to the business ceded to Kubera from F&amp;G as part of the amended reinsurance agreement. The potential funding shortfall will be determined quarterly and, among other items, is impacted by the market value of the assets in the funds withheld account related to the reinsurance agreement and Kubera's capital as calculated on a Bermuda regulatory basis. The NPA matures on November 30, 2071. Based on the current level of the treaty assets and projections that these policies will be profitable over the lifetime of the agreement, we do not expect significant fundings to occur under the NPA. As of December 31, 2023 and 2022, the amount funded under the NPA was insignificant.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Dividends</w:t>
      </w:r>
    </w:p>
    <w:p>
      <w:pPr>
        <w:spacing w:after="0" w:line="111"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On February 14, 2024, our Board of Directors declared cash dividends of $0.48 per share, payable on March 29, 2024, to FNF common shareholders of record as of March 15, 2024.</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years ended December 31, 2023, 2022, and 2021 we declared dividends on our common stock of $1.83, $1.77, and $1.56 respectively.</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Segment Information</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year ended December 31,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Title</w:t>
            </w:r>
          </w:p>
        </w:tc>
        <w:tc>
          <w:tcPr>
            <w:tcW w:w="220" w:type="dxa"/>
            <w:vAlign w:val="bottom"/>
          </w:tcPr>
          <w:p>
            <w:pPr>
              <w:spacing w:after="0"/>
              <w:rPr>
                <w:sz w:val="13"/>
                <w:szCs w:val="13"/>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F&amp;G</w:t>
            </w: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Corporate and</w:t>
            </w:r>
          </w:p>
        </w:tc>
        <w:tc>
          <w:tcPr>
            <w:tcW w:w="200" w:type="dxa"/>
            <w:vAlign w:val="bottom"/>
          </w:tcPr>
          <w:p>
            <w:pPr>
              <w:spacing w:after="0"/>
              <w:rPr>
                <w:sz w:val="13"/>
                <w:szCs w:val="13"/>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premiums</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4,592</w:t>
            </w:r>
          </w:p>
        </w:tc>
        <w:tc>
          <w:tcPr>
            <w:tcW w:w="0" w:type="dxa"/>
            <w:vAlign w:val="bottom"/>
          </w:tcPr>
          <w:p>
            <w:pPr>
              <w:spacing w:after="0"/>
              <w:rPr>
                <w:sz w:val="1"/>
                <w:szCs w:val="1"/>
                <w:color w:val="auto"/>
              </w:rPr>
            </w:pPr>
          </w:p>
        </w:tc>
      </w:tr>
      <w:tr>
        <w:trPr>
          <w:trHeight w:val="191"/>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4,717</w:t>
            </w:r>
          </w:p>
        </w:tc>
        <w:tc>
          <w:tcPr>
            <w:tcW w:w="0" w:type="dxa"/>
            <w:vAlign w:val="bottom"/>
          </w:tcPr>
          <w:p>
            <w:pPr>
              <w:spacing w:after="0"/>
              <w:rPr>
                <w:sz w:val="1"/>
                <w:szCs w:val="1"/>
                <w:color w:val="auto"/>
              </w:rPr>
            </w:pPr>
          </w:p>
        </w:tc>
      </w:tr>
      <w:tr>
        <w:trPr>
          <w:trHeight w:val="197"/>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9,309</w:t>
            </w:r>
          </w:p>
        </w:tc>
        <w:tc>
          <w:tcPr>
            <w:tcW w:w="0" w:type="dxa"/>
            <w:vAlign w:val="bottom"/>
          </w:tcPr>
          <w:p>
            <w:pPr>
              <w:spacing w:after="0"/>
              <w:rPr>
                <w:sz w:val="1"/>
                <w:szCs w:val="1"/>
                <w:color w:val="auto"/>
              </w:rPr>
            </w:pPr>
          </w:p>
        </w:tc>
      </w:tr>
      <w:tr>
        <w:trPr>
          <w:trHeight w:val="191"/>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and losses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2,443</w:t>
            </w:r>
          </w:p>
        </w:tc>
        <w:tc>
          <w:tcPr>
            <w:tcW w:w="0" w:type="dxa"/>
            <w:vAlign w:val="bottom"/>
          </w:tcPr>
          <w:p>
            <w:pPr>
              <w:spacing w:after="0"/>
              <w:rPr>
                <w:sz w:val="1"/>
                <w:szCs w:val="1"/>
                <w:color w:val="auto"/>
              </w:rPr>
            </w:pPr>
          </w:p>
        </w:tc>
      </w:tr>
      <w:tr>
        <w:trPr>
          <w:trHeight w:val="197"/>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11,752</w:t>
            </w:r>
          </w:p>
        </w:tc>
        <w:tc>
          <w:tcPr>
            <w:tcW w:w="0" w:type="dxa"/>
            <w:vAlign w:val="bottom"/>
          </w:tcPr>
          <w:p>
            <w:pPr>
              <w:spacing w:after="0"/>
              <w:rPr>
                <w:sz w:val="1"/>
                <w:szCs w:val="1"/>
                <w:color w:val="auto"/>
              </w:rPr>
            </w:pPr>
          </w:p>
        </w:tc>
      </w:tr>
      <w:tr>
        <w:trPr>
          <w:trHeight w:val="184"/>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593</w:t>
            </w:r>
          </w:p>
        </w:tc>
        <w:tc>
          <w:tcPr>
            <w:tcW w:w="0" w:type="dxa"/>
            <w:vAlign w:val="bottom"/>
          </w:tcPr>
          <w:p>
            <w:pPr>
              <w:spacing w:after="0"/>
              <w:rPr>
                <w:sz w:val="1"/>
                <w:szCs w:val="1"/>
                <w:color w:val="auto"/>
              </w:rPr>
            </w:pPr>
          </w:p>
        </w:tc>
      </w:tr>
      <w:tr>
        <w:trPr>
          <w:trHeight w:val="204"/>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w:t>
            </w:r>
          </w:p>
        </w:tc>
        <w:tc>
          <w:tcPr>
            <w:tcW w:w="0" w:type="dxa"/>
            <w:vAlign w:val="bottom"/>
          </w:tcPr>
          <w:p>
            <w:pPr>
              <w:spacing w:after="0"/>
              <w:rPr>
                <w:sz w:val="1"/>
                <w:szCs w:val="1"/>
                <w:color w:val="auto"/>
              </w:rPr>
            </w:pPr>
          </w:p>
        </w:tc>
      </w:tr>
      <w:tr>
        <w:trPr>
          <w:trHeight w:val="191"/>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income taxes and equity in earnings of unconsolidated affiliates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693</w:t>
            </w:r>
          </w:p>
        </w:tc>
        <w:tc>
          <w:tcPr>
            <w:tcW w:w="0" w:type="dxa"/>
            <w:vAlign w:val="bottom"/>
          </w:tcPr>
          <w:p>
            <w:pPr>
              <w:spacing w:after="0"/>
              <w:rPr>
                <w:sz w:val="1"/>
                <w:szCs w:val="1"/>
                <w:color w:val="auto"/>
              </w:rPr>
            </w:pPr>
          </w:p>
        </w:tc>
      </w:tr>
      <w:tr>
        <w:trPr>
          <w:trHeight w:val="204"/>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w:t>
            </w:r>
          </w:p>
        </w:tc>
        <w:tc>
          <w:tcPr>
            <w:tcW w:w="0" w:type="dxa"/>
            <w:vAlign w:val="bottom"/>
          </w:tcPr>
          <w:p>
            <w:pPr>
              <w:spacing w:after="0"/>
              <w:rPr>
                <w:sz w:val="1"/>
                <w:szCs w:val="1"/>
                <w:color w:val="auto"/>
              </w:rPr>
            </w:pPr>
          </w:p>
        </w:tc>
      </w:tr>
      <w:tr>
        <w:trPr>
          <w:trHeight w:val="184"/>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(loss) of unconsolidated affiliates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501</w:t>
            </w:r>
          </w:p>
        </w:tc>
        <w:tc>
          <w:tcPr>
            <w:tcW w:w="0" w:type="dxa"/>
            <w:vAlign w:val="bottom"/>
          </w:tcPr>
          <w:p>
            <w:pPr>
              <w:spacing w:after="0"/>
              <w:rPr>
                <w:sz w:val="1"/>
                <w:szCs w:val="1"/>
                <w:color w:val="auto"/>
              </w:rPr>
            </w:pPr>
          </w:p>
        </w:tc>
      </w:tr>
      <w:tr>
        <w:trPr>
          <w:trHeight w:val="197"/>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0" w:type="dxa"/>
            <w:vAlign w:val="bottom"/>
          </w:tcPr>
          <w:p>
            <w:pPr>
              <w:spacing w:after="0"/>
              <w:rPr>
                <w:sz w:val="1"/>
                <w:szCs w:val="1"/>
                <w:color w:val="auto"/>
              </w:rPr>
            </w:pPr>
          </w:p>
        </w:tc>
      </w:tr>
      <w:tr>
        <w:trPr>
          <w:trHeight w:val="197"/>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518</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80,614</w:t>
            </w:r>
          </w:p>
        </w:tc>
        <w:tc>
          <w:tcPr>
            <w:tcW w:w="0" w:type="dxa"/>
            <w:vAlign w:val="bottom"/>
          </w:tcPr>
          <w:p>
            <w:pPr>
              <w:spacing w:after="0"/>
              <w:rPr>
                <w:sz w:val="1"/>
                <w:szCs w:val="1"/>
                <w:color w:val="auto"/>
              </w:rPr>
            </w:pPr>
          </w:p>
        </w:tc>
      </w:tr>
      <w:tr>
        <w:trPr>
          <w:trHeight w:val="18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year ended 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Title</w:t>
            </w:r>
          </w:p>
        </w:tc>
        <w:tc>
          <w:tcPr>
            <w:tcW w:w="220" w:type="dxa"/>
            <w:vAlign w:val="bottom"/>
          </w:tcPr>
          <w:p>
            <w:pPr>
              <w:spacing w:after="0"/>
              <w:rPr>
                <w:sz w:val="13"/>
                <w:szCs w:val="13"/>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F&amp;G</w:t>
            </w: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Corporate and</w:t>
            </w:r>
          </w:p>
        </w:tc>
        <w:tc>
          <w:tcPr>
            <w:tcW w:w="200" w:type="dxa"/>
            <w:vAlign w:val="bottom"/>
          </w:tcPr>
          <w:p>
            <w:pPr>
              <w:spacing w:after="0"/>
              <w:rPr>
                <w:sz w:val="13"/>
                <w:szCs w:val="13"/>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premiums</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6,834</w:t>
            </w:r>
          </w:p>
        </w:tc>
        <w:tc>
          <w:tcPr>
            <w:tcW w:w="0" w:type="dxa"/>
            <w:vAlign w:val="bottom"/>
          </w:tcPr>
          <w:p>
            <w:pPr>
              <w:spacing w:after="0"/>
              <w:rPr>
                <w:sz w:val="1"/>
                <w:szCs w:val="1"/>
                <w:color w:val="auto"/>
              </w:rPr>
            </w:pPr>
          </w:p>
        </w:tc>
      </w:tr>
      <w:tr>
        <w:trPr>
          <w:trHeight w:val="191"/>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4,333</w:t>
            </w:r>
          </w:p>
        </w:tc>
        <w:tc>
          <w:tcPr>
            <w:tcW w:w="0" w:type="dxa"/>
            <w:vAlign w:val="bottom"/>
          </w:tcPr>
          <w:p>
            <w:pPr>
              <w:spacing w:after="0"/>
              <w:rPr>
                <w:sz w:val="1"/>
                <w:szCs w:val="1"/>
                <w:color w:val="auto"/>
              </w:rPr>
            </w:pPr>
          </w:p>
        </w:tc>
      </w:tr>
      <w:tr>
        <w:trPr>
          <w:trHeight w:val="197"/>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11,167</w:t>
            </w:r>
          </w:p>
        </w:tc>
        <w:tc>
          <w:tcPr>
            <w:tcW w:w="0" w:type="dxa"/>
            <w:vAlign w:val="bottom"/>
          </w:tcPr>
          <w:p>
            <w:pPr>
              <w:spacing w:after="0"/>
              <w:rPr>
                <w:sz w:val="1"/>
                <w:szCs w:val="1"/>
                <w:color w:val="auto"/>
              </w:rPr>
            </w:pPr>
          </w:p>
        </w:tc>
      </w:tr>
      <w:tr>
        <w:trPr>
          <w:trHeight w:val="191"/>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and losses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398</w:t>
            </w:r>
          </w:p>
        </w:tc>
        <w:tc>
          <w:tcPr>
            <w:tcW w:w="0" w:type="dxa"/>
            <w:vAlign w:val="bottom"/>
          </w:tcPr>
          <w:p>
            <w:pPr>
              <w:spacing w:after="0"/>
              <w:rPr>
                <w:sz w:val="1"/>
                <w:szCs w:val="1"/>
                <w:color w:val="auto"/>
              </w:rPr>
            </w:pPr>
          </w:p>
        </w:tc>
      </w:tr>
      <w:tr>
        <w:trPr>
          <w:trHeight w:val="197"/>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11,565</w:t>
            </w:r>
          </w:p>
        </w:tc>
        <w:tc>
          <w:tcPr>
            <w:tcW w:w="0" w:type="dxa"/>
            <w:vAlign w:val="bottom"/>
          </w:tcPr>
          <w:p>
            <w:pPr>
              <w:spacing w:after="0"/>
              <w:rPr>
                <w:sz w:val="1"/>
                <w:szCs w:val="1"/>
                <w:color w:val="auto"/>
              </w:rPr>
            </w:pPr>
          </w:p>
        </w:tc>
      </w:tr>
      <w:tr>
        <w:trPr>
          <w:trHeight w:val="184"/>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491</w:t>
            </w:r>
          </w:p>
        </w:tc>
        <w:tc>
          <w:tcPr>
            <w:tcW w:w="0" w:type="dxa"/>
            <w:vAlign w:val="bottom"/>
          </w:tcPr>
          <w:p>
            <w:pPr>
              <w:spacing w:after="0"/>
              <w:rPr>
                <w:sz w:val="1"/>
                <w:szCs w:val="1"/>
                <w:color w:val="auto"/>
              </w:rPr>
            </w:pPr>
          </w:p>
        </w:tc>
      </w:tr>
      <w:tr>
        <w:trPr>
          <w:trHeight w:val="204"/>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w:t>
            </w:r>
          </w:p>
        </w:tc>
        <w:tc>
          <w:tcPr>
            <w:tcW w:w="0" w:type="dxa"/>
            <w:vAlign w:val="bottom"/>
          </w:tcPr>
          <w:p>
            <w:pPr>
              <w:spacing w:after="0"/>
              <w:rPr>
                <w:sz w:val="1"/>
                <w:szCs w:val="1"/>
                <w:color w:val="auto"/>
              </w:rPr>
            </w:pPr>
          </w:p>
        </w:tc>
      </w:tr>
      <w:tr>
        <w:trPr>
          <w:trHeight w:val="191"/>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1,730</w:t>
            </w:r>
          </w:p>
        </w:tc>
        <w:tc>
          <w:tcPr>
            <w:tcW w:w="0" w:type="dxa"/>
            <w:vAlign w:val="bottom"/>
          </w:tcPr>
          <w:p>
            <w:pPr>
              <w:spacing w:after="0"/>
              <w:rPr>
                <w:sz w:val="1"/>
                <w:szCs w:val="1"/>
                <w:color w:val="auto"/>
              </w:rPr>
            </w:pPr>
          </w:p>
        </w:tc>
      </w:tr>
      <w:tr>
        <w:trPr>
          <w:trHeight w:val="204"/>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439</w:t>
            </w:r>
          </w:p>
        </w:tc>
        <w:tc>
          <w:tcPr>
            <w:tcW w:w="0" w:type="dxa"/>
            <w:vAlign w:val="bottom"/>
          </w:tcPr>
          <w:p>
            <w:pPr>
              <w:spacing w:after="0"/>
              <w:rPr>
                <w:sz w:val="1"/>
                <w:szCs w:val="1"/>
                <w:color w:val="auto"/>
              </w:rPr>
            </w:pPr>
          </w:p>
        </w:tc>
      </w:tr>
      <w:tr>
        <w:trPr>
          <w:trHeight w:val="184"/>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1,291</w:t>
            </w:r>
          </w:p>
        </w:tc>
        <w:tc>
          <w:tcPr>
            <w:tcW w:w="0" w:type="dxa"/>
            <w:vAlign w:val="bottom"/>
          </w:tcPr>
          <w:p>
            <w:pPr>
              <w:spacing w:after="0"/>
              <w:rPr>
                <w:sz w:val="1"/>
                <w:szCs w:val="1"/>
                <w:color w:val="auto"/>
              </w:rPr>
            </w:pPr>
          </w:p>
        </w:tc>
      </w:tr>
      <w:tr>
        <w:trPr>
          <w:trHeight w:val="197"/>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0" w:type="dxa"/>
            <w:vAlign w:val="bottom"/>
          </w:tcPr>
          <w:p>
            <w:pPr>
              <w:spacing w:after="0"/>
              <w:rPr>
                <w:sz w:val="1"/>
                <w:szCs w:val="1"/>
                <w:color w:val="auto"/>
              </w:rPr>
            </w:pPr>
          </w:p>
        </w:tc>
      </w:tr>
      <w:tr>
        <w:trPr>
          <w:trHeight w:val="197"/>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1,306</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54,637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65,143</w:t>
            </w:r>
          </w:p>
        </w:tc>
        <w:tc>
          <w:tcPr>
            <w:tcW w:w="0" w:type="dxa"/>
            <w:vAlign w:val="bottom"/>
          </w:tcPr>
          <w:p>
            <w:pPr>
              <w:spacing w:after="0"/>
              <w:rPr>
                <w:sz w:val="1"/>
                <w:szCs w:val="1"/>
                <w:color w:val="auto"/>
              </w:rPr>
            </w:pPr>
          </w:p>
        </w:tc>
      </w:tr>
      <w:tr>
        <w:trPr>
          <w:trHeight w:val="18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year ended December 31, 2021:</w:t>
      </w:r>
    </w:p>
    <w:p>
      <w:pPr>
        <w:spacing w:after="0" w:line="2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Title</w:t>
            </w:r>
          </w:p>
        </w:tc>
        <w:tc>
          <w:tcPr>
            <w:tcW w:w="22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F&amp;G</w:t>
            </w:r>
          </w:p>
        </w:tc>
        <w:tc>
          <w:tcPr>
            <w:tcW w:w="8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Corporate and</w:t>
            </w:r>
          </w:p>
        </w:tc>
        <w:tc>
          <w:tcPr>
            <w:tcW w:w="200" w:type="dxa"/>
            <w:vAlign w:val="bottom"/>
          </w:tcPr>
          <w:p>
            <w:pPr>
              <w:spacing w:after="0"/>
              <w:rPr>
                <w:sz w:val="13"/>
                <w:szCs w:val="13"/>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Title premiums</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8,553</w:t>
            </w:r>
          </w:p>
        </w:tc>
        <w:tc>
          <w:tcPr>
            <w:tcW w:w="0" w:type="dxa"/>
            <w:vAlign w:val="bottom"/>
          </w:tcPr>
          <w:p>
            <w:pPr>
              <w:spacing w:after="0"/>
              <w:rPr>
                <w:sz w:val="1"/>
                <w:szCs w:val="1"/>
                <w:color w:val="auto"/>
              </w:rPr>
            </w:pPr>
          </w:p>
        </w:tc>
      </w:tr>
      <w:tr>
        <w:trPr>
          <w:trHeight w:val="191"/>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1,407</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4,807</w:t>
            </w:r>
          </w:p>
        </w:tc>
        <w:tc>
          <w:tcPr>
            <w:tcW w:w="0" w:type="dxa"/>
            <w:vAlign w:val="bottom"/>
          </w:tcPr>
          <w:p>
            <w:pPr>
              <w:spacing w:after="0"/>
              <w:rPr>
                <w:sz w:val="1"/>
                <w:szCs w:val="1"/>
                <w:color w:val="auto"/>
              </w:rPr>
            </w:pPr>
          </w:p>
        </w:tc>
      </w:tr>
      <w:tr>
        <w:trPr>
          <w:trHeight w:val="197"/>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13,360</w:t>
            </w:r>
          </w:p>
        </w:tc>
        <w:tc>
          <w:tcPr>
            <w:tcW w:w="0" w:type="dxa"/>
            <w:vAlign w:val="bottom"/>
          </w:tcPr>
          <w:p>
            <w:pPr>
              <w:spacing w:after="0"/>
              <w:rPr>
                <w:sz w:val="1"/>
                <w:szCs w:val="1"/>
                <w:color w:val="auto"/>
              </w:rPr>
            </w:pPr>
          </w:p>
        </w:tc>
      </w:tr>
      <w:tr>
        <w:trPr>
          <w:trHeight w:val="191"/>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and losses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2,567</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2,295</w:t>
            </w:r>
          </w:p>
        </w:tc>
        <w:tc>
          <w:tcPr>
            <w:tcW w:w="0" w:type="dxa"/>
            <w:vAlign w:val="bottom"/>
          </w:tcPr>
          <w:p>
            <w:pPr>
              <w:spacing w:after="0"/>
              <w:rPr>
                <w:sz w:val="1"/>
                <w:szCs w:val="1"/>
                <w:color w:val="auto"/>
              </w:rPr>
            </w:pPr>
          </w:p>
        </w:tc>
      </w:tr>
      <w:tr>
        <w:trPr>
          <w:trHeight w:val="197"/>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3,974</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15,655</w:t>
            </w:r>
          </w:p>
        </w:tc>
        <w:tc>
          <w:tcPr>
            <w:tcW w:w="0" w:type="dxa"/>
            <w:vAlign w:val="bottom"/>
          </w:tcPr>
          <w:p>
            <w:pPr>
              <w:spacing w:after="0"/>
              <w:rPr>
                <w:sz w:val="1"/>
                <w:szCs w:val="1"/>
                <w:color w:val="auto"/>
              </w:rPr>
            </w:pPr>
          </w:p>
        </w:tc>
      </w:tr>
      <w:tr>
        <w:trPr>
          <w:trHeight w:val="184"/>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432</w:t>
            </w:r>
          </w:p>
        </w:tc>
        <w:tc>
          <w:tcPr>
            <w:tcW w:w="0" w:type="dxa"/>
            <w:vAlign w:val="bottom"/>
          </w:tcPr>
          <w:p>
            <w:pPr>
              <w:spacing w:after="0"/>
              <w:rPr>
                <w:sz w:val="1"/>
                <w:szCs w:val="1"/>
                <w:color w:val="auto"/>
              </w:rPr>
            </w:pPr>
          </w:p>
        </w:tc>
      </w:tr>
      <w:tr>
        <w:trPr>
          <w:trHeight w:val="20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w:t>
            </w:r>
          </w:p>
        </w:tc>
        <w:tc>
          <w:tcPr>
            <w:tcW w:w="0" w:type="dxa"/>
            <w:vAlign w:val="bottom"/>
          </w:tcPr>
          <w:p>
            <w:pPr>
              <w:spacing w:after="0"/>
              <w:rPr>
                <w:sz w:val="1"/>
                <w:szCs w:val="1"/>
                <w:color w:val="auto"/>
              </w:rPr>
            </w:pPr>
          </w:p>
        </w:tc>
      </w:tr>
      <w:tr>
        <w:trPr>
          <w:trHeight w:val="191"/>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3,558</w:t>
            </w:r>
          </w:p>
        </w:tc>
        <w:tc>
          <w:tcPr>
            <w:tcW w:w="0" w:type="dxa"/>
            <w:vAlign w:val="bottom"/>
          </w:tcPr>
          <w:p>
            <w:pPr>
              <w:spacing w:after="0"/>
              <w:rPr>
                <w:sz w:val="1"/>
                <w:szCs w:val="1"/>
                <w:color w:val="auto"/>
              </w:rPr>
            </w:pPr>
          </w:p>
        </w:tc>
      </w:tr>
      <w:tr>
        <w:trPr>
          <w:trHeight w:val="20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813</w:t>
            </w:r>
          </w:p>
        </w:tc>
        <w:tc>
          <w:tcPr>
            <w:tcW w:w="0" w:type="dxa"/>
            <w:vAlign w:val="bottom"/>
          </w:tcPr>
          <w:p>
            <w:pPr>
              <w:spacing w:after="0"/>
              <w:rPr>
                <w:sz w:val="1"/>
                <w:szCs w:val="1"/>
                <w:color w:val="auto"/>
              </w:rPr>
            </w:pPr>
          </w:p>
        </w:tc>
      </w:tr>
      <w:tr>
        <w:trPr>
          <w:trHeight w:val="184"/>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2,745</w:t>
            </w:r>
          </w:p>
        </w:tc>
        <w:tc>
          <w:tcPr>
            <w:tcW w:w="0" w:type="dxa"/>
            <w:vAlign w:val="bottom"/>
          </w:tcPr>
          <w:p>
            <w:pPr>
              <w:spacing w:after="0"/>
              <w:rPr>
                <w:sz w:val="1"/>
                <w:szCs w:val="1"/>
                <w:color w:val="auto"/>
              </w:rPr>
            </w:pPr>
          </w:p>
        </w:tc>
      </w:tr>
      <w:tr>
        <w:trPr>
          <w:trHeight w:val="197"/>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0" w:type="dxa"/>
            <w:vAlign w:val="bottom"/>
          </w:tcPr>
          <w:p>
            <w:pPr>
              <w:spacing w:after="0"/>
              <w:rPr>
                <w:sz w:val="1"/>
                <w:szCs w:val="1"/>
                <w:color w:val="auto"/>
              </w:rPr>
            </w:pPr>
          </w:p>
        </w:tc>
      </w:tr>
      <w:tr>
        <w:trPr>
          <w:trHeight w:val="197"/>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2,809</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49,371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61,330</w:t>
            </w:r>
          </w:p>
        </w:tc>
        <w:tc>
          <w:tcPr>
            <w:tcW w:w="0" w:type="dxa"/>
            <w:vAlign w:val="bottom"/>
          </w:tcPr>
          <w:p>
            <w:pPr>
              <w:spacing w:after="0"/>
              <w:rPr>
                <w:sz w:val="1"/>
                <w:szCs w:val="1"/>
                <w:color w:val="auto"/>
              </w:rPr>
            </w:pPr>
          </w:p>
        </w:tc>
      </w:tr>
      <w:tr>
        <w:trPr>
          <w:trHeight w:val="185"/>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1,749</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4,532</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94" w:lineRule="exact"/>
        <w:rPr>
          <w:sz w:val="20"/>
          <w:szCs w:val="20"/>
          <w:color w:val="auto"/>
        </w:rPr>
      </w:pPr>
    </w:p>
    <w:p>
      <w:pPr>
        <w:jc w:val="both"/>
        <w:ind w:left="640" w:hanging="398"/>
        <w:spacing w:after="0" w:line="253" w:lineRule="auto"/>
        <w:tabs>
          <w:tab w:leader="none" w:pos="6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27" w:lineRule="exact"/>
        <w:rPr>
          <w:rFonts w:ascii="Times New Roman" w:cs="Times New Roman" w:eastAsia="Times New Roman" w:hAnsi="Times New Roman"/>
          <w:sz w:val="18"/>
          <w:szCs w:val="18"/>
          <w:color w:val="auto"/>
        </w:rPr>
      </w:pPr>
    </w:p>
    <w:p>
      <w:pPr>
        <w:jc w:val="both"/>
        <w:ind w:left="640" w:hanging="398"/>
        <w:spacing w:after="0" w:line="257" w:lineRule="auto"/>
        <w:tabs>
          <w:tab w:leader="none" w:pos="6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F&amp;G</w:t>
      </w:r>
      <w:r>
        <w:rPr>
          <w:rFonts w:ascii="Times New Roman" w:cs="Times New Roman" w:eastAsia="Times New Roman" w:hAnsi="Times New Roman"/>
          <w:sz w:val="18"/>
          <w:szCs w:val="18"/>
          <w:color w:val="auto"/>
        </w:rPr>
        <w:t>. This segment primarily consists of the operations of our annuities and life insurance related businesses. This segment issues a broad portfolio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annuity and life products, including deferred annuities (fixed indexed and fixed rate annuities), immediate annuities and indexed universal life insurance. This segment also provides funding agreements and pension risk transfer solutions.</w:t>
      </w:r>
    </w:p>
    <w:p>
      <w:pPr>
        <w:spacing w:after="0" w:line="124" w:lineRule="exact"/>
        <w:rPr>
          <w:rFonts w:ascii="Times New Roman" w:cs="Times New Roman" w:eastAsia="Times New Roman" w:hAnsi="Times New Roman"/>
          <w:sz w:val="18"/>
          <w:szCs w:val="18"/>
          <w:color w:val="auto"/>
        </w:rPr>
      </w:pPr>
    </w:p>
    <w:p>
      <w:pPr>
        <w:jc w:val="both"/>
        <w:ind w:left="640" w:hanging="398"/>
        <w:spacing w:after="0" w:line="257" w:lineRule="auto"/>
        <w:tabs>
          <w:tab w:leader="none" w:pos="636"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segment consists of the operations of the parent holding company, our real estate technology subsidiaries and our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brokerage businesses. This segment also includes certain other unallocated corporate overhead expenses and eliminations of revenues and expenses between it and our Title segment.</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Refer to Note L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for a description of our accounting for our various revenue streams.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 Supplemental Cash Flow Information</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cash payment and non-cash investing and financing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6"/>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960" w:type="dxa"/>
            <w:vAlign w:val="bottom"/>
          </w:tcPr>
          <w:p>
            <w:pPr>
              <w:spacing w:after="0"/>
              <w:rPr>
                <w:sz w:val="16"/>
                <w:szCs w:val="16"/>
                <w:color w:val="auto"/>
              </w:rPr>
            </w:pPr>
          </w:p>
        </w:tc>
      </w:tr>
      <w:tr>
        <w:trPr>
          <w:trHeight w:val="24"/>
        </w:trPr>
        <w:tc>
          <w:tcPr>
            <w:tcW w:w="7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7300" w:type="dxa"/>
            <w:vAlign w:val="bottom"/>
          </w:tcPr>
          <w:p>
            <w:pPr>
              <w:spacing w:after="0"/>
              <w:rPr>
                <w:sz w:val="15"/>
                <w:szCs w:val="15"/>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8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3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90"/>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8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r>
      <w:tr>
        <w:trPr>
          <w:trHeight w:val="20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sales inducements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5"/>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Distribution of 15% of the common stock of F&amp;G</w:t>
            </w:r>
          </w:p>
        </w:tc>
        <w:tc>
          <w:tcPr>
            <w:tcW w:w="8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Investments received from pension risk transfer premiums</w:t>
            </w:r>
          </w:p>
        </w:tc>
        <w:tc>
          <w:tcPr>
            <w:tcW w:w="8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205"/>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proceeds of sales of investments available for sale receivable in period</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90"/>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purchases of investments available for sale payable in period</w:t>
            </w:r>
          </w:p>
        </w:tc>
        <w:tc>
          <w:tcPr>
            <w:tcW w:w="8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5"/>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 liabilities recognized in exchange for lease right-of-use assets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0"/>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Remeasurement of lease liabilities</w:t>
            </w:r>
          </w:p>
        </w:tc>
        <w:tc>
          <w:tcPr>
            <w:tcW w:w="8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5"/>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Liabilities assumed in connection with acquisitions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0"/>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Fair value of assets acquired</w:t>
            </w:r>
          </w:p>
        </w:tc>
        <w:tc>
          <w:tcPr>
            <w:tcW w:w="8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05"/>
        </w:trPr>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Less: Total Purchase price</w:t>
            </w:r>
          </w:p>
        </w:tc>
        <w:tc>
          <w:tcPr>
            <w:tcW w:w="8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1"/>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Liabilities and noncontrolling interests assumed</w:t>
            </w:r>
          </w:p>
        </w:tc>
        <w:tc>
          <w:tcPr>
            <w:tcW w:w="8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
        </w:trPr>
        <w:tc>
          <w:tcPr>
            <w:tcW w:w="7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Revenue Recognition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7"/>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6"/>
        </w:trPr>
        <w:tc>
          <w:tcPr>
            <w:tcW w:w="41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2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Segment</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Revenue</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from insurance contracts:</w:t>
            </w:r>
          </w:p>
        </w:tc>
        <w:tc>
          <w:tcPr>
            <w:tcW w:w="1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0" w:type="dxa"/>
            <w:vAlign w:val="bottom"/>
          </w:tcPr>
          <w:p>
            <w:pPr>
              <w:spacing w:after="0"/>
              <w:rPr>
                <w:sz w:val="1"/>
                <w:szCs w:val="1"/>
                <w:color w:val="auto"/>
              </w:rPr>
            </w:pPr>
          </w:p>
        </w:tc>
      </w:tr>
      <w:tr>
        <w:trPr>
          <w:trHeight w:val="190"/>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4,982</w:t>
            </w:r>
          </w:p>
        </w:tc>
        <w:tc>
          <w:tcPr>
            <w:tcW w:w="0" w:type="dxa"/>
            <w:vAlign w:val="bottom"/>
          </w:tcPr>
          <w:p>
            <w:pPr>
              <w:spacing w:after="0"/>
              <w:rPr>
                <w:sz w:val="1"/>
                <w:szCs w:val="1"/>
                <w:color w:val="auto"/>
              </w:rPr>
            </w:pPr>
          </w:p>
        </w:tc>
      </w:tr>
      <w:tr>
        <w:trPr>
          <w:trHeight w:val="143"/>
        </w:trPr>
        <w:tc>
          <w:tcPr>
            <w:tcW w:w="4120" w:type="dxa"/>
            <w:vAlign w:val="bottom"/>
            <w:gridSpan w:val="2"/>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Life insurance premiums, insurance and investment product fees,</w:t>
            </w:r>
          </w:p>
        </w:tc>
        <w:tc>
          <w:tcPr>
            <w:tcW w:w="2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F&amp;G</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0" w:type="dxa"/>
            <w:vAlign w:val="bottom"/>
          </w:tcPr>
          <w:p>
            <w:pPr>
              <w:spacing w:after="0"/>
              <w:rPr>
                <w:sz w:val="1"/>
                <w:szCs w:val="1"/>
                <w:color w:val="auto"/>
              </w:rPr>
            </w:pPr>
          </w:p>
        </w:tc>
      </w:tr>
      <w:tr>
        <w:trPr>
          <w:trHeight w:val="194"/>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other (1)</w:t>
            </w:r>
          </w:p>
        </w:tc>
        <w:tc>
          <w:tcPr>
            <w:tcW w:w="2660" w:type="dxa"/>
            <w:vAlign w:val="bottom"/>
            <w:gridSpan w:val="2"/>
            <w:vMerge w:val="continue"/>
            <w:shd w:val="clear" w:color="auto" w:fill="CCEEFF"/>
          </w:tcPr>
          <w:p>
            <w:pPr>
              <w:spacing w:after="0"/>
              <w:rPr>
                <w:sz w:val="16"/>
                <w:szCs w:val="16"/>
                <w:color w:val="auto"/>
              </w:rPr>
            </w:pPr>
          </w:p>
        </w:tc>
        <w:tc>
          <w:tcPr>
            <w:tcW w:w="19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Home warranty</w:t>
            </w:r>
          </w:p>
        </w:tc>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 from insurance contracts</w:t>
            </w: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10,145</w:t>
            </w:r>
          </w:p>
        </w:tc>
        <w:tc>
          <w:tcPr>
            <w:tcW w:w="0" w:type="dxa"/>
            <w:vAlign w:val="bottom"/>
          </w:tcPr>
          <w:p>
            <w:pPr>
              <w:spacing w:after="0"/>
              <w:rPr>
                <w:sz w:val="1"/>
                <w:szCs w:val="1"/>
                <w:color w:val="auto"/>
              </w:rPr>
            </w:pPr>
          </w:p>
        </w:tc>
      </w:tr>
      <w:tr>
        <w:trPr>
          <w:trHeight w:val="19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 from contracts with customers:</w:t>
            </w: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Escrow fees</w:t>
            </w: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0" w:type="dxa"/>
            <w:vAlign w:val="bottom"/>
          </w:tcPr>
          <w:p>
            <w:pPr>
              <w:spacing w:after="0"/>
              <w:rPr>
                <w:sz w:val="1"/>
                <w:szCs w:val="1"/>
                <w:color w:val="auto"/>
              </w:rPr>
            </w:pPr>
          </w:p>
        </w:tc>
      </w:tr>
      <w:tr>
        <w:trPr>
          <w:trHeight w:val="190"/>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title-related fees and income</w:t>
            </w: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43"/>
        </w:trPr>
        <w:tc>
          <w:tcPr>
            <w:tcW w:w="4120" w:type="dxa"/>
            <w:vAlign w:val="bottom"/>
            <w:gridSpan w:val="2"/>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ServiceLink, excluding title premiums, escrow fees, and</w:t>
            </w:r>
          </w:p>
        </w:tc>
        <w:tc>
          <w:tcPr>
            <w:tcW w:w="2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94"/>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subservicing fees</w:t>
            </w:r>
          </w:p>
        </w:tc>
        <w:tc>
          <w:tcPr>
            <w:tcW w:w="2660" w:type="dxa"/>
            <w:vAlign w:val="bottom"/>
            <w:gridSpan w:val="2"/>
            <w:vMerge w:val="continue"/>
            <w:shd w:val="clear" w:color="auto" w:fill="CCEEFF"/>
          </w:tcPr>
          <w:p>
            <w:pPr>
              <w:spacing w:after="0"/>
              <w:rPr>
                <w:sz w:val="16"/>
                <w:szCs w:val="16"/>
                <w:color w:val="auto"/>
              </w:rPr>
            </w:pPr>
          </w:p>
        </w:tc>
        <w:tc>
          <w:tcPr>
            <w:tcW w:w="19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Real estate technology</w:t>
            </w:r>
          </w:p>
        </w:tc>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Corporate and other</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w:t>
            </w:r>
          </w:p>
        </w:tc>
        <w:tc>
          <w:tcPr>
            <w:tcW w:w="0" w:type="dxa"/>
            <w:vAlign w:val="bottom"/>
          </w:tcPr>
          <w:p>
            <w:pPr>
              <w:spacing w:after="0"/>
              <w:rPr>
                <w:sz w:val="1"/>
                <w:szCs w:val="1"/>
                <w:color w:val="auto"/>
              </w:rPr>
            </w:pPr>
          </w:p>
        </w:tc>
      </w:tr>
      <w:tr>
        <w:trPr>
          <w:trHeight w:val="19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 subservicing revenue</w:t>
            </w: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90"/>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Corporate and other</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5"/>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Various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1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4"/>
              </w:rPr>
              <w:t>Various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04"/>
        </w:trPr>
        <w:tc>
          <w:tcPr>
            <w:tcW w:w="41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9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15,655</w:t>
            </w:r>
          </w:p>
        </w:tc>
        <w:tc>
          <w:tcPr>
            <w:tcW w:w="0" w:type="dxa"/>
            <w:vAlign w:val="bottom"/>
          </w:tcPr>
          <w:p>
            <w:pPr>
              <w:spacing w:after="0"/>
              <w:rPr>
                <w:sz w:val="1"/>
                <w:szCs w:val="1"/>
                <w:color w:val="auto"/>
              </w:rPr>
            </w:pPr>
          </w:p>
        </w:tc>
      </w:tr>
    </w:tbl>
    <w:p>
      <w:pPr>
        <w:ind w:left="340"/>
        <w:spacing w:after="0"/>
        <w:rPr>
          <w:sz w:val="20"/>
          <w:szCs w:val="20"/>
          <w:color w:val="auto"/>
        </w:rPr>
      </w:pPr>
      <w:r>
        <w:rPr>
          <w:rFonts w:ascii="Times New Roman" w:cs="Times New Roman" w:eastAsia="Times New Roman" w:hAnsi="Times New Roman"/>
          <w:sz w:val="14"/>
          <w:szCs w:val="14"/>
          <w:color w:val="auto"/>
        </w:rPr>
        <w:t>(1) Includes $1,964, $1,362 and 1,146 of life-contingent pension risk transfer premiums in 2023,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-93345</wp:posOffset>
            </wp:positionV>
            <wp:extent cx="16040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103"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36"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38"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36"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65" w:lineRule="exact"/>
        <w:rPr>
          <w:sz w:val="20"/>
          <w:szCs w:val="20"/>
          <w:color w:val="auto"/>
        </w:rPr>
      </w:pPr>
    </w:p>
    <w:p>
      <w:pPr>
        <w:jc w:val="both"/>
        <w:ind w:firstLine="316"/>
        <w:spacing w:after="0" w:line="239" w:lineRule="auto"/>
        <w:rPr>
          <w:sz w:val="20"/>
          <w:szCs w:val="20"/>
          <w:color w:val="auto"/>
        </w:rPr>
      </w:pPr>
      <w:r>
        <w:rPr>
          <w:rFonts w:ascii="Times New Roman" w:cs="Times New Roman" w:eastAsia="Times New Roman" w:hAnsi="Times New Roman"/>
          <w:sz w:val="18"/>
          <w:szCs w:val="18"/>
          <w:color w:val="auto"/>
        </w:rPr>
        <w:t>Life insurance premiums in our F&amp;G segment reflect premiums for life-contingent PRT, traditional life insurance products and life-contingent immediate annuity products, which are recognized as revenue when due from the policyholder. We have ceded the majority of our traditional life business to unaffiliated third-party reinsurers. While the base contract has been reinsured, we continue to retain the return of premium rider. Insurance and investment product fees and other consist primarily of the cost of insurance on IUL policies, UREV on IUL policies, policy rider fees primarily on FIA policies and surrender charges assessed against policy withdrawals in excess of the policyholder's allowable penalty-free amounts.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80" w:firstLine="434"/>
        <w:spacing w:after="0" w:line="238" w:lineRule="auto"/>
        <w:rPr>
          <w:sz w:val="20"/>
          <w:szCs w:val="20"/>
          <w:color w:val="auto"/>
        </w:rPr>
      </w:pPr>
      <w:r>
        <w:rPr>
          <w:rFonts w:ascii="Times New Roman" w:cs="Times New Roman" w:eastAsia="Times New Roman" w:hAnsi="Times New Roman"/>
          <w:sz w:val="18"/>
          <w:szCs w:val="18"/>
          <w:color w:val="auto"/>
        </w:rPr>
        <w:t>Premium and annuity deposit collections for FIA,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103" w:lineRule="exact"/>
        <w:rPr>
          <w:sz w:val="20"/>
          <w:szCs w:val="20"/>
          <w:color w:val="auto"/>
        </w:rPr>
      </w:pPr>
    </w:p>
    <w:p>
      <w:pPr>
        <w:jc w:val="both"/>
        <w:ind w:left="80" w:firstLine="395"/>
        <w:spacing w:after="0" w:line="253" w:lineRule="auto"/>
        <w:rPr>
          <w:sz w:val="20"/>
          <w:szCs w:val="20"/>
          <w:color w:val="auto"/>
        </w:rPr>
      </w:pPr>
      <w:r>
        <w:rPr>
          <w:rFonts w:ascii="Times New Roman" w:cs="Times New Roman" w:eastAsia="Times New Roman" w:hAnsi="Times New Roman"/>
          <w:sz w:val="18"/>
          <w:szCs w:val="18"/>
          <w:color w:val="auto"/>
        </w:rPr>
        <w:t>Premiums, annuity deposits (net of reinsurance and reinsurance recoverable) and funding agreements, which are not included as revenues in the accompanying Consolidated Statements of Earnings, collected by product type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7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7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r>
      <w:tr>
        <w:trPr>
          <w:trHeight w:val="191"/>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Product Type</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indexed annuities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w:t>
            </w:r>
          </w:p>
        </w:tc>
      </w:tr>
      <w:tr>
        <w:trPr>
          <w:trHeight w:val="190"/>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r>
      <w:tr>
        <w:trPr>
          <w:trHeight w:val="20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Funding agreements (FABN/FHLB)</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r>
      <w:tr>
        <w:trPr>
          <w:trHeight w:val="191"/>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Life insurance and other (a)</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22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Life insurance and other primarily includes indexed universal life insurance.</w:t>
      </w:r>
    </w:p>
    <w:p>
      <w:pPr>
        <w:spacing w:after="0" w:line="83" w:lineRule="exact"/>
        <w:rPr>
          <w:sz w:val="20"/>
          <w:szCs w:val="20"/>
          <w:color w:val="auto"/>
        </w:rPr>
      </w:pPr>
    </w:p>
    <w:p>
      <w:pPr>
        <w:jc w:val="both"/>
        <w:ind w:left="80" w:firstLine="316"/>
        <w:spacing w:after="0" w:line="268" w:lineRule="auto"/>
        <w:rPr>
          <w:sz w:val="20"/>
          <w:szCs w:val="20"/>
          <w:color w:val="auto"/>
        </w:rPr>
      </w:pPr>
      <w:r>
        <w:rPr>
          <w:rFonts w:ascii="Times New Roman" w:cs="Times New Roman" w:eastAsia="Times New Roman" w:hAnsi="Times New Roman"/>
          <w:sz w:val="18"/>
          <w:szCs w:val="18"/>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38" w:lineRule="exact"/>
        <w:rPr>
          <w:sz w:val="20"/>
          <w:szCs w:val="20"/>
          <w:color w:val="auto"/>
        </w:rPr>
      </w:pPr>
    </w:p>
    <w:p>
      <w:pPr>
        <w:jc w:val="both"/>
        <w:ind w:left="80" w:firstLine="316"/>
        <w:spacing w:after="0" w:line="256" w:lineRule="auto"/>
        <w:rPr>
          <w:sz w:val="20"/>
          <w:szCs w:val="20"/>
          <w:color w:val="auto"/>
        </w:rPr>
      </w:pPr>
      <w:r>
        <w:rPr>
          <w:rFonts w:ascii="Times New Roman" w:cs="Times New Roman" w:eastAsia="Times New Roman" w:hAnsi="Times New Roman"/>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61" w:lineRule="exact"/>
        <w:rPr>
          <w:sz w:val="20"/>
          <w:szCs w:val="20"/>
          <w:color w:val="auto"/>
        </w:rPr>
      </w:pPr>
    </w:p>
    <w:p>
      <w:pPr>
        <w:jc w:val="both"/>
        <w:ind w:left="80" w:firstLine="316"/>
        <w:spacing w:after="0" w:line="268" w:lineRule="auto"/>
        <w:rPr>
          <w:sz w:val="20"/>
          <w:szCs w:val="20"/>
          <w:color w:val="auto"/>
        </w:rPr>
      </w:pPr>
      <w:r>
        <w:rPr>
          <w:rFonts w:ascii="Times New Roman" w:cs="Times New Roman" w:eastAsia="Times New Roman" w:hAnsi="Times New Roman"/>
          <w:sz w:val="18"/>
          <w:szCs w:val="18"/>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51" w:lineRule="exact"/>
        <w:rPr>
          <w:sz w:val="20"/>
          <w:szCs w:val="20"/>
          <w:color w:val="auto"/>
        </w:rPr>
      </w:pPr>
    </w:p>
    <w:p>
      <w:pPr>
        <w:jc w:val="both"/>
        <w:ind w:left="80" w:firstLine="316"/>
        <w:spacing w:after="0" w:line="25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129"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7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r>
      <w:tr>
        <w:trPr>
          <w:trHeight w:val="178"/>
        </w:trPr>
        <w:tc>
          <w:tcPr>
            <w:tcW w:w="7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80" w:type="dxa"/>
            <w:vAlign w:val="bottom"/>
            <w:gridSpan w:val="3"/>
          </w:tcPr>
          <w:p>
            <w:pPr>
              <w:jc w:val="right"/>
              <w:ind w:right="139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8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317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349</w:t>
            </w:r>
          </w:p>
        </w:tc>
      </w:tr>
      <w:tr>
        <w:trPr>
          <w:trHeight w:val="24"/>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9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(contract liabilities)</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91</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93</w:t>
            </w:r>
          </w:p>
        </w:tc>
      </w:tr>
    </w:tbl>
    <w:p>
      <w:pPr>
        <w:spacing w:after="0" w:line="200" w:lineRule="exact"/>
        <w:rPr>
          <w:sz w:val="20"/>
          <w:szCs w:val="20"/>
          <w:color w:val="auto"/>
        </w:rPr>
      </w:pPr>
    </w:p>
    <w:p>
      <w:pPr>
        <w:spacing w:after="0" w:line="203" w:lineRule="exact"/>
        <w:rPr>
          <w:sz w:val="20"/>
          <w:szCs w:val="20"/>
          <w:color w:val="auto"/>
        </w:rPr>
      </w:pPr>
    </w:p>
    <w:p>
      <w:pPr>
        <w:jc w:val="both"/>
        <w:ind w:left="80" w:firstLine="316"/>
        <w:spacing w:after="0" w:line="252" w:lineRule="auto"/>
        <w:rPr>
          <w:sz w:val="20"/>
          <w:szCs w:val="20"/>
          <w:color w:val="auto"/>
        </w:rPr>
      </w:pPr>
      <w:r>
        <w:rPr>
          <w:rFonts w:ascii="Times New Roman" w:cs="Times New Roman" w:eastAsia="Times New Roman" w:hAnsi="Times New Roman"/>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Consolidated Balance Sheets. During the years ended December 31, 2023 and 2022, we recognized $84 million and $98 million of revenue, respectively, which was included in deferred revenue at the beginning of the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67945</wp:posOffset>
            </wp:positionV>
            <wp:extent cx="716089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Other Intangible Assets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to Other intangible assets, net, on the Consolidated Balance Sheets as of December 31, 2023 and December 31,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7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78"/>
        </w:trPr>
        <w:tc>
          <w:tcPr>
            <w:tcW w:w="7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5"/>
                <w:szCs w:val="15"/>
                <w:color w:val="auto"/>
              </w:rPr>
            </w:pPr>
          </w:p>
        </w:tc>
      </w:tr>
      <w:tr>
        <w:trPr>
          <w:trHeight w:val="186"/>
        </w:trPr>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Customer relationships and contracts</w:t>
            </w:r>
          </w:p>
        </w:tc>
        <w:tc>
          <w:tcPr>
            <w:tcW w:w="1580" w:type="dxa"/>
            <w:vAlign w:val="bottom"/>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7"/>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VOBA</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r>
      <w:tr>
        <w:trPr>
          <w:trHeight w:val="190"/>
        </w:trPr>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DAC</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r>
      <w:tr>
        <w:trPr>
          <w:trHeight w:val="205"/>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DSI</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90"/>
        </w:trPr>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 of distribution asset</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5"/>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Computer software</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91"/>
        </w:trPr>
        <w:tc>
          <w:tcPr>
            <w:tcW w:w="7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Trademarks, tradenames, and other</w:t>
            </w: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22"/>
        </w:trPr>
        <w:tc>
          <w:tcPr>
            <w:tcW w:w="7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Other intangible assets, net</w:t>
            </w:r>
          </w:p>
        </w:tc>
        <w:tc>
          <w:tcPr>
            <w:tcW w:w="158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roll forward VOBA by product for the years ended December 31, 2023 and December 31,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FIA</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Immediate</w:t>
            </w:r>
          </w:p>
        </w:tc>
        <w:tc>
          <w:tcPr>
            <w:tcW w:w="100" w:type="dxa"/>
            <w:vAlign w:val="bottom"/>
          </w:tcPr>
          <w:p>
            <w:pPr>
              <w:spacing w:after="0"/>
              <w:rPr>
                <w:sz w:val="13"/>
                <w:szCs w:val="13"/>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40" w:type="dxa"/>
            <w:vAlign w:val="bottom"/>
          </w:tcPr>
          <w:p>
            <w:pPr>
              <w:spacing w:after="0"/>
              <w:rPr>
                <w:sz w:val="13"/>
                <w:szCs w:val="13"/>
                <w:color w:val="auto"/>
              </w:rPr>
            </w:pPr>
          </w:p>
        </w:tc>
        <w:tc>
          <w:tcPr>
            <w:tcW w:w="82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6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660" w:type="dxa"/>
            <w:vAlign w:val="bottom"/>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80" w:type="dxa"/>
            <w:vAlign w:val="bottom"/>
          </w:tcPr>
          <w:p>
            <w:pPr>
              <w:spacing w:after="0"/>
              <w:rPr>
                <w:sz w:val="16"/>
                <w:szCs w:val="16"/>
                <w:color w:val="auto"/>
              </w:rPr>
            </w:pPr>
          </w:p>
        </w:tc>
        <w:tc>
          <w:tcPr>
            <w:tcW w:w="86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48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0" w:type="dxa"/>
            <w:vAlign w:val="bottom"/>
          </w:tcPr>
          <w:p>
            <w:pPr>
              <w:spacing w:after="0"/>
              <w:rPr>
                <w:sz w:val="1"/>
                <w:szCs w:val="1"/>
                <w:color w:val="auto"/>
              </w:rPr>
            </w:pPr>
          </w:p>
        </w:tc>
      </w:tr>
      <w:tr>
        <w:trPr>
          <w:trHeight w:val="204"/>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FIA</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Immediate</w:t>
            </w:r>
          </w:p>
        </w:tc>
        <w:tc>
          <w:tcPr>
            <w:tcW w:w="100" w:type="dxa"/>
            <w:vAlign w:val="bottom"/>
          </w:tcPr>
          <w:p>
            <w:pPr>
              <w:spacing w:after="0"/>
              <w:rPr>
                <w:sz w:val="13"/>
                <w:szCs w:val="13"/>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40" w:type="dxa"/>
            <w:vAlign w:val="bottom"/>
          </w:tcPr>
          <w:p>
            <w:pPr>
              <w:spacing w:after="0"/>
              <w:rPr>
                <w:sz w:val="13"/>
                <w:szCs w:val="13"/>
                <w:color w:val="auto"/>
              </w:rPr>
            </w:pPr>
          </w:p>
        </w:tc>
        <w:tc>
          <w:tcPr>
            <w:tcW w:w="82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4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6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660" w:type="dxa"/>
            <w:vAlign w:val="bottom"/>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80" w:type="dxa"/>
            <w:vAlign w:val="bottom"/>
          </w:tcPr>
          <w:p>
            <w:pPr>
              <w:spacing w:after="0"/>
              <w:rPr>
                <w:sz w:val="16"/>
                <w:szCs w:val="16"/>
                <w:color w:val="auto"/>
              </w:rPr>
            </w:pPr>
          </w:p>
        </w:tc>
        <w:tc>
          <w:tcPr>
            <w:tcW w:w="86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48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0" w:type="dxa"/>
            <w:vAlign w:val="bottom"/>
          </w:tcPr>
          <w:p>
            <w:pPr>
              <w:spacing w:after="0"/>
              <w:rPr>
                <w:sz w:val="1"/>
                <w:szCs w:val="1"/>
                <w:color w:val="auto"/>
              </w:rPr>
            </w:pPr>
          </w:p>
        </w:tc>
      </w:tr>
      <w:tr>
        <w:trPr>
          <w:trHeight w:val="204"/>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91"/>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Shadow Premium Deficiency Testing (“PDT”)</w:t>
            </w:r>
          </w:p>
        </w:tc>
        <w:tc>
          <w:tcPr>
            <w:tcW w:w="66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22"/>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6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color w:val="auto"/>
        </w:rPr>
        <w:t>VOBA amortization expense of $169 million, $180 million, and $195 million, was recorded in Depreciation and amortization on the Consolidated Statements of Earnings for the years ended December 31, 2023, 2022, and 2021 respectively.</w:t>
      </w:r>
    </w:p>
    <w:p>
      <w:pPr>
        <w:spacing w:after="0" w:line="261" w:lineRule="exact"/>
        <w:rPr>
          <w:sz w:val="20"/>
          <w:szCs w:val="20"/>
          <w:color w:val="auto"/>
        </w:rPr>
      </w:pPr>
    </w:p>
    <w:p>
      <w:pPr>
        <w:jc w:val="both"/>
        <w:ind w:firstLine="316"/>
        <w:spacing w:after="0" w:line="239" w:lineRule="auto"/>
        <w:rPr>
          <w:sz w:val="20"/>
          <w:szCs w:val="20"/>
          <w:color w:val="auto"/>
        </w:rPr>
      </w:pPr>
      <w:r>
        <w:rPr>
          <w:rFonts w:ascii="Times New Roman" w:cs="Times New Roman" w:eastAsia="Times New Roman" w:hAnsi="Times New Roman"/>
          <w:sz w:val="18"/>
          <w:szCs w:val="18"/>
          <w:color w:val="auto"/>
        </w:rPr>
        <w:t>The following table presents a reconciliation of VOBA to the table above which is reconciled to the Consolidated Balance Sheets as of December 31, 2023 and December 31,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1"/>
        </w:trPr>
        <w:tc>
          <w:tcPr>
            <w:tcW w:w="7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shd w:val="clear" w:color="auto" w:fill="CCEEFF"/>
          </w:tcPr>
          <w:p>
            <w:pPr>
              <w:spacing w:after="0"/>
              <w:rPr>
                <w:sz w:val="16"/>
                <w:szCs w:val="16"/>
                <w:color w:val="auto"/>
              </w:rPr>
            </w:pPr>
          </w:p>
        </w:tc>
      </w:tr>
      <w:tr>
        <w:trPr>
          <w:trHeight w:val="190"/>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FIA</w:t>
            </w:r>
          </w:p>
        </w:tc>
        <w:tc>
          <w:tcPr>
            <w:tcW w:w="1580" w:type="dxa"/>
            <w:vAlign w:val="bottom"/>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0"/>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Universal Life</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91"/>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22"/>
        </w:trPr>
        <w:tc>
          <w:tcPr>
            <w:tcW w:w="7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8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roll forward DAC by product for the years ended December 31, 2023 and December 31,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FIA</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6"/>
                <w:szCs w:val="16"/>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 (a)</w:t>
            </w:r>
          </w:p>
        </w:tc>
      </w:tr>
      <w:tr>
        <w:trPr>
          <w:trHeight w:val="24"/>
        </w:trPr>
        <w:tc>
          <w:tcPr>
            <w:tcW w:w="57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5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84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w:t>
            </w:r>
          </w:p>
        </w:tc>
      </w:tr>
      <w:tr>
        <w:trPr>
          <w:trHeight w:val="204"/>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r>
      <w:tr>
        <w:trPr>
          <w:trHeight w:val="190"/>
        </w:trPr>
        <w:tc>
          <w:tcPr>
            <w:tcW w:w="5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98"/>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Reinsurance related adjustments</w:t>
            </w: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2,211</w:t>
            </w:r>
          </w:p>
        </w:tc>
      </w:tr>
      <w:tr>
        <w:trPr>
          <w:trHeight w:val="20"/>
        </w:trPr>
        <w:tc>
          <w:tcPr>
            <w:tcW w:w="5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FIA</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6"/>
                <w:szCs w:val="16"/>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 (a)</w:t>
            </w:r>
          </w:p>
        </w:tc>
      </w:tr>
      <w:tr>
        <w:trPr>
          <w:trHeight w:val="24"/>
        </w:trPr>
        <w:tc>
          <w:tcPr>
            <w:tcW w:w="5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5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90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38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r>
      <w:tr>
        <w:trPr>
          <w:trHeight w:val="204"/>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4"/>
                <w:szCs w:val="14"/>
                <w:color w:val="auto"/>
                <w:w w:val="99"/>
              </w:rPr>
              <w:t>56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r>
      <w:tr>
        <w:trPr>
          <w:trHeight w:val="191"/>
        </w:trPr>
        <w:tc>
          <w:tcPr>
            <w:tcW w:w="5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4"/>
                <w:szCs w:val="14"/>
                <w:color w:val="auto"/>
                <w:w w:val="94"/>
              </w:rPr>
              <w:t>(11)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2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0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4"/>
                <w:szCs w:val="14"/>
                <w:color w:val="auto"/>
                <w:w w:val="99"/>
              </w:rPr>
              <w:t>83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Excludes insignificant amounts of DAC related to FABN.</w:t>
      </w:r>
    </w:p>
    <w:p>
      <w:pPr>
        <w:spacing w:after="0" w:line="67"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color w:val="auto"/>
        </w:rPr>
        <w:t>DAC amortization expense of $186 million, $99 million, and $46 million, was recorded in Depreciation and amortization on the Consolidated Statements of Earnings for the years ended December 31, 2023, 2022, and 2021, respectively, excluding insignificant amounts related to FABN.</w:t>
      </w:r>
    </w:p>
    <w:p>
      <w:pPr>
        <w:spacing w:after="0" w:line="274"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presents a reconciliation of DAC to the table above which is reconciled to the Consolidated Balance Sheets as of December 31, 2023 and December 31, 2022:</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1"/>
        </w:trPr>
        <w:tc>
          <w:tcPr>
            <w:tcW w:w="7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shd w:val="clear" w:color="auto" w:fill="CCEEFF"/>
          </w:tcPr>
          <w:p>
            <w:pPr>
              <w:spacing w:after="0"/>
              <w:rPr>
                <w:sz w:val="16"/>
                <w:szCs w:val="16"/>
                <w:color w:val="auto"/>
              </w:rPr>
            </w:pPr>
          </w:p>
        </w:tc>
      </w:tr>
      <w:tr>
        <w:trPr>
          <w:trHeight w:val="190"/>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FIA</w:t>
            </w:r>
          </w:p>
        </w:tc>
        <w:tc>
          <w:tcPr>
            <w:tcW w:w="1580" w:type="dxa"/>
            <w:vAlign w:val="bottom"/>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8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90"/>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Universal Life</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19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Funding Agreements</w:t>
            </w:r>
          </w:p>
        </w:tc>
        <w:tc>
          <w:tcPr>
            <w:tcW w:w="15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8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1,411</w:t>
            </w:r>
          </w:p>
        </w:tc>
      </w:tr>
      <w:tr>
        <w:trPr>
          <w:trHeight w:val="20"/>
        </w:trPr>
        <w:tc>
          <w:tcPr>
            <w:tcW w:w="7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roll forward DSI for the years ended December 31, 2023 and December 31,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tcPr>
          <w:p>
            <w:pPr>
              <w:spacing w:after="0"/>
              <w:rPr>
                <w:sz w:val="16"/>
                <w:szCs w:val="16"/>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FIA</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8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85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shd w:val="clear" w:color="auto" w:fill="CCEEFF"/>
          </w:tcPr>
          <w:p>
            <w:pPr>
              <w:spacing w:after="0"/>
              <w:rPr>
                <w:sz w:val="16"/>
                <w:szCs w:val="16"/>
                <w:color w:val="auto"/>
              </w:rPr>
            </w:pPr>
          </w:p>
        </w:tc>
      </w:tr>
      <w:tr>
        <w:trPr>
          <w:trHeight w:val="191"/>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200</w:t>
            </w:r>
          </w:p>
        </w:tc>
      </w:tr>
      <w:tr>
        <w:trPr>
          <w:trHeight w:val="204"/>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168</w:t>
            </w:r>
          </w:p>
        </w:tc>
      </w:tr>
      <w:tr>
        <w:trPr>
          <w:trHeight w:val="191"/>
        </w:trPr>
        <w:tc>
          <w:tcPr>
            <w:tcW w:w="8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(22)</w:t>
            </w:r>
          </w:p>
        </w:tc>
      </w:tr>
      <w:tr>
        <w:trPr>
          <w:trHeight w:val="222"/>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346</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tcPr>
          <w:p>
            <w:pPr>
              <w:spacing w:after="0"/>
              <w:rPr>
                <w:sz w:val="16"/>
                <w:szCs w:val="16"/>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FIA</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8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85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shd w:val="clear" w:color="auto" w:fill="CCEEFF"/>
          </w:tcPr>
          <w:p>
            <w:pPr>
              <w:spacing w:after="0"/>
              <w:rPr>
                <w:sz w:val="16"/>
                <w:szCs w:val="16"/>
                <w:color w:val="auto"/>
              </w:rPr>
            </w:pPr>
          </w:p>
        </w:tc>
      </w:tr>
      <w:tr>
        <w:trPr>
          <w:trHeight w:val="191"/>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04"/>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91"/>
        </w:trPr>
        <w:tc>
          <w:tcPr>
            <w:tcW w:w="8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22"/>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316"/>
        <w:spacing w:after="0" w:line="239" w:lineRule="auto"/>
        <w:rPr>
          <w:sz w:val="20"/>
          <w:szCs w:val="20"/>
          <w:color w:val="auto"/>
        </w:rPr>
      </w:pPr>
      <w:r>
        <w:rPr>
          <w:rFonts w:ascii="Times New Roman" w:cs="Times New Roman" w:eastAsia="Times New Roman" w:hAnsi="Times New Roman"/>
          <w:sz w:val="18"/>
          <w:szCs w:val="18"/>
          <w:color w:val="auto"/>
        </w:rPr>
        <w:t>DSI amortization expense of $22 million, $14 million, and $7 million, was recorded in Depreciation and amortization on the Consolidated Statements of Earnings for the years ended December 31, 2023, 2022, and 2021, respectively.</w:t>
      </w:r>
    </w:p>
    <w:p>
      <w:pPr>
        <w:spacing w:after="0" w:line="364" w:lineRule="exact"/>
        <w:rPr>
          <w:sz w:val="20"/>
          <w:szCs w:val="20"/>
          <w:color w:val="auto"/>
        </w:rPr>
      </w:pPr>
    </w:p>
    <w:p>
      <w:pPr>
        <w:jc w:val="both"/>
        <w:ind w:firstLine="316"/>
        <w:spacing w:after="0" w:line="239" w:lineRule="auto"/>
        <w:rPr>
          <w:sz w:val="20"/>
          <w:szCs w:val="20"/>
          <w:color w:val="auto"/>
        </w:rPr>
      </w:pPr>
      <w:r>
        <w:rPr>
          <w:rFonts w:ascii="Times New Roman" w:cs="Times New Roman" w:eastAsia="Times New Roman" w:hAnsi="Times New Roman"/>
          <w:sz w:val="18"/>
          <w:szCs w:val="18"/>
          <w:color w:val="auto"/>
        </w:rPr>
        <w:t>The following table presents a reconciliation of DSI to the table above which is reconciled to the Consolidated Balance Sheets as of December 31, 2023 and December 31,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7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1"/>
        </w:trPr>
        <w:tc>
          <w:tcPr>
            <w:tcW w:w="7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shd w:val="clear" w:color="auto" w:fill="CCEEFF"/>
          </w:tcPr>
          <w:p>
            <w:pPr>
              <w:spacing w:after="0"/>
              <w:rPr>
                <w:sz w:val="16"/>
                <w:szCs w:val="16"/>
                <w:color w:val="auto"/>
              </w:rPr>
            </w:pPr>
          </w:p>
        </w:tc>
      </w:tr>
      <w:tr>
        <w:trPr>
          <w:trHeight w:val="191"/>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FIA</w:t>
            </w:r>
          </w:p>
        </w:tc>
        <w:tc>
          <w:tcPr>
            <w:tcW w:w="160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22"/>
        </w:trPr>
        <w:tc>
          <w:tcPr>
            <w:tcW w:w="7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0" w:type="dxa"/>
            <w:vAlign w:val="bottom"/>
            <w:tcBorders>
              <w:bottom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firstLine="316"/>
        <w:spacing w:after="0" w:line="284" w:lineRule="auto"/>
        <w:rPr>
          <w:sz w:val="20"/>
          <w:szCs w:val="20"/>
          <w:color w:val="auto"/>
        </w:rPr>
      </w:pPr>
      <w:r>
        <w:rPr>
          <w:rFonts w:ascii="Times New Roman" w:cs="Times New Roman" w:eastAsia="Times New Roman" w:hAnsi="Times New Roman"/>
          <w:sz w:val="16"/>
          <w:szCs w:val="16"/>
          <w:color w:val="auto"/>
        </w:rPr>
        <w:t>The cash flow assumptions used to amortize VOBA and DAC were consistent with the assumptions used to estimate the FPB for life contingent immediate annuities, and will be reviewed and unlocked, if applicable, in the same period as those balances. For nonparticipating traditional life contracts, the VOBA amortization is straight-line, without the use of cash flow assumptions. For FIA contracts, the cash flow assumptions used to amortize VOBA, DAC, and DSI were consistent with the assumptions used to estimate the value of the embedded derivative and MRBs, and will be reviewed and unlocked, if applicable, in the same period as those balances. For fixed rate annuities and IUL the cash flow assumptions used to amortize VOBA, DAC and DSI reflect the Company’s best estimates for policyholder behavior, consistent with the development of assumptions for FIA and immediate annuity. Refer to Note A - Business and Summary of Significant Accounting Policies for further information about accounting policies for amortization of VOBA, DAC and DSI.</w:t>
      </w:r>
    </w:p>
    <w:p>
      <w:pPr>
        <w:spacing w:after="0" w:line="68"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review cash flow assumptions annually, generally in the third quarter. In 2023, F&amp;G undertook a review of all significant assumptions and revised several assumptions relating to our deferred annuity (FIA and fixed rate annuity) and IUL products, including surrender rates, partial withdrawal rates, mortality improvement, premium persistency, and option budgets. All updates to these assumptions brought us more in line with our company and overall industry experience since the prior assumption update. In 2022, F&amp;G undertook a review of all significant assumptions and revised GMWB utilization for our deferred annuity contracts (FIA and fixed rate annuities) to reflect internal and industry experience in the first several contract years.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in-force liabilities as of December 31, 2023, the estimated amortization expense for VOBA in future fiscal periods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9"/>
        </w:trPr>
        <w:tc>
          <w:tcPr>
            <w:tcW w:w="972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91"/>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w:t>
            </w:r>
          </w:p>
        </w:tc>
        <w:tc>
          <w:tcPr>
            <w:tcW w:w="220" w:type="dxa"/>
            <w:vAlign w:val="bottom"/>
          </w:tcPr>
          <w:p>
            <w:pPr>
              <w:spacing w:after="0"/>
              <w:rPr>
                <w:sz w:val="16"/>
                <w:szCs w:val="16"/>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149</w:t>
            </w:r>
          </w:p>
        </w:tc>
      </w:tr>
      <w:tr>
        <w:trPr>
          <w:trHeight w:val="209"/>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139</w:t>
            </w:r>
          </w:p>
        </w:tc>
      </w:tr>
      <w:tr>
        <w:trPr>
          <w:trHeight w:val="21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127</w:t>
            </w:r>
          </w:p>
        </w:tc>
      </w:tr>
      <w:tr>
        <w:trPr>
          <w:trHeight w:val="209"/>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116</w:t>
            </w:r>
          </w:p>
        </w:tc>
      </w:tr>
      <w:tr>
        <w:trPr>
          <w:trHeight w:val="21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105</w:t>
            </w:r>
          </w:p>
        </w:tc>
      </w:tr>
      <w:tr>
        <w:trPr>
          <w:trHeight w:val="191"/>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810</w:t>
            </w:r>
          </w:p>
        </w:tc>
      </w:tr>
      <w:tr>
        <w:trPr>
          <w:trHeight w:val="222"/>
        </w:trPr>
        <w:tc>
          <w:tcPr>
            <w:tcW w:w="9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1,446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Definite and Indefinite Lived Other Intangible Assets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intangible assets as of December 31, 2023, consist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0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3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Net carrying amount</w:t>
            </w:r>
          </w:p>
        </w:tc>
        <w:tc>
          <w:tcPr>
            <w:tcW w:w="1640" w:type="dxa"/>
            <w:vAlign w:val="bottom"/>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9"/>
              </w:rPr>
              <w:t>Weighted average useful</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3"/>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 and contracts</w:t>
            </w:r>
          </w:p>
        </w:tc>
        <w:tc>
          <w:tcPr>
            <w:tcW w:w="10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948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19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1020" w:type="dxa"/>
            <w:vAlign w:val="bottom"/>
          </w:tcPr>
          <w:p>
            <w:pPr>
              <w:spacing w:after="0"/>
              <w:rPr>
                <w:sz w:val="16"/>
                <w:szCs w:val="16"/>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651</w:t>
            </w:r>
          </w:p>
        </w:tc>
        <w:tc>
          <w:tcPr>
            <w:tcW w:w="28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64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w w:val="97"/>
              </w:rPr>
              <w:t>2 to 10</w:t>
            </w: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 of distribution asset (VODA)</w:t>
            </w: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140</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91"/>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Trademarks, tradenames, and other</w:t>
            </w:r>
          </w:p>
        </w:tc>
        <w:tc>
          <w:tcPr>
            <w:tcW w:w="10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4"/>
                <w:szCs w:val="14"/>
                <w:color w:val="auto"/>
              </w:rPr>
              <w:t>146</w:t>
            </w:r>
          </w:p>
        </w:tc>
        <w:tc>
          <w:tcPr>
            <w:tcW w:w="2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40" w:type="dxa"/>
            <w:vAlign w:val="bottom"/>
            <w:tcBorders>
              <w:bottom w:val="single" w:sz="8" w:color="CCEEFF"/>
            </w:tcBorders>
          </w:tcPr>
          <w:p>
            <w:pPr>
              <w:jc w:val="center"/>
              <w:ind w:left="30"/>
              <w:spacing w:after="0"/>
              <w:rPr>
                <w:sz w:val="20"/>
                <w:szCs w:val="20"/>
                <w:color w:val="auto"/>
              </w:rPr>
            </w:pPr>
            <w:r>
              <w:rPr>
                <w:rFonts w:ascii="Times New Roman" w:cs="Times New Roman" w:eastAsia="Times New Roman" w:hAnsi="Times New Roman"/>
                <w:sz w:val="14"/>
                <w:szCs w:val="14"/>
                <w:color w:val="auto"/>
                <w:w w:val="92"/>
              </w:rPr>
              <w:t>Varies</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intangible assets as of December 31, 2022, consist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0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3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9"/>
              </w:rPr>
              <w:t>Net carrying amount</w:t>
            </w:r>
          </w:p>
        </w:tc>
        <w:tc>
          <w:tcPr>
            <w:tcW w:w="1640" w:type="dxa"/>
            <w:vAlign w:val="bottom"/>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9"/>
              </w:rPr>
              <w:t>Weighted average useful</w:t>
            </w: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3"/>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 and contracts</w:t>
            </w:r>
          </w:p>
        </w:tc>
        <w:tc>
          <w:tcPr>
            <w:tcW w:w="10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916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19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1020" w:type="dxa"/>
            <w:vAlign w:val="bottom"/>
          </w:tcPr>
          <w:p>
            <w:pPr>
              <w:spacing w:after="0"/>
              <w:rPr>
                <w:sz w:val="16"/>
                <w:szCs w:val="16"/>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537</w:t>
            </w:r>
          </w:p>
        </w:tc>
        <w:tc>
          <w:tcPr>
            <w:tcW w:w="28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64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w w:val="97"/>
              </w:rPr>
              <w:t>2 to 10</w:t>
            </w: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 of distribution Asset (VODA)</w:t>
            </w: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140</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91"/>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Trademarks, tradenames, and other</w:t>
            </w:r>
          </w:p>
        </w:tc>
        <w:tc>
          <w:tcPr>
            <w:tcW w:w="10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4"/>
                <w:szCs w:val="14"/>
                <w:color w:val="auto"/>
              </w:rPr>
              <w:t>129</w:t>
            </w:r>
          </w:p>
        </w:tc>
        <w:tc>
          <w:tcPr>
            <w:tcW w:w="2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640" w:type="dxa"/>
            <w:vAlign w:val="bottom"/>
            <w:tcBorders>
              <w:bottom w:val="single" w:sz="8" w:color="CCEEFF"/>
            </w:tcBorders>
          </w:tcPr>
          <w:p>
            <w:pPr>
              <w:jc w:val="center"/>
              <w:ind w:left="30"/>
              <w:spacing w:after="0"/>
              <w:rPr>
                <w:sz w:val="20"/>
                <w:szCs w:val="20"/>
                <w:color w:val="auto"/>
              </w:rPr>
            </w:pPr>
            <w:r>
              <w:rPr>
                <w:rFonts w:ascii="Times New Roman" w:cs="Times New Roman" w:eastAsia="Times New Roman" w:hAnsi="Times New Roman"/>
                <w:sz w:val="14"/>
                <w:szCs w:val="14"/>
                <w:color w:val="auto"/>
                <w:w w:val="92"/>
              </w:rPr>
              <w:t>Varies</w:t>
            </w:r>
          </w:p>
        </w:tc>
        <w:tc>
          <w:tcPr>
            <w:tcW w:w="0" w:type="dxa"/>
            <w:vAlign w:val="bottom"/>
          </w:tcPr>
          <w:p>
            <w:pPr>
              <w:spacing w:after="0"/>
              <w:rPr>
                <w:sz w:val="1"/>
                <w:szCs w:val="1"/>
                <w:color w:val="auto"/>
              </w:rPr>
            </w:pPr>
          </w:p>
        </w:tc>
      </w:tr>
      <w:tr>
        <w:trPr>
          <w:trHeight w:val="22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Amortization expense for amortizable intangible assets, which consist primarily of VODA, customer relationships and computer software and definite lived trademarks, tradenames and other, was $152 million, $134 million, and $136 million for the years ended December 31, 2023, 2022 and 2021, respectively. Estimated amortization expense for the next five years for assets owned at December 31, 2023, is $126 million in 2024, $101 million in 2025, $78 million in 2026, $61 million in 2027 and $47 million in 2028.</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Goodwill</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changes in Goodwill consists of the following:</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3"/>
                <w:szCs w:val="13"/>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4,532</w:t>
            </w:r>
          </w:p>
        </w:tc>
        <w:tc>
          <w:tcPr>
            <w:tcW w:w="0" w:type="dxa"/>
            <w:vAlign w:val="bottom"/>
          </w:tcPr>
          <w:p>
            <w:pPr>
              <w:spacing w:after="0"/>
              <w:rPr>
                <w:sz w:val="1"/>
                <w:szCs w:val="1"/>
                <w:color w:val="auto"/>
              </w:rPr>
            </w:pP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associated with acquisitions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97"/>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4,635</w:t>
            </w:r>
          </w:p>
        </w:tc>
        <w:tc>
          <w:tcPr>
            <w:tcW w:w="0" w:type="dxa"/>
            <w:vAlign w:val="bottom"/>
          </w:tcPr>
          <w:p>
            <w:pPr>
              <w:spacing w:after="0"/>
              <w:rPr>
                <w:sz w:val="1"/>
                <w:szCs w:val="1"/>
                <w:color w:val="auto"/>
              </w:rPr>
            </w:pPr>
          </w:p>
        </w:tc>
      </w:tr>
      <w:tr>
        <w:trPr>
          <w:trHeight w:val="191"/>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Goodwill associated with acquisitions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22"/>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4,830</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 F&amp;G Reinsurance</w:t>
      </w:r>
    </w:p>
    <w:p>
      <w:pPr>
        <w:spacing w:after="0" w:line="58" w:lineRule="exact"/>
        <w:rPr>
          <w:sz w:val="20"/>
          <w:szCs w:val="20"/>
          <w:color w:val="auto"/>
        </w:rPr>
      </w:pPr>
    </w:p>
    <w:p>
      <w:pPr>
        <w:jc w:val="both"/>
        <w:ind w:firstLine="316"/>
        <w:spacing w:after="0" w:line="284" w:lineRule="auto"/>
        <w:rPr>
          <w:sz w:val="20"/>
          <w:szCs w:val="20"/>
          <w:color w:val="auto"/>
        </w:rPr>
      </w:pPr>
      <w:r>
        <w:rPr>
          <w:rFonts w:ascii="Times New Roman" w:cs="Times New Roman" w:eastAsia="Times New Roman" w:hAnsi="Times New Roman"/>
          <w:sz w:val="16"/>
          <w:szCs w:val="16"/>
          <w:color w:val="auto"/>
        </w:rPr>
        <w:t xml:space="preserve">The Company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the Company's retention limit is reinsured. The Company primarily seeks reinsurance coverage in order to manage loss exposures, to enhance our capital position, to diversify risks and earnings, and to manage new business volume. The Company follows reinsurance accounting when the treaty adequately transfers insurance risk. Otherwise, the Company follows deposit accounting if there is inadequate transfer of insurance risk or if the underlying policy for which risk is being transferred is an investment contract that does not contain insurance risk. Refer to Note A - </w:t>
      </w:r>
      <w:r>
        <w:rPr>
          <w:rFonts w:ascii="Times New Roman" w:cs="Times New Roman" w:eastAsia="Times New Roman" w:hAnsi="Times New Roman"/>
          <w:sz w:val="16"/>
          <w:szCs w:val="16"/>
          <w:i w:val="1"/>
          <w:iCs w:val="1"/>
          <w:color w:val="auto"/>
        </w:rPr>
        <w:t xml:space="preserve">Business and Summary of Significant Accounting Policies </w:t>
      </w:r>
      <w:r>
        <w:rPr>
          <w:rFonts w:ascii="Times New Roman" w:cs="Times New Roman" w:eastAsia="Times New Roman" w:hAnsi="Times New Roman"/>
          <w:sz w:val="16"/>
          <w:szCs w:val="16"/>
          <w:color w:val="auto"/>
        </w:rPr>
        <w:t>for more information over our accounting policy for reinsurance agreements.</w:t>
      </w:r>
    </w:p>
    <w:p>
      <w:pPr>
        <w:spacing w:after="0" w:line="187" w:lineRule="exact"/>
        <w:rPr>
          <w:sz w:val="20"/>
          <w:szCs w:val="20"/>
          <w:color w:val="auto"/>
        </w:rPr>
      </w:pPr>
    </w:p>
    <w:p>
      <w:pPr>
        <w:ind w:right="220" w:firstLine="316"/>
        <w:spacing w:after="0" w:line="263" w:lineRule="auto"/>
        <w:rPr>
          <w:sz w:val="20"/>
          <w:szCs w:val="20"/>
          <w:color w:val="auto"/>
        </w:rPr>
      </w:pPr>
      <w:r>
        <w:rPr>
          <w:rFonts w:ascii="Times New Roman" w:cs="Times New Roman" w:eastAsia="Times New Roman" w:hAnsi="Times New Roman"/>
          <w:sz w:val="18"/>
          <w:szCs w:val="18"/>
          <w:color w:val="auto"/>
        </w:rPr>
        <w:t>The effects of reinsurance on net premiums earned and net benefits incurred (benefits paid and reserve changes) for the years ended December 31, 2023, 2022, and 2021 respectively, were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4"/>
        </w:trPr>
        <w:tc>
          <w:tcPr>
            <w:tcW w:w="5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4"/>
        </w:trPr>
        <w:tc>
          <w:tcPr>
            <w:tcW w:w="5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r>
      <w:tr>
        <w:trPr>
          <w:trHeight w:val="133"/>
        </w:trPr>
        <w:tc>
          <w:tcPr>
            <w:tcW w:w="5460" w:type="dxa"/>
            <w:vAlign w:val="bottom"/>
          </w:tcPr>
          <w:p>
            <w:pPr>
              <w:spacing w:after="0"/>
              <w:rPr>
                <w:sz w:val="11"/>
                <w:szCs w:val="11"/>
                <w:color w:val="auto"/>
              </w:rPr>
            </w:pPr>
          </w:p>
        </w:tc>
        <w:tc>
          <w:tcPr>
            <w:tcW w:w="1000" w:type="dxa"/>
            <w:vAlign w:val="bottom"/>
            <w:gridSpan w:val="3"/>
          </w:tcPr>
          <w:p>
            <w:pPr>
              <w:ind w:left="40"/>
              <w:spacing w:after="0" w:line="133"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8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Net Benefits</w:t>
            </w:r>
          </w:p>
        </w:tc>
        <w:tc>
          <w:tcPr>
            <w:tcW w:w="100" w:type="dxa"/>
            <w:vAlign w:val="bottom"/>
          </w:tcPr>
          <w:p>
            <w:pPr>
              <w:spacing w:after="0"/>
              <w:rPr>
                <w:sz w:val="11"/>
                <w:szCs w:val="11"/>
                <w:color w:val="auto"/>
              </w:rPr>
            </w:pPr>
          </w:p>
        </w:tc>
        <w:tc>
          <w:tcPr>
            <w:tcW w:w="100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8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Net Benefits</w:t>
            </w:r>
          </w:p>
        </w:tc>
        <w:tc>
          <w:tcPr>
            <w:tcW w:w="100" w:type="dxa"/>
            <w:vAlign w:val="bottom"/>
          </w:tcPr>
          <w:p>
            <w:pPr>
              <w:spacing w:after="0"/>
              <w:rPr>
                <w:sz w:val="11"/>
                <w:szCs w:val="11"/>
                <w:color w:val="auto"/>
              </w:rPr>
            </w:pPr>
          </w:p>
        </w:tc>
        <w:tc>
          <w:tcPr>
            <w:tcW w:w="100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8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Net Benefits</w:t>
            </w:r>
          </w:p>
        </w:tc>
      </w:tr>
      <w:tr>
        <w:trPr>
          <w:trHeight w:val="190"/>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2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20" w:type="dxa"/>
            <w:vAlign w:val="bottom"/>
          </w:tcPr>
          <w:p>
            <w:pPr>
              <w:spacing w:after="0"/>
              <w:rPr>
                <w:sz w:val="16"/>
                <w:szCs w:val="16"/>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Incurred</w:t>
            </w:r>
          </w:p>
        </w:tc>
      </w:tr>
      <w:tr>
        <w:trPr>
          <w:trHeight w:val="196"/>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4"/>
                <w:szCs w:val="14"/>
                <w:color w:val="auto"/>
              </w:rPr>
              <w:t>3,640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4"/>
                <w:szCs w:val="14"/>
                <w:color w:val="auto"/>
              </w:rPr>
              <w:t>3,070</w:t>
            </w:r>
          </w:p>
        </w:tc>
      </w:tr>
      <w:tr>
        <w:trPr>
          <w:trHeight w:val="191"/>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Ceded</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4"/>
                <w:szCs w:val="14"/>
                <w:color w:val="auto"/>
              </w:rPr>
              <w:t>(1,138)</w:t>
            </w:r>
          </w:p>
        </w:tc>
      </w:tr>
      <w:tr>
        <w:trPr>
          <w:trHeight w:val="222"/>
        </w:trPr>
        <w:tc>
          <w:tcPr>
            <w:tcW w:w="5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4"/>
                <w:szCs w:val="14"/>
                <w:color w:val="auto"/>
              </w:rPr>
              <w:t>1,932</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Amounts payable or recoverable for reinsurance on paid and unpaid claims are not subject to periodic or maximum limits. No policies issued by the Company have been reinsured with any foreign company, which is controlled, either directly 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indirectly, by a party not primarily engaged in the business of insurance. The Company has not entered into any reinsurance agreements in which the reinsurer may unilaterally cancel any reinsurance for reasons other than non-payment of premiums or other similar credit issues.</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our reinsurance recoverable (in millions):</w:t>
      </w:r>
    </w:p>
    <w:p>
      <w:pPr>
        <w:sectPr>
          <w:pgSz w:w="11900" w:h="16838" w:orient="portrait"/>
          <w:cols w:equalWidth="0" w:num="1">
            <w:col w:w="11240"/>
          </w:cols>
          <w:pgMar w:left="320" w:top="121" w:right="339" w:bottom="1440" w:gutter="0" w:footer="0" w:header="0"/>
        </w:sectPr>
      </w:pPr>
    </w:p>
    <w:p>
      <w:pPr>
        <w:spacing w:after="0" w:line="89"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Parent Company/</w:t>
      </w:r>
    </w:p>
    <w:p>
      <w:pPr>
        <w:spacing w:after="0" w:line="2"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Principal Reinsurers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21977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Aspida Life Re Ltd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Wilton Reassurance Company</w:t>
      </w:r>
    </w:p>
    <w:p>
      <w:pPr>
        <w:spacing w:after="0" w:line="168" w:lineRule="exact"/>
        <w:rPr>
          <w:sz w:val="20"/>
          <w:szCs w:val="20"/>
          <w:color w:val="auto"/>
        </w:rPr>
      </w:pPr>
    </w:p>
    <w:p>
      <w:pPr>
        <w:ind w:left="20" w:right="1340"/>
        <w:spacing w:after="0" w:line="294" w:lineRule="auto"/>
        <w:rPr>
          <w:sz w:val="20"/>
          <w:szCs w:val="20"/>
          <w:color w:val="auto"/>
        </w:rPr>
      </w:pPr>
      <w:r>
        <w:rPr>
          <w:rFonts w:ascii="Times New Roman" w:cs="Times New Roman" w:eastAsia="Times New Roman" w:hAnsi="Times New Roman"/>
          <w:sz w:val="14"/>
          <w:szCs w:val="14"/>
          <w:color w:val="auto"/>
        </w:rPr>
        <w:t>Somerset Reinsurance Ltd Everlake Life Insurance Company Other (e)</w:t>
      </w:r>
    </w:p>
    <w:p>
      <w:pPr>
        <w:spacing w:after="0" w:line="1" w:lineRule="exact"/>
        <w:rPr>
          <w:sz w:val="20"/>
          <w:szCs w:val="20"/>
          <w:color w:val="auto"/>
        </w:rPr>
      </w:pPr>
    </w:p>
    <w:p>
      <w:pPr>
        <w:ind w:left="180" w:right="60"/>
        <w:spacing w:after="0" w:line="248" w:lineRule="auto"/>
        <w:rPr>
          <w:sz w:val="20"/>
          <w:szCs w:val="20"/>
          <w:color w:val="auto"/>
        </w:rPr>
      </w:pPr>
      <w:r>
        <w:rPr>
          <w:rFonts w:ascii="Times New Roman" w:cs="Times New Roman" w:eastAsia="Times New Roman" w:hAnsi="Times New Roman"/>
          <w:sz w:val="14"/>
          <w:szCs w:val="14"/>
          <w:color w:val="auto"/>
        </w:rPr>
        <w:t>Reinsurance recoverable, gross of allowance for credit losses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Allowance for expected credit loss</w:t>
      </w:r>
    </w:p>
    <w:p>
      <w:pPr>
        <w:spacing w:after="0" w:line="34" w:lineRule="exact"/>
        <w:rPr>
          <w:sz w:val="20"/>
          <w:szCs w:val="20"/>
          <w:color w:val="auto"/>
        </w:rPr>
      </w:pPr>
    </w:p>
    <w:p>
      <w:pPr>
        <w:ind w:left="180"/>
        <w:spacing w:after="0" w:line="251" w:lineRule="auto"/>
        <w:rPr>
          <w:sz w:val="20"/>
          <w:szCs w:val="20"/>
          <w:color w:val="auto"/>
        </w:rPr>
      </w:pPr>
      <w:r>
        <w:rPr>
          <w:rFonts w:ascii="Times New Roman" w:cs="Times New Roman" w:eastAsia="Times New Roman" w:hAnsi="Times New Roman"/>
          <w:sz w:val="14"/>
          <w:szCs w:val="14"/>
          <w:b w:val="1"/>
          <w:bCs w:val="1"/>
          <w:color w:val="auto"/>
        </w:rPr>
        <w:t>Reinsurance recoverable, net of allowance for credit losses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Reinsurance Recoverable (a)</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Agreement Type</w:t>
            </w:r>
          </w:p>
        </w:tc>
        <w:tc>
          <w:tcPr>
            <w:tcW w:w="0" w:type="dxa"/>
            <w:vAlign w:val="bottom"/>
          </w:tcPr>
          <w:p>
            <w:pPr>
              <w:spacing w:after="0"/>
              <w:rPr>
                <w:sz w:val="1"/>
                <w:szCs w:val="1"/>
                <w:color w:val="auto"/>
              </w:rPr>
            </w:pPr>
          </w:p>
        </w:tc>
      </w:tr>
      <w:tr>
        <w:trPr>
          <w:trHeight w:val="24"/>
        </w:trPr>
        <w:tc>
          <w:tcPr>
            <w:tcW w:w="12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100" w:type="dxa"/>
            <w:vAlign w:val="bottom"/>
          </w:tcPr>
          <w:p>
            <w:pPr>
              <w:spacing w:after="0"/>
              <w:rPr>
                <w:sz w:val="10"/>
                <w:szCs w:val="10"/>
                <w:color w:val="auto"/>
              </w:rPr>
            </w:pPr>
          </w:p>
        </w:tc>
        <w:tc>
          <w:tcPr>
            <w:tcW w:w="840" w:type="dxa"/>
            <w:vAlign w:val="bottom"/>
            <w:tcBorders>
              <w:top w:val="single" w:sz="8" w:color="auto"/>
            </w:tcBorders>
            <w:vMerge w:val="restart"/>
          </w:tcPr>
          <w:p>
            <w:pPr>
              <w:jc w:val="right"/>
              <w:ind w:right="69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80" w:type="dxa"/>
            <w:vAlign w:val="bottom"/>
          </w:tcPr>
          <w:p>
            <w:pPr>
              <w:spacing w:after="0"/>
              <w:rPr>
                <w:sz w:val="10"/>
                <w:szCs w:val="10"/>
                <w:color w:val="auto"/>
              </w:rPr>
            </w:pPr>
          </w:p>
        </w:tc>
        <w:tc>
          <w:tcPr>
            <w:tcW w:w="1260" w:type="dxa"/>
            <w:vAlign w:val="bottom"/>
          </w:tcPr>
          <w:p>
            <w:pPr>
              <w:ind w:left="20"/>
              <w:spacing w:after="0" w:line="123" w:lineRule="exact"/>
              <w:rPr>
                <w:sz w:val="20"/>
                <w:szCs w:val="20"/>
                <w:color w:val="auto"/>
              </w:rPr>
            </w:pPr>
            <w:r>
              <w:rPr>
                <w:rFonts w:ascii="Times New Roman" w:cs="Times New Roman" w:eastAsia="Times New Roman" w:hAnsi="Times New Roman"/>
                <w:sz w:val="14"/>
                <w:szCs w:val="14"/>
                <w:color w:val="auto"/>
              </w:rPr>
              <w:t>Coinsurance Funds</w:t>
            </w:r>
          </w:p>
        </w:tc>
        <w:tc>
          <w:tcPr>
            <w:tcW w:w="0" w:type="dxa"/>
            <w:vAlign w:val="bottom"/>
          </w:tcPr>
          <w:p>
            <w:pPr>
              <w:spacing w:after="0"/>
              <w:rPr>
                <w:sz w:val="1"/>
                <w:szCs w:val="1"/>
                <w:color w:val="auto"/>
              </w:rPr>
            </w:pPr>
          </w:p>
        </w:tc>
      </w:tr>
      <w:tr>
        <w:trPr>
          <w:trHeight w:val="183"/>
        </w:trPr>
        <w:tc>
          <w:tcPr>
            <w:tcW w:w="2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tcPr>
          <w:p>
            <w:pPr>
              <w:spacing w:after="0"/>
              <w:rPr>
                <w:sz w:val="16"/>
                <w:szCs w:val="16"/>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Coinsurance</w:t>
            </w: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Pr>
          <w:p>
            <w:pPr>
              <w:spacing w:after="0"/>
              <w:rPr>
                <w:sz w:val="13"/>
                <w:szCs w:val="13"/>
                <w:color w:val="auto"/>
              </w:rPr>
            </w:pPr>
          </w:p>
        </w:tc>
        <w:tc>
          <w:tcPr>
            <w:tcW w:w="12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Coinsurance Funds</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Coinsurance (d)</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-801370</wp:posOffset>
            </wp:positionV>
            <wp:extent cx="7135495" cy="2089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-2256790</wp:posOffset>
            </wp:positionH>
            <wp:positionV relativeFrom="paragraph">
              <wp:posOffset>-467360</wp:posOffset>
            </wp:positionV>
            <wp:extent cx="7135495" cy="2089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-2256790</wp:posOffset>
            </wp:positionH>
            <wp:positionV relativeFrom="paragraph">
              <wp:posOffset>-133350</wp:posOffset>
            </wp:positionV>
            <wp:extent cx="7135495" cy="1250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89" w:lineRule="exact"/>
        <w:rPr>
          <w:sz w:val="20"/>
          <w:szCs w:val="20"/>
          <w:color w:val="auto"/>
        </w:rPr>
      </w:pPr>
    </w:p>
    <w:p>
      <w:pPr>
        <w:ind w:left="800"/>
        <w:spacing w:after="0"/>
        <w:tabs>
          <w:tab w:leader="none" w:pos="2120" w:val="left"/>
        </w:tabs>
        <w:rPr>
          <w:sz w:val="20"/>
          <w:szCs w:val="20"/>
          <w:color w:val="auto"/>
        </w:rPr>
      </w:pPr>
      <w:r>
        <w:rPr>
          <w:rFonts w:ascii="Times New Roman" w:cs="Times New Roman" w:eastAsia="Times New Roman" w:hAnsi="Times New Roman"/>
          <w:sz w:val="14"/>
          <w:szCs w:val="14"/>
          <w:color w:val="auto"/>
        </w:rPr>
        <w:t>8,981</w:t>
      </w:r>
      <w:r>
        <w:rPr>
          <w:sz w:val="20"/>
          <w:szCs w:val="20"/>
          <w:color w:val="auto"/>
        </w:rPr>
        <w:tab/>
      </w:r>
      <w:r>
        <w:rPr>
          <w:rFonts w:ascii="Times New Roman" w:cs="Times New Roman" w:eastAsia="Times New Roman" w:hAnsi="Times New Roman"/>
          <w:sz w:val="14"/>
          <w:szCs w:val="14"/>
          <w:color w:val="auto"/>
        </w:rPr>
        <w:t>5,427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29210</wp:posOffset>
            </wp:positionV>
            <wp:extent cx="7135495" cy="133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30" w:lineRule="exact"/>
        <w:rPr>
          <w:sz w:val="20"/>
          <w:szCs w:val="20"/>
          <w:color w:val="auto"/>
        </w:rPr>
      </w:pPr>
    </w:p>
    <w:p>
      <w:pPr>
        <w:ind w:left="2260" w:hanging="1338"/>
        <w:spacing w:after="0"/>
        <w:tabs>
          <w:tab w:leader="none" w:pos="2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15957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95755" cy="8255"/>
                    </a:xfrm>
                    <a:prstGeom prst="rect">
                      <a:avLst/>
                    </a:prstGeom>
                    <a:noFill/>
                  </pic:spPr>
                </pic:pic>
              </a:graphicData>
            </a:graphic>
          </wp:anchor>
        </w:drawing>
      </w:r>
    </w:p>
    <w:p>
      <w:pPr>
        <w:spacing w:after="0" w:line="122" w:lineRule="exact"/>
        <w:rPr>
          <w:sz w:val="20"/>
          <w:szCs w:val="20"/>
          <w:color w:val="auto"/>
        </w:rPr>
      </w:pPr>
    </w:p>
    <w:p>
      <w:pPr>
        <w:ind w:left="20"/>
        <w:spacing w:after="0"/>
        <w:tabs>
          <w:tab w:leader="none" w:pos="780" w:val="left"/>
          <w:tab w:leader="none" w:pos="1280" w:val="left"/>
          <w:tab w:leader="none" w:pos="21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8,960</w:t>
        <w:tab/>
        <w:t>$</w:t>
      </w:r>
      <w:r>
        <w:rPr>
          <w:sz w:val="20"/>
          <w:szCs w:val="20"/>
          <w:color w:val="auto"/>
        </w:rPr>
        <w:tab/>
      </w:r>
      <w:r>
        <w:rPr>
          <w:rFonts w:ascii="Times New Roman" w:cs="Times New Roman" w:eastAsia="Times New Roman" w:hAnsi="Times New Roman"/>
          <w:sz w:val="14"/>
          <w:szCs w:val="14"/>
          <w:color w:val="auto"/>
        </w:rPr>
        <w:t>5,417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1595755" cy="336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95755" cy="33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0"/>
        </w:trPr>
        <w:tc>
          <w:tcPr>
            <w:tcW w:w="26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10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1"/>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Certain MYGA (b)</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w:t>
            </w:r>
          </w:p>
        </w:tc>
        <w:tc>
          <w:tcPr>
            <w:tcW w:w="0" w:type="dxa"/>
            <w:vAlign w:val="bottom"/>
          </w:tcPr>
          <w:p>
            <w:pPr>
              <w:spacing w:after="0"/>
              <w:rPr>
                <w:sz w:val="1"/>
                <w:szCs w:val="1"/>
                <w:color w:val="auto"/>
              </w:rPr>
            </w:pPr>
          </w:p>
        </w:tc>
      </w:tr>
      <w:tr>
        <w:trPr>
          <w:trHeight w:val="197"/>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Block of traditional, IUL and UL (c)</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Reinsurance</w:t>
            </w:r>
          </w:p>
        </w:tc>
        <w:tc>
          <w:tcPr>
            <w:tcW w:w="0" w:type="dxa"/>
            <w:vAlign w:val="bottom"/>
          </w:tcPr>
          <w:p>
            <w:pPr>
              <w:spacing w:after="0"/>
              <w:rPr>
                <w:sz w:val="1"/>
                <w:szCs w:val="1"/>
                <w:color w:val="auto"/>
              </w:rPr>
            </w:pPr>
          </w:p>
        </w:tc>
      </w:tr>
      <w:tr>
        <w:trPr>
          <w:trHeight w:val="32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Certain MYGA (b) and DA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w:t>
            </w:r>
          </w:p>
        </w:tc>
        <w:tc>
          <w:tcPr>
            <w:tcW w:w="0" w:type="dxa"/>
            <w:vAlign w:val="bottom"/>
          </w:tcPr>
          <w:p>
            <w:pPr>
              <w:spacing w:after="0"/>
              <w:rPr>
                <w:sz w:val="1"/>
                <w:szCs w:val="1"/>
                <w:color w:val="auto"/>
              </w:rPr>
            </w:pPr>
          </w:p>
        </w:tc>
      </w:tr>
      <w:tr>
        <w:trPr>
          <w:trHeight w:val="197"/>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Certain MYGA (b) (d)</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w:t>
            </w:r>
          </w:p>
        </w:tc>
        <w:tc>
          <w:tcPr>
            <w:tcW w:w="0" w:type="dxa"/>
            <w:vAlign w:val="bottom"/>
          </w:tcPr>
          <w:p>
            <w:pPr>
              <w:spacing w:after="0"/>
              <w:rPr>
                <w:sz w:val="1"/>
                <w:szCs w:val="1"/>
                <w:color w:val="auto"/>
              </w:rPr>
            </w:pPr>
          </w:p>
        </w:tc>
      </w:tr>
    </w:tbl>
    <w:p>
      <w:pPr>
        <w:spacing w:after="0" w:line="1133" w:lineRule="exact"/>
        <w:rPr>
          <w:sz w:val="20"/>
          <w:szCs w:val="20"/>
          <w:color w:val="auto"/>
        </w:rPr>
      </w:pPr>
    </w:p>
    <w:p>
      <w:pPr>
        <w:sectPr>
          <w:pgSz w:w="11900" w:h="16838" w:orient="portrait"/>
          <w:cols w:equalWidth="0" w:num="3">
            <w:col w:w="3300" w:space="260"/>
            <w:col w:w="3860" w:space="80"/>
            <w:col w:w="3740"/>
          </w:cols>
          <w:pgMar w:left="320" w:top="121" w:right="339" w:bottom="1440" w:gutter="0" w:footer="0" w:header="0"/>
          <w:type w:val="continuous"/>
        </w:sectPr>
      </w:pPr>
    </w:p>
    <w:p>
      <w:pPr>
        <w:ind w:left="220" w:hanging="197"/>
        <w:spacing w:after="0"/>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recoverables do not include unearned ceded premiums that would be recovered in the event of early termination of certain traditional life policies.</w:t>
      </w:r>
    </w:p>
    <w:p>
      <w:pPr>
        <w:spacing w:after="0" w:line="3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years ended December 31, 2023 and 2022, the combined quota share flow reinsurance amongst all reinsurers was 90% and 75%, respectively.</w:t>
      </w:r>
    </w:p>
    <w:p>
      <w:pPr>
        <w:spacing w:after="0" w:line="3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includes certain FGL Insurance life insurance policies that are subject to redundant reserves, reported on a statutory basis, under Regulation XXX and Guideline AXXX.</w:t>
      </w:r>
    </w:p>
    <w:p>
      <w:pPr>
        <w:spacing w:after="0" w:line="3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recoverable is collateralized by assets placed in a statutory comfort trust by the reinsurer and maintained for our sole benefit.</w:t>
      </w:r>
    </w:p>
    <w:p>
      <w:pPr>
        <w:spacing w:after="0" w:line="3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all other reinsurers, with no single reinsurer having a carrying value in excess of 5% of total reinsurance recoverable.</w:t>
      </w:r>
    </w:p>
    <w:p>
      <w:pPr>
        <w:spacing w:after="0" w:line="172"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Company incurred risk charge fees of $39 million, $36 million, and $28 million during the years ended December 31, 2023, 2022, and 2021, respectively, in relation to reinsurance agreements.</w:t>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6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 Company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expected credit loss reserves were as follows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580" w:type="dxa"/>
            <w:vAlign w:val="bottom"/>
          </w:tcPr>
          <w:p>
            <w:pPr>
              <w:spacing w:after="0"/>
              <w:rPr>
                <w:sz w:val="16"/>
                <w:szCs w:val="16"/>
                <w:color w:val="auto"/>
              </w:rPr>
            </w:pPr>
          </w:p>
        </w:tc>
      </w:tr>
      <w:tr>
        <w:trPr>
          <w:trHeight w:val="24"/>
        </w:trPr>
        <w:tc>
          <w:tcPr>
            <w:tcW w:w="776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184"/>
        </w:trPr>
        <w:tc>
          <w:tcPr>
            <w:tcW w:w="776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7"/>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50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94"/>
              </w:rPr>
              <w:t>(20)</w:t>
            </w:r>
          </w:p>
        </w:tc>
      </w:tr>
      <w:tr>
        <w:trPr>
          <w:trHeight w:val="19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losses</w:t>
            </w:r>
          </w:p>
        </w:tc>
        <w:tc>
          <w:tcPr>
            <w:tcW w:w="5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w w:val="99"/>
              </w:rPr>
              <w:t>10</w:t>
            </w:r>
          </w:p>
        </w:tc>
      </w:tr>
      <w:tr>
        <w:trPr>
          <w:trHeight w:val="19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 offs</w:t>
            </w:r>
          </w:p>
        </w:tc>
        <w:tc>
          <w:tcPr>
            <w:tcW w:w="5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99"/>
              </w:rPr>
              <w:t>—</w:t>
            </w:r>
          </w:p>
        </w:tc>
      </w:tr>
      <w:tr>
        <w:trPr>
          <w:trHeight w:val="197"/>
        </w:trPr>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5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center"/>
              <w:ind w:left="210"/>
              <w:spacing w:after="0"/>
              <w:rPr>
                <w:sz w:val="20"/>
                <w:szCs w:val="20"/>
                <w:color w:val="auto"/>
              </w:rPr>
            </w:pPr>
            <w:r>
              <w:rPr>
                <w:rFonts w:ascii="Times New Roman" w:cs="Times New Roman" w:eastAsia="Times New Roman" w:hAnsi="Times New Roman"/>
                <w:sz w:val="14"/>
                <w:szCs w:val="14"/>
                <w:color w:val="auto"/>
                <w:w w:val="94"/>
              </w:rPr>
              <w:t>(10)</w:t>
            </w:r>
          </w:p>
        </w:tc>
      </w:tr>
      <w:tr>
        <w:trPr>
          <w:trHeight w:val="20"/>
        </w:trPr>
        <w:tc>
          <w:tcPr>
            <w:tcW w:w="7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Reinsurance Risk</w:t>
      </w:r>
    </w:p>
    <w:p>
      <w:pPr>
        <w:spacing w:after="0" w:line="165"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As indicated above, the Company has a significant concentration of reinsurance risk with third party reinsurers, Aspida Re, Wilton Reinsurance (“Wilton Re”), Somerset and Everlake Life Insurance Company (“Everlake”) that could have a material impact on our financial position in the event that any of these reinsurers fails to perform its obligations under the various reinsurance treaties. We monitor the financial condition and financial strength of individual reinsurers using public ratings (refer to table below) and ratings reports of individual reinsurers to attempt to reduce the risk of default by such reinsurers. In addition, the risk of non-performance is further mitigated with various forms of collateral or collateral arrangements, including secured trusts, funds withheld accounts and irrevocable letters of credit. We believe that all amounts due from Aspida Re, Wilton Re, Somerset and Everlake for periodic treaty settlements, net of any applicable credit loss reserves, are collectible as of December 31, 2023. The following table presents financial strength ratings as of December 31, 2023: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57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Parent Company/Principal Reinsurers</w:t>
            </w:r>
          </w:p>
        </w:tc>
        <w:tc>
          <w:tcPr>
            <w:tcW w:w="26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Financial Strength Rating</w:t>
            </w:r>
          </w:p>
        </w:tc>
        <w:tc>
          <w:tcPr>
            <w:tcW w:w="1240" w:type="dxa"/>
            <w:vAlign w:val="bottom"/>
          </w:tcPr>
          <w:p>
            <w:pPr>
              <w:spacing w:after="0"/>
              <w:rPr>
                <w:sz w:val="16"/>
                <w:szCs w:val="16"/>
                <w:color w:val="auto"/>
              </w:rPr>
            </w:pPr>
          </w:p>
        </w:tc>
      </w:tr>
      <w:tr>
        <w:trPr>
          <w:trHeight w:val="24"/>
        </w:trPr>
        <w:tc>
          <w:tcPr>
            <w:tcW w:w="16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16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AM Best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S&amp;P</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Fitch</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197"/>
        </w:trPr>
        <w:tc>
          <w:tcPr>
            <w:tcW w:w="1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Aspida Life Re Ltd</w:t>
            </w:r>
          </w:p>
        </w:tc>
        <w:tc>
          <w:tcPr>
            <w:tcW w:w="43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not rated</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not rated</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not rated</w:t>
            </w:r>
          </w:p>
        </w:tc>
      </w:tr>
      <w:tr>
        <w:trPr>
          <w:trHeight w:val="190"/>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Wilton Re</w:t>
            </w:r>
          </w:p>
        </w:tc>
        <w:tc>
          <w:tcPr>
            <w:tcW w:w="438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A+</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not rated</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A</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not rated</w:t>
            </w:r>
          </w:p>
        </w:tc>
      </w:tr>
      <w:tr>
        <w:trPr>
          <w:trHeight w:val="205"/>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Somerset Reinsurance Ltd</w:t>
            </w:r>
          </w:p>
        </w:tc>
        <w:tc>
          <w:tcPr>
            <w:tcW w:w="4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w:t>
            </w:r>
          </w:p>
        </w:tc>
        <w:tc>
          <w:tcPr>
            <w:tcW w:w="13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BBB+</w:t>
            </w:r>
          </w:p>
        </w:tc>
        <w:tc>
          <w:tcPr>
            <w:tcW w:w="13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7"/>
              </w:rPr>
              <w:t>not rated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not rated</w:t>
            </w:r>
          </w:p>
        </w:tc>
      </w:tr>
      <w:tr>
        <w:trPr>
          <w:trHeight w:val="183"/>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Everlake</w:t>
            </w:r>
          </w:p>
        </w:tc>
        <w:tc>
          <w:tcPr>
            <w:tcW w:w="4380" w:type="dxa"/>
            <w:vAlign w:val="bottom"/>
          </w:tcPr>
          <w:p>
            <w:pPr>
              <w:spacing w:after="0"/>
              <w:rPr>
                <w:sz w:val="15"/>
                <w:szCs w:val="15"/>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A+</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not rated</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not rated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not rated</w:t>
            </w:r>
          </w:p>
        </w:tc>
      </w:tr>
    </w:tbl>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Reinsurance Transactions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significant changes to third-party reinsurance agreements for the year ended December 31, 2023:</w:t>
      </w:r>
    </w:p>
    <w:p>
      <w:pPr>
        <w:spacing w:after="0" w:line="238"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Everlake and Somerset: </w:t>
      </w:r>
      <w:r>
        <w:rPr>
          <w:rFonts w:ascii="Times New Roman" w:cs="Times New Roman" w:eastAsia="Times New Roman" w:hAnsi="Times New Roman"/>
          <w:sz w:val="18"/>
          <w:szCs w:val="18"/>
          <w:color w:val="auto"/>
        </w:rPr>
        <w:t>The Company executed flow reinsurance agreements with Everlake and Somerset, third-party reinsurers, to cede certain MYGA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written effective September 1, 2023, and December 1, 2023, respectively, on a coinsurance quota share basis.</w:t>
      </w:r>
    </w:p>
    <w:p>
      <w:pPr>
        <w:spacing w:after="0" w:line="190"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Canada Life: </w:t>
      </w:r>
      <w:r>
        <w:rPr>
          <w:rFonts w:ascii="Times New Roman" w:cs="Times New Roman" w:eastAsia="Times New Roman" w:hAnsi="Times New Roman"/>
          <w:sz w:val="18"/>
          <w:szCs w:val="18"/>
          <w:color w:val="auto"/>
        </w:rPr>
        <w:t>Effective May 1, 2020, the Company entered into an indemnity reinsurance agreement with Canada Life Assurance Company (“Canada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United States Branch, a third-party reinsurer, to reinsure FIA policies with GMWB Riders. In accordance with the terms of this agreement, F&amp;G cedes a quota share percentage of the net retention of guaranteed payments in excess of account value for GMWB. Effective December 31, 2023, we entered a Recapture and Termination Agreement with Canada Life whereby 100% of the liabilities and obligations were recaptured.</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significant changes to third party reinsurance agreements for the year ended December 31, 2022.</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Intercompany Reinsurance Agreements</w:t>
      </w:r>
    </w:p>
    <w:p>
      <w:pPr>
        <w:spacing w:after="0" w:line="297"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 Company executes various intercompany reinsurance agreements between its insurance subsidiaries, including offshore entities, for purposes of managing regulatory statutory capital and risk. Since these agreements are intercompany, the financial impacts are eliminated in the preparation of the Consolidated Financial Statements included within this Annual Report on Form 10-K.</w:t>
      </w:r>
    </w:p>
    <w:p>
      <w:pPr>
        <w:spacing w:after="0" w:line="22"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Some of these intercompany transactions are executed with wholly owned reinsurance subsidiaries, Corbeau Re, Inc. (“Corbeau Re”), Raven Reinsurance Company (“Raven Re”) and F&amp;G Cayman Re (“Cayman Re”), to finance the portion of statutory reserves considered to be non-economic. The financing arrangements involve FGLIC reinsuring certain annuity products and their related rider benefits to the captives and the captives executing third-party financing facilities that are classified as capital for statutory purposes.</w:t>
      </w:r>
    </w:p>
    <w:p>
      <w:pPr>
        <w:spacing w:after="0" w:line="25"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The transaction with Raven Re and Cayman Re included the execution of letter of credits with Nomura Bank International plc (“NBI”) and Deutsche Bank AG (“DB”), respectively, that are undrawn and have maximum borrowing capacities of $200 million and $200 million, respectively, as of December 31, 2023. The transaction with Corbeau Re included the execution of an excess of loss agreement (“XOL”) with Canada Life Barbados Branch that matures on December 31, 2043, and provides for coverage on losses up to $1,500 million as of December 31, 2023. With Corbeau Re, non-economic reserves were financed through the maturity date of the XOL and statutory reserves are recorded for all risks expected to be incurred after the maturity date of the XOL. The XOL is not accounted for as reinsurance as it does not satisfy the risk transfer requirements for GAAP; therefore, deposit accounting is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 Regulation and Equity</w:t>
      </w: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85"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that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that set rates, to states where individual companies or associations of companies prepare rate filings that are submitted for approval, to a few states in which rate changes do not need to be filed for approval.</w:t>
      </w:r>
    </w:p>
    <w:p>
      <w:pPr>
        <w:spacing w:after="0" w:line="72"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Since we are regulated by both state and federal governments and the applicable insurance laws and regulations are constantly subject to change, it is not possible to predict the potential effects on our insurance operations, particularly the Title segment, of any laws or regulations that may become more restrictive in the future or if new restrictive laws will be enacted.</w:t>
      </w:r>
    </w:p>
    <w:p>
      <w:pPr>
        <w:spacing w:after="0" w:line="61" w:lineRule="exact"/>
        <w:rPr>
          <w:sz w:val="20"/>
          <w:szCs w:val="20"/>
          <w:color w:val="auto"/>
        </w:rPr>
      </w:pPr>
    </w:p>
    <w:p>
      <w:pPr>
        <w:jc w:val="both"/>
        <w:ind w:firstLine="316"/>
        <w:spacing w:after="0" w:line="286" w:lineRule="auto"/>
        <w:rPr>
          <w:sz w:val="20"/>
          <w:szCs w:val="20"/>
          <w:color w:val="auto"/>
        </w:rPr>
      </w:pPr>
      <w:r>
        <w:rPr>
          <w:rFonts w:ascii="Times New Roman" w:cs="Times New Roman" w:eastAsia="Times New Roman" w:hAnsi="Times New Roman"/>
          <w:sz w:val="16"/>
          <w:szCs w:val="16"/>
          <w:color w:val="auto"/>
        </w:rPr>
        <w:t>Statutory-basis financial statements are prepared in accordance with accounting practices prescribed or permitted by the various state insurance regulatory authorities. The National Association of Insurance Commissioners' (“NAIC”</w:t>
      </w:r>
      <w:r>
        <w:rPr>
          <w:rFonts w:ascii="Times New Roman" w:cs="Times New Roman" w:eastAsia="Times New Roman" w:hAnsi="Times New Roman"/>
          <w:sz w:val="16"/>
          <w:szCs w:val="16"/>
          <w:i w:val="1"/>
          <w:iCs w:val="1"/>
          <w:color w:val="auto"/>
        </w:rPr>
        <w:t>) Accounting Practices and Procedures</w:t>
      </w:r>
      <w:r>
        <w:rPr>
          <w:rFonts w:ascii="Times New Roman" w:cs="Times New Roman" w:eastAsia="Times New Roman" w:hAnsi="Times New Roman"/>
          <w:sz w:val="16"/>
          <w:szCs w:val="16"/>
          <w:color w:val="auto"/>
        </w:rPr>
        <w:t xml:space="preserve"> manual (“NAIC SAP”) has been adopted as a component of prescribed or permitted practices by each of the states 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2023 and 2022 was lower by approximately $34 million and $32 million than if we had reported such amounts in accordance with NAIC SAP.</w:t>
      </w:r>
    </w:p>
    <w:p>
      <w:pPr>
        <w:spacing w:after="0" w:line="27"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2023, the combined statutory unearned premium reserve required and reported for our title insurers was $1,659 million. In addition to statutory unearned premium reserves, each of our insurers maintains reserves for known claims and surplus funds for policyholder protection and business operations.</w:t>
      </w:r>
    </w:p>
    <w:p>
      <w:pPr>
        <w:spacing w:after="0" w:line="67"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61"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2023, $1,145 million of our net assets are restricted from dividend payments without prior approval from the Departments of Insurance. During 2024, our title insurers can pay or make distributions to us of approximately $471 million, without prior approval.</w:t>
      </w:r>
    </w:p>
    <w:p>
      <w:pPr>
        <w:spacing w:after="0" w:line="52"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The combined statutory capital and surplus of our title insurers was approximately $1,225 million and $1,350 million as of December 31, 2023 and 2022, respectively. The combined statutory net earnings of our title insurance subsidiaries were $503 million, $778 million, and $936 million for the years ended December 31, 2023, 2022, and 2021, respectively.</w:t>
      </w:r>
    </w:p>
    <w:p>
      <w:pPr>
        <w:spacing w:after="0" w:line="6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61" w:lineRule="exact"/>
        <w:rPr>
          <w:sz w:val="20"/>
          <w:szCs w:val="20"/>
          <w:color w:val="auto"/>
        </w:rPr>
      </w:pPr>
    </w:p>
    <w:p>
      <w:pPr>
        <w:jc w:val="both"/>
        <w:ind w:firstLine="320"/>
        <w:spacing w:after="0" w:line="256" w:lineRule="auto"/>
        <w:rPr>
          <w:sz w:val="20"/>
          <w:szCs w:val="20"/>
          <w:color w:val="auto"/>
        </w:rPr>
      </w:pPr>
      <w:r>
        <w:rPr>
          <w:rFonts w:ascii="Times New Roman" w:cs="Times New Roman" w:eastAsia="Times New Roman" w:hAnsi="Times New Roman"/>
          <w:sz w:val="18"/>
          <w:szCs w:val="18"/>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insurers has complied with the minimum statutory requirements as of December 31, 2023.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47"/>
        <w:spacing w:after="0" w:line="256" w:lineRule="auto"/>
        <w:rPr>
          <w:sz w:val="20"/>
          <w:szCs w:val="20"/>
          <w:color w:val="auto"/>
        </w:rPr>
      </w:pPr>
      <w:r>
        <w:rPr>
          <w:rFonts w:ascii="Times New Roman" w:cs="Times New Roman" w:eastAsia="Times New Roman" w:hAnsi="Times New Roman"/>
          <w:sz w:val="18"/>
          <w:szCs w:val="18"/>
          <w:color w:val="auto"/>
        </w:rPr>
        <w:t>Our underwritten title companies, primarily those domiciled in California, are also subject to certain regulation by insurance regulatory or banking 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2023.</w:t>
      </w:r>
    </w:p>
    <w:p>
      <w:pPr>
        <w:spacing w:after="0" w:line="61" w:lineRule="exact"/>
        <w:rPr>
          <w:sz w:val="20"/>
          <w:szCs w:val="20"/>
          <w:color w:val="auto"/>
        </w:rPr>
      </w:pPr>
    </w:p>
    <w:p>
      <w:pPr>
        <w:jc w:val="both"/>
        <w:ind w:right="20" w:firstLine="316"/>
        <w:spacing w:after="0" w:line="268" w:lineRule="auto"/>
        <w:rPr>
          <w:sz w:val="20"/>
          <w:szCs w:val="20"/>
          <w:color w:val="auto"/>
        </w:rPr>
      </w:pPr>
      <w:r>
        <w:rPr>
          <w:rFonts w:ascii="Times New Roman" w:cs="Times New Roman" w:eastAsia="Times New Roman" w:hAnsi="Times New Roman"/>
          <w:sz w:val="18"/>
          <w:szCs w:val="18"/>
          <w:color w:val="auto"/>
        </w:rPr>
        <w:t>There are no restrictions on our retained earnings regarding our ability to pay dividends to shareholders although there are limits on the ability of certain subsidiaries to pay dividends to us, as described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F&amp;G</w:t>
      </w:r>
    </w:p>
    <w:p>
      <w:pPr>
        <w:spacing w:after="0" w:line="85"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Through our wholly owned F&amp;G subsidiary, our insurance subsidiaries, FGL Insurance, FGL NY Insurance, Raven Re and Corbeau Re file financial statements with state insurance regulatory authorities and, with the exception of Raven Re, with the National Association of Insurance Commissioners (“NAIC”) that are prepared in accordance with Statutory Accounting Principles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The principal differences between SAP financial statements and financial statements prepared in accordance with GAAP are that SAP financial statements do not reflect VOBA, DAC, and DSI,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57"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In or F&amp;G segment, our principal insurance subsidiaries' statutory (SAP and GAAP) financial statements are based on a December 31 year end. Statutory net income and statutory capital and surplus of our wholly owned U.S. regulated insurance subsidiaries were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6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Subsidiary (state of domicile) (a)</w:t>
            </w: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4"/>
        </w:trPr>
        <w:tc>
          <w:tcPr>
            <w:tcW w:w="2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4"/>
        </w:trPr>
        <w:tc>
          <w:tcPr>
            <w:tcW w:w="28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FGL Insurance (IA)</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FGL NY Insurance (NY)</w:t>
            </w:r>
          </w:p>
        </w:tc>
        <w:tc>
          <w:tcPr>
            <w:tcW w:w="380" w:type="dxa"/>
            <w:vAlign w:val="bottom"/>
          </w:tcPr>
          <w:p>
            <w:pPr>
              <w:spacing w:after="0"/>
              <w:rPr>
                <w:sz w:val="16"/>
                <w:szCs w:val="16"/>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Raven Re (VT)</w:t>
            </w:r>
          </w:p>
        </w:tc>
        <w:tc>
          <w:tcPr>
            <w:tcW w:w="280" w:type="dxa"/>
            <w:vAlign w:val="bottom"/>
          </w:tcPr>
          <w:p>
            <w:pPr>
              <w:spacing w:after="0"/>
              <w:rPr>
                <w:sz w:val="16"/>
                <w:szCs w:val="16"/>
                <w:color w:val="auto"/>
              </w:rPr>
            </w:pPr>
          </w:p>
        </w:tc>
        <w:tc>
          <w:tcPr>
            <w:tcW w:w="174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Corbeau Re (VT)</w:t>
            </w:r>
          </w:p>
        </w:tc>
      </w:tr>
      <w:tr>
        <w:trPr>
          <w:trHeight w:val="197"/>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Net income (loss):</w:t>
            </w:r>
          </w:p>
        </w:tc>
        <w:tc>
          <w:tcPr>
            <w:tcW w:w="1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19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640" w:type="dxa"/>
            <w:vAlign w:val="bottom"/>
          </w:tcPr>
          <w:p>
            <w:pPr>
              <w:jc w:val="right"/>
              <w:ind w:right="149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6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1640" w:type="dxa"/>
            <w:vAlign w:val="bottom"/>
          </w:tcPr>
          <w:p>
            <w:pPr>
              <w:spacing w:after="0"/>
              <w:rPr>
                <w:sz w:val="16"/>
                <w:szCs w:val="16"/>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351</w:t>
            </w:r>
          </w:p>
        </w:tc>
        <w:tc>
          <w:tcPr>
            <w:tcW w:w="240" w:type="dxa"/>
            <w:vAlign w:val="bottom"/>
          </w:tcPr>
          <w:p>
            <w:pPr>
              <w:spacing w:after="0"/>
              <w:rPr>
                <w:sz w:val="16"/>
                <w:szCs w:val="16"/>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c>
          <w:tcPr>
            <w:tcW w:w="3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8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 and Surplus:</w:t>
            </w:r>
          </w:p>
        </w:tc>
        <w:tc>
          <w:tcPr>
            <w:tcW w:w="1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64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95"/>
              </w:rPr>
              <w:t>2,009</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86</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8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640" w:type="dxa"/>
            <w:vAlign w:val="bottom"/>
          </w:tcPr>
          <w:p>
            <w:pPr>
              <w:spacing w:after="0"/>
              <w:rPr>
                <w:sz w:val="15"/>
                <w:szCs w:val="15"/>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5"/>
              </w:rPr>
              <w:t>1,877</w:t>
            </w:r>
          </w:p>
        </w:tc>
        <w:tc>
          <w:tcPr>
            <w:tcW w:w="240" w:type="dxa"/>
            <w:vAlign w:val="bottom"/>
          </w:tcPr>
          <w:p>
            <w:pPr>
              <w:spacing w:after="0"/>
              <w:rPr>
                <w:sz w:val="15"/>
                <w:szCs w:val="15"/>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82</w:t>
            </w:r>
          </w:p>
        </w:tc>
        <w:tc>
          <w:tcPr>
            <w:tcW w:w="3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FGL NY Insurance, Raven Re and Corbeau Re are subsidiaries of FGL Insurance, and the columns should not be added together. Corbeau Re was incorporated on September 1, 2023.</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Regulation - U.S. Companies</w:t>
      </w:r>
    </w:p>
    <w:p>
      <w:pPr>
        <w:spacing w:after="0" w:line="10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FGL Insurance, FGL NY Insurance, Raven Re's and Corbeau Re’s respective statutory capital and surplus satisfy the applicable minimum regulatory requirements.</w:t>
      </w:r>
    </w:p>
    <w:p>
      <w:pPr>
        <w:spacing w:after="0" w:line="196"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In order to enhance the regulation of insurers’ solvency, the NAIC adopted a model law to implement RBC requirements for life, health and property and casualty insurance companies. All states have adopted the NAIC’s model law or a substantially similar law. RBC is used to evaluate the adequacy of capital and surplus maintained by an insurance company in relation to risks associated with: (i) asset risk, (ii) insurance risk, (iii) interest rate risk, and (iv) business risk. As of the most recent annual statutory financial statements filed with insurance regulators, the RBC ratios for FGL Insurance and FGL NY Insurance each exceeded the minimum RBC requirements.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42"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insurance laws of Iowa and New York regulate the amount of dividends that may be paid in any year by FGL Insurance and FGL NY Insurance, respectively.</w:t>
      </w:r>
    </w:p>
    <w:p>
      <w:pPr>
        <w:spacing w:after="0" w:line="64"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Pursuant to Iowa insurance law, ordinary dividends are payments, together with all other such payments within the preceding twelve months, that do not exceed the greater of (i) 10% of FGL Insurance’s statutory surplus as regards policyholders as of December 31 of the preceding year; or (ii) the net gain from operations of FGL Insurance (excluding realized capital gains) for the 12-month period ending December 31 of the preceding year.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Dividends in excess of FGL Insurance’s ordinary dividend capacity are referred to as extraordinary and require prior approval of the Iowa Insurance Commissioner. FGL Insurance may only pay dividends out of statutory earned surplus. FGL Insurance did not pay extraordinary dividends to FGAL for the years ended December 31, 2023 and 2022, and paid extraordinary dividends of $38 million during the year ended December 31, 2021.</w:t>
      </w:r>
    </w:p>
    <w:p>
      <w:pPr>
        <w:spacing w:after="0" w:line="75"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Each year, FGL NY Insurance may pay a certain limited amount of ordinary dividends or other distributions without being required to obtain the prior consent of or the New York State Department of Financial Services (“NYDFS”). However, to pay any dividends or distributions (including the payment of any dividends or distributions for which prior consent is not required), FGL NY Insurance must provide advance written notice to the NYDFS. FGL NY Insurance has historically not paid dividends.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Prescribed and permitted practices</w:t>
      </w:r>
    </w:p>
    <w:p>
      <w:pPr>
        <w:spacing w:after="0" w:line="240"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FGL Insurance </w:t>
      </w:r>
      <w:r>
        <w:rPr>
          <w:rFonts w:ascii="Times New Roman" w:cs="Times New Roman" w:eastAsia="Times New Roman" w:hAnsi="Times New Roman"/>
          <w:sz w:val="18"/>
          <w:szCs w:val="18"/>
          <w:color w:val="auto"/>
        </w:rPr>
        <w:t>- FGL Insurance applies Iowa-prescribed accounting practices prescribed by 191 Iowa Administrative Code 97, “Accounting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Instruments Used to Hedge the Growth in Interest Credited for Indexed Insurance Products and Accounting for the Indexed Insurance Products Reserve”, for its FIA products, and as of October 1, 2022, IUL products. Under these alternative accounting practices, the call option derivative instruments that hedge the growth in interest credited on index products are accounted for at amortized cost with the corresponding amortization recorded as a decrease to net investment income and indexed annuity reserves are calculated based on Standard Valuation Law and Actuarial Guideline XXXV assuming the market value of the call options associated with the current index term is zero regardless of the observable market value for such options. This resulted in a $178 million increase and a $152 million decrease to statutory capital and surplus at December 31, 2023 and 2022, respectively.</w:t>
      </w:r>
    </w:p>
    <w:p>
      <w:pPr>
        <w:spacing w:after="0" w:line="215"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In addition, based on a permitted practice received from the Iowa Insurance Division, FGL Insurance carries one of its limited partnership interests which qualifies for accounting under SSAP No. 48, “Investments in Joint Ventures, Partnerships and Limited Liability Companies”, on a net asset value per share basis. This is a departure from SSAP No. 48 which requires such investments to be carried based on the investees underlying U.S. GAAP equity (prior to any impairment considerations). This resulted in increases to statutory capital and surplus of $16 million and $13 million at December 31, 2023 and 2022, respectively.</w:t>
      </w:r>
    </w:p>
    <w:p>
      <w:pPr>
        <w:spacing w:after="0" w:line="212"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FGL Insurance’s statutory carrying value of Raven Re reflects the effect of permitted practices Raven Re received to treat the available amount of a letter of credit as an admitted asset, which increased Raven Re’s statutory capital and surplus by $200 million at December 31, 2023 and 2022. In addition, FGL Insurance’s statutory carrying value of Corbeau Re reflects the effect of permitted practices Corbeau Re received to treat the excess of loss as an admitted asset, which increased Corbeau Re’s statutory capital and surplus by $765 million at December 31, 2023.</w:t>
      </w:r>
    </w:p>
    <w:p>
      <w:pPr>
        <w:spacing w:after="0" w:line="208"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Raven Re </w:t>
      </w:r>
      <w:r>
        <w:rPr>
          <w:rFonts w:ascii="Times New Roman" w:cs="Times New Roman" w:eastAsia="Times New Roman" w:hAnsi="Times New Roman"/>
          <w:sz w:val="18"/>
          <w:szCs w:val="18"/>
          <w:color w:val="auto"/>
        </w:rPr>
        <w:t>- Raven Re is also permitted to follow Iowa prescribed statutory accounting practice for its reserves on reinsurance assumed from FGL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also has approval to include as an admitted asset the value of a letter of credit serving as collateral for reinsurance credit taken by FGL Insurance. Without such permitted statutory accounting practices, Raven Re’s statutory capital and surplus (deficit) would be $(89) million and $(107) million as of December 31, 2023 and 2022, respectively, and its risk-based capital would fall below the minimum regulatory requirements. The letter of credit facility is collateralized by NAIC 1 rated debt securities. If the permitted practice was revoked, the letter of credit could be replaced by the collateral assets with Nomura’s consent (refer to discussion of letter of credit in Note E- </w:t>
      </w:r>
      <w:r>
        <w:rPr>
          <w:rFonts w:ascii="Times New Roman" w:cs="Times New Roman" w:eastAsia="Times New Roman" w:hAnsi="Times New Roman"/>
          <w:sz w:val="18"/>
          <w:szCs w:val="18"/>
          <w:i w:val="1"/>
          <w:iCs w:val="1"/>
          <w:color w:val="auto"/>
        </w:rPr>
        <w:t>Reinsurance</w:t>
      </w:r>
      <w:r>
        <w:rPr>
          <w:rFonts w:ascii="Times New Roman" w:cs="Times New Roman" w:eastAsia="Times New Roman" w:hAnsi="Times New Roman"/>
          <w:sz w:val="18"/>
          <w:szCs w:val="18"/>
          <w:color w:val="auto"/>
        </w:rPr>
        <w:t>). FGL Insurance’s statutory carrying value of Raven Re was $140 million and $121 million at December 31, 2023 and 2022, respectively.</w:t>
      </w:r>
    </w:p>
    <w:p>
      <w:pPr>
        <w:spacing w:after="0" w:line="213"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Corbeau Re </w:t>
      </w:r>
      <w:r>
        <w:rPr>
          <w:rFonts w:ascii="Times New Roman" w:cs="Times New Roman" w:eastAsia="Times New Roman" w:hAnsi="Times New Roman"/>
          <w:sz w:val="18"/>
          <w:szCs w:val="18"/>
          <w:color w:val="auto"/>
        </w:rPr>
        <w:t>- Corbeau Re has four permitted practices pursuant to Vermont Statute, Title 8, Chapter 141 – (8 V.S.A. § 6048k(a)(2), whereby the Vermont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authorizes the Company to (i) account for the amount equal to the excess of loss amount (“XOL Asset”) as an asset on its statutory financial statements; (ii) calculate the reserves with respect to the Retirement Pro Contracts in accordance with the following reserving methodology: the reserves are calculated as the present value of reinsured benefits when account value equals zero less the present value of reinsurance premiums from the winning integrated stream, floored at zero and capped as necessary to keep the net statutory reserve at the net cash surrender value. For benefits associated with all other contracts (“the GMWB Riders”), the reserves are calculated as the statutory reserves for the entire contract (i.e., the base contracts plus the GMWB Riders) minus the statutory reserves for the base contracts only (“Reserve Calculation Permitted Practice”); (iii) calculate its company action level risk-based capital as defined in Section 8301(13)(A) and, calculated using the risk-based capital factors and formulas prescribed by the NAIC, applying a factor of 0.62% to the XOL Asset Value; and (iv) annually perform a total company solvency analysis in lieu of cash flow testing and actuarial opinion and memorandum under Section 2010-2 of the Vermont Administrative Code. Without such permitted statutory accounting practices, the Company’s statutory capital and surplus (deficit) would be $(594) million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and its risk-based capital would fall below the minimum regulatory requirements. FGL Insurance’s statutory carrying value of Corbeau Re was $171 million at December 31, 2023</w:t>
      </w:r>
    </w:p>
    <w:p>
      <w:pPr>
        <w:spacing w:after="0" w:line="194"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FGL NY Insurance </w:t>
      </w:r>
      <w:r>
        <w:rPr>
          <w:rFonts w:ascii="Times New Roman" w:cs="Times New Roman" w:eastAsia="Times New Roman" w:hAnsi="Times New Roman"/>
          <w:sz w:val="18"/>
          <w:szCs w:val="18"/>
          <w:color w:val="auto"/>
        </w:rPr>
        <w:t>- As of December 31, 2023 and 2022, FGL NY Insurance did not follow any prescribed or permitted statutory accounting practices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 from the NAIC's statutory accounting practices.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Non-U.S. Companies</w:t>
      </w:r>
    </w:p>
    <w:p>
      <w:pPr>
        <w:spacing w:after="0" w:line="244"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Net income and capital and surplus of our wholly owned Bermuda and Cayman Islands regulated insurance subsidiaries under U.S. GAAP were as follows (in millions):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7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Subsidiary (country of domicile)</w:t>
            </w:r>
          </w:p>
        </w:tc>
        <w:tc>
          <w:tcPr>
            <w:tcW w:w="0" w:type="dxa"/>
            <w:vAlign w:val="bottom"/>
          </w:tcPr>
          <w:p>
            <w:pPr>
              <w:spacing w:after="0"/>
              <w:rPr>
                <w:sz w:val="1"/>
                <w:szCs w:val="1"/>
                <w:color w:val="auto"/>
              </w:rPr>
            </w:pPr>
          </w:p>
        </w:tc>
      </w:tr>
      <w:tr>
        <w:trPr>
          <w:trHeight w:val="24"/>
        </w:trPr>
        <w:tc>
          <w:tcPr>
            <w:tcW w:w="734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7340" w:type="dxa"/>
            <w:vAlign w:val="bottom"/>
          </w:tcPr>
          <w:p>
            <w:pPr>
              <w:spacing w:after="0"/>
              <w:rPr>
                <w:sz w:val="11"/>
                <w:szCs w:val="11"/>
                <w:color w:val="auto"/>
              </w:rPr>
            </w:pPr>
          </w:p>
        </w:tc>
        <w:tc>
          <w:tcPr>
            <w:tcW w:w="1800" w:type="dxa"/>
            <w:vAlign w:val="bottom"/>
            <w:gridSpan w:val="3"/>
          </w:tcPr>
          <w:p>
            <w:pPr>
              <w:jc w:val="right"/>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F&amp;G Cayman Re (Cayman</w:t>
            </w:r>
          </w:p>
        </w:tc>
        <w:tc>
          <w:tcPr>
            <w:tcW w:w="100" w:type="dxa"/>
            <w:vAlign w:val="bottom"/>
          </w:tcPr>
          <w:p>
            <w:pPr>
              <w:spacing w:after="0"/>
              <w:rPr>
                <w:sz w:val="11"/>
                <w:szCs w:val="11"/>
                <w:color w:val="auto"/>
              </w:rPr>
            </w:pPr>
          </w:p>
        </w:tc>
        <w:tc>
          <w:tcPr>
            <w:tcW w:w="16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F&amp;G Life Re (Bermuda)</w:t>
            </w:r>
          </w:p>
        </w:tc>
        <w:tc>
          <w:tcPr>
            <w:tcW w:w="0" w:type="dxa"/>
            <w:vAlign w:val="bottom"/>
          </w:tcPr>
          <w:p>
            <w:pPr>
              <w:spacing w:after="0"/>
              <w:rPr>
                <w:sz w:val="1"/>
                <w:szCs w:val="1"/>
                <w:color w:val="auto"/>
              </w:rPr>
            </w:pPr>
          </w:p>
        </w:tc>
      </w:tr>
      <w:tr>
        <w:trPr>
          <w:trHeight w:val="106"/>
        </w:trPr>
        <w:tc>
          <w:tcPr>
            <w:tcW w:w="7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Islands)</w:t>
            </w:r>
          </w:p>
        </w:tc>
        <w:tc>
          <w:tcPr>
            <w:tcW w:w="1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Net income (loss):</w:t>
            </w:r>
          </w:p>
        </w:tc>
        <w:tc>
          <w:tcPr>
            <w:tcW w:w="36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7340" w:type="dxa"/>
            <w:vAlign w:val="bottom"/>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1"/>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 and Surplus (Deficit):</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87"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On August 3, 2021, our Board of Directors approved the 2021 Repurchase Program under which we may purchase up to 25 million shares of our FNF common stock through July 31, 2024, replacing the prior stock repurchase program that expired on July 31, 2021. We may make repurchases from time to time in the open market, in block purchases or in privately negotiated transactions, depending on market conditions and other factors. During the year ended December 31, 2023, we repurchased a total of 100,000 FNF common shares for an aggregate of $4 million or an average of $38.45 per share.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 - Leases</w:t>
      </w:r>
    </w:p>
    <w:p>
      <w:pPr>
        <w:spacing w:after="0" w:line="85"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Right-of-use assets and lease liabilities related to operating leases under ASC Topic 842 are recorded when we are party to a contract, which conveys the right for us to control an asset for a specified period of time. Substantially all of our operating lease arrangements relate to rented office space and real estate for our title operations. We generally are not a party to any material contracts considered finance leases. Right-of-use assets and lease liabilities under ASC Topic 842 are recorded as Lease assets and Lease liabilities, respectively, on the Consolidated Balance Sheet as of December 31, 2023.</w:t>
      </w:r>
    </w:p>
    <w:p>
      <w:pPr>
        <w:spacing w:after="0" w:line="7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Our operating leases range in term from one to ten years. As of December 31, 2023, the weighted-average remaining lease term of our operating leases was 4.3 years.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lease agreements do not contain material variable lease payments, buyout options, residual value guarantees or restrictive covenants.</w:t>
      </w:r>
    </w:p>
    <w:p>
      <w:pPr>
        <w:spacing w:after="0" w:line="109"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Most of our leases include one or more options to renew, with renewal terms that can extend the lease term by varying amounts. The exercise of lease renewal options is at our sole discretion. We do not include options to renew in our measurement of lease assets and lease liabilities as they are not considered reasonably assured of exercise.</w:t>
      </w:r>
    </w:p>
    <w:p>
      <w:pPr>
        <w:spacing w:after="0" w:line="75" w:lineRule="exact"/>
        <w:rPr>
          <w:sz w:val="20"/>
          <w:szCs w:val="20"/>
          <w:color w:val="auto"/>
        </w:rPr>
      </w:pPr>
    </w:p>
    <w:p>
      <w:pPr>
        <w:jc w:val="both"/>
        <w:ind w:firstLine="316"/>
        <w:spacing w:after="0" w:line="303" w:lineRule="auto"/>
        <w:rPr>
          <w:sz w:val="20"/>
          <w:szCs w:val="20"/>
          <w:color w:val="auto"/>
        </w:rPr>
      </w:pPr>
      <w:r>
        <w:rPr>
          <w:rFonts w:ascii="Times New Roman" w:cs="Times New Roman" w:eastAsia="Times New Roman" w:hAnsi="Times New Roman"/>
          <w:sz w:val="16"/>
          <w:szCs w:val="16"/>
          <w:color w:val="auto"/>
        </w:rPr>
        <w:t>Our operating lease liability is determined by discounting future lease payments using a discount rate based on our incremental borrowing rate for similar collateralized borrowing. The discount rate is calculated as an average of the current yield on our unsecured notes payable and 140 basis points in excess of the current five year LIBOR swap rate. As of December 31, 2023, the weighted-average discount rate used to determine our operating lease liability was 4.2%.</w:t>
      </w:r>
    </w:p>
    <w:p>
      <w:pPr>
        <w:spacing w:after="0" w:line="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do not separate lease components from non-lease components for any of our right-of-use assets.</w:t>
      </w:r>
    </w:p>
    <w:p>
      <w:pPr>
        <w:spacing w:after="0" w:line="109"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Our lease costs are included in Other operating expenses on the Consolidated Statements of Earnings and was $137 million, $142 million and $139 million for the years ended December 31, 2023, 2022 and 2021, respectively. We do not have any material short term lease costs, variable lease costs, or sublease income.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payments under operating lease arrangements accounted for under ASC Topic 842 as of December 31, 2023, are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90"/>
        </w:trPr>
        <w:tc>
          <w:tcPr>
            <w:tcW w:w="9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5"/>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90"/>
        </w:trPr>
        <w:tc>
          <w:tcPr>
            <w:tcW w:w="9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5"/>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1"/>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7"/>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payments, undiscounted</w:t>
            </w: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184"/>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present value discount</w:t>
            </w: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22"/>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at present value</w:t>
            </w: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color w:val="auto"/>
        </w:rPr>
        <w:t xml:space="preserve">See Note K </w:t>
      </w:r>
      <w:r>
        <w:rPr>
          <w:rFonts w:ascii="Times New Roman" w:cs="Times New Roman" w:eastAsia="Times New Roman" w:hAnsi="Times New Roman"/>
          <w:sz w:val="18"/>
          <w:szCs w:val="18"/>
          <w:i w:val="1"/>
          <w:iCs w:val="1"/>
          <w:color w:val="auto"/>
        </w:rPr>
        <w:t>Supplementary Cash Flow Information</w:t>
      </w:r>
      <w:r>
        <w:rPr>
          <w:rFonts w:ascii="Times New Roman" w:cs="Times New Roman" w:eastAsia="Times New Roman" w:hAnsi="Times New Roman"/>
          <w:sz w:val="18"/>
          <w:szCs w:val="18"/>
          <w:color w:val="auto"/>
        </w:rPr>
        <w:t xml:space="preserve"> for certain information on noncash investing and financing activities related to our operating lease arrangements.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 - Property and Equipment</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8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91"/>
        </w:trPr>
        <w:tc>
          <w:tcPr>
            <w:tcW w:w="88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4"/>
        </w:trPr>
        <w:tc>
          <w:tcPr>
            <w:tcW w:w="8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r>
      <w:tr>
        <w:trPr>
          <w:trHeight w:val="186"/>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74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24"/>
        </w:trPr>
        <w:tc>
          <w:tcPr>
            <w:tcW w:w="8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7"/>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Data processing equipment</w:t>
            </w: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190"/>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7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205"/>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Buildings</w:t>
            </w: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90"/>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7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5"/>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3"/>
        </w:trPr>
        <w:tc>
          <w:tcPr>
            <w:tcW w:w="8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property and equipment, gross</w:t>
            </w:r>
          </w:p>
        </w:tc>
        <w:tc>
          <w:tcPr>
            <w:tcW w:w="7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r>
      <w:tr>
        <w:trPr>
          <w:trHeight w:val="198"/>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7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(376)</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r>
      <w:tr>
        <w:trPr>
          <w:trHeight w:val="197"/>
        </w:trPr>
        <w:tc>
          <w:tcPr>
            <w:tcW w:w="8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0"/>
        </w:trPr>
        <w:tc>
          <w:tcPr>
            <w:tcW w:w="8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Depreciation expense on property and equipment was $55 million, $59 million and $45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S - Accounts Payable and Other Accrued Liabilities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Accounts payable and other accrued liabilities consist of the following:</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4"/>
        </w:trPr>
        <w:tc>
          <w:tcPr>
            <w:tcW w:w="8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8460" w:type="dxa"/>
            <w:vAlign w:val="bottom"/>
          </w:tcPr>
          <w:p>
            <w:pPr>
              <w:spacing w:after="0"/>
              <w:rPr>
                <w:sz w:val="16"/>
                <w:szCs w:val="16"/>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8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r>
      <w:tr>
        <w:trPr>
          <w:trHeight w:val="204"/>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incentives</w:t>
            </w:r>
          </w:p>
        </w:tc>
        <w:tc>
          <w:tcPr>
            <w:tcW w:w="8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90"/>
        </w:trPr>
        <w:tc>
          <w:tcPr>
            <w:tcW w:w="8460" w:type="dxa"/>
            <w:vAlign w:val="bottom"/>
          </w:tcPr>
          <w:p>
            <w:pPr>
              <w:spacing w:after="0"/>
              <w:rPr>
                <w:sz w:val="20"/>
                <w:szCs w:val="20"/>
                <w:color w:val="auto"/>
              </w:rPr>
            </w:pPr>
            <w:r>
              <w:rPr>
                <w:rFonts w:ascii="Times New Roman" w:cs="Times New Roman" w:eastAsia="Times New Roman" w:hAnsi="Times New Roman"/>
                <w:sz w:val="14"/>
                <w:szCs w:val="14"/>
                <w:color w:val="auto"/>
              </w:rPr>
              <w:t>Accrued benefits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r>
      <w:tr>
        <w:trPr>
          <w:trHeight w:val="20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URL</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90"/>
        </w:trPr>
        <w:tc>
          <w:tcPr>
            <w:tcW w:w="846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0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 - acquisitions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0"/>
        </w:trPr>
        <w:tc>
          <w:tcPr>
            <w:tcW w:w="8460" w:type="dxa"/>
            <w:vAlign w:val="bottom"/>
          </w:tcPr>
          <w:p>
            <w:pPr>
              <w:spacing w:after="0"/>
              <w:rPr>
                <w:sz w:val="20"/>
                <w:szCs w:val="20"/>
                <w:color w:val="auto"/>
              </w:rPr>
            </w:pPr>
            <w:r>
              <w:rPr>
                <w:rFonts w:ascii="Times New Roman" w:cs="Times New Roman" w:eastAsia="Times New Roman" w:hAnsi="Times New Roman"/>
                <w:sz w:val="14"/>
                <w:szCs w:val="14"/>
                <w:color w:val="auto"/>
              </w:rPr>
              <w:t>Trade accounts payable</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0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recording fees and transfer taxes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0"/>
        </w:trPr>
        <w:tc>
          <w:tcPr>
            <w:tcW w:w="8460" w:type="dxa"/>
            <w:vAlign w:val="bottom"/>
          </w:tcPr>
          <w:p>
            <w:pPr>
              <w:spacing w:after="0"/>
              <w:rPr>
                <w:sz w:val="20"/>
                <w:szCs w:val="20"/>
                <w:color w:val="auto"/>
              </w:rPr>
            </w:pPr>
            <w:r>
              <w:rPr>
                <w:rFonts w:ascii="Times New Roman" w:cs="Times New Roman" w:eastAsia="Times New Roman" w:hAnsi="Times New Roman"/>
                <w:sz w:val="14"/>
                <w:szCs w:val="14"/>
                <w:color w:val="auto"/>
              </w:rPr>
              <w:t>Accrued premium taxes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 for policy and contract claims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90"/>
        </w:trPr>
        <w:tc>
          <w:tcPr>
            <w:tcW w:w="8460" w:type="dxa"/>
            <w:vAlign w:val="bottom"/>
          </w:tcPr>
          <w:p>
            <w:pPr>
              <w:spacing w:after="0"/>
              <w:rPr>
                <w:sz w:val="20"/>
                <w:szCs w:val="20"/>
                <w:color w:val="auto"/>
              </w:rPr>
            </w:pPr>
            <w:r>
              <w:rPr>
                <w:rFonts w:ascii="Times New Roman" w:cs="Times New Roman" w:eastAsia="Times New Roman" w:hAnsi="Times New Roman"/>
                <w:sz w:val="14"/>
                <w:szCs w:val="14"/>
                <w:color w:val="auto"/>
              </w:rPr>
              <w:t>Retained asset account</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0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Remittances and items not allocated</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90"/>
        </w:trPr>
        <w:tc>
          <w:tcPr>
            <w:tcW w:w="8460" w:type="dxa"/>
            <w:vAlign w:val="bottom"/>
          </w:tcPr>
          <w:p>
            <w:pPr>
              <w:spacing w:after="0"/>
              <w:rPr>
                <w:sz w:val="20"/>
                <w:szCs w:val="20"/>
                <w:color w:val="auto"/>
              </w:rPr>
            </w:pPr>
            <w:r>
              <w:rPr>
                <w:rFonts w:ascii="Times New Roman" w:cs="Times New Roman" w:eastAsia="Times New Roman" w:hAnsi="Times New Roman"/>
                <w:sz w:val="14"/>
                <w:szCs w:val="14"/>
                <w:color w:val="auto"/>
              </w:rPr>
              <w:t>Option collateral liabilities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98"/>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accrued liabilities</w:t>
            </w:r>
          </w:p>
        </w:tc>
        <w:tc>
          <w:tcPr>
            <w:tcW w:w="8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191"/>
        </w:trPr>
        <w:tc>
          <w:tcPr>
            <w:tcW w:w="8460" w:type="dxa"/>
            <w:vAlign w:val="bottom"/>
          </w:tcPr>
          <w:p>
            <w:pPr>
              <w:spacing w:after="0"/>
              <w:rPr>
                <w:sz w:val="16"/>
                <w:szCs w:val="16"/>
                <w:color w:val="auto"/>
              </w:rPr>
            </w:pPr>
          </w:p>
        </w:tc>
        <w:tc>
          <w:tcPr>
            <w:tcW w:w="8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2,326</w:t>
            </w:r>
          </w:p>
        </w:tc>
      </w:tr>
      <w:tr>
        <w:trPr>
          <w:trHeight w:val="26"/>
        </w:trPr>
        <w:tc>
          <w:tcPr>
            <w:tcW w:w="8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roll forward URL for the years ended December 31, 2023 and December 31, 2022:</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42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8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8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shd w:val="clear" w:color="auto" w:fill="CCEEFF"/>
          </w:tcPr>
          <w:p>
            <w:pPr>
              <w:spacing w:after="0"/>
              <w:rPr>
                <w:sz w:val="16"/>
                <w:szCs w:val="16"/>
                <w:color w:val="auto"/>
              </w:rPr>
            </w:pPr>
          </w:p>
        </w:tc>
      </w:tr>
      <w:tr>
        <w:trPr>
          <w:trHeight w:val="190"/>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January 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166</w:t>
            </w:r>
          </w:p>
        </w:tc>
      </w:tr>
      <w:tr>
        <w:trPr>
          <w:trHeight w:val="205"/>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119</w:t>
            </w:r>
          </w:p>
        </w:tc>
      </w:tr>
      <w:tr>
        <w:trPr>
          <w:trHeight w:val="191"/>
        </w:trPr>
        <w:tc>
          <w:tcPr>
            <w:tcW w:w="8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(15)</w:t>
            </w:r>
          </w:p>
        </w:tc>
      </w:tr>
      <w:tr>
        <w:trPr>
          <w:trHeight w:val="222"/>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270</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420" w:type="dxa"/>
            <w:vAlign w:val="bottom"/>
          </w:tcPr>
          <w:p>
            <w:pPr>
              <w:spacing w:after="0"/>
              <w:rPr>
                <w:sz w:val="16"/>
                <w:szCs w:val="16"/>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8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8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shd w:val="clear" w:color="auto" w:fill="CCEEFF"/>
          </w:tcPr>
          <w:p>
            <w:pPr>
              <w:spacing w:after="0"/>
              <w:rPr>
                <w:sz w:val="16"/>
                <w:szCs w:val="16"/>
                <w:color w:val="auto"/>
              </w:rPr>
            </w:pPr>
          </w:p>
        </w:tc>
      </w:tr>
      <w:tr>
        <w:trPr>
          <w:trHeight w:val="190"/>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January 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5"/>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91"/>
        </w:trPr>
        <w:tc>
          <w:tcPr>
            <w:tcW w:w="8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22"/>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For IUL the cash flow assumptions used to amortize URL reflect the company’s best estimates for policyholder behavior. We review cash flow assumptions annually, generally in the third quarter. In 2023, F&amp;G undertook a review of all significant assumptions and there were changes to IUL assumptions involving surrender rates and premium persistency. In 2022, F&amp;G undertook a review of all significant assumptions and there were no changes with a significant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T — Income Taxes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tax expense (benefit) on continuing operations consists of the following:</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20" w:type="dxa"/>
            <w:vAlign w:val="bottom"/>
          </w:tcPr>
          <w:p>
            <w:pPr>
              <w:spacing w:after="0"/>
              <w:rPr>
                <w:sz w:val="16"/>
                <w:szCs w:val="16"/>
                <w:color w:val="auto"/>
              </w:rPr>
            </w:pPr>
          </w:p>
        </w:tc>
      </w:tr>
      <w:tr>
        <w:trPr>
          <w:trHeight w:val="24"/>
        </w:trPr>
        <w:tc>
          <w:tcPr>
            <w:tcW w:w="76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4"/>
        </w:trPr>
        <w:tc>
          <w:tcPr>
            <w:tcW w:w="76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7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7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191"/>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16"/>
        </w:trPr>
        <w:tc>
          <w:tcPr>
            <w:tcW w:w="76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income tax expense was allocated as follows: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20" w:type="dxa"/>
            <w:vAlign w:val="bottom"/>
          </w:tcPr>
          <w:p>
            <w:pPr>
              <w:spacing w:after="0"/>
              <w:rPr>
                <w:sz w:val="16"/>
                <w:szCs w:val="16"/>
                <w:color w:val="auto"/>
              </w:rPr>
            </w:pPr>
          </w:p>
        </w:tc>
      </w:tr>
      <w:tr>
        <w:trPr>
          <w:trHeight w:val="24"/>
        </w:trPr>
        <w:tc>
          <w:tcPr>
            <w:tcW w:w="76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8"/>
        </w:trPr>
        <w:tc>
          <w:tcPr>
            <w:tcW w:w="76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7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
        </w:trPr>
        <w:tc>
          <w:tcPr>
            <w:tcW w:w="7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from continuing operations</w:t>
            </w:r>
          </w:p>
        </w:tc>
        <w:tc>
          <w:tcPr>
            <w:tcW w:w="7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r>
      <w:tr>
        <w:trPr>
          <w:trHeight w:val="19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5"/>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(loss) on investments and other financial instruments</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90"/>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gain (loss) on foreign currency translation and cash flow hedging</w:t>
            </w: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current discount rate - future policy benefits</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0"/>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instrument - specific credit risk - market risk benefits</w:t>
            </w: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5"/>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F&amp;G 15% Distribution</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Minimum pension liability adjustment</w:t>
            </w:r>
          </w:p>
        </w:tc>
        <w:tc>
          <w:tcPr>
            <w:tcW w:w="76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expense (benefit) allocated to other comprehensive earnings</w:t>
            </w: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9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 tax expense (benefit)</w:t>
            </w:r>
          </w:p>
        </w:tc>
        <w:tc>
          <w:tcPr>
            <w:tcW w:w="7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w:t>
            </w:r>
          </w:p>
        </w:tc>
      </w:tr>
      <w:tr>
        <w:trPr>
          <w:trHeight w:val="20"/>
        </w:trPr>
        <w:tc>
          <w:tcPr>
            <w:tcW w:w="7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federal statutory rate to our effective tax rate is as follows:</w:t>
      </w:r>
    </w:p>
    <w:p>
      <w:pPr>
        <w:spacing w:after="0" w:line="37"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2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statutory rate</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w:t>
            </w:r>
          </w:p>
        </w:tc>
      </w:tr>
      <w:tr>
        <w:trPr>
          <w:trHeight w:val="205"/>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(0.2)</w:t>
            </w:r>
          </w:p>
        </w:tc>
      </w:tr>
      <w:tr>
        <w:trPr>
          <w:trHeight w:val="19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(0.2)</w:t>
            </w:r>
          </w:p>
        </w:tc>
      </w:tr>
      <w:tr>
        <w:trPr>
          <w:trHeight w:val="205"/>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 for deferred tax assets</w:t>
            </w: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(0.4)</w:t>
            </w:r>
          </w:p>
        </w:tc>
      </w:tr>
      <w:tr>
        <w:trPr>
          <w:trHeight w:val="19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 on Capital Loss Carryback</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Officers Compensation</w:t>
            </w: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w:t>
            </w:r>
          </w:p>
        </w:tc>
      </w:tr>
      <w:tr>
        <w:trPr>
          <w:trHeight w:val="191"/>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Non-deductible expenses and other, net</w:t>
            </w: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w:t>
            </w:r>
          </w:p>
        </w:tc>
      </w:tr>
      <w:tr>
        <w:trPr>
          <w:trHeight w:val="217"/>
        </w:trPr>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Effective tax rate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22.8 %</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significant components of deferred tax assets and liabilities consist of the following:</w:t>
      </w:r>
    </w:p>
    <w:p>
      <w:pPr>
        <w:spacing w:after="0" w:line="37"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8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Pr>
          <w:p>
            <w:pPr>
              <w:spacing w:after="0"/>
              <w:rPr>
                <w:sz w:val="16"/>
                <w:szCs w:val="16"/>
                <w:color w:val="auto"/>
              </w:rPr>
            </w:pPr>
          </w:p>
        </w:tc>
      </w:tr>
      <w:tr>
        <w:trPr>
          <w:trHeight w:val="24"/>
        </w:trPr>
        <w:tc>
          <w:tcPr>
            <w:tcW w:w="8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4"/>
        </w:trPr>
        <w:tc>
          <w:tcPr>
            <w:tcW w:w="8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1"/>
        </w:trPr>
        <w:tc>
          <w:tcPr>
            <w:tcW w:w="8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Pr>
          <w:p>
            <w:pPr>
              <w:spacing w:after="0"/>
              <w:rPr>
                <w:sz w:val="16"/>
                <w:szCs w:val="16"/>
                <w:color w:val="auto"/>
              </w:rPr>
            </w:pPr>
          </w:p>
        </w:tc>
      </w:tr>
      <w:tr>
        <w:trPr>
          <w:trHeight w:val="20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0"/>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benefit accruals</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0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90"/>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0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0"/>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r>
      <w:tr>
        <w:trPr>
          <w:trHeight w:val="20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loss carryover</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0"/>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Life insurance and claim related adjustments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20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held under reinsurance agreements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90"/>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Bermuda corporate income tax net operating loss carryforward</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7"/>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gross deferred tax asset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r>
      <w:tr>
        <w:trPr>
          <w:trHeight w:val="191"/>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197"/>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deferred tax asset</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w:t>
            </w:r>
          </w:p>
        </w:tc>
      </w:tr>
      <w:tr>
        <w:trPr>
          <w:trHeight w:val="167"/>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4"/>
        </w:trPr>
        <w:tc>
          <w:tcPr>
            <w:tcW w:w="8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plant</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0"/>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goodwill and intangible assets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0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0"/>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Partnerships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90"/>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Value of business acquired</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20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acquisition costs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90"/>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Transition reserve on new reserve method</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held under reinsurance agreements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91"/>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Title Insurance reserve discounting</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1"/>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deferred tax liability</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r>
      <w:tr>
        <w:trPr>
          <w:trHeight w:val="197"/>
        </w:trPr>
        <w:tc>
          <w:tcPr>
            <w:tcW w:w="8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deferred tax asset</w:t>
            </w: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16"/>
        <w:spacing w:after="0" w:line="231" w:lineRule="auto"/>
        <w:rPr>
          <w:sz w:val="20"/>
          <w:szCs w:val="20"/>
          <w:color w:val="auto"/>
        </w:rPr>
      </w:pPr>
      <w:r>
        <w:rPr>
          <w:rFonts w:ascii="Times New Roman" w:cs="Times New Roman" w:eastAsia="Times New Roman" w:hAnsi="Times New Roman"/>
          <w:sz w:val="18"/>
          <w:szCs w:val="18"/>
          <w:color w:val="auto"/>
        </w:rPr>
        <w:t>Our net deferred tax asset (liability) was $343 million and $513 million as of December 31, 2023 and 2022, respectively. The significant changes in the deferred taxes are as follows: the deferred tax asset for investment securities decreased by $266 million primarily due to unrealized losses recorded for investment securities, of which $11 million was related to a reduction in unrealized losses in our Title segment and $255 million was primarily due to unrealized capital gains on fixed maturities in our F&amp;G segment's life insurance business. The deferred tax liability related to deferred acquisition costs increased by $152 million, which is consistent with the growth in sales in our F&amp;G segment. The reinsurance receivable deferred tax asset increased by $463 million, and the reinsurance receivable deferred tax liability increased by $434 million both due to Modco reinsurance treatment of GAAP and tax reserves. The deferred tax asset relating to life insurance receivables increased by $114 million primarily due to GAAP reserves for the year increasing by more than the tax reserves for F&amp;G.</w:t>
      </w:r>
    </w:p>
    <w:p>
      <w:pPr>
        <w:spacing w:after="0" w:line="5" w:lineRule="exact"/>
        <w:rPr>
          <w:sz w:val="20"/>
          <w:szCs w:val="20"/>
          <w:color w:val="auto"/>
        </w:rPr>
      </w:pPr>
    </w:p>
    <w:p>
      <w:pPr>
        <w:jc w:val="both"/>
        <w:ind w:firstLine="316"/>
        <w:spacing w:after="0" w:line="228" w:lineRule="auto"/>
        <w:rPr>
          <w:sz w:val="20"/>
          <w:szCs w:val="20"/>
          <w:color w:val="auto"/>
        </w:rPr>
      </w:pPr>
      <w:r>
        <w:rPr>
          <w:rFonts w:ascii="Times New Roman" w:cs="Times New Roman" w:eastAsia="Times New Roman" w:hAnsi="Times New Roman"/>
          <w:sz w:val="18"/>
          <w:szCs w:val="18"/>
          <w:color w:val="auto"/>
        </w:rPr>
        <w:t>As of December 31, 2023, we have net operating losses ("NOLs") on a pretax basis of $401 million, of which $46 million relates to our Title segment and $355 million relates to our F&amp;G segment's life insurance business, which are available to carryforward and offset future federal taxable income. The Title segment NOLs are U.S. federal NOLs arising from acquisitions made since 2012, including Buyers Protection Group, Inc., Digital Insurance Holdings, Inc. and THL Corporations (ServiceLink). Most of the NOLs are subject to an annual Internal Revenue Code Section 382 limitation. These losses will begin to expire in year 2034 and we fully anticipate utilizing the Title segment losses prior to expiration with the exception of $25 million of gross net operating losses that are offset by a $25 million valuation allowance in the Title segment. The F&amp;G NOLs are primarily indefinite life U.S. federal NOLs arising from the life insurance business of which $68 million are subject to an annual Internal Revenue Code Section 382 limitation.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39" w:lineRule="auto"/>
        <w:rPr>
          <w:sz w:val="20"/>
          <w:szCs w:val="20"/>
          <w:color w:val="auto"/>
        </w:rPr>
      </w:pPr>
      <w:r>
        <w:rPr>
          <w:rFonts w:ascii="Times New Roman" w:cs="Times New Roman" w:eastAsia="Times New Roman" w:hAnsi="Times New Roman"/>
          <w:sz w:val="18"/>
          <w:szCs w:val="18"/>
          <w:color w:val="auto"/>
        </w:rPr>
        <w:t>As of December 31, 2023 and 2022, we had $119 million and $74 million of tax credits, respectively, some of which have expiration dates and will begin to expire between 2029 and 2043. The credits primarily consist of general business credits and corporate alternative minimum tax credits, including $79 million associated with our F&amp;G segment's life insurance business. The F&amp;G segment's corporate alternative minimum tax credit has an indefinite life. We anticipate the remainder of the credits will be utilized prior to expiration with the exception of $28 million relating to general business credits in our Title segment which have a corresponding $28 million valuation allowance recorded.</w:t>
      </w:r>
    </w:p>
    <w:p>
      <w:pPr>
        <w:spacing w:after="0" w:line="88" w:lineRule="exact"/>
        <w:rPr>
          <w:sz w:val="20"/>
          <w:szCs w:val="20"/>
          <w:color w:val="auto"/>
        </w:rPr>
      </w:pPr>
    </w:p>
    <w:p>
      <w:pPr>
        <w:jc w:val="both"/>
        <w:ind w:firstLine="316"/>
        <w:spacing w:after="0" w:line="241" w:lineRule="auto"/>
        <w:rPr>
          <w:sz w:val="20"/>
          <w:szCs w:val="20"/>
          <w:color w:val="auto"/>
        </w:rPr>
      </w:pPr>
      <w:r>
        <w:rPr>
          <w:rFonts w:ascii="Times New Roman" w:cs="Times New Roman" w:eastAsia="Times New Roman" w:hAnsi="Times New Roman"/>
          <w:sz w:val="18"/>
          <w:szCs w:val="18"/>
          <w:color w:val="auto"/>
        </w:rPr>
        <w:t>As of December 31, 2023, a full valuation allowance on the net deferred tax asset related to the Bermuda corporate income tax net operating loss carryforward of $24 million was recorded. This net change in the valuation allowance of $24 million was due to the 2023 enactment of the Bermuda Corporate Income Tax.</w:t>
      </w:r>
    </w:p>
    <w:p>
      <w:pPr>
        <w:spacing w:after="0" w:line="87" w:lineRule="exact"/>
        <w:rPr>
          <w:sz w:val="20"/>
          <w:szCs w:val="20"/>
          <w:color w:val="auto"/>
        </w:rPr>
      </w:pPr>
    </w:p>
    <w:p>
      <w:pPr>
        <w:jc w:val="both"/>
        <w:ind w:firstLine="316"/>
        <w:spacing w:after="0" w:line="239" w:lineRule="auto"/>
        <w:rPr>
          <w:sz w:val="20"/>
          <w:szCs w:val="20"/>
          <w:color w:val="auto"/>
        </w:rPr>
      </w:pPr>
      <w:r>
        <w:rPr>
          <w:rFonts w:ascii="Times New Roman" w:cs="Times New Roman" w:eastAsia="Times New Roman" w:hAnsi="Times New Roman"/>
          <w:sz w:val="18"/>
          <w:szCs w:val="18"/>
          <w:color w:val="auto"/>
        </w:rPr>
        <w:t>As of December 31, 2023, a valuation allowance of $139 million on the net deferred tax asset for capital losses was recorded, of which $78 million related to our Title segment and $61 million related to our F&amp;G segment. The net change in the capital loss valuation allowance was a $20 million increase for the year ended December 31, 2023. The increase to the valuation allowance was primarily due to a $31 million increase in the valuation allowance on unrealized capital losses in the F&amp;G segment's life insurance business, offset by a decrease of $11 million in the valuation allowance on unrealized capital losses in the Title segment's bond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1"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As of December 31, 2023 and 2022, the balance of unrecognized tax benefits that would, if recognized, favorably affect our effective tax rate was $0 million and $0 million, respectively. Interest and penalties accrued on income tax uncertainties are recorded as a component of income tax expense and were $0 million and $0 million, respectively, as of December 31, 2023, and 2022.</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beginning and ending unrecognized tax benefits is as follows (in millions):</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10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r>
      <w:tr>
        <w:trPr>
          <w:trHeight w:val="24"/>
        </w:trPr>
        <w:tc>
          <w:tcPr>
            <w:tcW w:w="8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4"/>
        </w:trPr>
        <w:tc>
          <w:tcPr>
            <w:tcW w:w="8400" w:type="dxa"/>
            <w:vAlign w:val="bottom"/>
          </w:tcPr>
          <w:p>
            <w:pPr>
              <w:spacing w:after="0"/>
              <w:rPr>
                <w:sz w:val="15"/>
                <w:szCs w:val="15"/>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r>
      <w:tr>
        <w:trPr>
          <w:trHeight w:val="19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86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5"/>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Additions based on positions taken in current year</w:t>
            </w:r>
          </w:p>
        </w:tc>
        <w:tc>
          <w:tcPr>
            <w:tcW w:w="8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Reductions related to IRS accepting refund, statute of limitation lapses and audit payments</w:t>
            </w:r>
          </w:p>
        </w:tc>
        <w:tc>
          <w:tcPr>
            <w:tcW w:w="86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22"/>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86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316"/>
        <w:spacing w:after="0" w:line="236" w:lineRule="auto"/>
        <w:rPr>
          <w:sz w:val="20"/>
          <w:szCs w:val="20"/>
          <w:color w:val="auto"/>
        </w:rPr>
      </w:pPr>
      <w:r>
        <w:rPr>
          <w:rFonts w:ascii="Times New Roman" w:cs="Times New Roman" w:eastAsia="Times New Roman" w:hAnsi="Times New Roman"/>
          <w:sz w:val="18"/>
          <w:szCs w:val="18"/>
          <w:color w:val="auto"/>
        </w:rPr>
        <w:t>F&amp;G's life insurance subsidiaries, as well as certain F&amp;G non-life subsidiaries file separate tax returns from the FNF consolidated group. Prepaid expenses and other assets in the accompanying Consolidated Balance Sheets as of December 31, 2023, includes: $26 million of tax receivables related to the FNF consolidated group as well as $28 million of tax receivables and $372 million of deferred tax assets related to F&amp;G subsidiaries who file separate tax returns. As of December 31, 2022, prepaid expenses and other assets included $26 million of tax receivables related to the FNF consolidated group as well as $28 million of tax receivables and $584 million of deferred tax assets related to the F&amp;G subsidiaries.</w:t>
      </w:r>
    </w:p>
    <w:p>
      <w:pPr>
        <w:spacing w:after="0" w:line="88"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continue to be a participant in the Internal Revenue Service (“IRS”) Compliance Assurance Process that is a real-time audit. Our 2022 U.S. federal income tax return is currently under audit by the IRS. The 2023 U.S. federal income tax return remains open to examination by the IRS. We file income tax returns in various foreign and US state jurisdictions. Our state income tax returns for the 2019 through 2023 tax years remain subject to examination by state jurisdictions. The F&amp;G life insurance group files a separate consolidated return with the IRS. The F&amp;G federal income tax returns for 2018 through the current period remain open to examination by the IRS.</w:t>
      </w:r>
    </w:p>
    <w:p>
      <w:pPr>
        <w:spacing w:after="0" w:line="67" w:lineRule="exact"/>
        <w:rPr>
          <w:sz w:val="20"/>
          <w:szCs w:val="20"/>
          <w:color w:val="auto"/>
        </w:rPr>
      </w:pPr>
    </w:p>
    <w:p>
      <w:pPr>
        <w:jc w:val="both"/>
        <w:ind w:firstLine="316"/>
        <w:spacing w:after="0" w:line="241" w:lineRule="auto"/>
        <w:rPr>
          <w:sz w:val="20"/>
          <w:szCs w:val="20"/>
          <w:color w:val="auto"/>
        </w:rPr>
      </w:pPr>
      <w:r>
        <w:rPr>
          <w:rFonts w:ascii="Times New Roman" w:cs="Times New Roman" w:eastAsia="Times New Roman" w:hAnsi="Times New Roman"/>
          <w:sz w:val="18"/>
          <w:szCs w:val="18"/>
          <w:color w:val="auto"/>
        </w:rPr>
        <w:t>The Company considers its non-U.S. earnings to be indefinitely reinvested outside of the U.S. to the extent these earnings are not subject to the U.S. income tax under an anti-deferral tax regime. Given our intent to reinvest these earnings for an indefinite period of time, the Company has not accrued a deferred tax liability on these earnings. A determination of an unrecognized deferred tax liability related to these earnings is not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U - Employee Benefit Plans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Purchase Plan</w:t>
      </w:r>
    </w:p>
    <w:p>
      <w:pPr>
        <w:spacing w:after="0" w:line="87"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During the three-year period ended December 31, 2023, our eligible employees could voluntarily participate in our employee stock purchase plan (“ESPP”) sponsored by us. Pursuant to the ESPP, employees may contribute an amount between 3% and 15% of their base salary and certain commissions. We contribute varying amounts as specified in the ESPP.</w:t>
      </w:r>
    </w:p>
    <w:p>
      <w:pPr>
        <w:spacing w:after="0" w:line="6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We contributed $30 million, $36 million, and $24 million to the ESPP in the years ended December 31, 2023, 2022, and 2021, respectively, in accordance with our matching contribution.</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FNF 401(k) Profit Sharing Plan</w:t>
      </w:r>
    </w:p>
    <w:p>
      <w:pPr>
        <w:spacing w:after="0" w:line="87" w:lineRule="exact"/>
        <w:rPr>
          <w:sz w:val="20"/>
          <w:szCs w:val="20"/>
          <w:color w:val="auto"/>
        </w:rPr>
      </w:pPr>
    </w:p>
    <w:p>
      <w:pPr>
        <w:jc w:val="both"/>
        <w:ind w:firstLine="316"/>
        <w:spacing w:after="0" w:line="284" w:lineRule="auto"/>
        <w:rPr>
          <w:sz w:val="20"/>
          <w:szCs w:val="20"/>
          <w:color w:val="auto"/>
        </w:rPr>
      </w:pPr>
      <w:r>
        <w:rPr>
          <w:rFonts w:ascii="Times New Roman" w:cs="Times New Roman" w:eastAsia="Times New Roman" w:hAnsi="Times New Roman"/>
          <w:sz w:val="16"/>
          <w:szCs w:val="16"/>
          <w:color w:val="auto"/>
        </w:rPr>
        <w:t>During the three-year period ended December 31, 2023, we have offered our employees the opportunity to participate in our 401(k) profit sharing plan (the “401(k) Plan”), a qualified voluntary contributory savings plan that is available to substantially all of our employees. Eligible employees may contribute up to 40% of their pre-tax annual compensation, up to the amount allowed pursuant to the Internal Revenue Code. During the year ended December 31, 2021, we made an employer match on the 401(k) Plan of $0.375 on each $1.00 contributed up to the first 6% of eligible earnings contributed to the 401(k) Plan by employees. During the year ended December 31, 2022, we increased the employer match on the 401(k) Plan to $0.50 on each $1.00 contributed up to the first 6% of eligible earnings contributed to the 401(k) Plan by employees. The employer match was $45 million, $50 million, and $36 million for the years ended December 31, 2023, 2022 and 2021, respectively, and was credited based on the participant's individual investment elections in the FNF 401(k) Plan.</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Omnibus Incentive Plan</w:t>
      </w:r>
    </w:p>
    <w:p>
      <w:pPr>
        <w:spacing w:after="0" w:line="100" w:lineRule="exact"/>
        <w:rPr>
          <w:sz w:val="20"/>
          <w:szCs w:val="20"/>
          <w:color w:val="auto"/>
        </w:rPr>
      </w:pPr>
    </w:p>
    <w:p>
      <w:pPr>
        <w:jc w:val="both"/>
        <w:ind w:firstLine="316"/>
        <w:spacing w:after="0" w:line="246" w:lineRule="auto"/>
        <w:rPr>
          <w:sz w:val="20"/>
          <w:szCs w:val="20"/>
          <w:color w:val="auto"/>
        </w:rPr>
      </w:pPr>
      <w:r>
        <w:rPr>
          <w:rFonts w:ascii="Times New Roman" w:cs="Times New Roman" w:eastAsia="Times New Roman" w:hAnsi="Times New Roman"/>
          <w:sz w:val="18"/>
          <w:szCs w:val="18"/>
          <w:color w:val="auto"/>
        </w:rPr>
        <w:t>In 2005, we established the FNT 2005 Omnibus Incentive Plan (as amended and restated, the “Omnibus Plan”) authorizing the issuance of up to 8 million shares of common stock, subject to the terms of the Omnibus Plan. On October 23, 2006; May 29, 2008; May 25, 2011; May 22, 2013; and June 15, 2016, the shareholders of FNF approved amendments to increase the number of shares for issuance under the Omnibus Plan by 16 million, 11 million, 6 million, 6 million and 10 million shares, respectively. The primary purpose of the increases were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2023, there were 1,875,395 shares of restricted stock and no stock options outstanding under the Omnibus Plan. Awards granted are approved by the Compensation Committee of the Board of Directors. Options vest over a 3 year period and have a contractual life of 7 years. The exercise price for options granted equals the market price of the underlying stock on the grant date. Stock option grants vest according to certain time based and operating performance criteria. Option exercises by participants are settled on the open market.</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F&amp;G Omnibus Incentive Plan</w:t>
      </w:r>
    </w:p>
    <w:p>
      <w:pPr>
        <w:spacing w:after="0" w:line="100" w:lineRule="exact"/>
        <w:rPr>
          <w:sz w:val="20"/>
          <w:szCs w:val="20"/>
          <w:color w:val="auto"/>
        </w:rPr>
      </w:pPr>
    </w:p>
    <w:p>
      <w:pPr>
        <w:jc w:val="both"/>
        <w:ind w:firstLine="316"/>
        <w:spacing w:after="0" w:line="238" w:lineRule="auto"/>
        <w:rPr>
          <w:sz w:val="20"/>
          <w:szCs w:val="20"/>
          <w:color w:val="auto"/>
        </w:rPr>
      </w:pPr>
      <w:r>
        <w:rPr>
          <w:rFonts w:ascii="Times New Roman" w:cs="Times New Roman" w:eastAsia="Times New Roman" w:hAnsi="Times New Roman"/>
          <w:sz w:val="18"/>
          <w:szCs w:val="18"/>
          <w:color w:val="auto"/>
        </w:rPr>
        <w:t>On June 1, 2020, in connection with the acquisition of F&amp;G, we assumed the shares that remained available for future awards under the FGL Holdings 2017 Omnibus Incentive Plan, as amended and restated (the “F&amp;G Omnibus Plan”) and converted such shares into 2,096,429 shares of FNF common stock that may be issued pursuant to future awards granted under the F&amp;G Omnibus Plan and 2,411,585 shares of FNF common stock that may be issued pursuant to outstanding stock options under the F&amp;G Omnibus Plan. Each unvested stock option assumed under the F&amp;G Omnibus Plan was converted into an FNF stock option and vests solely on the passage of time without any ongoing performance-vesting conditions. The options vest over a 3 year period, based on the option's initial grant date, and have a contractual life of 7 years. As of December 31, 2023, there were 181,479 shares of restricted stock and 643,623 stock options outstanding under the F&amp;G Omnibus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FNF stock option transactions under the Omnibus Plan for 2023, 2022, and 2021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14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3"/>
                <w:szCs w:val="13"/>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100" w:type="dxa"/>
            <w:vAlign w:val="bottom"/>
          </w:tcPr>
          <w:p>
            <w:pPr>
              <w:spacing w:after="0"/>
              <w:rPr>
                <w:sz w:val="13"/>
                <w:szCs w:val="13"/>
                <w:color w:val="auto"/>
              </w:rPr>
            </w:pPr>
          </w:p>
        </w:tc>
        <w:tc>
          <w:tcPr>
            <w:tcW w:w="13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191"/>
        </w:trPr>
        <w:tc>
          <w:tcPr>
            <w:tcW w:w="7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January 1, 2021</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2,321,413</w:t>
            </w:r>
          </w:p>
        </w:tc>
        <w:tc>
          <w:tcPr>
            <w:tcW w:w="1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2,321,413</w:t>
            </w:r>
          </w:p>
        </w:tc>
        <w:tc>
          <w:tcPr>
            <w:tcW w:w="0" w:type="dxa"/>
            <w:vAlign w:val="bottom"/>
          </w:tcPr>
          <w:p>
            <w:pPr>
              <w:spacing w:after="0"/>
              <w:rPr>
                <w:sz w:val="1"/>
                <w:szCs w:val="1"/>
                <w:color w:val="auto"/>
              </w:rPr>
            </w:pPr>
          </w:p>
        </w:tc>
      </w:tr>
      <w:tr>
        <w:trPr>
          <w:trHeight w:val="205"/>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(1,325,300)</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996,113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996,113</w:t>
            </w:r>
          </w:p>
        </w:tc>
        <w:tc>
          <w:tcPr>
            <w:tcW w:w="0" w:type="dxa"/>
            <w:vAlign w:val="bottom"/>
          </w:tcPr>
          <w:p>
            <w:pPr>
              <w:spacing w:after="0"/>
              <w:rPr>
                <w:sz w:val="1"/>
                <w:szCs w:val="1"/>
                <w:color w:val="auto"/>
              </w:rPr>
            </w:pPr>
          </w:p>
        </w:tc>
      </w:tr>
      <w:tr>
        <w:trPr>
          <w:trHeight w:val="205"/>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(996,113)</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FNF stock option transactions under the F&amp;G Omnibus Plan for 2023, 2022, and 2021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14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3"/>
                <w:szCs w:val="13"/>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100" w:type="dxa"/>
            <w:vAlign w:val="bottom"/>
          </w:tcPr>
          <w:p>
            <w:pPr>
              <w:spacing w:after="0"/>
              <w:rPr>
                <w:sz w:val="13"/>
                <w:szCs w:val="13"/>
                <w:color w:val="auto"/>
              </w:rPr>
            </w:pPr>
          </w:p>
        </w:tc>
        <w:tc>
          <w:tcPr>
            <w:tcW w:w="13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191"/>
        </w:trPr>
        <w:tc>
          <w:tcPr>
            <w:tcW w:w="7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2,002,690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1,021,671</w:t>
            </w:r>
          </w:p>
        </w:tc>
        <w:tc>
          <w:tcPr>
            <w:tcW w:w="0" w:type="dxa"/>
            <w:vAlign w:val="bottom"/>
          </w:tcPr>
          <w:p>
            <w:pPr>
              <w:spacing w:after="0"/>
              <w:rPr>
                <w:sz w:val="1"/>
                <w:szCs w:val="1"/>
                <w:color w:val="auto"/>
              </w:rPr>
            </w:pPr>
          </w:p>
        </w:tc>
      </w:tr>
      <w:tr>
        <w:trPr>
          <w:trHeight w:val="190"/>
        </w:trPr>
        <w:tc>
          <w:tcPr>
            <w:tcW w:w="7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Canceled</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1,527,936</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1,072,584</w:t>
            </w:r>
          </w:p>
        </w:tc>
        <w:tc>
          <w:tcPr>
            <w:tcW w:w="0" w:type="dxa"/>
            <w:vAlign w:val="bottom"/>
          </w:tcPr>
          <w:p>
            <w:pPr>
              <w:spacing w:after="0"/>
              <w:rPr>
                <w:sz w:val="1"/>
                <w:szCs w:val="1"/>
                <w:color w:val="auto"/>
              </w:rPr>
            </w:pPr>
          </w:p>
        </w:tc>
      </w:tr>
      <w:tr>
        <w:trPr>
          <w:trHeight w:val="205"/>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(352,614)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Canceled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1,172,607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1,172,607</w:t>
            </w:r>
          </w:p>
        </w:tc>
        <w:tc>
          <w:tcPr>
            <w:tcW w:w="0" w:type="dxa"/>
            <w:vAlign w:val="bottom"/>
          </w:tcPr>
          <w:p>
            <w:pPr>
              <w:spacing w:after="0"/>
              <w:rPr>
                <w:sz w:val="1"/>
                <w:szCs w:val="1"/>
                <w:color w:val="auto"/>
              </w:rPr>
            </w:pPr>
          </w:p>
        </w:tc>
      </w:tr>
      <w:tr>
        <w:trPr>
          <w:trHeight w:val="190"/>
        </w:trPr>
        <w:tc>
          <w:tcPr>
            <w:tcW w:w="7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(502,414)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Canceled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(26,570)</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643,623</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643,623</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FNF restricted stock transactions under the Omnibus Plan in 2023, 2022, and 2021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5"/>
        </w:trPr>
        <w:tc>
          <w:tcPr>
            <w:tcW w:w="8720" w:type="dxa"/>
            <w:vAlign w:val="bottom"/>
          </w:tcPr>
          <w:p>
            <w:pPr>
              <w:spacing w:after="0"/>
              <w:rPr>
                <w:sz w:val="12"/>
                <w:szCs w:val="12"/>
                <w:color w:val="auto"/>
              </w:rPr>
            </w:pPr>
          </w:p>
        </w:tc>
        <w:tc>
          <w:tcPr>
            <w:tcW w:w="13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80" w:type="dxa"/>
            <w:vAlign w:val="bottom"/>
          </w:tcPr>
          <w:p>
            <w:pPr>
              <w:jc w:val="center"/>
              <w:ind w:right="30"/>
              <w:spacing w:after="0" w:line="14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87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1,716,555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0" w:type="dxa"/>
            <w:vAlign w:val="bottom"/>
          </w:tcPr>
          <w:p>
            <w:pPr>
              <w:spacing w:after="0"/>
              <w:rPr>
                <w:sz w:val="1"/>
                <w:szCs w:val="1"/>
                <w:color w:val="auto"/>
              </w:rPr>
            </w:pPr>
          </w:p>
        </w:tc>
      </w:tr>
      <w:tr>
        <w:trPr>
          <w:trHeight w:val="205"/>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772,189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0" w:type="dxa"/>
            <w:vAlign w:val="bottom"/>
          </w:tcPr>
          <w:p>
            <w:pPr>
              <w:spacing w:after="0"/>
              <w:rPr>
                <w:sz w:val="1"/>
                <w:szCs w:val="1"/>
                <w:color w:val="auto"/>
              </w:rPr>
            </w:pPr>
          </w:p>
        </w:tc>
      </w:tr>
      <w:tr>
        <w:trPr>
          <w:trHeight w:val="190"/>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Canceled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0" w:type="dxa"/>
            <w:vAlign w:val="bottom"/>
          </w:tcPr>
          <w:p>
            <w:pPr>
              <w:spacing w:after="0"/>
              <w:rPr>
                <w:sz w:val="1"/>
                <w:szCs w:val="1"/>
                <w:color w:val="auto"/>
              </w:rPr>
            </w:pPr>
          </w:p>
        </w:tc>
      </w:tr>
      <w:tr>
        <w:trPr>
          <w:trHeight w:val="205"/>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(841,941)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0" w:type="dxa"/>
            <w:vAlign w:val="bottom"/>
          </w:tcPr>
          <w:p>
            <w:pPr>
              <w:spacing w:after="0"/>
              <w:rPr>
                <w:sz w:val="1"/>
                <w:szCs w:val="1"/>
                <w:color w:val="auto"/>
              </w:rPr>
            </w:pPr>
          </w:p>
        </w:tc>
      </w:tr>
      <w:tr>
        <w:trPr>
          <w:trHeight w:val="183"/>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1,639,226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41.97</w:t>
            </w:r>
          </w:p>
        </w:tc>
        <w:tc>
          <w:tcPr>
            <w:tcW w:w="0" w:type="dxa"/>
            <w:vAlign w:val="bottom"/>
          </w:tcPr>
          <w:p>
            <w:pPr>
              <w:spacing w:after="0"/>
              <w:rPr>
                <w:sz w:val="1"/>
                <w:szCs w:val="1"/>
                <w:color w:val="auto"/>
              </w:rPr>
            </w:pPr>
          </w:p>
        </w:tc>
      </w:tr>
      <w:tr>
        <w:trPr>
          <w:trHeight w:val="205"/>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994,548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0" w:type="dxa"/>
            <w:vAlign w:val="bottom"/>
          </w:tcPr>
          <w:p>
            <w:pPr>
              <w:spacing w:after="0"/>
              <w:rPr>
                <w:sz w:val="1"/>
                <w:szCs w:val="1"/>
                <w:color w:val="auto"/>
              </w:rPr>
            </w:pPr>
          </w:p>
        </w:tc>
      </w:tr>
      <w:tr>
        <w:trPr>
          <w:trHeight w:val="191"/>
        </w:trPr>
        <w:tc>
          <w:tcPr>
            <w:tcW w:w="8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Vested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(792,230)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0" w:type="dxa"/>
            <w:vAlign w:val="bottom"/>
          </w:tcPr>
          <w:p>
            <w:pPr>
              <w:spacing w:after="0"/>
              <w:rPr>
                <w:sz w:val="1"/>
                <w:szCs w:val="1"/>
                <w:color w:val="auto"/>
              </w:rPr>
            </w:pPr>
          </w:p>
        </w:tc>
      </w:tr>
      <w:tr>
        <w:trPr>
          <w:trHeight w:val="197"/>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1,841,544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0" w:type="dxa"/>
            <w:vAlign w:val="bottom"/>
          </w:tcPr>
          <w:p>
            <w:pPr>
              <w:spacing w:after="0"/>
              <w:rPr>
                <w:sz w:val="1"/>
                <w:szCs w:val="1"/>
                <w:color w:val="auto"/>
              </w:rPr>
            </w:pPr>
          </w:p>
        </w:tc>
      </w:tr>
      <w:tr>
        <w:trPr>
          <w:trHeight w:val="190"/>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966,093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w:t>
            </w:r>
          </w:p>
        </w:tc>
        <w:tc>
          <w:tcPr>
            <w:tcW w:w="0" w:type="dxa"/>
            <w:vAlign w:val="bottom"/>
          </w:tcPr>
          <w:p>
            <w:pPr>
              <w:spacing w:after="0"/>
              <w:rPr>
                <w:sz w:val="1"/>
                <w:szCs w:val="1"/>
                <w:color w:val="auto"/>
              </w:rPr>
            </w:pPr>
          </w:p>
        </w:tc>
      </w:tr>
      <w:tr>
        <w:trPr>
          <w:trHeight w:val="205"/>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Canceled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0" w:type="dxa"/>
            <w:vAlign w:val="bottom"/>
          </w:tcPr>
          <w:p>
            <w:pPr>
              <w:spacing w:after="0"/>
              <w:rPr>
                <w:sz w:val="1"/>
                <w:szCs w:val="1"/>
                <w:color w:val="auto"/>
              </w:rPr>
            </w:pPr>
          </w:p>
        </w:tc>
      </w:tr>
      <w:tr>
        <w:trPr>
          <w:trHeight w:val="191"/>
        </w:trPr>
        <w:tc>
          <w:tcPr>
            <w:tcW w:w="8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Vested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(908,267)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0" w:type="dxa"/>
            <w:vAlign w:val="bottom"/>
          </w:tcPr>
          <w:p>
            <w:pPr>
              <w:spacing w:after="0"/>
              <w:rPr>
                <w:sz w:val="1"/>
                <w:szCs w:val="1"/>
                <w:color w:val="auto"/>
              </w:rPr>
            </w:pPr>
          </w:p>
        </w:tc>
      </w:tr>
      <w:tr>
        <w:trPr>
          <w:trHeight w:val="222"/>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1,875,395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43.69</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FNF restricted stock transactions under the F&amp;G Omnibus Plan in 2023, 2022, 2021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3"/>
        </w:trPr>
        <w:tc>
          <w:tcPr>
            <w:tcW w:w="8720" w:type="dxa"/>
            <w:vAlign w:val="bottom"/>
          </w:tcPr>
          <w:p>
            <w:pPr>
              <w:spacing w:after="0"/>
              <w:rPr>
                <w:sz w:val="12"/>
                <w:szCs w:val="12"/>
                <w:color w:val="auto"/>
              </w:rPr>
            </w:pPr>
          </w:p>
        </w:tc>
        <w:tc>
          <w:tcPr>
            <w:tcW w:w="13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80" w:type="dxa"/>
            <w:vAlign w:val="bottom"/>
          </w:tcPr>
          <w:p>
            <w:pPr>
              <w:jc w:val="center"/>
              <w:ind w:right="30"/>
              <w:spacing w:after="0" w:line="143"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1"/>
        </w:trPr>
        <w:tc>
          <w:tcPr>
            <w:tcW w:w="87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January 1, 2021</w:t>
            </w:r>
          </w:p>
        </w:tc>
        <w:tc>
          <w:tcPr>
            <w:tcW w:w="120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449,870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0" w:type="dxa"/>
            <w:vAlign w:val="bottom"/>
          </w:tcPr>
          <w:p>
            <w:pPr>
              <w:spacing w:after="0"/>
              <w:rPr>
                <w:sz w:val="1"/>
                <w:szCs w:val="1"/>
                <w:color w:val="auto"/>
              </w:rPr>
            </w:pPr>
          </w:p>
        </w:tc>
      </w:tr>
      <w:tr>
        <w:trPr>
          <w:trHeight w:val="205"/>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Granted</w:t>
            </w:r>
          </w:p>
        </w:tc>
        <w:tc>
          <w:tcPr>
            <w:tcW w:w="1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311,081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0" w:type="dxa"/>
            <w:vAlign w:val="bottom"/>
          </w:tcPr>
          <w:p>
            <w:pPr>
              <w:spacing w:after="0"/>
              <w:rPr>
                <w:sz w:val="1"/>
                <w:szCs w:val="1"/>
                <w:color w:val="auto"/>
              </w:rPr>
            </w:pPr>
          </w:p>
        </w:tc>
      </w:tr>
      <w:tr>
        <w:trPr>
          <w:trHeight w:val="190"/>
        </w:trPr>
        <w:tc>
          <w:tcPr>
            <w:tcW w:w="8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Canceled</w:t>
            </w:r>
          </w:p>
        </w:tc>
        <w:tc>
          <w:tcPr>
            <w:tcW w:w="12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(12,437)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0" w:type="dxa"/>
            <w:vAlign w:val="bottom"/>
          </w:tcPr>
          <w:p>
            <w:pPr>
              <w:spacing w:after="0"/>
              <w:rPr>
                <w:sz w:val="1"/>
                <w:szCs w:val="1"/>
                <w:color w:val="auto"/>
              </w:rPr>
            </w:pPr>
          </w:p>
        </w:tc>
      </w:tr>
      <w:tr>
        <w:trPr>
          <w:trHeight w:val="205"/>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Vested</w:t>
            </w:r>
          </w:p>
        </w:tc>
        <w:tc>
          <w:tcPr>
            <w:tcW w:w="12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(29,873)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w:t>
            </w:r>
          </w:p>
        </w:tc>
        <w:tc>
          <w:tcPr>
            <w:tcW w:w="0" w:type="dxa"/>
            <w:vAlign w:val="bottom"/>
          </w:tcPr>
          <w:p>
            <w:pPr>
              <w:spacing w:after="0"/>
              <w:rPr>
                <w:sz w:val="1"/>
                <w:szCs w:val="1"/>
                <w:color w:val="auto"/>
              </w:rPr>
            </w:pPr>
          </w:p>
        </w:tc>
      </w:tr>
      <w:tr>
        <w:trPr>
          <w:trHeight w:val="183"/>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2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718,641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0" w:type="dxa"/>
            <w:vAlign w:val="bottom"/>
          </w:tcPr>
          <w:p>
            <w:pPr>
              <w:spacing w:after="0"/>
              <w:rPr>
                <w:sz w:val="1"/>
                <w:szCs w:val="1"/>
                <w:color w:val="auto"/>
              </w:rPr>
            </w:pPr>
          </w:p>
        </w:tc>
      </w:tr>
      <w:tr>
        <w:trPr>
          <w:trHeight w:val="205"/>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Canceled</w:t>
            </w:r>
          </w:p>
        </w:tc>
        <w:tc>
          <w:tcPr>
            <w:tcW w:w="12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(78,551)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0" w:type="dxa"/>
            <w:vAlign w:val="bottom"/>
          </w:tcPr>
          <w:p>
            <w:pPr>
              <w:spacing w:after="0"/>
              <w:rPr>
                <w:sz w:val="1"/>
                <w:szCs w:val="1"/>
                <w:color w:val="auto"/>
              </w:rPr>
            </w:pPr>
          </w:p>
        </w:tc>
      </w:tr>
      <w:tr>
        <w:trPr>
          <w:trHeight w:val="205"/>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Vested</w:t>
            </w:r>
          </w:p>
        </w:tc>
        <w:tc>
          <w:tcPr>
            <w:tcW w:w="12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(138,542)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0" w:type="dxa"/>
            <w:vAlign w:val="bottom"/>
          </w:tcPr>
          <w:p>
            <w:pPr>
              <w:spacing w:after="0"/>
              <w:rPr>
                <w:sz w:val="1"/>
                <w:szCs w:val="1"/>
                <w:color w:val="auto"/>
              </w:rPr>
            </w:pPr>
          </w:p>
        </w:tc>
      </w:tr>
      <w:tr>
        <w:trPr>
          <w:trHeight w:val="183"/>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2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501,548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0" w:type="dxa"/>
            <w:vAlign w:val="bottom"/>
          </w:tcPr>
          <w:p>
            <w:pPr>
              <w:spacing w:after="0"/>
              <w:rPr>
                <w:sz w:val="1"/>
                <w:szCs w:val="1"/>
                <w:color w:val="auto"/>
              </w:rPr>
            </w:pPr>
          </w:p>
        </w:tc>
      </w:tr>
      <w:tr>
        <w:trPr>
          <w:trHeight w:val="205"/>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Canceled</w:t>
            </w:r>
          </w:p>
        </w:tc>
        <w:tc>
          <w:tcPr>
            <w:tcW w:w="12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(15,965)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Vested</w:t>
            </w:r>
          </w:p>
        </w:tc>
        <w:tc>
          <w:tcPr>
            <w:tcW w:w="12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(304,104)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0" w:type="dxa"/>
            <w:vAlign w:val="bottom"/>
          </w:tcPr>
          <w:p>
            <w:pPr>
              <w:spacing w:after="0"/>
              <w:rPr>
                <w:sz w:val="1"/>
                <w:szCs w:val="1"/>
                <w:color w:val="auto"/>
              </w:rPr>
            </w:pPr>
          </w:p>
        </w:tc>
      </w:tr>
      <w:tr>
        <w:trPr>
          <w:trHeight w:val="197"/>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181,479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information related to stock options outstanding and exercisable as of December 31, 2023: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8"/>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7"/>
                <w:szCs w:val="17"/>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Intrinsic</w:t>
            </w:r>
          </w:p>
        </w:tc>
      </w:tr>
      <w:tr>
        <w:trPr>
          <w:trHeight w:val="169"/>
        </w:trPr>
        <w:tc>
          <w:tcPr>
            <w:tcW w:w="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4"/>
                <w:szCs w:val="14"/>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33"/>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4"/>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$0.00 - $28.00</w:t>
            </w:r>
          </w:p>
        </w:tc>
        <w:tc>
          <w:tcPr>
            <w:tcW w:w="1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$28.01 - $39.10</w:t>
            </w:r>
          </w:p>
        </w:tc>
        <w:tc>
          <w:tcPr>
            <w:tcW w:w="1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626,214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626,214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23"/>
        </w:trPr>
        <w:tc>
          <w:tcPr>
            <w:tcW w:w="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643,623</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643,623</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firstLine="316"/>
        <w:spacing w:after="0" w:line="281" w:lineRule="auto"/>
        <w:rPr>
          <w:sz w:val="20"/>
          <w:szCs w:val="20"/>
          <w:color w:val="auto"/>
        </w:rPr>
      </w:pPr>
      <w:r>
        <w:rPr>
          <w:rFonts w:ascii="Times New Roman" w:cs="Times New Roman" w:eastAsia="Times New Roman" w:hAnsi="Times New Roman"/>
          <w:sz w:val="16"/>
          <w:szCs w:val="16"/>
          <w:color w:val="auto"/>
        </w:rPr>
        <w:t>We account for stock-based compensation plans in accordance with GAAP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Fair value of restricted stock awards and units is based on the grant date value of the underlying stock derived from quoted market prices. The total fair value of restricted stock awards granted in the years ended December 31, 2023, 2022 and 2021 was $43 million, $41 million, and $52 million, respectively. The total fair value of restricted stock awards, which vested in the years ended December 31, 2023, 2022 and 2021 was $51 million, $38 million, and $43 million, respectively. Option awards are measured at fair value on the grant date using the Black Scholes Option Pricing Model. The intrinsic value of options exercised in the years ended December 31, 2023, 2022 and 2021 was $8 million, $16 million, and $32 million, respectively. Net earnings attributable to FNF Shareholders reflects stock-based compensation expense amounts of $60 million for the year ended December 31, 2023, $49 million for the year ended December 31, 2022, and $42 million for the year ended December 31, 2021, which are included in personnel costs in the reported financial results of each period.</w:t>
      </w:r>
    </w:p>
    <w:p>
      <w:pPr>
        <w:spacing w:after="0" w:line="259"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At December 31, 2023, the total unrecognized compensation cost related to non-vested stock option grants and restricted stock grants is $59 million, which is expected to be recognized in pre-tax income over a weighted average period of 1.75 years.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Pension Plan</w:t>
      </w:r>
    </w:p>
    <w:p>
      <w:pPr>
        <w:spacing w:after="0" w:line="87"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In 2000, FNF merged with Chicago Title Corporation ("CTC"). In connection with the merger, we assumed CTC’s noncontributory defined contribution plan and noncontributory defined benefit pension plan (the “Pension Plan”). The Pension Plan covers certain CTC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being frozen as of December 31, 2000. Pursuant to GAAP on employers’ accounting for defined benefit pension and other post-retirement plans, the measurement date is December 31.</w:t>
      </w:r>
    </w:p>
    <w:p>
      <w:pPr>
        <w:spacing w:after="0" w:line="51"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The discount rate used to determine the benefit obligation as of December 31, 2023 and 2022 was 4.67% and 4.85%, respectively. As of December 31, 2023 and 2022, the projected benefit obligation was $64 million and $117 million, respectively, and the fair value of plan assets was $54 million and $112 million, respectively. The net pension liability and net periodic expense included in our financial position and results of operations relating to the Pension Plan is not considered material for any period presented.</w:t>
      </w:r>
    </w:p>
    <w:p>
      <w:pPr>
        <w:spacing w:after="0" w:line="52"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On May 1, 2023, we elected to terminate the Pension Plan, subject to approval by the Pension Benefit Guarantee Corporation and the receipt of a favorable determination letter from the Internal Revenue Service. Upon termination, the account balance of each participant in the Pension Plan shall become fully vested. Each remaining participant or beneficiary in the Pension Plan shall be given one of the following options with respect to termination of the Pension Plan: (i) a lump-sum distribution of the participant's account balance; or (ii) an annuity benefit equal to the participant’s account balance.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V - Financial Instruments with Off-Balance Sheet Risk and Concentration of Risk</w:t>
      </w:r>
    </w:p>
    <w:p>
      <w:pPr>
        <w:spacing w:after="0" w:line="2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18"/>
          <w:szCs w:val="18"/>
          <w:color w:val="auto"/>
        </w:rPr>
        <w:t>In the normal course of business, we and certain of our subsidiaries enter into off-balance sheet credit arrangements associated with certain aspects of the title insurance business and other activities.</w:t>
      </w:r>
    </w:p>
    <w:p>
      <w:pPr>
        <w:spacing w:after="0" w:line="55" w:lineRule="exact"/>
        <w:rPr>
          <w:sz w:val="20"/>
          <w:szCs w:val="20"/>
          <w:color w:val="auto"/>
        </w:rPr>
      </w:pPr>
    </w:p>
    <w:p>
      <w:pPr>
        <w:jc w:val="both"/>
        <w:ind w:firstLine="316"/>
        <w:spacing w:after="0" w:line="263" w:lineRule="auto"/>
        <w:rPr>
          <w:sz w:val="20"/>
          <w:szCs w:val="20"/>
          <w:color w:val="auto"/>
        </w:rPr>
      </w:pPr>
      <w:r>
        <w:rPr>
          <w:rFonts w:ascii="Times New Roman" w:cs="Times New Roman" w:eastAsia="Times New Roman" w:hAnsi="Times New Roman"/>
          <w:sz w:val="18"/>
          <w:szCs w:val="18"/>
          <w:color w:val="auto"/>
        </w:rPr>
        <w:t>We generate a significant amount of title insurance premiums in Texas, California, Florida, Pennsylvania and Illinois. Title insurance premiums as a percentage of the total title insurance premiums written from those five states are detailed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60" w:type="dxa"/>
            <w:vAlign w:val="bottom"/>
            <w:gridSpan w:val="2"/>
          </w:tcPr>
          <w:p>
            <w:pPr>
              <w:ind w:left="788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0" w:type="dxa"/>
            <w:vAlign w:val="bottom"/>
          </w:tcPr>
          <w:p>
            <w:pPr>
              <w:spacing w:after="0"/>
              <w:rPr>
                <w:sz w:val="1"/>
                <w:szCs w:val="1"/>
                <w:color w:val="auto"/>
              </w:rPr>
            </w:pPr>
          </w:p>
        </w:tc>
      </w:tr>
      <w:tr>
        <w:trPr>
          <w:trHeight w:val="205"/>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0" w:type="dxa"/>
            <w:vAlign w:val="bottom"/>
          </w:tcPr>
          <w:p>
            <w:pPr>
              <w:spacing w:after="0"/>
              <w:rPr>
                <w:sz w:val="1"/>
                <w:szCs w:val="1"/>
                <w:color w:val="auto"/>
              </w:rPr>
            </w:pPr>
          </w:p>
        </w:tc>
      </w:tr>
      <w:tr>
        <w:trPr>
          <w:trHeight w:val="19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r>
        <w:trPr>
          <w:trHeight w:val="205"/>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18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equivalents, short-term investments, and trade receivables.</w:t>
      </w:r>
    </w:p>
    <w:p>
      <w:pPr>
        <w:spacing w:after="0" w:line="5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spacing w:after="0" w:line="6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W - Recent Accounting Pronouncements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Adopted Pronouncements</w:t>
      </w:r>
    </w:p>
    <w:p>
      <w:pPr>
        <w:spacing w:after="0" w:line="229" w:lineRule="exact"/>
        <w:rPr>
          <w:sz w:val="20"/>
          <w:szCs w:val="20"/>
          <w:color w:val="auto"/>
        </w:rPr>
      </w:pPr>
    </w:p>
    <w:p>
      <w:pPr>
        <w:jc w:val="both"/>
        <w:ind w:firstLine="316"/>
        <w:spacing w:after="0" w:line="221"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ASU 2018-12, as clarified and amended by ASU 2019-09, Financial Services-Insurance: Effective Date and ASU 2020-11, Financial Services -Insurance: Effective Date and Early Application, effective for fiscal years beginning after December 15, 2022, including interim periods within those fiscal years. This update introduced the following requirements: assumptions used to measure cash flows for traditional and limited-payment contracts must be reviewed at least annually with the effect of changes in those assumptions being recognized in the statement of earnings; the discount rate applied to measure the liability for future policy benefits and limited-payment contracts must be updated at each reporting date with the effect of changes in the rate being recognized in accumulated other comprehensive income (loss) (“AOCI”); Market risk benefits (“MRB”) associated with deposit contracts must be measured at fair value, with the effect of the change in the fair value recognized in earnings, except for the change attributable to instrument-specific credit risk, which is recognized in AOCI; deferred acquisition costs are no longer required to be amortized in proportion to premiums, gross profits, or gross margins; instead, those balances must be amortized on a constant level basis over the expected term of the related contracts; deferred acquisition costs must be written off for unexpected contract terminations; and disaggregated roll forwards of beginning to ending balances of the liability for future policyholder benefits ("FPBs"), contractholder funds, MRBs, separate account liabilities and deferred acquisition costs, as well as information about significant inputs, judgments, assumptions, and methods used in measurement are required to be disclosed. We adopted this standard, which required the new guidance be applied as of the beginning of the earliest period presented or January 1, 2021, referred to as the transition date, and elected the full retrospective transition method. As a result of adoption, the Company recorded a cumulative-effect adjustment, which increased opening 2021 retained earnings by $75 million, net of tax.</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balance of and changes in the FPB on January 1, 2021, due to adoption of ASU 2018-12: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40" w:type="dxa"/>
            <w:vAlign w:val="bottom"/>
          </w:tcPr>
          <w:p>
            <w:pPr>
              <w:spacing w:after="0"/>
              <w:rPr>
                <w:sz w:val="16"/>
                <w:szCs w:val="16"/>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 (3)</w:t>
            </w:r>
          </w:p>
        </w:tc>
      </w:tr>
      <w:tr>
        <w:trPr>
          <w:trHeight w:val="24"/>
        </w:trPr>
        <w:tc>
          <w:tcPr>
            <w:tcW w:w="7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7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1"/>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50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4,005</w:t>
            </w:r>
          </w:p>
        </w:tc>
      </w:tr>
      <w:tr>
        <w:trPr>
          <w:trHeight w:val="204"/>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Cumulative effect of retrospective adoption (1)</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91"/>
        </w:trPr>
        <w:tc>
          <w:tcPr>
            <w:tcW w:w="7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remeasurement of liability at current discount rate (2)</w:t>
            </w: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9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2021</w:t>
            </w:r>
          </w:p>
        </w:tc>
        <w:tc>
          <w:tcPr>
            <w:tcW w:w="5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4,128</w:t>
            </w:r>
          </w:p>
        </w:tc>
      </w:tr>
      <w:tr>
        <w:trPr>
          <w:trHeight w:val="184"/>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w:t>
            </w:r>
          </w:p>
        </w:tc>
      </w:tr>
      <w:tr>
        <w:trPr>
          <w:trHeight w:val="222"/>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2021, net of reinsurance</w:t>
            </w:r>
          </w:p>
        </w:tc>
        <w:tc>
          <w:tcPr>
            <w:tcW w:w="5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 w:right="20" w:firstLine="3"/>
        <w:spacing w:after="0" w:line="245" w:lineRule="auto"/>
        <w:tabs>
          <w:tab w:leader="none" w:pos="21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for the cumulative effect of adoption of the new measurement guidance under the full retrospective method for contract issue years from the FNF Acquisition Date through December 31, 2020, net of the effects of any change in the DPL.</w:t>
      </w:r>
    </w:p>
    <w:p>
      <w:pPr>
        <w:ind w:left="220" w:hanging="197"/>
        <w:spacing w:after="0"/>
        <w:tabs>
          <w:tab w:leader="none" w:pos="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remeasurement of the liability at the current discount rate is reflected as an adjustment to opening AOCI upon the adoption of ASU 2018-12.</w:t>
      </w:r>
    </w:p>
    <w:p>
      <w:pPr>
        <w:spacing w:after="0" w:line="3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PRT was not written as of the transition date, January 1, 2021, and as a result is not presented in the transition adjustment roll forward.</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balance of and changes in VOBA on January 1, 2021 due to adoption of ASU 2018-12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FIA</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Immediate</w:t>
            </w:r>
          </w:p>
        </w:tc>
        <w:tc>
          <w:tcPr>
            <w:tcW w:w="12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2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60" w:type="dxa"/>
            <w:vAlign w:val="bottom"/>
          </w:tcPr>
          <w:p>
            <w:pPr>
              <w:spacing w:after="0"/>
              <w:rPr>
                <w:sz w:val="13"/>
                <w:szCs w:val="13"/>
                <w:color w:val="auto"/>
              </w:rPr>
            </w:pP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annuities</w:t>
            </w: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76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0" w:type="dxa"/>
            <w:vAlign w:val="bottom"/>
          </w:tcPr>
          <w:p>
            <w:pPr>
              <w:spacing w:after="0"/>
              <w:rPr>
                <w:sz w:val="1"/>
                <w:szCs w:val="1"/>
                <w:color w:val="auto"/>
              </w:rPr>
            </w:pPr>
          </w:p>
        </w:tc>
      </w:tr>
      <w:tr>
        <w:trPr>
          <w:trHeight w:val="190"/>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 for reversal of AOCI adjustments (1)</w:t>
            </w: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05"/>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Cumulative effect of retrospective adoption (2)</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1"/>
        </w:trPr>
        <w:tc>
          <w:tcPr>
            <w:tcW w:w="3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Transition opening balance adjustment (3)</w:t>
            </w: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22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2021</w:t>
            </w:r>
          </w:p>
        </w:tc>
        <w:tc>
          <w:tcPr>
            <w:tcW w:w="76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220" w:hanging="197"/>
        <w:spacing w:after="0"/>
        <w:tabs>
          <w:tab w:leader="none" w:pos="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"shadow" adjustments in AOCI have been reversed upon the adoption of ASU 2018-12 from opening AOCI.</w:t>
      </w:r>
    </w:p>
    <w:p>
      <w:pPr>
        <w:spacing w:after="0" w:line="3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for the cumulative effect of adoption of the simplified amortization methodology under the full retrospective method from the FNF Acquisition Date through December 31, 2020.</w:t>
      </w:r>
    </w:p>
    <w:p>
      <w:pPr>
        <w:spacing w:after="0" w:line="3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for the change in VOBA due to the full retrospective adjustment of carrying amounts of acquired contracts as of the FNF Acquisition Date due to the adoption of ASU 2018-12.</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balance of and changes in DAC on January 1, 2021, due to adoption of ASU 2018-12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FIA</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5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9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41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90"/>
        </w:trPr>
        <w:tc>
          <w:tcPr>
            <w:tcW w:w="5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Adjustment for reversal of AOCI adjustments (1)</w:t>
            </w: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8"/>
        </w:trPr>
        <w:tc>
          <w:tcPr>
            <w:tcW w:w="5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Cumulative effect of retrospective adoption (2)</w:t>
            </w: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2021</w:t>
            </w:r>
          </w:p>
        </w:tc>
        <w:tc>
          <w:tcPr>
            <w:tcW w:w="90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48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20"/>
        </w:trPr>
        <w:tc>
          <w:tcPr>
            <w:tcW w:w="5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220" w:hanging="197"/>
        <w:spacing w:after="0"/>
        <w:tabs>
          <w:tab w:leader="none" w:pos="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"shadow" adjustments in AOCI have been reversed upon the adoption of ASU 2018-12 from opening AOCI.</w:t>
      </w:r>
    </w:p>
    <w:p>
      <w:pPr>
        <w:spacing w:after="0" w:line="36" w:lineRule="exact"/>
        <w:rPr>
          <w:rFonts w:ascii="Times New Roman" w:cs="Times New Roman" w:eastAsia="Times New Roman" w:hAnsi="Times New Roman"/>
          <w:sz w:val="14"/>
          <w:szCs w:val="14"/>
          <w:color w:val="auto"/>
        </w:rPr>
      </w:pPr>
    </w:p>
    <w:p>
      <w:pPr>
        <w:ind w:left="20" w:right="20" w:firstLine="3"/>
        <w:spacing w:after="0" w:line="248" w:lineRule="auto"/>
        <w:tabs>
          <w:tab w:leader="none" w:pos="22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for the cumulative effect of adoption of the simplified amortization methodology under the full retrospective method for contract issue years from the FNF Acquisition Date through December 31, 2020.</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balance of and changes in DSI on January 1, 2021, due to adoption of ASU 2018-12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FIA</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85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1"/>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9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0"/>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Adjustment for reversal of AOCI adjustments (1)</w:t>
            </w: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Cumulative effect of retrospective adoption (2)</w:t>
            </w:r>
          </w:p>
        </w:tc>
        <w:tc>
          <w:tcPr>
            <w:tcW w:w="9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7"/>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2021</w:t>
            </w:r>
          </w:p>
        </w:tc>
        <w:tc>
          <w:tcPr>
            <w:tcW w:w="9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
        </w:trPr>
        <w:tc>
          <w:tcPr>
            <w:tcW w:w="8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220" w:hanging="197"/>
        <w:spacing w:after="0"/>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"shadow" adjustments in AOCI have been reversed upon the adoption of ASU 2018-12 from opening AOCI.</w:t>
      </w:r>
    </w:p>
    <w:p>
      <w:pPr>
        <w:spacing w:after="0" w:line="36" w:lineRule="exact"/>
        <w:rPr>
          <w:rFonts w:ascii="Times New Roman" w:cs="Times New Roman" w:eastAsia="Times New Roman" w:hAnsi="Times New Roman"/>
          <w:sz w:val="14"/>
          <w:szCs w:val="14"/>
          <w:color w:val="auto"/>
        </w:rPr>
      </w:pPr>
    </w:p>
    <w:p>
      <w:pPr>
        <w:ind w:left="20" w:right="20" w:firstLine="3"/>
        <w:spacing w:after="0" w:line="248" w:lineRule="auto"/>
        <w:tabs>
          <w:tab w:leader="none" w:pos="223"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for the cumulative effect of adoption of the simplified amortization methodology under the full retrospective method for contract issue years from the FNF Acquisition Date through December 31, 2020.</w:t>
      </w:r>
    </w:p>
    <w:p>
      <w:pPr>
        <w:spacing w:after="0" w:line="3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balance of and changes in URL on January 1, 2021, due to adoption of ASU 2018-12: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85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1"/>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11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0"/>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Adjustment for reversal of AOCI adjustments (1)</w:t>
            </w:r>
          </w:p>
        </w:tc>
        <w:tc>
          <w:tcPr>
            <w:tcW w:w="11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Cumulative effect of retrospective adoption (2)</w:t>
            </w:r>
          </w:p>
        </w:tc>
        <w:tc>
          <w:tcPr>
            <w:tcW w:w="1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2021</w:t>
            </w:r>
          </w:p>
        </w:tc>
        <w:tc>
          <w:tcPr>
            <w:tcW w:w="11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29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
        </w:trPr>
        <w:tc>
          <w:tcPr>
            <w:tcW w:w="8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220" w:hanging="197"/>
        <w:spacing w:after="0"/>
        <w:tabs>
          <w:tab w:leader="none" w:pos="2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"shadow" adjustments in AOCI have been reversed upon the adoption of ASU 2018-12 from opening AOCI.</w:t>
      </w:r>
    </w:p>
    <w:p>
      <w:pPr>
        <w:spacing w:after="0" w:line="36" w:lineRule="exact"/>
        <w:rPr>
          <w:rFonts w:ascii="Times New Roman" w:cs="Times New Roman" w:eastAsia="Times New Roman" w:hAnsi="Times New Roman"/>
          <w:sz w:val="14"/>
          <w:szCs w:val="14"/>
          <w:color w:val="auto"/>
        </w:rPr>
      </w:pPr>
    </w:p>
    <w:p>
      <w:pPr>
        <w:ind w:left="20" w:right="20" w:firstLine="3"/>
        <w:spacing w:after="0" w:line="248" w:lineRule="auto"/>
        <w:tabs>
          <w:tab w:leader="none" w:pos="223"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for the cumulative effect of adoption of the simplified amortization methodology under the full retrospective method for contract issue years from the FNF Acquisition Date through December 31, 2020.</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summarizes the balance of and changes in the asset and liability position of MRBs on January 1, 2021, due to adoption of ASU 2018-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FIA</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79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2020 - Carrying amount of MRBs under prior guidance (1)</w:t>
            </w:r>
          </w:p>
        </w:tc>
        <w:tc>
          <w:tcPr>
            <w:tcW w:w="6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190"/>
        </w:trPr>
        <w:tc>
          <w:tcPr>
            <w:tcW w:w="7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Adjustment for reversal of AOCI adjustments (2)</w:t>
            </w:r>
          </w:p>
        </w:tc>
        <w:tc>
          <w:tcPr>
            <w:tcW w:w="6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39"/>
        </w:trPr>
        <w:tc>
          <w:tcPr>
            <w:tcW w:w="794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Cumulative effect of the changes in the instrument-specific credit risk between the original contract issuance date and the transition date</w:t>
            </w:r>
          </w:p>
        </w:tc>
        <w:tc>
          <w:tcPr>
            <w:tcW w:w="6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7"/>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7940" w:type="dxa"/>
            <w:vAlign w:val="bottom"/>
          </w:tcPr>
          <w:p>
            <w:pPr>
              <w:ind w:left="180"/>
              <w:spacing w:after="0" w:line="132" w:lineRule="exact"/>
              <w:rPr>
                <w:sz w:val="20"/>
                <w:szCs w:val="20"/>
                <w:color w:val="auto"/>
              </w:rPr>
            </w:pPr>
            <w:r>
              <w:rPr>
                <w:rFonts w:ascii="Times New Roman" w:cs="Times New Roman" w:eastAsia="Times New Roman" w:hAnsi="Times New Roman"/>
                <w:sz w:val="14"/>
                <w:szCs w:val="14"/>
                <w:color w:val="auto"/>
              </w:rPr>
              <w:t>Remaining cumulative difference (exclusive of the instrument specific credit risk change) between December 31, 2020 carrying amount</w:t>
            </w:r>
          </w:p>
        </w:tc>
        <w:tc>
          <w:tcPr>
            <w:tcW w:w="68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1"/>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and fair value measurement for the MRBs (4)</w:t>
            </w: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1, 2021 - Market risk benefits at fair value</w:t>
            </w:r>
          </w:p>
        </w:tc>
        <w:tc>
          <w:tcPr>
            <w:tcW w:w="6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91"/>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68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2021, net of reinsurance</w:t>
            </w:r>
          </w:p>
        </w:tc>
        <w:tc>
          <w:tcPr>
            <w:tcW w:w="68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jc w:val="both"/>
        <w:ind w:left="20" w:right="20" w:firstLine="3"/>
        <w:spacing w:after="0" w:line="228" w:lineRule="auto"/>
        <w:tabs>
          <w:tab w:leader="none" w:pos="223"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pre-adoption balance as of December 31, 2020 balance for MRBs represents the contract features that meet the definition of an MRB under ASU 2018-12 and the related carrying amount of those features prior to the ASU. Those contract features were previously accounted for at fair value as a derivative or embedded derivative under ASC 815 or as an additional liability for annuitization benefits or death or other insurance benefits under ASC 944.</w:t>
      </w:r>
    </w:p>
    <w:p>
      <w:pPr>
        <w:spacing w:after="0" w:line="14"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"shadow" adjustments in AOCI have been reversed upon the adoption of ASU 2018-12 from opening AOCI.</w:t>
      </w:r>
    </w:p>
    <w:p>
      <w:pPr>
        <w:spacing w:after="0" w:line="36" w:lineRule="exact"/>
        <w:rPr>
          <w:rFonts w:ascii="Times New Roman" w:cs="Times New Roman" w:eastAsia="Times New Roman" w:hAnsi="Times New Roman"/>
          <w:sz w:val="14"/>
          <w:szCs w:val="14"/>
          <w:color w:val="auto"/>
        </w:rPr>
      </w:pPr>
    </w:p>
    <w:p>
      <w:pPr>
        <w:ind w:left="20" w:right="20" w:firstLine="3"/>
        <w:spacing w:after="0" w:line="234" w:lineRule="auto"/>
        <w:tabs>
          <w:tab w:leader="none" w:pos="22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cumulative effective of the change in instrument-specific credit risk between the FNF Acquisition Date or, if later, the original contract issuance date and the transition date to ASU 2018-12, which is recorded as an adjustment to opening AOCI.</w:t>
      </w:r>
    </w:p>
    <w:p>
      <w:pPr>
        <w:spacing w:after="0" w:line="15" w:lineRule="exact"/>
        <w:rPr>
          <w:rFonts w:ascii="Times New Roman" w:cs="Times New Roman" w:eastAsia="Times New Roman" w:hAnsi="Times New Roman"/>
          <w:sz w:val="14"/>
          <w:szCs w:val="14"/>
          <w:color w:val="auto"/>
        </w:rPr>
      </w:pPr>
    </w:p>
    <w:p>
      <w:pPr>
        <w:ind w:left="20" w:right="20" w:firstLine="3"/>
        <w:spacing w:after="0" w:line="234" w:lineRule="auto"/>
        <w:tabs>
          <w:tab w:leader="none" w:pos="224"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cumulative difference (exclusive of instrument-specific credit risk change) between the pre-adoption carrying amount and the fair value measurement for MRBs is recorded as an adjustment to opening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effect of transition adjustments on Equity on January 1, 2021 due to the adoption of ASU 2018-12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860" w:type="dxa"/>
            <w:vAlign w:val="bottom"/>
          </w:tcPr>
          <w:p>
            <w:pPr>
              <w:spacing w:after="0"/>
              <w:rPr>
                <w:sz w:val="16"/>
                <w:szCs w:val="16"/>
                <w:color w:val="auto"/>
              </w:rPr>
            </w:pPr>
          </w:p>
        </w:tc>
      </w:tr>
      <w:tr>
        <w:trPr>
          <w:trHeight w:val="24"/>
        </w:trPr>
        <w:tc>
          <w:tcPr>
            <w:tcW w:w="84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8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460" w:type="dxa"/>
            <w:vAlign w:val="bottom"/>
          </w:tcPr>
          <w:p>
            <w:pPr>
              <w:spacing w:after="0"/>
              <w:rPr>
                <w:sz w:val="16"/>
                <w:szCs w:val="16"/>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w w:val="98"/>
              </w:rPr>
              <w:t>AOCI</w:t>
            </w:r>
          </w:p>
        </w:tc>
      </w:tr>
      <w:tr>
        <w:trPr>
          <w:trHeight w:val="197"/>
        </w:trPr>
        <w:tc>
          <w:tcPr>
            <w:tcW w:w="8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Contractholder funds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115</w:t>
            </w:r>
          </w:p>
        </w:tc>
      </w:tr>
      <w:tr>
        <w:trPr>
          <w:trHeight w:val="19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MRB</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20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FPB</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9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VOBA</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233</w:t>
            </w:r>
          </w:p>
        </w:tc>
      </w:tr>
      <w:tr>
        <w:trPr>
          <w:trHeight w:val="20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DAC</w:t>
            </w: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r>
      <w:tr>
        <w:trPr>
          <w:trHeight w:val="183"/>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to Equity, gross of tax</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5"/>
                <w:szCs w:val="15"/>
                <w:color w:val="auto"/>
              </w:rPr>
            </w:pPr>
          </w:p>
        </w:tc>
        <w:tc>
          <w:tcPr>
            <w:tcW w:w="46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w:t>
            </w:r>
          </w:p>
        </w:tc>
      </w:tr>
      <w:tr>
        <w:trPr>
          <w:trHeight w:val="19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impact</w:t>
            </w: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to Equity, net of tax</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8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For MRBs, the transition adjustment reflected within the Consolidated Statements of Comprehensive Earnings relates to the cumulative effect of changes in the instrument-specific credit risk between contract issue date and transition date. The remaining difference between the fair value and carrying amount of the MRBs at transition, excluding the amounts recorded in the Consolidated Statements of Comprehensive Earnings, was recorded as an adjustment to Retained Earnings as of the transition date.</w:t>
      </w:r>
    </w:p>
    <w:p>
      <w:pPr>
        <w:spacing w:after="0" w:line="9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For the FPB, the net transition adjustment is primarily related to the difference in the discount rate used pre-transition and the discount rate at January 1, 2021, partially offset by the removal of provisions for adverse deviation from the cash flow assumptions used in the FPB calculation. At transition, we did not identify any instances, at the cohort level, where net premiums exceeded gross premiums.</w:t>
      </w:r>
    </w:p>
    <w:p>
      <w:pPr>
        <w:spacing w:after="0" w:line="88" w:lineRule="exact"/>
        <w:rPr>
          <w:sz w:val="20"/>
          <w:szCs w:val="20"/>
          <w:color w:val="auto"/>
        </w:rPr>
      </w:pPr>
    </w:p>
    <w:p>
      <w:pPr>
        <w:jc w:val="both"/>
        <w:ind w:firstLine="316"/>
        <w:spacing w:after="0" w:line="239" w:lineRule="auto"/>
        <w:rPr>
          <w:sz w:val="20"/>
          <w:szCs w:val="20"/>
          <w:color w:val="auto"/>
        </w:rPr>
      </w:pPr>
      <w:r>
        <w:rPr>
          <w:rFonts w:ascii="Times New Roman" w:cs="Times New Roman" w:eastAsia="Times New Roman" w:hAnsi="Times New Roman"/>
          <w:sz w:val="18"/>
          <w:szCs w:val="18"/>
          <w:color w:val="auto"/>
        </w:rPr>
        <w:t>Before the adoption of ASU 2018-12, VOBA was amortized consistent with DAC, which was amortized over the lives of the policies in relation to the expected emergence of estimated gross profits (“EGPs”). Based on our historical practice of using consistent amortization methods for VOBA and DAC, we elected to change the amortization method for VOBA associated with fixed rate annuities, FIAs, and IUL/Universal Life (“UL”) products to maintain consistency with the amortization method for DAC. At transition, VOBA associated with these product types is amortized on a constant level basis for the grouped contracts over the expected term of the related contracts to approximate straight-line amortization. Additionally, at transition, shadow adjustments previously recorded in the Consolidated Statements of Comprehensive Earnings, consistent with the historic amortization of DAC, have been removed.</w:t>
      </w:r>
    </w:p>
    <w:p>
      <w:pPr>
        <w:spacing w:after="0" w:line="105"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color w:val="auto"/>
        </w:rPr>
        <w:t>For DAC, DSI and URL, we removed shadow adjustments previously recorded in the Consolidated Statements of Comprehensive Earnings for the impact of unrealized gains and losses that were included in the pre-transition expected gross profits amortization calculation as of the transition date.</w:t>
      </w:r>
    </w:p>
    <w:p>
      <w:pPr>
        <w:spacing w:after="0" w:line="195" w:lineRule="exact"/>
        <w:rPr>
          <w:sz w:val="20"/>
          <w:szCs w:val="20"/>
          <w:color w:val="auto"/>
        </w:rPr>
      </w:pPr>
    </w:p>
    <w:p>
      <w:pPr>
        <w:jc w:val="both"/>
        <w:ind w:firstLine="316"/>
        <w:spacing w:after="0" w:line="237" w:lineRule="auto"/>
        <w:rPr>
          <w:sz w:val="20"/>
          <w:szCs w:val="20"/>
          <w:color w:val="auto"/>
        </w:rPr>
      </w:pPr>
      <w:r>
        <w:rPr>
          <w:rFonts w:ascii="Times New Roman" w:cs="Times New Roman" w:eastAsia="Times New Roman" w:hAnsi="Times New Roman"/>
          <w:sz w:val="18"/>
          <w:szCs w:val="18"/>
          <w:color w:val="auto"/>
        </w:rPr>
        <w:t>In March 2022, the FASB issued ASU 2022-02, Financial Instruments-Credit Losses (Topic 326): Troubled Debt Restructurings and Vintage Disclosures. The amendments in this update eliminate the Troubled Debt Restructuring ("TDR") recognition and measurement guidance for creditors and, instead, require that an entity evaluate whether the modification represents a new loan or a continuation of an existing loan. The amendments also enhance existing disclosure requirements and introduce new requirements related to certain modifications of receivables made to borrowers experiencing financial difficulty. Additionally, these amendments require that an entity disclose current-period gross write-offs by year of origination for financing receivables and net investment in leases within the scope of Subtopic 326-20. The guidance is effective for entities that have adopted ASU 2016-13 Financial Instruments – Credit Losses: Measurement of Credit Losses on Financial Instruments (Topic 326) for fiscal years beginning after December 15, 2022, including interim periods within those fiscal years, though early adoption is permitted. We adopted this standard as of January 1, 2023, and it did not have a material impact on our Consolidated Financial Statements and related disclosures upon adoption.</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85" w:lineRule="exact"/>
        <w:rPr>
          <w:sz w:val="20"/>
          <w:szCs w:val="20"/>
          <w:color w:val="auto"/>
        </w:rPr>
      </w:pPr>
    </w:p>
    <w:p>
      <w:pPr>
        <w:jc w:val="both"/>
        <w:ind w:firstLine="316"/>
        <w:spacing w:after="0" w:line="223" w:lineRule="auto"/>
        <w:rPr>
          <w:sz w:val="20"/>
          <w:szCs w:val="20"/>
          <w:color w:val="auto"/>
        </w:rPr>
      </w:pPr>
      <w:r>
        <w:rPr>
          <w:rFonts w:ascii="Times New Roman" w:cs="Times New Roman" w:eastAsia="Times New Roman" w:hAnsi="Times New Roman"/>
          <w:sz w:val="18"/>
          <w:szCs w:val="18"/>
          <w:color w:val="auto"/>
        </w:rPr>
        <w:t>In June 2022, the FASB issued ASU 2022-03, Fair Value Measurement (Topic 820): Fair Value Measurement of Equity Securities Subject to Contractual Sale Restrictions. The amendments in this update affect all entities that have investments in equity securities measured at fair value that are subject to a contractual sale restriction and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Additionally, the amendments require the following disclosures for equity securities subject to contractual sale restrictions: the fair value of equity securities subject to contractual sale restrictions reflected in the balance sheet, the nature and remaining duration of the restriction(s), and the circumstances that could cause a lapse in the restriction(s). The amendments in this update do not change the principles of fair value measurement, rather, they clarify those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principles when measuring the fair value of an equity security subject to a contractual sale restriction and improve current GAAP by reducing diversity in practice, reducing the cost and complexity in measuring fair value, and increasing comparability of financial information across reporting entities that hold those investments. The amendments in this update are effective for public business entities for fiscal years beginning after December 15, 2023, and interim periods within those fiscal years, though early adoption is permitted. We do not expect this guidance to have a material impact on our Consolidated Financial Statements and related disclosures upon adoption. We do not currently plan to early adopt this standard.</w:t>
      </w:r>
    </w:p>
    <w:p>
      <w:pPr>
        <w:spacing w:after="0" w:line="65" w:lineRule="exact"/>
        <w:rPr>
          <w:sz w:val="20"/>
          <w:szCs w:val="20"/>
          <w:color w:val="auto"/>
        </w:rPr>
      </w:pPr>
    </w:p>
    <w:p>
      <w:pPr>
        <w:jc w:val="both"/>
        <w:ind w:firstLine="316"/>
        <w:spacing w:after="0" w:line="22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this update improve reportable segment disclosure requirements, primarily through enhanced disclosures about significant segment expense categories that are regularly provided to the chief operating decision maker (CODM) and included in each reported measure of a segment’s profit or loss. In addition, the amendments enhance interim disclosure requirements that are currently required annually, clarify circumstances in which an entity can disclose multiple segment measures of profit or loss, and contain other disclosure requirements. The amendments in this update are incremental to the current requirements of Topic 280 and do not change how a public entity identifies its operating segments, aggregates those operating segments, or applies the quantitative thresholds to determine its reportable segments. The enhanced segment disclosure requirements apply retrospectively to all prior periods presented in the financial statements. The significant segment expense and other segment item amounts disclosed in prior periods shall be based on the significant segment expense categories identified and disclosed in the period of adoption. The amendments in this update are effective for all public entities for fiscal years beginning after December 15, 2023, and interim periods beginning after December 15, 2024. Early adoption is permitted, and the updates must be applied retrospectively to all periods presented in the financial statements. We do not currently expect to early adopt this standard and are in the process of assessing its impact on our disclosures upon adoption.</w:t>
      </w:r>
    </w:p>
    <w:p>
      <w:pPr>
        <w:spacing w:after="0" w:line="95"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update enhance the transparency of the income tax disclosures by expanding on the disclosures required annually. The amendments require entities to disclose in their rate reconciliation table additional categories of information about federal, state, and foreign income taxes, in addition to providing details about the reconciling items in some categories if above a quantitative threshold. Additionally, the amendments require annual disclosure of income taxes paid (net of refunds received) disaggregated by jurisdiction based on a quantitative threshold. The amendments in this update are effective for public business entities for annual periods beginning after December 15, 2024. Early adoption is permitted for annual financial statements that have not yet been issued or made available for issuance. The amendments should be applied on a prospective basis, and retrospective application is permitted. We do not currently expect to early adopt this standard and are in the process of assessing its impact on our disclosures upon adoption.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X - Market Risk Benefits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presents the balances of and changes in MRBs associated with FIAs and fixed rate annuities for the years ended December 31, 2023,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230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240" w:type="dxa"/>
            <w:vAlign w:val="bottom"/>
          </w:tcPr>
          <w:p>
            <w:pPr>
              <w:spacing w:after="0"/>
              <w:rPr>
                <w:sz w:val="16"/>
                <w:szCs w:val="16"/>
                <w:color w:val="auto"/>
              </w:rPr>
            </w:pPr>
          </w:p>
        </w:tc>
        <w:tc>
          <w:tcPr>
            <w:tcW w:w="198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4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420" w:type="dxa"/>
            <w:vAlign w:val="bottom"/>
          </w:tcPr>
          <w:p>
            <w:pPr>
              <w:spacing w:after="0"/>
              <w:rPr>
                <w:sz w:val="11"/>
                <w:szCs w:val="1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FIA</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90"/>
              <w:spacing w:after="0" w:line="127"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FIA</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90"/>
              <w:spacing w:after="0" w:line="127"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FIA</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50"/>
              <w:spacing w:after="0" w:line="127"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annuities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annuities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period, net liability</w:t>
            </w:r>
          </w:p>
        </w:tc>
        <w:tc>
          <w:tcPr>
            <w:tcW w:w="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42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Balance, beginning of period, before effect of changes in the instrument-</w:t>
            </w:r>
          </w:p>
        </w:tc>
        <w:tc>
          <w:tcPr>
            <w:tcW w:w="660" w:type="dxa"/>
            <w:vAlign w:val="bottom"/>
            <w:vMerge w:val="restart"/>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1"/>
                <w:szCs w:val="11"/>
                <w:color w:val="auto"/>
              </w:rPr>
            </w:pP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2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1"/>
                <w:szCs w:val="11"/>
                <w:color w:val="auto"/>
              </w:rPr>
            </w:pP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2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1"/>
                <w:szCs w:val="11"/>
                <w:color w:val="auto"/>
              </w:rPr>
            </w:pP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specific credit risk</w:t>
            </w:r>
          </w:p>
        </w:tc>
        <w:tc>
          <w:tcPr>
            <w:tcW w:w="66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Issuances and benefit payments</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Attributed fees collected and interest accrual</w:t>
            </w: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policyholder behavior different from expected</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assumptions and other</w:t>
            </w: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Effects of market related movements</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13"/>
        </w:trPr>
        <w:tc>
          <w:tcPr>
            <w:tcW w:w="442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Balance, end of period, before effect of changes in the instrument-</w:t>
            </w:r>
          </w:p>
        </w:tc>
        <w:tc>
          <w:tcPr>
            <w:tcW w:w="660" w:type="dxa"/>
            <w:vAlign w:val="bottom"/>
            <w:tcBorders>
              <w:top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9"/>
                <w:szCs w:val="9"/>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9"/>
                <w:szCs w:val="9"/>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specific credit risk</w:t>
            </w:r>
          </w:p>
        </w:tc>
        <w:tc>
          <w:tcPr>
            <w:tcW w:w="66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the instrument-specific credit risk</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4"/>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net liability</w:t>
            </w:r>
          </w:p>
        </w:tc>
        <w:tc>
          <w:tcPr>
            <w:tcW w:w="6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attained age of policyholders weighted by total AV (years)</w:t>
            </w: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73.10</w:t>
            </w: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at risk</w:t>
            </w:r>
          </w:p>
        </w:tc>
        <w:tc>
          <w:tcPr>
            <w:tcW w:w="6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reconciles MRBs by amounts in an asset position and amounts in a liability position to the MRBs amounts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80" w:type="dxa"/>
            <w:vAlign w:val="bottom"/>
            <w:gridSpan w:val="6"/>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620" w:type="dxa"/>
            <w:vAlign w:val="bottom"/>
          </w:tcPr>
          <w:p>
            <w:pPr>
              <w:spacing w:after="0"/>
              <w:rPr>
                <w:sz w:val="16"/>
                <w:szCs w:val="16"/>
                <w:color w:val="auto"/>
              </w:rPr>
            </w:pPr>
          </w:p>
        </w:tc>
      </w:tr>
      <w:tr>
        <w:trPr>
          <w:trHeight w:val="24"/>
        </w:trPr>
        <w:tc>
          <w:tcPr>
            <w:tcW w:w="2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4"/>
        </w:trPr>
        <w:tc>
          <w:tcPr>
            <w:tcW w:w="276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Liability</w:t>
            </w: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84"/>
        </w:trPr>
        <w:tc>
          <w:tcPr>
            <w:tcW w:w="2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FIA</w:t>
            </w:r>
          </w:p>
        </w:tc>
        <w:tc>
          <w:tcPr>
            <w:tcW w:w="6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r>
      <w:tr>
        <w:trPr>
          <w:trHeight w:val="24"/>
        </w:trPr>
        <w:tc>
          <w:tcPr>
            <w:tcW w:w="2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6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1"/>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r>
      <w:tr>
        <w:trPr>
          <w:trHeight w:val="20"/>
        </w:trPr>
        <w:tc>
          <w:tcPr>
            <w:tcW w:w="2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316"/>
        <w:spacing w:after="0" w:line="242" w:lineRule="auto"/>
        <w:rPr>
          <w:sz w:val="20"/>
          <w:szCs w:val="20"/>
          <w:color w:val="auto"/>
        </w:rPr>
      </w:pPr>
      <w:r>
        <w:rPr>
          <w:rFonts w:ascii="Times New Roman" w:cs="Times New Roman" w:eastAsia="Times New Roman" w:hAnsi="Times New Roman"/>
          <w:sz w:val="18"/>
          <w:szCs w:val="18"/>
          <w:i w:val="1"/>
          <w:iCs w:val="1"/>
          <w:color w:val="auto"/>
        </w:rPr>
        <w:t>2023</w:t>
      </w:r>
      <w:r>
        <w:rPr>
          <w:rFonts w:ascii="Times New Roman" w:cs="Times New Roman" w:eastAsia="Times New Roman" w:hAnsi="Times New Roman"/>
          <w:sz w:val="18"/>
          <w:szCs w:val="18"/>
          <w:color w:val="auto"/>
        </w:rPr>
        <w:t>. The net MRB liability increased for the year ended December 31, 2023, primarily as a result of attributed fees collected, increases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policyholder behavior different than expected and changes in assumptions and other as discussed below. These increases were partially offset by the effects of market related movements, including the impacts of higher risk-free rates and increases in the equity market related projections.</w:t>
      </w:r>
    </w:p>
    <w:p>
      <w:pPr>
        <w:spacing w:after="0" w:line="139"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2023, notable changes made to the inputs to the fair value estimates of MRBs calculations included a significant increase in risk-free rates leading to a favorable change in the MRBs associated with FIA and fixed rate annuities; increases in the equity market related projections resulted in a decrease in the net amount at risk associated with FIAs, lead to a favorable change in the value of the associated MRBs; and F&amp;G’s credit spread decreased, leading to a corresponding unfavorable change in the MRBs associated with both FIA and fixed rate annuities.</w:t>
      </w:r>
    </w:p>
    <w:p>
      <w:pPr>
        <w:spacing w:after="0" w:line="210"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In addition, the cash flow assumptions used to calculate MRBs reflect the company’s best estimates for policyholder behavior. We review cash flow assumptions annually, generally in the third quarter. In 2023, F&amp;G undertook a review of all significant assumptions and revised several assumptions relating to our deferred annuities (FIA and fixed rate annuities) with MRBs including surrender rates, partial withdrawal rates, mortality improvement, and option budgets. All updates to these assumptions brought us more in line with our Company and overall industry experience since the prior assumption update. These updates, in total, led to an unfavorable change in the MRB balance during the third quarter of 2023. Additionally, in the fourth quarter of 2023, an update to the industry future mortality improvement table led to a corresponding update in our future mortality improvement assumption, which led to an unfavorable change in the MRB balance during the fourth quarter of 2023.</w:t>
      </w:r>
    </w:p>
    <w:p>
      <w:pPr>
        <w:spacing w:after="0" w:line="211"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i w:val="1"/>
          <w:iCs w:val="1"/>
          <w:color w:val="auto"/>
        </w:rPr>
        <w:t>2022</w:t>
      </w:r>
      <w:r>
        <w:rPr>
          <w:rFonts w:ascii="Times New Roman" w:cs="Times New Roman" w:eastAsia="Times New Roman" w:hAnsi="Times New Roman"/>
          <w:sz w:val="18"/>
          <w:szCs w:val="18"/>
          <w:color w:val="auto"/>
        </w:rPr>
        <w:t>. The net MRB liability decreased for the year ended December 31, 2022, primarily as a result of the effects of market related movements,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impact of higher risk-free rates, and changes in assumptions and other as discussed below, partially offset by attributed fees collected and increases as a result of actual policyholder behavior different than expected.</w:t>
      </w:r>
    </w:p>
    <w:p>
      <w:pPr>
        <w:spacing w:after="0" w:line="192" w:lineRule="exact"/>
        <w:rPr>
          <w:sz w:val="20"/>
          <w:szCs w:val="20"/>
          <w:color w:val="auto"/>
        </w:rPr>
      </w:pPr>
    </w:p>
    <w:p>
      <w:pPr>
        <w:jc w:val="both"/>
        <w:ind w:firstLine="316"/>
        <w:spacing w:after="0" w:line="234" w:lineRule="auto"/>
        <w:rPr>
          <w:sz w:val="20"/>
          <w:szCs w:val="20"/>
          <w:color w:val="auto"/>
        </w:rPr>
      </w:pPr>
      <w:r>
        <w:rPr>
          <w:rFonts w:ascii="Times New Roman" w:cs="Times New Roman" w:eastAsia="Times New Roman" w:hAnsi="Times New Roman"/>
          <w:sz w:val="18"/>
          <w:szCs w:val="18"/>
          <w:color w:val="auto"/>
        </w:rPr>
        <w:t>For the year ended December 31, 2022, notable changes made to the inputs to the fair value estimates of MRBs calculations included a significant increase to risk-free rates leading to a favorable change in the MRBs associated with both FIA and fixed rate annuities; decreases in the equity markets resulting in an increase in the net amount at risk associated with FIAs, leading to an unfavorable change in the value of the associated MRBs; and volatility indices increased, leading to an unfavorable change in the MRBs associated with FIAs.</w:t>
      </w:r>
    </w:p>
    <w:p>
      <w:pPr>
        <w:spacing w:after="0" w:line="206" w:lineRule="exact"/>
        <w:rPr>
          <w:sz w:val="20"/>
          <w:szCs w:val="20"/>
          <w:color w:val="auto"/>
        </w:rPr>
      </w:pPr>
    </w:p>
    <w:p>
      <w:pPr>
        <w:jc w:val="both"/>
        <w:ind w:firstLine="316"/>
        <w:spacing w:after="0" w:line="236" w:lineRule="auto"/>
        <w:rPr>
          <w:sz w:val="20"/>
          <w:szCs w:val="20"/>
          <w:color w:val="auto"/>
        </w:rPr>
      </w:pPr>
      <w:r>
        <w:rPr>
          <w:rFonts w:ascii="Times New Roman" w:cs="Times New Roman" w:eastAsia="Times New Roman" w:hAnsi="Times New Roman"/>
          <w:sz w:val="18"/>
          <w:szCs w:val="18"/>
          <w:color w:val="auto"/>
        </w:rPr>
        <w:t>Cash flow assumptions for mortality and full and partial surrenders were unchanged during the annual third quarter review in 2022. The GMWB utilization assumption was revised in the second quarter of 2022 to reflect additional internal and industry experience for the first several contract years. This assumption update led to a decrease in the net MRB liability. In addition, F&amp;G’s credit spread increased during 2022, leading to a corresponding decrease in the net MRB liability. Credit spreads on the block of business remain lower than the at-issue or at-purchase credit spreads, but the level has decreased since the beginning of 2022.</w:t>
      </w:r>
    </w:p>
    <w:p>
      <w:pPr>
        <w:spacing w:after="0" w:line="204" w:lineRule="exact"/>
        <w:rPr>
          <w:sz w:val="20"/>
          <w:szCs w:val="20"/>
          <w:color w:val="auto"/>
        </w:rPr>
      </w:pPr>
    </w:p>
    <w:p>
      <w:pPr>
        <w:jc w:val="both"/>
        <w:ind w:firstLine="316"/>
        <w:spacing w:after="0" w:line="317" w:lineRule="auto"/>
        <w:rPr>
          <w:sz w:val="20"/>
          <w:szCs w:val="20"/>
          <w:color w:val="auto"/>
        </w:rPr>
      </w:pPr>
      <w:r>
        <w:rPr>
          <w:rFonts w:ascii="Times New Roman" w:cs="Times New Roman" w:eastAsia="Times New Roman" w:hAnsi="Times New Roman"/>
          <w:sz w:val="16"/>
          <w:szCs w:val="16"/>
          <w:i w:val="1"/>
          <w:iCs w:val="1"/>
          <w:color w:val="auto"/>
        </w:rPr>
        <w:t>2021</w:t>
      </w:r>
      <w:r>
        <w:rPr>
          <w:rFonts w:ascii="Times New Roman" w:cs="Times New Roman" w:eastAsia="Times New Roman" w:hAnsi="Times New Roman"/>
          <w:sz w:val="16"/>
          <w:szCs w:val="16"/>
          <w:color w:val="auto"/>
        </w:rPr>
        <w:t>. The net MRB liability decreased for the year ended December 31, 2021, primarily as a result of the effects of market related movements,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impact of higher risk-free rates, and decreases as a result of actual policyholder behavior different than expected, partially offset by attributed fees collected.</w:t>
      </w:r>
    </w:p>
    <w:p>
      <w:pPr>
        <w:spacing w:after="0" w:line="148" w:lineRule="exact"/>
        <w:rPr>
          <w:sz w:val="20"/>
          <w:szCs w:val="20"/>
          <w:color w:val="auto"/>
        </w:rPr>
      </w:pPr>
    </w:p>
    <w:p>
      <w:pPr>
        <w:jc w:val="both"/>
        <w:ind w:firstLine="316"/>
        <w:spacing w:after="0" w:line="241" w:lineRule="auto"/>
        <w:rPr>
          <w:sz w:val="20"/>
          <w:szCs w:val="20"/>
          <w:color w:val="auto"/>
        </w:rPr>
      </w:pPr>
      <w:r>
        <w:rPr>
          <w:rFonts w:ascii="Times New Roman" w:cs="Times New Roman" w:eastAsia="Times New Roman" w:hAnsi="Times New Roman"/>
          <w:sz w:val="18"/>
          <w:szCs w:val="18"/>
          <w:color w:val="auto"/>
        </w:rPr>
        <w:t>For the year ended December 31, 2021, notable changes made to the inputs to the fair value estimates of MRBs calculations included a moderate increase to risk-free rates leading to a favorable change in the MRBs associated with both FIA and fixed rate annuities and increases in the equity markets resulting in a decrease in the net amount at risk associated with FIAs, leading to a favorable change in the value of the associated MRBs.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Y — Contractholder Funds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of and changes in contractholder funds’ account balances: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3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36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FIA</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FABN (b)</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FHLB (b)</w:t>
            </w:r>
          </w:p>
        </w:tc>
      </w:tr>
      <w:tr>
        <w:trPr>
          <w:trHeight w:val="191"/>
        </w:trPr>
        <w:tc>
          <w:tcPr>
            <w:tcW w:w="3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24,766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9,358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2,112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r>
      <w:tr>
        <w:trPr>
          <w:trHeight w:val="190"/>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90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5,061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r>
      <w:tr>
        <w:trPr>
          <w:trHeight w:val="205"/>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Premiums received</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Policy charges (a)</w:t>
            </w:r>
          </w:p>
        </w:tc>
        <w:tc>
          <w:tcPr>
            <w:tcW w:w="9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(2,005)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Benefit payments</w:t>
            </w:r>
          </w:p>
        </w:tc>
        <w:tc>
          <w:tcPr>
            <w:tcW w:w="9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205"/>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credited</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1"/>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9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27,164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13,443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2,391</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 adjustment (c)</w:t>
            </w:r>
          </w:p>
        </w:tc>
        <w:tc>
          <w:tcPr>
            <w:tcW w:w="90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Liability, end of period</w:t>
            </w:r>
          </w:p>
        </w:tc>
        <w:tc>
          <w:tcPr>
            <w:tcW w:w="9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27,407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13,443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2,475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w:t>
            </w:r>
          </w:p>
        </w:tc>
        <w:tc>
          <w:tcPr>
            <w:tcW w:w="9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(7,520)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after Reinsurance</w:t>
            </w:r>
          </w:p>
        </w:tc>
        <w:tc>
          <w:tcPr>
            <w:tcW w:w="90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27,390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3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 (d)</w:t>
            </w:r>
          </w:p>
        </w:tc>
        <w:tc>
          <w:tcPr>
            <w:tcW w:w="900" w:type="dxa"/>
            <w:vAlign w:val="bottom"/>
          </w:tcPr>
          <w:p>
            <w:pPr>
              <w:spacing w:after="0"/>
              <w:rPr>
                <w:sz w:val="16"/>
                <w:szCs w:val="16"/>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60,389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(e)</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25,099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12,505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1,872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79" w:lineRule="exact"/>
        <w:rPr>
          <w:sz w:val="20"/>
          <w:szCs w:val="20"/>
          <w:color w:val="auto"/>
        </w:rPr>
      </w:pPr>
    </w:p>
    <w:p>
      <w:pPr>
        <w:ind w:left="180" w:hanging="175"/>
        <w:spacing w:after="0"/>
        <w:tabs>
          <w:tab w:leader="none" w:pos="1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included in the contractholder funds are generally charged a premium and/or monthly assessments on the basis of the account balance.</w:t>
      </w:r>
    </w:p>
    <w:p>
      <w:pPr>
        <w:spacing w:after="0" w:line="21" w:lineRule="exact"/>
        <w:rPr>
          <w:rFonts w:ascii="Times New Roman" w:cs="Times New Roman" w:eastAsia="Times New Roman" w:hAnsi="Times New Roman"/>
          <w:sz w:val="13"/>
          <w:szCs w:val="13"/>
          <w:color w:val="auto"/>
        </w:rPr>
      </w:pPr>
    </w:p>
    <w:p>
      <w:pPr>
        <w:ind w:firstLine="5"/>
        <w:spacing w:after="0" w:line="253" w:lineRule="auto"/>
        <w:tabs>
          <w:tab w:leader="none" w:pos="2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left="180" w:hanging="175"/>
        <w:spacing w:after="0" w:line="233" w:lineRule="auto"/>
        <w:tabs>
          <w:tab w:leader="none" w:pos="1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embedded derivative adjustment reconciles the account balance to the gross GAAP liability and represents the combination of the host contract and the fair value of the embedded derivatives.</w:t>
      </w:r>
    </w:p>
    <w:p>
      <w:pPr>
        <w:ind w:firstLine="5"/>
        <w:spacing w:after="0" w:line="252" w:lineRule="auto"/>
        <w:tabs>
          <w:tab w:leader="none" w:pos="188"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those guarantees of benefits that are payable in the event of death, the net amount at risk is generally defined as the current guaranteed minimum death benefit in excess of the current account balance at the balance sheet date.</w:t>
      </w:r>
    </w:p>
    <w:p>
      <w:pPr>
        <w:spacing w:after="0" w:line="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are gross of reinsurance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3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36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FIA</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FABN (b)</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FHLB (b)</w:t>
            </w:r>
          </w:p>
        </w:tc>
      </w:tr>
      <w:tr>
        <w:trPr>
          <w:trHeight w:val="191"/>
        </w:trPr>
        <w:tc>
          <w:tcPr>
            <w:tcW w:w="3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21,997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6,367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r>
      <w:tr>
        <w:trPr>
          <w:trHeight w:val="190"/>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90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r>
      <w:tr>
        <w:trPr>
          <w:trHeight w:val="205"/>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Premiums received</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Policy charges (a)</w:t>
            </w:r>
          </w:p>
        </w:tc>
        <w:tc>
          <w:tcPr>
            <w:tcW w:w="9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Benefit payments</w:t>
            </w:r>
          </w:p>
        </w:tc>
        <w:tc>
          <w:tcPr>
            <w:tcW w:w="9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205"/>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credited</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1"/>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9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24,766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9,358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2,112</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 adjustment (c)</w:t>
            </w:r>
          </w:p>
        </w:tc>
        <w:tc>
          <w:tcPr>
            <w:tcW w:w="9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Liability, end of period</w:t>
            </w:r>
          </w:p>
        </w:tc>
        <w:tc>
          <w:tcPr>
            <w:tcW w:w="9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24,423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9,358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2,127</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w:t>
            </w:r>
          </w:p>
        </w:tc>
        <w:tc>
          <w:tcPr>
            <w:tcW w:w="9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(947)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after Reinsurance</w:t>
            </w:r>
          </w:p>
        </w:tc>
        <w:tc>
          <w:tcPr>
            <w:tcW w:w="90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24,406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3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0.85 %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 (d)</w:t>
            </w:r>
          </w:p>
        </w:tc>
        <w:tc>
          <w:tcPr>
            <w:tcW w:w="900" w:type="dxa"/>
            <w:vAlign w:val="bottom"/>
          </w:tcPr>
          <w:p>
            <w:pPr>
              <w:spacing w:after="0"/>
              <w:rPr>
                <w:sz w:val="16"/>
                <w:szCs w:val="16"/>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53,348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(e)</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23,049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8,744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1,698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79" w:lineRule="exact"/>
        <w:rPr>
          <w:sz w:val="20"/>
          <w:szCs w:val="20"/>
          <w:color w:val="auto"/>
        </w:rPr>
      </w:pPr>
    </w:p>
    <w:p>
      <w:pPr>
        <w:ind w:left="180" w:hanging="175"/>
        <w:spacing w:after="0"/>
        <w:tabs>
          <w:tab w:leader="none" w:pos="1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included in the contractholder funds are generally charged a premium and/or monthly assessments on the basis of the account balance.</w:t>
      </w:r>
    </w:p>
    <w:p>
      <w:pPr>
        <w:spacing w:after="0" w:line="21" w:lineRule="exact"/>
        <w:rPr>
          <w:rFonts w:ascii="Times New Roman" w:cs="Times New Roman" w:eastAsia="Times New Roman" w:hAnsi="Times New Roman"/>
          <w:sz w:val="13"/>
          <w:szCs w:val="13"/>
          <w:color w:val="auto"/>
        </w:rPr>
      </w:pPr>
    </w:p>
    <w:p>
      <w:pPr>
        <w:ind w:firstLine="5"/>
        <w:spacing w:after="0" w:line="253" w:lineRule="auto"/>
        <w:tabs>
          <w:tab w:leader="none" w:pos="2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left="180" w:hanging="175"/>
        <w:spacing w:after="0" w:line="233" w:lineRule="auto"/>
        <w:tabs>
          <w:tab w:leader="none" w:pos="1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embedded derivative adjustment reconciles the account balance to the gross GAAP liability and represents the combination of the host contract and the fair value of the embedded derivatives.</w:t>
      </w:r>
    </w:p>
    <w:p>
      <w:pPr>
        <w:ind w:firstLine="5"/>
        <w:spacing w:after="0" w:line="252" w:lineRule="auto"/>
        <w:tabs>
          <w:tab w:leader="none" w:pos="18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those guarantees of benefits that are payable in the event of death, the net amount at risk is generally defined as the current guaranteed minimum death benefit in excess of the current account balance at the balance sheet date.</w:t>
      </w:r>
    </w:p>
    <w:p>
      <w:pPr>
        <w:spacing w:after="0" w:line="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are gross of reinsurance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3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36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FIA</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FABN (b)</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FHLB (b)</w:t>
            </w:r>
          </w:p>
        </w:tc>
      </w:tr>
      <w:tr>
        <w:trPr>
          <w:trHeight w:val="191"/>
        </w:trPr>
        <w:tc>
          <w:tcPr>
            <w:tcW w:w="3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18,703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1,696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r>
      <w:tr>
        <w:trPr>
          <w:trHeight w:val="190"/>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90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r>
      <w:tr>
        <w:trPr>
          <w:trHeight w:val="205"/>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Premiums received</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Policy charges (a)</w:t>
            </w:r>
          </w:p>
        </w:tc>
        <w:tc>
          <w:tcPr>
            <w:tcW w:w="9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Benefit payments</w:t>
            </w:r>
          </w:p>
        </w:tc>
        <w:tc>
          <w:tcPr>
            <w:tcW w:w="9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205"/>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credited</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1"/>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9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21,997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6,367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1,907</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 adjustment (c)</w:t>
            </w:r>
          </w:p>
        </w:tc>
        <w:tc>
          <w:tcPr>
            <w:tcW w:w="90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Liability, end of period</w:t>
            </w:r>
          </w:p>
        </w:tc>
        <w:tc>
          <w:tcPr>
            <w:tcW w:w="9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22,600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6,367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1,981</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w:t>
            </w:r>
          </w:p>
        </w:tc>
        <w:tc>
          <w:tcPr>
            <w:tcW w:w="9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(1,692)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after Reinsurance</w:t>
            </w:r>
          </w:p>
        </w:tc>
        <w:tc>
          <w:tcPr>
            <w:tcW w:w="90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22,583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4,675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3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 (d)</w:t>
            </w:r>
          </w:p>
        </w:tc>
        <w:tc>
          <w:tcPr>
            <w:tcW w:w="900" w:type="dxa"/>
            <w:vAlign w:val="bottom"/>
          </w:tcPr>
          <w:p>
            <w:pPr>
              <w:spacing w:after="0"/>
              <w:rPr>
                <w:sz w:val="16"/>
                <w:szCs w:val="16"/>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41,326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(e)</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20,455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1,572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79" w:lineRule="exact"/>
        <w:rPr>
          <w:sz w:val="20"/>
          <w:szCs w:val="20"/>
          <w:color w:val="auto"/>
        </w:rPr>
      </w:pPr>
    </w:p>
    <w:p>
      <w:pPr>
        <w:ind w:left="180" w:hanging="175"/>
        <w:spacing w:after="0"/>
        <w:tabs>
          <w:tab w:leader="none" w:pos="1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included in the contractholder funds are generally charged a premium and/or monthly assessments on the basis of the account balance.</w:t>
      </w:r>
    </w:p>
    <w:p>
      <w:pPr>
        <w:spacing w:after="0" w:line="21" w:lineRule="exact"/>
        <w:rPr>
          <w:rFonts w:ascii="Times New Roman" w:cs="Times New Roman" w:eastAsia="Times New Roman" w:hAnsi="Times New Roman"/>
          <w:sz w:val="13"/>
          <w:szCs w:val="13"/>
          <w:color w:val="auto"/>
        </w:rPr>
      </w:pPr>
    </w:p>
    <w:p>
      <w:pPr>
        <w:ind w:firstLine="5"/>
        <w:spacing w:after="0" w:line="253" w:lineRule="auto"/>
        <w:tabs>
          <w:tab w:leader="none" w:pos="2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left="180" w:hanging="175"/>
        <w:spacing w:after="0" w:line="233" w:lineRule="auto"/>
        <w:tabs>
          <w:tab w:leader="none" w:pos="1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embedded derivative adjustment reconciles the account balance to the gross GAAP liability and represents the combination of the host contract and the fair value of the embedded derivatives.</w:t>
      </w:r>
    </w:p>
    <w:p>
      <w:pPr>
        <w:ind w:firstLine="5"/>
        <w:spacing w:after="0" w:line="252" w:lineRule="auto"/>
        <w:tabs>
          <w:tab w:leader="none" w:pos="18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those guarantees of benefits that are payable in the event of death, the net amount at risk is generally defined as the current guaranteed minimum death benefit in excess of the current account balance at the balance sheet date.</w:t>
      </w:r>
    </w:p>
    <w:p>
      <w:pPr>
        <w:spacing w:after="0" w:line="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are gross of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contractholder funds’ account balances to the contractholder funds liability in the Consolidated Balance Sheets: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5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5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4"/>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FIA</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22,600</w:t>
            </w: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6,367</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Universal life</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Funding Agreement-FABN</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r>
      <w:tr>
        <w:trPr>
          <w:trHeight w:val="191"/>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2"/>
        </w:trPr>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Annually, typically in the third quarter, we review assumptions associated with reserves for policy benefits and product guarantees. During the third quarter of 2023 and for the year ended December 31, 2023, based on increases in interest rates and pricing changes, we updated certain FIA assumptions used to calculate the fair value of the embedded derivative component within contractholder funds and also aligned reserves to actual policyholder behavior. These changes resulted in an increase in total benefits and other changes in policy reserves of approximately $73 million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316"/>
        <w:spacing w:after="0" w:line="253" w:lineRule="auto"/>
        <w:rPr>
          <w:sz w:val="20"/>
          <w:szCs w:val="20"/>
          <w:color w:val="auto"/>
        </w:rPr>
      </w:pPr>
      <w:r>
        <w:rPr>
          <w:rFonts w:ascii="Times New Roman" w:cs="Times New Roman" w:eastAsia="Times New Roman" w:hAnsi="Times New Roman"/>
          <w:sz w:val="18"/>
          <w:szCs w:val="18"/>
          <w:color w:val="auto"/>
        </w:rPr>
        <w:t>The following tables present the account values by range of guaranteed minimum crediting rates and the related range of difference, in basis points, between rates being credited to policyholders and the respective guaranteed minimums: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6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40" w:type="dxa"/>
            <w:vAlign w:val="bottom"/>
          </w:tcPr>
          <w:p>
            <w:pPr>
              <w:spacing w:after="0"/>
              <w:rPr>
                <w:sz w:val="10"/>
                <w:szCs w:val="10"/>
                <w:color w:val="auto"/>
              </w:rPr>
            </w:pPr>
          </w:p>
        </w:tc>
        <w:tc>
          <w:tcPr>
            <w:tcW w:w="11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At Guaranteed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4"/>
          </w:tcPr>
          <w:p>
            <w:pPr>
              <w:jc w:val="right"/>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9"/>
              </w:rPr>
              <w:t>1 Basis Point-50 Basis</w:t>
            </w:r>
          </w:p>
        </w:tc>
        <w:tc>
          <w:tcPr>
            <w:tcW w:w="1660" w:type="dxa"/>
            <w:vAlign w:val="bottom"/>
            <w:gridSpan w:val="6"/>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51 Basis Points-150 Basis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right"/>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Greater Than 150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vMerge w:val="restart"/>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FIA</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22,392</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26,315</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22,965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27,164</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10,271</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11,851</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80" w:type="dxa"/>
            <w:vAlign w:val="bottom"/>
          </w:tcPr>
          <w:p>
            <w:pPr>
              <w:spacing w:after="0"/>
              <w:rPr>
                <w:sz w:val="17"/>
                <w:szCs w:val="17"/>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10,928</w:t>
            </w:r>
          </w:p>
        </w:tc>
        <w:tc>
          <w:tcPr>
            <w:tcW w:w="100" w:type="dxa"/>
            <w:vAlign w:val="bottom"/>
          </w:tcPr>
          <w:p>
            <w:pPr>
              <w:spacing w:after="0"/>
              <w:rPr>
                <w:sz w:val="17"/>
                <w:szCs w:val="17"/>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13,443</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6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At Guaranteed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right"/>
              <w:ind w:right="60"/>
              <w:spacing w:after="0" w:line="127" w:lineRule="exact"/>
              <w:rPr>
                <w:sz w:val="20"/>
                <w:szCs w:val="20"/>
                <w:color w:val="auto"/>
              </w:rPr>
            </w:pPr>
            <w:r>
              <w:rPr>
                <w:rFonts w:ascii="Times New Roman" w:cs="Times New Roman" w:eastAsia="Times New Roman" w:hAnsi="Times New Roman"/>
                <w:sz w:val="14"/>
                <w:szCs w:val="14"/>
                <w:b w:val="1"/>
                <w:bCs w:val="1"/>
                <w:color w:val="auto"/>
                <w:w w:val="99"/>
              </w:rPr>
              <w:t>1 Basis Point-50 Basis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w w:val="98"/>
              </w:rPr>
              <w:t>51 Basis Points-150 Basis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Greater Than 150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vMerge w:val="restart"/>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6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FIA</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22,848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801</w:t>
            </w: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151</w:t>
            </w:r>
          </w:p>
        </w:tc>
        <w:tc>
          <w:tcPr>
            <w:tcW w:w="4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24,210</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390</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23,400</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801</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414</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151</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24,766</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1,871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6,379</w:t>
            </w:r>
          </w:p>
        </w:tc>
        <w:tc>
          <w:tcPr>
            <w:tcW w:w="4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8,292</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997</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1,016</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1,905</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6,387</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9,358</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1,701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4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346</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2,047</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8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00" w:type="dxa"/>
            <w:vAlign w:val="bottom"/>
          </w:tcPr>
          <w:p>
            <w:pPr>
              <w:spacing w:after="0"/>
              <w:rPr>
                <w:sz w:val="11"/>
                <w:szCs w:val="11"/>
                <w:color w:val="auto"/>
              </w:rPr>
            </w:pPr>
          </w:p>
        </w:tc>
        <w:tc>
          <w:tcPr>
            <w:tcW w:w="116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At Guaranteed</w:t>
            </w:r>
          </w:p>
        </w:tc>
        <w:tc>
          <w:tcPr>
            <w:tcW w:w="100" w:type="dxa"/>
            <w:vAlign w:val="bottom"/>
          </w:tcPr>
          <w:p>
            <w:pPr>
              <w:spacing w:after="0"/>
              <w:rPr>
                <w:sz w:val="11"/>
                <w:szCs w:val="11"/>
                <w:color w:val="auto"/>
              </w:rPr>
            </w:pPr>
          </w:p>
        </w:tc>
        <w:tc>
          <w:tcPr>
            <w:tcW w:w="150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w w:val="99"/>
              </w:rPr>
              <w:t>1 Basis Point-50 Basis</w:t>
            </w:r>
          </w:p>
        </w:tc>
        <w:tc>
          <w:tcPr>
            <w:tcW w:w="164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51 Basis Points-150 Basis</w:t>
            </w:r>
          </w:p>
        </w:tc>
        <w:tc>
          <w:tcPr>
            <w:tcW w:w="140" w:type="dxa"/>
            <w:vAlign w:val="bottom"/>
          </w:tcPr>
          <w:p>
            <w:pPr>
              <w:spacing w:after="0"/>
              <w:rPr>
                <w:sz w:val="11"/>
                <w:szCs w:val="11"/>
                <w:color w:val="auto"/>
              </w:rPr>
            </w:pPr>
          </w:p>
        </w:tc>
        <w:tc>
          <w:tcPr>
            <w:tcW w:w="144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w w:val="98"/>
              </w:rPr>
              <w:t>Greater Than 150</w:t>
            </w:r>
          </w:p>
        </w:tc>
        <w:tc>
          <w:tcPr>
            <w:tcW w:w="320" w:type="dxa"/>
            <w:vAlign w:val="bottom"/>
          </w:tcPr>
          <w:p>
            <w:pPr>
              <w:spacing w:after="0"/>
              <w:rPr>
                <w:sz w:val="11"/>
                <w:szCs w:val="11"/>
                <w:color w:val="auto"/>
              </w:rPr>
            </w:pPr>
          </w:p>
        </w:tc>
        <w:tc>
          <w:tcPr>
            <w:tcW w:w="1040" w:type="dxa"/>
            <w:vAlign w:val="bottom"/>
            <w:vMerge w:val="restart"/>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FIA</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21,353</w:t>
            </w: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20,764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21,997</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w:t>
            </w: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0" w:type="dxa"/>
            <w:vAlign w:val="bottom"/>
          </w:tcPr>
          <w:p>
            <w:pPr>
              <w:spacing w:after="0"/>
              <w:rPr>
                <w:sz w:val="1"/>
                <w:szCs w:val="1"/>
                <w:color w:val="auto"/>
              </w:rPr>
            </w:pPr>
          </w:p>
        </w:tc>
      </w:tr>
      <w:tr>
        <w:trPr>
          <w:trHeight w:val="197"/>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6,367</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97"/>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Z — Future Policy Benefits</w:t>
      </w:r>
    </w:p>
    <w:p>
      <w:pPr>
        <w:spacing w:after="0" w:line="23" w:lineRule="exact"/>
        <w:rPr>
          <w:sz w:val="20"/>
          <w:szCs w:val="20"/>
          <w:color w:val="auto"/>
        </w:rPr>
      </w:pPr>
    </w:p>
    <w:p>
      <w:pPr>
        <w:ind w:firstLine="316"/>
        <w:spacing w:after="0" w:line="236" w:lineRule="auto"/>
        <w:rPr>
          <w:sz w:val="20"/>
          <w:szCs w:val="20"/>
          <w:color w:val="auto"/>
        </w:rPr>
      </w:pPr>
      <w:r>
        <w:rPr>
          <w:rFonts w:ascii="Times New Roman" w:cs="Times New Roman" w:eastAsia="Times New Roman" w:hAnsi="Times New Roman"/>
          <w:sz w:val="18"/>
          <w:szCs w:val="18"/>
          <w:color w:val="auto"/>
        </w:rPr>
        <w:t>The following table summarizes balances and changes in the present value of expected net premiums and the present value of the expected FPB for nonparticipating traditional contracts: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net premiums</w:t>
            </w: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6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58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0" w:type="dxa"/>
            <w:vAlign w:val="bottom"/>
          </w:tcPr>
          <w:p>
            <w:pPr>
              <w:spacing w:after="0"/>
              <w:rPr>
                <w:sz w:val="1"/>
                <w:szCs w:val="1"/>
                <w:color w:val="auto"/>
              </w:rPr>
            </w:pPr>
          </w:p>
        </w:tc>
      </w:tr>
      <w:tr>
        <w:trPr>
          <w:trHeight w:val="19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5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205"/>
        </w:trPr>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5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3"/>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580" w:type="dxa"/>
            <w:vAlign w:val="bottom"/>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5"/>
                <w:szCs w:val="15"/>
                <w:color w:val="auto"/>
              </w:rPr>
            </w:pPr>
          </w:p>
        </w:tc>
        <w:tc>
          <w:tcPr>
            <w:tcW w:w="1560" w:type="dxa"/>
            <w:vAlign w:val="bottom"/>
          </w:tcPr>
          <w:p>
            <w:pPr>
              <w:jc w:val="right"/>
              <w:ind w:right="14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205"/>
        </w:trPr>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5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1"/>
        </w:trPr>
        <w:tc>
          <w:tcPr>
            <w:tcW w:w="5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Net premiums collected</w:t>
            </w:r>
          </w:p>
        </w:tc>
        <w:tc>
          <w:tcPr>
            <w:tcW w:w="1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58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0" w:type="dxa"/>
            <w:vAlign w:val="bottom"/>
          </w:tcPr>
          <w:p>
            <w:pPr>
              <w:spacing w:after="0"/>
              <w:rPr>
                <w:sz w:val="1"/>
                <w:szCs w:val="1"/>
                <w:color w:val="auto"/>
              </w:rPr>
            </w:pPr>
          </w:p>
        </w:tc>
      </w:tr>
      <w:tr>
        <w:trPr>
          <w:trHeight w:val="191"/>
        </w:trPr>
        <w:tc>
          <w:tcPr>
            <w:tcW w:w="5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158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FPB</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2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58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2,151</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0" w:type="dxa"/>
            <w:vAlign w:val="bottom"/>
          </w:tcPr>
          <w:p>
            <w:pPr>
              <w:spacing w:after="0"/>
              <w:rPr>
                <w:sz w:val="1"/>
                <w:szCs w:val="1"/>
                <w:color w:val="auto"/>
              </w:rPr>
            </w:pPr>
          </w:p>
        </w:tc>
      </w:tr>
      <w:tr>
        <w:trPr>
          <w:trHeight w:val="19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5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2,665</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0" w:type="dxa"/>
            <w:vAlign w:val="bottom"/>
          </w:tcPr>
          <w:p>
            <w:pPr>
              <w:spacing w:after="0"/>
              <w:rPr>
                <w:sz w:val="1"/>
                <w:szCs w:val="1"/>
                <w:color w:val="auto"/>
              </w:rPr>
            </w:pPr>
          </w:p>
        </w:tc>
      </w:tr>
      <w:tr>
        <w:trPr>
          <w:trHeight w:val="205"/>
        </w:trPr>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5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3"/>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580" w:type="dxa"/>
            <w:vAlign w:val="bottom"/>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2,641</w:t>
            </w:r>
          </w:p>
        </w:tc>
        <w:tc>
          <w:tcPr>
            <w:tcW w:w="100" w:type="dxa"/>
            <w:vAlign w:val="bottom"/>
          </w:tcPr>
          <w:p>
            <w:pPr>
              <w:spacing w:after="0"/>
              <w:rPr>
                <w:sz w:val="15"/>
                <w:szCs w:val="15"/>
                <w:color w:val="auto"/>
              </w:rPr>
            </w:pPr>
          </w:p>
        </w:tc>
        <w:tc>
          <w:tcPr>
            <w:tcW w:w="1560" w:type="dxa"/>
            <w:vAlign w:val="bottom"/>
          </w:tcPr>
          <w:p>
            <w:pPr>
              <w:jc w:val="right"/>
              <w:ind w:right="14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0" w:type="dxa"/>
            <w:vAlign w:val="bottom"/>
          </w:tcPr>
          <w:p>
            <w:pPr>
              <w:spacing w:after="0"/>
              <w:rPr>
                <w:sz w:val="1"/>
                <w:szCs w:val="1"/>
                <w:color w:val="auto"/>
              </w:rPr>
            </w:pPr>
          </w:p>
        </w:tc>
      </w:tr>
      <w:tr>
        <w:trPr>
          <w:trHeight w:val="205"/>
        </w:trPr>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5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1"/>
        </w:trPr>
        <w:tc>
          <w:tcPr>
            <w:tcW w:w="5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1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58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2,492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0" w:type="dxa"/>
            <w:vAlign w:val="bottom"/>
          </w:tcPr>
          <w:p>
            <w:pPr>
              <w:spacing w:after="0"/>
              <w:rPr>
                <w:sz w:val="1"/>
                <w:szCs w:val="1"/>
                <w:color w:val="auto"/>
              </w:rPr>
            </w:pPr>
          </w:p>
        </w:tc>
      </w:tr>
      <w:tr>
        <w:trPr>
          <w:trHeight w:val="191"/>
        </w:trPr>
        <w:tc>
          <w:tcPr>
            <w:tcW w:w="5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158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2,071</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158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1,349</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0" w:type="dxa"/>
            <w:vAlign w:val="bottom"/>
          </w:tcPr>
          <w:p>
            <w:pPr>
              <w:spacing w:after="0"/>
              <w:rPr>
                <w:sz w:val="1"/>
                <w:szCs w:val="1"/>
                <w:color w:val="auto"/>
              </w:rPr>
            </w:pPr>
          </w:p>
        </w:tc>
      </w:tr>
      <w:tr>
        <w:trPr>
          <w:trHeight w:val="191"/>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158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15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and changes in the present value of the expected FPB for limited-payment contracts: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5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4"/>
        </w:trPr>
        <w:tc>
          <w:tcPr>
            <w:tcW w:w="5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PRT</w:t>
            </w: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r>
      <w:tr>
        <w:trPr>
          <w:trHeight w:val="19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56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5"/>
              </w:rPr>
              <w:t>2,165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560" w:type="dxa"/>
            <w:vAlign w:val="bottom"/>
          </w:tcPr>
          <w:p>
            <w:pPr>
              <w:spacing w:after="0"/>
              <w:rPr>
                <w:sz w:val="16"/>
                <w:szCs w:val="16"/>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95"/>
              </w:rPr>
              <w:t>2,475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5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56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5"/>
              </w:rPr>
              <w:t>2,459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560" w:type="dxa"/>
            <w:vAlign w:val="bottom"/>
          </w:tcPr>
          <w:p>
            <w:pPr>
              <w:spacing w:after="0"/>
              <w:rPr>
                <w:sz w:val="16"/>
                <w:szCs w:val="16"/>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95"/>
              </w:rPr>
              <w:t>2,041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r>
      <w:tr>
        <w:trPr>
          <w:trHeight w:val="205"/>
        </w:trPr>
        <w:tc>
          <w:tcPr>
            <w:tcW w:w="5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0"/>
        </w:trPr>
        <w:tc>
          <w:tcPr>
            <w:tcW w:w="5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15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56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5"/>
              </w:rPr>
              <w:t>4,351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r>
      <w:tr>
        <w:trPr>
          <w:trHeight w:val="191"/>
        </w:trPr>
        <w:tc>
          <w:tcPr>
            <w:tcW w:w="5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2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1560" w:type="dxa"/>
            <w:vAlign w:val="bottom"/>
            <w:tcBorders>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5"/>
              </w:rPr>
              <w:t>4,189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5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9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156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5"/>
              </w:rPr>
              <w:t>4,189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r>
      <w:tr>
        <w:trPr>
          <w:trHeight w:val="19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5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1560" w:type="dxa"/>
            <w:vAlign w:val="bottom"/>
            <w:tcBorders>
              <w:top w:val="single" w:sz="8" w:color="auto"/>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5"/>
              </w:rPr>
              <w:t>4,189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5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9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r>
    </w:tbl>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5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4"/>
        </w:trPr>
        <w:tc>
          <w:tcPr>
            <w:tcW w:w="5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r>
      <w:tr>
        <w:trPr>
          <w:trHeight w:val="19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56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5"/>
              </w:rPr>
              <w:t>1,429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w:t>
            </w:r>
          </w:p>
        </w:tc>
      </w:tr>
      <w:tr>
        <w:trPr>
          <w:trHeight w:val="19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560" w:type="dxa"/>
            <w:vAlign w:val="bottom"/>
          </w:tcPr>
          <w:p>
            <w:pPr>
              <w:spacing w:after="0"/>
              <w:rPr>
                <w:sz w:val="16"/>
                <w:szCs w:val="16"/>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95"/>
              </w:rPr>
              <w:t>1,858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r>
      <w:tr>
        <w:trPr>
          <w:trHeight w:val="205"/>
        </w:trPr>
        <w:tc>
          <w:tcPr>
            <w:tcW w:w="5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5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56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5"/>
              </w:rPr>
              <w:t>1,843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w:t>
            </w:r>
          </w:p>
        </w:tc>
      </w:tr>
      <w:tr>
        <w:trPr>
          <w:trHeight w:val="190"/>
        </w:trPr>
        <w:tc>
          <w:tcPr>
            <w:tcW w:w="5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560" w:type="dxa"/>
            <w:vAlign w:val="bottom"/>
          </w:tcPr>
          <w:p>
            <w:pPr>
              <w:spacing w:after="0"/>
              <w:rPr>
                <w:sz w:val="16"/>
                <w:szCs w:val="16"/>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5"/>
        </w:trPr>
        <w:tc>
          <w:tcPr>
            <w:tcW w:w="5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0"/>
        </w:trPr>
        <w:tc>
          <w:tcPr>
            <w:tcW w:w="5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15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20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56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5"/>
              </w:rPr>
              <w:t>1,788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w:t>
            </w:r>
          </w:p>
        </w:tc>
      </w:tr>
      <w:tr>
        <w:trPr>
          <w:trHeight w:val="191"/>
        </w:trPr>
        <w:tc>
          <w:tcPr>
            <w:tcW w:w="5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2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1560" w:type="dxa"/>
            <w:vAlign w:val="bottom"/>
            <w:tcBorders>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5"/>
              </w:rPr>
              <w:t>1,415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44"/>
        </w:trPr>
        <w:tc>
          <w:tcPr>
            <w:tcW w:w="5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156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5"/>
              </w:rPr>
              <w:t>1,415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w:t>
            </w:r>
          </w:p>
        </w:tc>
      </w:tr>
      <w:tr>
        <w:trPr>
          <w:trHeight w:val="191"/>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22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1560" w:type="dxa"/>
            <w:vAlign w:val="bottom"/>
            <w:tcBorders>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5"/>
              </w:rPr>
              <w:t>1,299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5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9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and changes in the liability for DPL for limited-payment contracts: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98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20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Immediate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PRT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Immediate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PRT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Immediate</w:t>
            </w:r>
          </w:p>
        </w:tc>
        <w:tc>
          <w:tcPr>
            <w:tcW w:w="240" w:type="dxa"/>
            <w:vAlign w:val="bottom"/>
          </w:tcPr>
          <w:p>
            <w:pPr>
              <w:spacing w:after="0"/>
              <w:rPr>
                <w:sz w:val="11"/>
                <w:szCs w:val="11"/>
                <w:color w:val="auto"/>
              </w:rPr>
            </w:pP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PRT</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annuities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8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69</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 of modeling changes</w:t>
            </w:r>
          </w:p>
        </w:tc>
        <w:tc>
          <w:tcPr>
            <w:tcW w:w="8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8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8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16</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16</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adjusted for variances from expectation</w:t>
            </w: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89</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73</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8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5"/>
        </w:trPr>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Amortization</w:t>
            </w: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(7)</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87</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69</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reconciles the net FPB to the FPB in the Consolidated Balance Sheets. The DPL for Immediate Annuities and PRT is presented together with the FPB in the Consolidated Balance Sheets and has been included as a reconciling item in the table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120" w:type="dxa"/>
            <w:vAlign w:val="bottom"/>
          </w:tcPr>
          <w:p>
            <w:pPr>
              <w:spacing w:after="0"/>
              <w:rPr>
                <w:sz w:val="16"/>
                <w:szCs w:val="16"/>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6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4"/>
        </w:trPr>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w:t>
            </w:r>
          </w:p>
        </w:tc>
      </w:tr>
      <w:tr>
        <w:trPr>
          <w:trHeight w:val="20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 DPL</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DPL</w:t>
            </w: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7"/>
        </w:trPr>
        <w:tc>
          <w:tcPr>
            <w:tcW w:w="6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4,918</w:t>
            </w: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720" w:firstLine="316"/>
        <w:spacing w:after="0" w:line="253" w:lineRule="auto"/>
        <w:rPr>
          <w:sz w:val="20"/>
          <w:szCs w:val="20"/>
          <w:color w:val="auto"/>
        </w:rPr>
      </w:pPr>
      <w:r>
        <w:rPr>
          <w:rFonts w:ascii="Times New Roman" w:cs="Times New Roman" w:eastAsia="Times New Roman" w:hAnsi="Times New Roman"/>
          <w:sz w:val="18"/>
          <w:szCs w:val="18"/>
          <w:color w:val="auto"/>
        </w:rPr>
        <w:t>The following table provides the amount of undiscounted and discounted expected gross premiums and expected future benefits and expenses for nonparticipating traditional and limited-payment contracts:</w:t>
      </w:r>
    </w:p>
    <w:p>
      <w:pPr>
        <w:spacing w:after="0" w:line="97"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Undiscounted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3"/>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Discounted</w:t>
            </w:r>
          </w:p>
        </w:tc>
      </w:tr>
      <w:tr>
        <w:trPr>
          <w:trHeight w:val="24"/>
        </w:trPr>
        <w:tc>
          <w:tcPr>
            <w:tcW w:w="4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60" w:type="dxa"/>
            <w:vAlign w:val="bottom"/>
            <w:gridSpan w:val="4"/>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4"/>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2,935</w:t>
            </w:r>
          </w:p>
        </w:tc>
        <w:tc>
          <w:tcPr>
            <w:tcW w:w="7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2,075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w:t>
            </w:r>
          </w:p>
        </w:tc>
      </w:tr>
      <w:tr>
        <w:trPr>
          <w:trHeight w:val="190"/>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120" w:type="dxa"/>
            <w:vAlign w:val="bottom"/>
          </w:tcPr>
          <w:p>
            <w:pPr>
              <w:spacing w:after="0"/>
              <w:rPr>
                <w:sz w:val="16"/>
                <w:szCs w:val="16"/>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1,082</w:t>
            </w:r>
          </w:p>
        </w:tc>
        <w:tc>
          <w:tcPr>
            <w:tcW w:w="7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789</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w:t>
            </w:r>
          </w:p>
        </w:tc>
      </w:tr>
      <w:tr>
        <w:trPr>
          <w:trHeight w:val="20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0"/>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3,291</w:t>
            </w:r>
          </w:p>
        </w:tc>
        <w:tc>
          <w:tcPr>
            <w:tcW w:w="780" w:type="dxa"/>
            <w:vAlign w:val="bottom"/>
          </w:tcPr>
          <w:p>
            <w:pPr>
              <w:jc w:val="right"/>
              <w:ind w:right="5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1,413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r>
      <w:tr>
        <w:trPr>
          <w:trHeight w:val="205"/>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PRT</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4"/>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6,709</w:t>
            </w:r>
          </w:p>
        </w:tc>
        <w:tc>
          <w:tcPr>
            <w:tcW w:w="7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4,350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r>
      <w:tr>
        <w:trPr>
          <w:trHeight w:val="183"/>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12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summarizes the amount of revenue and interest related to nonparticipating traditional and limited-payment contracts recognized in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 Premiums (a)</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 Expense (b)</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4"/>
        </w:trPr>
        <w:tc>
          <w:tcPr>
            <w:tcW w:w="25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r>
      <w:tr>
        <w:trPr>
          <w:trHeight w:val="191"/>
        </w:trPr>
        <w:tc>
          <w:tcPr>
            <w:tcW w:w="25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20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9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0"/>
        </w:trPr>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Included in Life insurance premiums and other fees on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 Included in Benefits and other changes in policy reserves (remeasurement gains (losses) (a)) on the Consolidated Statements of Earnings.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weighted-average interest rate: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650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6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2.33 %</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0" w:type="dxa"/>
            <w:vAlign w:val="bottom"/>
          </w:tcPr>
          <w:p>
            <w:pPr>
              <w:spacing w:after="0"/>
              <w:rPr>
                <w:sz w:val="1"/>
                <w:szCs w:val="1"/>
                <w:color w:val="auto"/>
              </w:rPr>
            </w:pPr>
          </w:p>
        </w:tc>
      </w:tr>
      <w:tr>
        <w:trPr>
          <w:trHeight w:val="183"/>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2.41 %</w:t>
            </w:r>
          </w:p>
        </w:tc>
        <w:tc>
          <w:tcPr>
            <w:tcW w:w="0" w:type="dxa"/>
            <w:vAlign w:val="bottom"/>
          </w:tcPr>
          <w:p>
            <w:pPr>
              <w:spacing w:after="0"/>
              <w:rPr>
                <w:sz w:val="1"/>
                <w:szCs w:val="1"/>
                <w:color w:val="auto"/>
              </w:rPr>
            </w:pPr>
          </w:p>
        </w:tc>
      </w:tr>
      <w:tr>
        <w:trPr>
          <w:trHeight w:val="188"/>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3.14 %</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3.04 %</w:t>
            </w:r>
          </w:p>
        </w:tc>
        <w:tc>
          <w:tcPr>
            <w:tcW w:w="0" w:type="dxa"/>
            <w:vAlign w:val="bottom"/>
          </w:tcPr>
          <w:p>
            <w:pPr>
              <w:spacing w:after="0"/>
              <w:rPr>
                <w:sz w:val="1"/>
                <w:szCs w:val="1"/>
                <w:color w:val="auto"/>
              </w:rPr>
            </w:pPr>
          </w:p>
        </w:tc>
      </w:tr>
      <w:tr>
        <w:trPr>
          <w:trHeight w:val="183"/>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0" w:type="dxa"/>
            <w:vAlign w:val="bottom"/>
          </w:tcPr>
          <w:p>
            <w:pPr>
              <w:spacing w:after="0"/>
              <w:rPr>
                <w:sz w:val="1"/>
                <w:szCs w:val="1"/>
                <w:color w:val="auto"/>
              </w:rPr>
            </w:pPr>
          </w:p>
        </w:tc>
      </w:tr>
      <w:tr>
        <w:trPr>
          <w:trHeight w:val="188"/>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PRT</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0" w:type="dxa"/>
            <w:vAlign w:val="bottom"/>
          </w:tcPr>
          <w:p>
            <w:pPr>
              <w:spacing w:after="0"/>
              <w:rPr>
                <w:sz w:val="1"/>
                <w:szCs w:val="1"/>
                <w:color w:val="auto"/>
              </w:rPr>
            </w:pPr>
          </w:p>
        </w:tc>
      </w:tr>
      <w:tr>
        <w:trPr>
          <w:trHeight w:val="183"/>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actual experience and expected experience for mortality and lapses of the FPB:</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00" w:type="dxa"/>
            <w:vAlign w:val="bottom"/>
          </w:tcPr>
          <w:p>
            <w:pPr>
              <w:spacing w:after="0"/>
              <w:rPr>
                <w:sz w:val="16"/>
                <w:szCs w:val="16"/>
                <w:color w:val="auto"/>
              </w:rPr>
            </w:pPr>
          </w:p>
        </w:tc>
      </w:tr>
      <w:tr>
        <w:trPr>
          <w:trHeight w:val="24"/>
        </w:trPr>
        <w:tc>
          <w:tcPr>
            <w:tcW w:w="65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6500" w:type="dxa"/>
            <w:vAlign w:val="bottom"/>
          </w:tcPr>
          <w:p>
            <w:pPr>
              <w:spacing w:after="0"/>
              <w:rPr>
                <w:sz w:val="15"/>
                <w:szCs w:val="15"/>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Immediate annuities</w:t>
            </w: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PRT</w:t>
            </w: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r>
      <w:tr>
        <w:trPr>
          <w:trHeight w:val="24"/>
        </w:trPr>
        <w:tc>
          <w:tcPr>
            <w:tcW w:w="6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7"/>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19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20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Lapses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5"/>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500" w:type="dxa"/>
            <w:vAlign w:val="bottom"/>
          </w:tcPr>
          <w:p>
            <w:pPr>
              <w:spacing w:after="0"/>
              <w:rPr>
                <w:sz w:val="16"/>
                <w:szCs w:val="16"/>
                <w:color w:val="auto"/>
              </w:rPr>
            </w:pPr>
          </w:p>
        </w:tc>
      </w:tr>
      <w:tr>
        <w:trPr>
          <w:trHeight w:val="24"/>
        </w:trPr>
        <w:tc>
          <w:tcPr>
            <w:tcW w:w="65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6500" w:type="dxa"/>
            <w:vAlign w:val="bottom"/>
          </w:tcPr>
          <w:p>
            <w:pPr>
              <w:spacing w:after="0"/>
              <w:rPr>
                <w:sz w:val="15"/>
                <w:szCs w:val="15"/>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Immediate annuities</w:t>
            </w: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PRT</w:t>
            </w: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r>
      <w:tr>
        <w:trPr>
          <w:trHeight w:val="24"/>
        </w:trPr>
        <w:tc>
          <w:tcPr>
            <w:tcW w:w="6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7"/>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9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20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Lapses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5"/>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500" w:type="dxa"/>
            <w:vAlign w:val="bottom"/>
          </w:tcPr>
          <w:p>
            <w:pPr>
              <w:spacing w:after="0"/>
              <w:rPr>
                <w:sz w:val="16"/>
                <w:szCs w:val="16"/>
                <w:color w:val="auto"/>
              </w:rPr>
            </w:pPr>
          </w:p>
        </w:tc>
      </w:tr>
      <w:tr>
        <w:trPr>
          <w:trHeight w:val="24"/>
        </w:trPr>
        <w:tc>
          <w:tcPr>
            <w:tcW w:w="65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6500" w:type="dxa"/>
            <w:vAlign w:val="bottom"/>
          </w:tcPr>
          <w:p>
            <w:pPr>
              <w:spacing w:after="0"/>
              <w:rPr>
                <w:sz w:val="15"/>
                <w:szCs w:val="15"/>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Immediate annuities</w:t>
            </w:r>
          </w:p>
        </w:tc>
        <w:tc>
          <w:tcPr>
            <w:tcW w:w="15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PRT</w:t>
            </w: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r>
      <w:tr>
        <w:trPr>
          <w:trHeight w:val="24"/>
        </w:trPr>
        <w:tc>
          <w:tcPr>
            <w:tcW w:w="6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7"/>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 %</w:t>
            </w:r>
          </w:p>
        </w:tc>
      </w:tr>
      <w:tr>
        <w:trPr>
          <w:trHeight w:val="19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tcPr>
          <w:p>
            <w:pPr>
              <w:spacing w:after="0"/>
              <w:rPr>
                <w:sz w:val="16"/>
                <w:szCs w:val="16"/>
                <w:color w:val="auto"/>
              </w:rPr>
            </w:pPr>
          </w:p>
        </w:tc>
        <w:tc>
          <w:tcPr>
            <w:tcW w:w="15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 %</w:t>
            </w:r>
          </w:p>
        </w:tc>
      </w:tr>
      <w:tr>
        <w:trPr>
          <w:trHeight w:val="20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Lapses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 %</w:t>
            </w:r>
          </w:p>
        </w:tc>
      </w:tr>
      <w:tr>
        <w:trPr>
          <w:trHeight w:val="205"/>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 %</w:t>
            </w:r>
          </w:p>
        </w:tc>
      </w:tr>
    </w:tbl>
    <w:p>
      <w:pPr>
        <w:spacing w:after="0" w:line="21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provides additional information for periods in which a cohort has an NPR &gt; 100% (and therefore capped at 100%) (dollars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Premium Ratio before capping</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Reserves before NP Ratio capping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Reserves after NP Ratio capping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Loss 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Return of Premium (“ROP”)</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1296"/>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30480</wp:posOffset>
            </wp:positionV>
            <wp:extent cx="23983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30" w:lineRule="exact"/>
        <w:rPr>
          <w:sz w:val="20"/>
          <w:szCs w:val="20"/>
          <w:color w:val="auto"/>
        </w:rPr>
      </w:pPr>
    </w:p>
    <w:p>
      <w:pPr>
        <w:ind w:left="316"/>
        <w:spacing w:after="0"/>
        <w:tabs>
          <w:tab w:leader="none" w:pos="2056" w:val="left"/>
        </w:tabs>
        <w:rPr>
          <w:sz w:val="20"/>
          <w:szCs w:val="20"/>
          <w:color w:val="auto"/>
        </w:rPr>
      </w:pPr>
      <w:r>
        <w:rPr>
          <w:rFonts w:ascii="Times New Roman" w:cs="Times New Roman" w:eastAsia="Times New Roman" w:hAnsi="Times New Roman"/>
          <w:sz w:val="14"/>
          <w:szCs w:val="14"/>
          <w:b w:val="1"/>
          <w:bCs w:val="1"/>
          <w:color w:val="auto"/>
        </w:rPr>
        <w:t>Cohort X</w:t>
      </w:r>
      <w:r>
        <w:rPr>
          <w:sz w:val="20"/>
          <w:szCs w:val="20"/>
          <w:color w:val="auto"/>
        </w:rPr>
        <w:tab/>
      </w:r>
      <w:r>
        <w:rPr>
          <w:rFonts w:ascii="Times New Roman" w:cs="Times New Roman" w:eastAsia="Times New Roman" w:hAnsi="Times New Roman"/>
          <w:sz w:val="14"/>
          <w:szCs w:val="14"/>
          <w:b w:val="1"/>
          <w:bCs w:val="1"/>
          <w:color w:val="auto"/>
        </w:rPr>
        <w:t>Description (a)</w:t>
      </w:r>
    </w:p>
    <w:p>
      <w:pPr>
        <w:spacing w:after="0" w:line="38" w:lineRule="exact"/>
        <w:rPr>
          <w:sz w:val="20"/>
          <w:szCs w:val="20"/>
          <w:color w:val="auto"/>
        </w:rPr>
      </w:pPr>
    </w:p>
    <w:p>
      <w:pPr>
        <w:jc w:val="right"/>
        <w:ind w:right="600"/>
        <w:spacing w:after="0"/>
        <w:tabs>
          <w:tab w:leader="none" w:pos="1820" w:val="left"/>
        </w:tabs>
        <w:rPr>
          <w:sz w:val="20"/>
          <w:szCs w:val="20"/>
          <w:color w:val="auto"/>
        </w:rPr>
      </w:pPr>
      <w:r>
        <w:rPr>
          <w:rFonts w:ascii="Times New Roman" w:cs="Times New Roman" w:eastAsia="Times New Roman" w:hAnsi="Times New Roman"/>
          <w:sz w:val="14"/>
          <w:szCs w:val="14"/>
          <w:color w:val="auto"/>
        </w:rPr>
        <w:t>100 %</w:t>
      </w:r>
      <w:r>
        <w:rPr>
          <w:sz w:val="20"/>
          <w:szCs w:val="20"/>
          <w:color w:val="auto"/>
        </w:rPr>
        <w:tab/>
      </w:r>
      <w:r>
        <w:rPr>
          <w:rFonts w:ascii="Times New Roman" w:cs="Times New Roman" w:eastAsia="Times New Roman" w:hAnsi="Times New Roman"/>
          <w:sz w:val="13"/>
          <w:szCs w:val="13"/>
          <w:color w:val="auto"/>
        </w:rPr>
        <w:t>Term with ROP Non-NY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-4747895</wp:posOffset>
            </wp:positionH>
            <wp:positionV relativeFrom="paragraph">
              <wp:posOffset>-95885</wp:posOffset>
            </wp:positionV>
            <wp:extent cx="7135495" cy="1250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716" w:hanging="716"/>
        <w:spacing w:after="0"/>
        <w:tabs>
          <w:tab w:leader="none" w:pos="7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1,172</w:t>
      </w:r>
      <w:r>
        <w:rPr>
          <w:rFonts w:ascii="Times New Roman" w:cs="Times New Roman" w:eastAsia="Times New Roman" w:hAnsi="Times New Roman"/>
          <w:sz w:val="13"/>
          <w:szCs w:val="13"/>
          <w:color w:val="auto"/>
        </w:rPr>
        <w:t>Term with ROP Non-NY Cohort</w:t>
      </w:r>
    </w:p>
    <w:p>
      <w:pPr>
        <w:spacing w:after="0" w:line="36" w:lineRule="exact"/>
        <w:rPr>
          <w:sz w:val="20"/>
          <w:szCs w:val="20"/>
          <w:color w:val="auto"/>
        </w:rPr>
      </w:pPr>
    </w:p>
    <w:p>
      <w:pPr>
        <w:ind w:left="716" w:hanging="716"/>
        <w:spacing w:after="0"/>
        <w:tabs>
          <w:tab w:leader="none" w:pos="7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1,173</w:t>
      </w:r>
      <w:r>
        <w:rPr>
          <w:rFonts w:ascii="Times New Roman" w:cs="Times New Roman" w:eastAsia="Times New Roman" w:hAnsi="Times New Roman"/>
          <w:sz w:val="13"/>
          <w:szCs w:val="13"/>
          <w:color w:val="auto"/>
        </w:rPr>
        <w:t>Term with ROP Non-NY Cohort</w:t>
      </w:r>
    </w:p>
    <w:p>
      <w:pPr>
        <w:spacing w:after="0" w:line="36" w:lineRule="exact"/>
        <w:rPr>
          <w:rFonts w:ascii="Times New Roman" w:cs="Times New Roman" w:eastAsia="Times New Roman" w:hAnsi="Times New Roman"/>
          <w:sz w:val="14"/>
          <w:szCs w:val="14"/>
          <w:color w:val="auto"/>
        </w:rPr>
      </w:pPr>
    </w:p>
    <w:p>
      <w:pPr>
        <w:ind w:left="89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Term with ROP Non-NY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-4747895</wp:posOffset>
            </wp:positionH>
            <wp:positionV relativeFrom="paragraph">
              <wp:posOffset>-220980</wp:posOffset>
            </wp:positionV>
            <wp:extent cx="7135495" cy="1250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476" w:lineRule="exact"/>
        <w:rPr>
          <w:sz w:val="20"/>
          <w:szCs w:val="20"/>
          <w:color w:val="auto"/>
        </w:rPr>
      </w:pPr>
    </w:p>
    <w:p>
      <w:pPr>
        <w:sectPr>
          <w:pgSz w:w="11900" w:h="16838" w:orient="portrait"/>
          <w:cols w:equalWidth="0" w:num="2">
            <w:col w:w="6764" w:space="720"/>
            <w:col w:w="3756"/>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F&amp;G realized actual-to-expected experience variances and made changes to assumptions during the years ended December 31, 2023 and 2022 as follows: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Traditional life</w:t>
      </w:r>
    </w:p>
    <w:p>
      <w:pPr>
        <w:spacing w:after="0" w:line="229" w:lineRule="exact"/>
        <w:rPr>
          <w:sz w:val="20"/>
          <w:szCs w:val="20"/>
          <w:color w:val="auto"/>
        </w:rPr>
      </w:pPr>
    </w:p>
    <w:p>
      <w:pPr>
        <w:jc w:val="both"/>
        <w:ind w:firstLine="316"/>
        <w:spacing w:after="0" w:line="237"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traditional life include mortality, lapses (including lapses due to nonpayment of premium and surrenders for cash surrender value), and discount rates (both accretion and current). We review the cash flow assumptions annually, typically in the third quarter. In 2023, F&amp;G undertook a review of all significant assumptions and revised the lapse assumption, resulting in a slight decrease to the FPB. There have been no other significant changes.</w:t>
      </w:r>
    </w:p>
    <w:p>
      <w:pPr>
        <w:spacing w:after="0" w:line="209"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color w:val="auto"/>
        </w:rPr>
        <w:t>Market data that underlies current discount rates was updated in 2023 from that utilized in 2022 resulting in decreased discount rates that drove a material increase to the FPB.</w:t>
      </w:r>
    </w:p>
    <w:p>
      <w:pPr>
        <w:spacing w:after="0" w:line="195"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color w:val="auto"/>
        </w:rPr>
        <w:t>In 2022, F&amp;G similarly undertook a review in the third quarter of the significant cash flow assumptions and did not make any changes to mortality or lapses.</w:t>
      </w:r>
    </w:p>
    <w:p>
      <w:pPr>
        <w:spacing w:after="0" w:line="208" w:lineRule="exact"/>
        <w:rPr>
          <w:sz w:val="20"/>
          <w:szCs w:val="20"/>
          <w:color w:val="auto"/>
        </w:rPr>
      </w:pPr>
    </w:p>
    <w:p>
      <w:pPr>
        <w:jc w:val="both"/>
        <w:ind w:firstLine="316"/>
        <w:spacing w:after="0" w:line="241" w:lineRule="auto"/>
        <w:rPr>
          <w:sz w:val="20"/>
          <w:szCs w:val="20"/>
          <w:color w:val="auto"/>
        </w:rPr>
      </w:pPr>
      <w:r>
        <w:rPr>
          <w:rFonts w:ascii="Times New Roman" w:cs="Times New Roman" w:eastAsia="Times New Roman" w:hAnsi="Times New Roman"/>
          <w:sz w:val="18"/>
          <w:szCs w:val="18"/>
          <w:color w:val="auto"/>
        </w:rPr>
        <w:t>Market data that underlies current discount rates was updated from 2021 and increased significantly year-over-year, resulting in a material decrease to the FPB. Impacts to expected net premiums and expected FPBs due to discount rate changes in 2022 can be observed in the FPB roll forward tables at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Immediate annuities (life contingent)</w:t>
      </w:r>
    </w:p>
    <w:p>
      <w:pPr>
        <w:spacing w:after="0" w:line="229" w:lineRule="exact"/>
        <w:rPr>
          <w:sz w:val="20"/>
          <w:szCs w:val="20"/>
          <w:color w:val="auto"/>
        </w:rPr>
      </w:pPr>
    </w:p>
    <w:p>
      <w:pPr>
        <w:jc w:val="both"/>
        <w:ind w:firstLine="316"/>
        <w:spacing w:after="0" w:line="234"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immediate annuities (life contingent) include mortality and discount rates (both accretion and current). We review the cash flow assumptions annually, typically in the third quarter. In 2023, F&amp;G undertook a review of the significant cash flow assumptions and did not make any changes to mortality. Market data that underlies current discount rates was updated in 2023 from that utilized in 2022, resulting in decreased discount rates that drove a material increase to the FPB.</w:t>
      </w:r>
    </w:p>
    <w:p>
      <w:pPr>
        <w:spacing w:after="0" w:line="219"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In 2022, F&amp;G similarly undertook a review of the significant cash flow assumptions and did not make any changes to those assumptions. Market data that underlies current discount rates was updated from 2021 and increased significantly year-over-year, resulting in a material decrease to the FPB. Impacts to expected FPBs due to assumption changes in 2022 can be observed in the FPB roll forward tables at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PRT (life contingent)</w:t>
      </w:r>
    </w:p>
    <w:p>
      <w:pPr>
        <w:spacing w:after="0" w:line="242" w:lineRule="exact"/>
        <w:rPr>
          <w:sz w:val="20"/>
          <w:szCs w:val="20"/>
          <w:color w:val="auto"/>
        </w:rPr>
      </w:pPr>
    </w:p>
    <w:p>
      <w:pPr>
        <w:jc w:val="both"/>
        <w:ind w:firstLine="316"/>
        <w:spacing w:after="0" w:line="242"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PRT (life contingent) include mortality and discount rates (both accretion and current). We review the cash flow assumptions annually, typically in the third quarter. In 2023, F&amp;G undertook a review of the significant cash flow assumptions and did not make any changes to mortality. Market data that underlies current discount rates was updated in 2023 from that utilized in 2022 resulting in decreased discount rates that drove a material increase to the FPB.</w:t>
      </w:r>
    </w:p>
    <w:p>
      <w:pPr>
        <w:spacing w:after="0" w:line="205"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In 2022, F&amp;G similarly undertook a review of the significant cash flow assumption and did not make any changes to mortality. Market data that underlies current discount rates was updated from 2021 and increased significantly year-over-year, resulting in a material decrease to the FPB. Impacts to expected FPBs due to assumption changes in 2022 can be observed in the FPB roll forward tables at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 deficiency testing</w:t>
      </w:r>
    </w:p>
    <w:p>
      <w:pPr>
        <w:spacing w:after="0" w:line="242" w:lineRule="exact"/>
        <w:rPr>
          <w:sz w:val="20"/>
          <w:szCs w:val="20"/>
          <w:color w:val="auto"/>
        </w:rPr>
      </w:pPr>
    </w:p>
    <w:p>
      <w:pPr>
        <w:jc w:val="both"/>
        <w:ind w:firstLine="316"/>
        <w:spacing w:after="0" w:line="238" w:lineRule="auto"/>
        <w:rPr>
          <w:sz w:val="20"/>
          <w:szCs w:val="20"/>
          <w:color w:val="auto"/>
        </w:rPr>
      </w:pPr>
      <w:r>
        <w:rPr>
          <w:rFonts w:ascii="Times New Roman" w:cs="Times New Roman" w:eastAsia="Times New Roman" w:hAnsi="Times New Roman"/>
          <w:sz w:val="18"/>
          <w:szCs w:val="18"/>
          <w:color w:val="auto"/>
        </w:rPr>
        <w:t>F&amp;G conducts annual premium deficiency testing for its long-duration contracts except for the FPB for nonparticipating traditional and limited-payment contracts. F&amp;G also conducts annual premium deficiency testing for the VOBA of all long-duration contracts. Premium deficiency testing is performed by reviewing assumptions used to calculate the insurance liabilities and determining whether the sum of the existing contract liabilities and the present value of future gross premiums is sufficient to cover the present value of future benefits to be paid to or on behalf of policyholders and settlement costs and recover unamortized present value of future profits. Anticipated investment income, based on F&amp;G’s experience, is considered when performing premium deficiency testing for long-duration contracts. During 2023 and 2022, F&amp;G was not required to establish any additional liabilities as a result of premium deficiency testing.</w:t>
      </w:r>
    </w:p>
    <w:p>
      <w:pPr>
        <w:spacing w:after="0" w:line="2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1" w:lineRule="exact"/>
        <w:rPr>
          <w:sz w:val="20"/>
          <w:szCs w:val="20"/>
          <w:color w:val="auto"/>
        </w:rPr>
      </w:pPr>
    </w:p>
    <w:p>
      <w:pPr>
        <w:jc w:val="both"/>
        <w:ind w:firstLine="316"/>
        <w:spacing w:after="0" w:line="280" w:lineRule="auto"/>
        <w:rPr>
          <w:sz w:val="20"/>
          <w:szCs w:val="20"/>
          <w:color w:val="auto"/>
        </w:rPr>
      </w:pPr>
      <w:r>
        <w:rPr>
          <w:rFonts w:ascii="Times New Roman" w:cs="Times New Roman" w:eastAsia="Times New Roman" w:hAnsi="Times New Roman"/>
          <w:sz w:val="16"/>
          <w:szCs w:val="16"/>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ensure that information required to be disclosed by us in the reports that we file or submit under the Exchange Act is:</w:t>
      </w:r>
    </w:p>
    <w:p>
      <w:pPr>
        <w:spacing w:after="0" w:line="1" w:lineRule="exact"/>
        <w:rPr>
          <w:sz w:val="20"/>
          <w:szCs w:val="20"/>
          <w:color w:val="auto"/>
        </w:rPr>
      </w:pPr>
    </w:p>
    <w:p>
      <w:pPr>
        <w:jc w:val="both"/>
        <w:ind w:firstLine="5"/>
        <w:spacing w:after="0" w:line="246" w:lineRule="auto"/>
        <w:tabs>
          <w:tab w:leader="none" w:pos="28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5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Notwithstanding the foregoing, there can be no assurance that the Company’s disclosure controls and procedures will detect or uncover all failures of persons within the Company to disclose material information otherwise required to be set forth in the Company’s periodic reports.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not absolute, assurance of achieving their control objectives.</w:t>
      </w:r>
    </w:p>
    <w:p>
      <w:pPr>
        <w:spacing w:after="0" w:line="8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year ended December 31, 2023, that have materially affected, or are reasonably likely to materially affect, our internal control over financial reporting.</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1"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such term is defined in Exchange Act Rules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 (COSO). Based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under this framework, our management concluded that our internal control over financial reporting was effective as of December 31, 2023.</w:t>
      </w:r>
    </w:p>
    <w:p>
      <w:pPr>
        <w:spacing w:after="0" w:line="8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Ernst &amp; Young LLP, an independent registered public accounting firm, as stated in their report, which is included herein.</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1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200" w:lineRule="exact"/>
        <w:rPr>
          <w:sz w:val="20"/>
          <w:szCs w:val="20"/>
          <w:color w:val="auto"/>
        </w:rPr>
      </w:pPr>
    </w:p>
    <w:p>
      <w:pPr>
        <w:spacing w:after="0" w:line="34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i w:val="1"/>
          <w:iCs w:val="1"/>
          <w:color w:val="auto"/>
        </w:rPr>
        <w:t>Disclosure Regarding Foreign Jurisdictions that Prevent Inspections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i w:val="1"/>
          <w:iCs w:val="1"/>
          <w:color w:val="auto"/>
        </w:rPr>
        <w:t>Codes of Ethics</w:t>
      </w:r>
    </w:p>
    <w:p>
      <w:pPr>
        <w:spacing w:after="0" w:line="100" w:lineRule="exact"/>
        <w:rPr>
          <w:sz w:val="20"/>
          <w:szCs w:val="20"/>
          <w:color w:val="auto"/>
        </w:rPr>
      </w:pPr>
    </w:p>
    <w:p>
      <w:pPr>
        <w:jc w:val="both"/>
        <w:ind w:firstLine="316"/>
        <w:spacing w:after="0" w:line="221" w:lineRule="auto"/>
        <w:rPr>
          <w:sz w:val="20"/>
          <w:szCs w:val="20"/>
          <w:color w:val="auto"/>
        </w:rPr>
      </w:pPr>
      <w:r>
        <w:rPr>
          <w:rFonts w:ascii="Times New Roman" w:cs="Times New Roman" w:eastAsia="Times New Roman" w:hAnsi="Times New Roman"/>
          <w:sz w:val="18"/>
          <w:szCs w:val="18"/>
          <w:color w:val="auto"/>
        </w:rPr>
        <w:t>Our board of directors has adopted a Code of Ethics for Senior Financial Officers, which is applicable to our Chief Executive Officer, our Chief Financial Officer and our Chief Accounting Officer, and a Code of Business Conduct and Ethics, which is applicable to all our directors, officers and employees. The purpose of these codes is to: (i) promote honest and ethical conduct, including the ethical handling of conflicts of interest; (ii) promote full, fair, accurate, timely and understandable disclosure; (iii) promote compliance with applicable laws and governmental rules and regulations; (iv) ensure the protection of our legitimate business interests, including corporate opportunities, assets and confidential information; and (v) deter wrongdoing. Our codes of ethics are designed to maintain our commitment to our longstanding standards for ethical business practices. Our reputation for integrity is one of our most important assets and each of our employees and directors is expected to contribute to the care and preservation of that asset. Under our codes of ethics, an amendment to or a waiver or modification of any ethics policy applicable to our directors or executive officers must be disclosed to the extent required under Securities and Exchange Commission and/or New York Stock Exchange rules. We intend to disclose any such amendment or waiver by posting it on our website at www.investor.fnf.com.</w:t>
      </w:r>
    </w:p>
    <w:p>
      <w:pPr>
        <w:spacing w:after="0" w:line="81" w:lineRule="exact"/>
        <w:rPr>
          <w:sz w:val="20"/>
          <w:szCs w:val="20"/>
          <w:color w:val="auto"/>
        </w:rPr>
      </w:pPr>
    </w:p>
    <w:p>
      <w:pPr>
        <w:jc w:val="both"/>
        <w:ind w:firstLine="316"/>
        <w:spacing w:after="0" w:line="239" w:lineRule="auto"/>
        <w:rPr>
          <w:sz w:val="20"/>
          <w:szCs w:val="20"/>
          <w:color w:val="auto"/>
        </w:rPr>
      </w:pPr>
      <w:r>
        <w:rPr>
          <w:rFonts w:ascii="Times New Roman" w:cs="Times New Roman" w:eastAsia="Times New Roman" w:hAnsi="Times New Roman"/>
          <w:sz w:val="18"/>
          <w:szCs w:val="18"/>
          <w:color w:val="auto"/>
        </w:rPr>
        <w:t>Copies of our Code of Business Conduct and Ethics and our Code of Ethics for Senior Financial Officers are available for review on our website at www.investor.fnf.com.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10-14.</w:t>
      </w:r>
    </w:p>
    <w:p>
      <w:pPr>
        <w:spacing w:after="0" w:line="1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Within 120 days after the close of our fiscal year, we intend to file with the Securities and Exchange Commission the remaining matters required by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Exhibits and Financial Statement Schedules</w:t>
      </w:r>
    </w:p>
    <w:p>
      <w:pPr>
        <w:spacing w:after="0" w:line="242" w:lineRule="exact"/>
        <w:rPr>
          <w:sz w:val="20"/>
          <w:szCs w:val="20"/>
          <w:color w:val="auto"/>
        </w:rPr>
      </w:pPr>
    </w:p>
    <w:p>
      <w:pPr>
        <w:ind w:firstLine="321"/>
        <w:spacing w:after="0" w:line="268" w:lineRule="auto"/>
        <w:tabs>
          <w:tab w:leader="none" w:pos="57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The following is a list of the Consolidated Financial Statements of Fidelity National Financial, Inc. and its subsidiaries included in Item 8 of Part II:</w:t>
      </w:r>
    </w:p>
    <w:tbl>
      <w:tblPr>
        <w:tblLayout w:type="fixed"/>
        <w:tblInd w:w="20" w:type="dxa"/>
        <w:tblCellMar>
          <w:top w:w="0" w:type="dxa"/>
          <w:left w:w="0" w:type="dxa"/>
          <w:bottom w:w="0" w:type="dxa"/>
          <w:right w:w="0" w:type="dxa"/>
        </w:tblCellMar>
      </w:tblPr>
      <w:tr>
        <w:trPr>
          <w:trHeight w:val="190"/>
        </w:trPr>
        <w:tc>
          <w:tcPr>
            <w:tcW w:w="848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E32E1"/>
                <w:w w:val="97"/>
              </w:rPr>
              <w:t>Report of Independent Registered Public Accounting Firm on Effectiveness of Internal Control over Financial Reporting</w:t>
            </w:r>
          </w:p>
        </w:tc>
        <w:tc>
          <w:tcPr>
            <w:tcW w:w="2160" w:type="dxa"/>
            <w:vAlign w:val="bottom"/>
          </w:tcPr>
          <w:p>
            <w:pPr>
              <w:spacing w:after="0"/>
              <w:rPr>
                <w:sz w:val="16"/>
                <w:szCs w:val="16"/>
                <w:color w:val="auto"/>
              </w:rPr>
            </w:pP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90</w:t>
            </w:r>
          </w:p>
        </w:tc>
      </w:tr>
      <w:tr>
        <w:trPr>
          <w:trHeight w:val="20"/>
        </w:trPr>
        <w:tc>
          <w:tcPr>
            <w:tcW w:w="2200" w:type="dxa"/>
            <w:vAlign w:val="bottom"/>
            <w:shd w:val="clear" w:color="auto" w:fill="0E32E1"/>
          </w:tcPr>
          <w:p>
            <w:pPr>
              <w:spacing w:after="0" w:line="20" w:lineRule="exact"/>
              <w:rPr>
                <w:sz w:val="1"/>
                <w:szCs w:val="1"/>
                <w:color w:val="auto"/>
              </w:rPr>
            </w:pPr>
          </w:p>
        </w:tc>
        <w:tc>
          <w:tcPr>
            <w:tcW w:w="88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3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94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4"/>
        </w:trPr>
        <w:tc>
          <w:tcPr>
            <w:tcW w:w="8480" w:type="dxa"/>
            <w:vAlign w:val="bottom"/>
            <w:gridSpan w:val="11"/>
          </w:tcPr>
          <w:p>
            <w:pPr>
              <w:spacing w:after="0" w:line="204" w:lineRule="exact"/>
              <w:rPr>
                <w:sz w:val="20"/>
                <w:szCs w:val="20"/>
                <w:color w:val="auto"/>
              </w:rPr>
            </w:pPr>
            <w:r>
              <w:rPr>
                <w:rFonts w:ascii="Times New Roman" w:cs="Times New Roman" w:eastAsia="Times New Roman" w:hAnsi="Times New Roman"/>
                <w:sz w:val="18"/>
                <w:szCs w:val="18"/>
                <w:color w:val="0E32E1"/>
              </w:rPr>
              <w:t>Report of Independent Registered Public Accounting Firm on Financial Statements</w:t>
            </w:r>
          </w:p>
        </w:tc>
        <w:tc>
          <w:tcPr>
            <w:tcW w:w="2160" w:type="dxa"/>
            <w:vAlign w:val="bottom"/>
          </w:tcPr>
          <w:p>
            <w:pPr>
              <w:spacing w:after="0"/>
              <w:rPr>
                <w:sz w:val="17"/>
                <w:szCs w:val="17"/>
                <w:color w:val="auto"/>
              </w:rPr>
            </w:pPr>
          </w:p>
        </w:tc>
        <w:tc>
          <w:tcPr>
            <w:tcW w:w="5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91</w:t>
            </w:r>
          </w:p>
        </w:tc>
      </w:tr>
      <w:tr>
        <w:trPr>
          <w:trHeight w:val="20"/>
        </w:trPr>
        <w:tc>
          <w:tcPr>
            <w:tcW w:w="2200" w:type="dxa"/>
            <w:vAlign w:val="bottom"/>
            <w:shd w:val="clear" w:color="auto" w:fill="0E32E1"/>
          </w:tcPr>
          <w:p>
            <w:pPr>
              <w:spacing w:after="0" w:line="20" w:lineRule="exact"/>
              <w:rPr>
                <w:sz w:val="1"/>
                <w:szCs w:val="1"/>
                <w:color w:val="auto"/>
              </w:rPr>
            </w:pPr>
          </w:p>
        </w:tc>
        <w:tc>
          <w:tcPr>
            <w:tcW w:w="88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30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4"/>
        </w:trPr>
        <w:tc>
          <w:tcPr>
            <w:tcW w:w="454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E32E1"/>
                <w:w w:val="97"/>
              </w:rPr>
              <w:t>Consolidated Balance Sheets as of December 31, 2023 and 2022</w:t>
            </w:r>
          </w:p>
        </w:tc>
        <w:tc>
          <w:tcPr>
            <w:tcW w:w="1300" w:type="dxa"/>
            <w:vAlign w:val="bottom"/>
          </w:tcPr>
          <w:p>
            <w:pPr>
              <w:spacing w:after="0"/>
              <w:rPr>
                <w:sz w:val="17"/>
                <w:szCs w:val="17"/>
                <w:color w:val="auto"/>
              </w:rPr>
            </w:pPr>
          </w:p>
        </w:tc>
        <w:tc>
          <w:tcPr>
            <w:tcW w:w="4800" w:type="dxa"/>
            <w:vAlign w:val="bottom"/>
            <w:gridSpan w:val="7"/>
          </w:tcPr>
          <w:p>
            <w:pPr>
              <w:spacing w:after="0"/>
              <w:rPr>
                <w:sz w:val="17"/>
                <w:szCs w:val="17"/>
                <w:color w:val="auto"/>
              </w:rPr>
            </w:pPr>
          </w:p>
        </w:tc>
        <w:tc>
          <w:tcPr>
            <w:tcW w:w="5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94</w:t>
            </w:r>
          </w:p>
        </w:tc>
      </w:tr>
      <w:tr>
        <w:trPr>
          <w:trHeight w:val="20"/>
        </w:trPr>
        <w:tc>
          <w:tcPr>
            <w:tcW w:w="2200" w:type="dxa"/>
            <w:vAlign w:val="bottom"/>
            <w:shd w:val="clear" w:color="auto" w:fill="0E32E1"/>
          </w:tcPr>
          <w:p>
            <w:pPr>
              <w:spacing w:after="0" w:line="20" w:lineRule="exact"/>
              <w:rPr>
                <w:sz w:val="1"/>
                <w:szCs w:val="1"/>
                <w:color w:val="auto"/>
              </w:rPr>
            </w:pPr>
          </w:p>
        </w:tc>
        <w:tc>
          <w:tcPr>
            <w:tcW w:w="88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4"/>
        </w:trPr>
        <w:tc>
          <w:tcPr>
            <w:tcW w:w="654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E32E1"/>
                <w:w w:val="97"/>
              </w:rPr>
              <w:t>Consolidated Statements of Earnings for the years ended December 31, 2023, 2022 and 2021</w:t>
            </w:r>
          </w:p>
        </w:tc>
        <w:tc>
          <w:tcPr>
            <w:tcW w:w="4100" w:type="dxa"/>
            <w:vAlign w:val="bottom"/>
            <w:gridSpan w:val="4"/>
          </w:tcPr>
          <w:p>
            <w:pPr>
              <w:spacing w:after="0"/>
              <w:rPr>
                <w:sz w:val="17"/>
                <w:szCs w:val="17"/>
                <w:color w:val="auto"/>
              </w:rPr>
            </w:pPr>
          </w:p>
        </w:tc>
        <w:tc>
          <w:tcPr>
            <w:tcW w:w="5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E32E1"/>
              </w:rPr>
              <w:t>95</w:t>
            </w:r>
          </w:p>
        </w:tc>
      </w:tr>
      <w:tr>
        <w:trPr>
          <w:trHeight w:val="20"/>
        </w:trPr>
        <w:tc>
          <w:tcPr>
            <w:tcW w:w="2200" w:type="dxa"/>
            <w:vAlign w:val="bottom"/>
            <w:shd w:val="clear" w:color="auto" w:fill="0E32E1"/>
          </w:tcPr>
          <w:p>
            <w:pPr>
              <w:spacing w:after="0" w:line="20" w:lineRule="exact"/>
              <w:rPr>
                <w:sz w:val="1"/>
                <w:szCs w:val="1"/>
                <w:color w:val="auto"/>
              </w:rPr>
            </w:pPr>
          </w:p>
        </w:tc>
        <w:tc>
          <w:tcPr>
            <w:tcW w:w="88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1940" w:type="dxa"/>
            <w:vAlign w:val="bottom"/>
            <w:gridSpan w:val="3"/>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r>
      <w:tr>
        <w:trPr>
          <w:trHeight w:val="204"/>
        </w:trPr>
        <w:tc>
          <w:tcPr>
            <w:tcW w:w="7680" w:type="dxa"/>
            <w:vAlign w:val="bottom"/>
            <w:gridSpan w:val="10"/>
          </w:tcPr>
          <w:p>
            <w:pPr>
              <w:spacing w:after="0" w:line="204" w:lineRule="exact"/>
              <w:rPr>
                <w:sz w:val="20"/>
                <w:szCs w:val="20"/>
                <w:color w:val="auto"/>
              </w:rPr>
            </w:pPr>
            <w:r>
              <w:rPr>
                <w:rFonts w:ascii="Times New Roman" w:cs="Times New Roman" w:eastAsia="Times New Roman" w:hAnsi="Times New Roman"/>
                <w:sz w:val="18"/>
                <w:szCs w:val="18"/>
                <w:color w:val="0E32E1"/>
                <w:w w:val="97"/>
              </w:rPr>
              <w:t>Consolidated Statements of Comprehensive Earnings for the years ended December 31, 2023, 2022 and 2021</w:t>
            </w:r>
          </w:p>
        </w:tc>
        <w:tc>
          <w:tcPr>
            <w:tcW w:w="2960" w:type="dxa"/>
            <w:vAlign w:val="bottom"/>
            <w:gridSpan w:val="2"/>
          </w:tcPr>
          <w:p>
            <w:pPr>
              <w:spacing w:after="0"/>
              <w:rPr>
                <w:sz w:val="17"/>
                <w:szCs w:val="17"/>
                <w:color w:val="auto"/>
              </w:rPr>
            </w:pPr>
          </w:p>
        </w:tc>
        <w:tc>
          <w:tcPr>
            <w:tcW w:w="5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E32E1"/>
              </w:rPr>
              <w:t>96</w:t>
            </w:r>
          </w:p>
        </w:tc>
      </w:tr>
      <w:tr>
        <w:trPr>
          <w:trHeight w:val="20"/>
        </w:trPr>
        <w:tc>
          <w:tcPr>
            <w:tcW w:w="2200" w:type="dxa"/>
            <w:vAlign w:val="bottom"/>
            <w:shd w:val="clear" w:color="auto" w:fill="0E32E1"/>
          </w:tcPr>
          <w:p>
            <w:pPr>
              <w:spacing w:after="0" w:line="20" w:lineRule="exact"/>
              <w:rPr>
                <w:sz w:val="1"/>
                <w:szCs w:val="1"/>
                <w:color w:val="auto"/>
              </w:rPr>
            </w:pPr>
          </w:p>
        </w:tc>
        <w:tc>
          <w:tcPr>
            <w:tcW w:w="88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3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940" w:type="dxa"/>
            <w:vAlign w:val="bottom"/>
            <w:shd w:val="clear" w:color="auto" w:fill="0E32E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r>
      <w:tr>
        <w:trPr>
          <w:trHeight w:val="204"/>
        </w:trPr>
        <w:tc>
          <w:tcPr>
            <w:tcW w:w="638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E32E1"/>
                <w:w w:val="97"/>
              </w:rPr>
              <w:t>Consolidated Statements of Equity for the years ended December 31, 2023, 2022 and 2021</w:t>
            </w:r>
          </w:p>
        </w:tc>
        <w:tc>
          <w:tcPr>
            <w:tcW w:w="1300" w:type="dxa"/>
            <w:vAlign w:val="bottom"/>
            <w:gridSpan w:val="3"/>
          </w:tcPr>
          <w:p>
            <w:pPr>
              <w:spacing w:after="0"/>
              <w:rPr>
                <w:sz w:val="17"/>
                <w:szCs w:val="17"/>
                <w:color w:val="auto"/>
              </w:rPr>
            </w:pPr>
          </w:p>
        </w:tc>
        <w:tc>
          <w:tcPr>
            <w:tcW w:w="2960" w:type="dxa"/>
            <w:vAlign w:val="bottom"/>
            <w:gridSpan w:val="2"/>
          </w:tcPr>
          <w:p>
            <w:pPr>
              <w:spacing w:after="0"/>
              <w:rPr>
                <w:sz w:val="17"/>
                <w:szCs w:val="17"/>
                <w:color w:val="auto"/>
              </w:rPr>
            </w:pPr>
          </w:p>
        </w:tc>
        <w:tc>
          <w:tcPr>
            <w:tcW w:w="5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E32E1"/>
              </w:rPr>
              <w:t>97</w:t>
            </w:r>
          </w:p>
        </w:tc>
      </w:tr>
      <w:tr>
        <w:trPr>
          <w:trHeight w:val="20"/>
        </w:trPr>
        <w:tc>
          <w:tcPr>
            <w:tcW w:w="2200" w:type="dxa"/>
            <w:vAlign w:val="bottom"/>
            <w:shd w:val="clear" w:color="auto" w:fill="0E32E1"/>
          </w:tcPr>
          <w:p>
            <w:pPr>
              <w:spacing w:after="0" w:line="20" w:lineRule="exact"/>
              <w:rPr>
                <w:sz w:val="1"/>
                <w:szCs w:val="1"/>
                <w:color w:val="auto"/>
              </w:rPr>
            </w:pPr>
          </w:p>
        </w:tc>
        <w:tc>
          <w:tcPr>
            <w:tcW w:w="88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3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r>
      <w:tr>
        <w:trPr>
          <w:trHeight w:val="204"/>
        </w:trPr>
        <w:tc>
          <w:tcPr>
            <w:tcW w:w="6740" w:type="dxa"/>
            <w:vAlign w:val="bottom"/>
            <w:tcBorders>
              <w:bottom w:val="single" w:sz="8" w:color="0E32E1"/>
            </w:tcBorders>
            <w:gridSpan w:val="9"/>
          </w:tcPr>
          <w:p>
            <w:pPr>
              <w:spacing w:after="0" w:line="204" w:lineRule="exact"/>
              <w:rPr>
                <w:sz w:val="20"/>
                <w:szCs w:val="20"/>
                <w:color w:val="auto"/>
              </w:rPr>
            </w:pPr>
            <w:r>
              <w:rPr>
                <w:rFonts w:ascii="Times New Roman" w:cs="Times New Roman" w:eastAsia="Times New Roman" w:hAnsi="Times New Roman"/>
                <w:sz w:val="18"/>
                <w:szCs w:val="18"/>
                <w:color w:val="0E32E1"/>
                <w:w w:val="97"/>
              </w:rPr>
              <w:t>Consolidated Statements of Cash Flows for the years ended December 31, 2023, 2022 and 2021</w:t>
            </w:r>
          </w:p>
        </w:tc>
        <w:tc>
          <w:tcPr>
            <w:tcW w:w="390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bottom w:val="single" w:sz="8" w:color="0E32E1"/>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E32E1"/>
                <w:w w:val="88"/>
              </w:rPr>
              <w:t>100</w:t>
            </w:r>
          </w:p>
        </w:tc>
      </w:tr>
      <w:tr>
        <w:trPr>
          <w:trHeight w:val="204"/>
        </w:trPr>
        <w:tc>
          <w:tcPr>
            <w:tcW w:w="3080" w:type="dxa"/>
            <w:vAlign w:val="bottom"/>
            <w:tcBorders>
              <w:bottom w:val="single" w:sz="8" w:color="0E32E1"/>
            </w:tcBorders>
            <w:gridSpan w:val="2"/>
          </w:tcPr>
          <w:p>
            <w:pPr>
              <w:spacing w:after="0" w:line="204" w:lineRule="exact"/>
              <w:rPr>
                <w:sz w:val="20"/>
                <w:szCs w:val="20"/>
                <w:color w:val="auto"/>
              </w:rPr>
            </w:pPr>
            <w:r>
              <w:rPr>
                <w:rFonts w:ascii="Times New Roman" w:cs="Times New Roman" w:eastAsia="Times New Roman" w:hAnsi="Times New Roman"/>
                <w:sz w:val="18"/>
                <w:szCs w:val="18"/>
                <w:color w:val="0E32E1"/>
                <w:w w:val="97"/>
              </w:rPr>
              <w:t>Notes to Consolidated Financial Statements</w:t>
            </w:r>
          </w:p>
        </w:tc>
        <w:tc>
          <w:tcPr>
            <w:tcW w:w="7560" w:type="dxa"/>
            <w:vAlign w:val="bottom"/>
            <w:gridSpan w:val="10"/>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bottom w:val="single" w:sz="8" w:color="0E32E1"/>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E32E1"/>
                <w:w w:val="88"/>
              </w:rPr>
              <w:t>102</w:t>
            </w:r>
          </w:p>
        </w:tc>
      </w:tr>
      <w:tr>
        <w:trPr>
          <w:trHeight w:val="335"/>
        </w:trPr>
        <w:tc>
          <w:tcPr>
            <w:tcW w:w="10640" w:type="dxa"/>
            <w:vAlign w:val="bottom"/>
            <w:gridSpan w:val="12"/>
          </w:tcPr>
          <w:p>
            <w:pPr>
              <w:ind w:left="300"/>
              <w:spacing w:after="0"/>
              <w:rPr>
                <w:sz w:val="20"/>
                <w:szCs w:val="20"/>
                <w:color w:val="auto"/>
              </w:rPr>
            </w:pPr>
            <w:r>
              <w:rPr>
                <w:rFonts w:ascii="Times New Roman" w:cs="Times New Roman" w:eastAsia="Times New Roman" w:hAnsi="Times New Roman"/>
                <w:sz w:val="18"/>
                <w:szCs w:val="18"/>
                <w:color w:val="auto"/>
              </w:rPr>
              <w:t xml:space="preserve">(a) (2) </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xml:space="preserve">  The following is a list of financial statement schedules filed as part of this annual report on Form 10-K:</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3"/>
        </w:trPr>
        <w:tc>
          <w:tcPr>
            <w:tcW w:w="10640" w:type="dxa"/>
            <w:vAlign w:val="bottom"/>
            <w:gridSpan w:val="12"/>
          </w:tcPr>
          <w:p>
            <w:pPr>
              <w:spacing w:after="0"/>
              <w:rPr>
                <w:sz w:val="20"/>
                <w:szCs w:val="20"/>
                <w:color w:val="auto"/>
              </w:rPr>
            </w:pPr>
            <w:r>
              <w:rPr>
                <w:rFonts w:ascii="Times New Roman" w:cs="Times New Roman" w:eastAsia="Times New Roman" w:hAnsi="Times New Roman"/>
                <w:sz w:val="18"/>
                <w:szCs w:val="18"/>
                <w:i w:val="1"/>
                <w:iCs w:val="1"/>
                <w:color w:val="0000FF"/>
              </w:rPr>
              <w:t xml:space="preserve">Schedule II: </w:t>
            </w:r>
            <w:r>
              <w:rPr>
                <w:rFonts w:ascii="Times New Roman" w:cs="Times New Roman" w:eastAsia="Times New Roman" w:hAnsi="Times New Roman"/>
                <w:sz w:val="18"/>
                <w:szCs w:val="18"/>
                <w:color w:val="0000FF"/>
              </w:rPr>
              <w:t>Fidelity National Financial, Inc. (Parent Company Financial Statements)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3051F2"/>
              </w:rPr>
              <w:t>193</w:t>
            </w:r>
          </w:p>
        </w:tc>
      </w:tr>
      <w:tr>
        <w:trPr>
          <w:trHeight w:val="204"/>
        </w:trPr>
        <w:tc>
          <w:tcPr>
            <w:tcW w:w="4040" w:type="dxa"/>
            <w:vAlign w:val="bottom"/>
            <w:tcBorders>
              <w:top w:val="single" w:sz="8" w:color="0000FF"/>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8"/>
                <w:szCs w:val="18"/>
                <w:i w:val="1"/>
                <w:iCs w:val="1"/>
                <w:color w:val="0000FF"/>
                <w:w w:val="97"/>
              </w:rPr>
              <w:t xml:space="preserve">Schedule III: </w:t>
            </w:r>
            <w:r>
              <w:rPr>
                <w:rFonts w:ascii="Times New Roman" w:cs="Times New Roman" w:eastAsia="Times New Roman" w:hAnsi="Times New Roman"/>
                <w:sz w:val="18"/>
                <w:szCs w:val="18"/>
                <w:color w:val="0000FF"/>
                <w:w w:val="97"/>
              </w:rPr>
              <w:t>F&amp;G Supplementary Insurance Information</w:t>
            </w:r>
          </w:p>
        </w:tc>
        <w:tc>
          <w:tcPr>
            <w:tcW w:w="1940" w:type="dxa"/>
            <w:vAlign w:val="bottom"/>
            <w:tcBorders>
              <w:top w:val="single" w:sz="8" w:color="0000FF"/>
            </w:tcBorders>
            <w:gridSpan w:val="3"/>
          </w:tcPr>
          <w:p>
            <w:pPr>
              <w:spacing w:after="0"/>
              <w:rPr>
                <w:sz w:val="17"/>
                <w:szCs w:val="17"/>
                <w:color w:val="auto"/>
              </w:rPr>
            </w:pPr>
          </w:p>
        </w:tc>
        <w:tc>
          <w:tcPr>
            <w:tcW w:w="4660" w:type="dxa"/>
            <w:vAlign w:val="bottom"/>
            <w:gridSpan w:val="6"/>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3051F2"/>
              <w:bottom w:val="single" w:sz="8" w:color="3051F2"/>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3051F2"/>
                <w:w w:val="88"/>
              </w:rPr>
              <w:t>198</w:t>
            </w:r>
          </w:p>
        </w:tc>
      </w:tr>
      <w:tr>
        <w:trPr>
          <w:trHeight w:val="204"/>
        </w:trPr>
        <w:tc>
          <w:tcPr>
            <w:tcW w:w="10640" w:type="dxa"/>
            <w:vAlign w:val="bottom"/>
            <w:gridSpan w:val="12"/>
          </w:tcPr>
          <w:p>
            <w:pPr>
              <w:spacing w:after="0" w:line="204" w:lineRule="exact"/>
              <w:rPr>
                <w:sz w:val="20"/>
                <w:szCs w:val="20"/>
                <w:color w:val="auto"/>
              </w:rPr>
            </w:pPr>
            <w:r>
              <w:rPr>
                <w:rFonts w:ascii="Times New Roman" w:cs="Times New Roman" w:eastAsia="Times New Roman" w:hAnsi="Times New Roman"/>
                <w:sz w:val="18"/>
                <w:szCs w:val="18"/>
                <w:i w:val="1"/>
                <w:iCs w:val="1"/>
                <w:color w:val="0000FF"/>
              </w:rPr>
              <w:t xml:space="preserve">Schedule IV: </w:t>
            </w:r>
            <w:r>
              <w:rPr>
                <w:rFonts w:ascii="Times New Roman" w:cs="Times New Roman" w:eastAsia="Times New Roman" w:hAnsi="Times New Roman"/>
                <w:sz w:val="18"/>
                <w:szCs w:val="18"/>
                <w:color w:val="0000FF"/>
              </w:rPr>
              <w:t>F&amp;G Reinsurance</w:t>
            </w:r>
          </w:p>
        </w:tc>
        <w:tc>
          <w:tcPr>
            <w:tcW w:w="5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3051F2"/>
              </w:rPr>
              <w:t>199</w:t>
            </w:r>
          </w:p>
        </w:tc>
      </w:tr>
      <w:tr>
        <w:trPr>
          <w:trHeight w:val="20"/>
        </w:trPr>
        <w:tc>
          <w:tcPr>
            <w:tcW w:w="22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r>
    </w:tbl>
    <w:p>
      <w:pPr>
        <w:spacing w:after="0" w:line="113" w:lineRule="exact"/>
        <w:rPr>
          <w:sz w:val="20"/>
          <w:szCs w:val="20"/>
          <w:color w:val="auto"/>
        </w:rPr>
      </w:pPr>
    </w:p>
    <w:p>
      <w:pPr>
        <w:ind w:right="600" w:firstLine="316"/>
        <w:spacing w:after="0" w:line="268"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included in the Consolidated Financial Statements or notes thereto.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(3) The following exhibits are incorporated by reference or are set forth on pages to this Form 10-K:</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60" w:type="dxa"/>
            <w:vAlign w:val="bottom"/>
            <w:gridSpan w:val="32"/>
            <w:vMerge w:val="restart"/>
          </w:tcPr>
          <w:p>
            <w:pPr>
              <w:jc w:val="center"/>
              <w:ind w:right="50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5"/>
        </w:trPr>
        <w:tc>
          <w:tcPr>
            <w:tcW w:w="140" w:type="dxa"/>
            <w:vAlign w:val="bottom"/>
          </w:tcPr>
          <w:p>
            <w:pPr>
              <w:spacing w:after="0"/>
              <w:rPr>
                <w:sz w:val="12"/>
                <w:szCs w:val="12"/>
                <w:color w:val="auto"/>
              </w:rPr>
            </w:pPr>
          </w:p>
        </w:tc>
        <w:tc>
          <w:tcPr>
            <w:tcW w:w="66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gridSpan w:val="3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18"/>
                <w:szCs w:val="18"/>
                <w:color w:val="auto"/>
              </w:rPr>
            </w:pPr>
          </w:p>
        </w:tc>
        <w:tc>
          <w:tcPr>
            <w:tcW w:w="10620" w:type="dxa"/>
            <w:vAlign w:val="bottom"/>
            <w:gridSpan w:val="42"/>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Agreement and Plan of Merger, dated February 7, 2020, by and between FGL Holdings, Fidelity National Financial, Inc., F Corp I and F Corp II.</w:t>
              </w:r>
            </w:hyperlink>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289">
              <w:r>
                <w:rPr>
                  <w:rFonts w:ascii="Times New Roman" w:cs="Times New Roman" w:eastAsia="Times New Roman" w:hAnsi="Times New Roman"/>
                  <w:sz w:val="16"/>
                  <w:szCs w:val="16"/>
                  <w:color w:val="0000FF"/>
                </w:rPr>
                <w:t>(incorporated by reference to Exhibit 2.1 to the Registrant's Current Report on Form 8-K filed on February 7, 2020)</w:t>
              </w:r>
            </w:hyperlink>
          </w:p>
        </w:tc>
        <w:tc>
          <w:tcPr>
            <w:tcW w:w="20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2.2</w:t>
            </w:r>
          </w:p>
        </w:tc>
        <w:tc>
          <w:tcPr>
            <w:tcW w:w="160" w:type="dxa"/>
            <w:vAlign w:val="bottom"/>
          </w:tcPr>
          <w:p>
            <w:pPr>
              <w:spacing w:after="0"/>
              <w:rPr>
                <w:sz w:val="18"/>
                <w:szCs w:val="18"/>
                <w:color w:val="auto"/>
              </w:rPr>
            </w:pPr>
          </w:p>
        </w:tc>
        <w:tc>
          <w:tcPr>
            <w:tcW w:w="10620" w:type="dxa"/>
            <w:vAlign w:val="bottom"/>
            <w:gridSpan w:val="42"/>
          </w:tcPr>
          <w:p>
            <w:pPr>
              <w:spacing w:after="0"/>
              <w:rPr>
                <w:rFonts w:ascii="Times New Roman" w:cs="Times New Roman" w:eastAsia="Times New Roman" w:hAnsi="Times New Roman"/>
                <w:sz w:val="18"/>
                <w:szCs w:val="18"/>
                <w:color w:val="0000FF"/>
                <w:w w:val="99"/>
              </w:rPr>
            </w:pPr>
            <w:hyperlink r:id="rId290">
              <w:r>
                <w:rPr>
                  <w:rFonts w:ascii="Times New Roman" w:cs="Times New Roman" w:eastAsia="Times New Roman" w:hAnsi="Times New Roman"/>
                  <w:sz w:val="18"/>
                  <w:szCs w:val="18"/>
                  <w:color w:val="0000FF"/>
                  <w:w w:val="99"/>
                </w:rPr>
                <w:t>First Amendment to the Agreement and Plan of Merger, dated as of April 24, 2020, by and between Fidelity National Financial, Inc., F I Corp., F II</w:t>
              </w:r>
            </w:hyperlink>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360" w:type="dxa"/>
            <w:vAlign w:val="bottom"/>
            <w:tcBorders>
              <w:top w:val="single" w:sz="8" w:color="0000FF"/>
            </w:tcBorders>
            <w:gridSpan w:val="31"/>
          </w:tcPr>
          <w:p>
            <w:pPr>
              <w:spacing w:after="0" w:line="152" w:lineRule="exact"/>
              <w:rPr>
                <w:rFonts w:ascii="Times New Roman" w:cs="Times New Roman" w:eastAsia="Times New Roman" w:hAnsi="Times New Roman"/>
                <w:sz w:val="16"/>
                <w:szCs w:val="16"/>
                <w:color w:val="0000FF"/>
              </w:rPr>
            </w:pPr>
            <w:hyperlink r:id="rId290">
              <w:r>
                <w:rPr>
                  <w:rFonts w:ascii="Times New Roman" w:cs="Times New Roman" w:eastAsia="Times New Roman" w:hAnsi="Times New Roman"/>
                  <w:sz w:val="16"/>
                  <w:szCs w:val="16"/>
                  <w:color w:val="0000FF"/>
                </w:rPr>
                <w:t>Corp., and FGL Holdings (incorporated by reference to Exhibit 2.2 to the Registrant’s Registration Statement on Form S-4/A filed on April 24,</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6"/>
                <w:szCs w:val="16"/>
                <w:color w:val="0000FF"/>
              </w:rPr>
            </w:pPr>
            <w:hyperlink r:id="rId290">
              <w:r>
                <w:rPr>
                  <w:rFonts w:ascii="Times New Roman" w:cs="Times New Roman" w:eastAsia="Times New Roman" w:hAnsi="Times New Roman"/>
                  <w:sz w:val="16"/>
                  <w:szCs w:val="16"/>
                  <w:color w:val="0000FF"/>
                </w:rPr>
                <w:t>2020)</w:t>
              </w:r>
            </w:hyperlink>
          </w:p>
        </w:tc>
        <w:tc>
          <w:tcPr>
            <w:tcW w:w="6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2.3</w:t>
            </w:r>
          </w:p>
        </w:tc>
        <w:tc>
          <w:tcPr>
            <w:tcW w:w="160" w:type="dxa"/>
            <w:vAlign w:val="bottom"/>
          </w:tcPr>
          <w:p>
            <w:pPr>
              <w:spacing w:after="0"/>
              <w:rPr>
                <w:sz w:val="18"/>
                <w:szCs w:val="18"/>
                <w:color w:val="auto"/>
              </w:rPr>
            </w:pPr>
          </w:p>
        </w:tc>
        <w:tc>
          <w:tcPr>
            <w:tcW w:w="10620" w:type="dxa"/>
            <w:vAlign w:val="bottom"/>
            <w:gridSpan w:val="42"/>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Separation and Distribution Agreement, dated as of November 30, 2022, between Fidelity National Financial, Inc. and F&amp;G Annuities &amp; Life, Inc.</w:t>
              </w:r>
            </w:hyperlink>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291">
              <w:r>
                <w:rPr>
                  <w:rFonts w:ascii="Times New Roman" w:cs="Times New Roman" w:eastAsia="Times New Roman" w:hAnsi="Times New Roman"/>
                  <w:sz w:val="16"/>
                  <w:szCs w:val="16"/>
                  <w:color w:val="0000FF"/>
                </w:rPr>
                <w:t>(incorporated by reference to Exhibit 99.1 to the Registrant's Current Report on Form 8-K filed on December 1, 2022)</w:t>
              </w:r>
            </w:hyperlink>
          </w:p>
        </w:tc>
        <w:tc>
          <w:tcPr>
            <w:tcW w:w="20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1"/>
                <w:szCs w:val="21"/>
                <w:color w:val="auto"/>
              </w:rPr>
            </w:pPr>
          </w:p>
        </w:tc>
        <w:tc>
          <w:tcPr>
            <w:tcW w:w="10620" w:type="dxa"/>
            <w:vAlign w:val="bottom"/>
            <w:gridSpan w:val="42"/>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Fifth Amended and Restated Certificate of Incorporation (incorporated by reference to Exhibit 3.1 to the Company's Current Report on Form 8-K</w:t>
              </w:r>
            </w:hyperlink>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20" w:type="dxa"/>
            <w:vAlign w:val="bottom"/>
            <w:tcBorders>
              <w:top w:val="single" w:sz="8" w:color="0000FF"/>
            </w:tcBorders>
            <w:gridSpan w:val="27"/>
          </w:tcPr>
          <w:p>
            <w:pPr>
              <w:spacing w:after="0" w:line="164"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filed on June 13, 2018)</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1"/>
                <w:szCs w:val="21"/>
                <w:color w:val="auto"/>
              </w:rPr>
            </w:pPr>
          </w:p>
        </w:tc>
        <w:tc>
          <w:tcPr>
            <w:tcW w:w="10620" w:type="dxa"/>
            <w:vAlign w:val="bottom"/>
            <w:gridSpan w:val="42"/>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Fifth Amended and Restated Bylaws of Fidelity National Financial, Inc., dated January 5, 2022 (incorporated by reference to Exhibit 3.2 to the</w:t>
              </w:r>
            </w:hyperlink>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700" w:type="dxa"/>
            <w:vAlign w:val="bottom"/>
            <w:tcBorders>
              <w:top w:val="single" w:sz="8" w:color="0000FF"/>
              <w:bottom w:val="single" w:sz="8" w:color="0000FF"/>
            </w:tcBorders>
            <w:gridSpan w:val="8"/>
          </w:tcPr>
          <w:p>
            <w:pPr>
              <w:spacing w:after="0" w:line="177" w:lineRule="exact"/>
              <w:rPr>
                <w:rFonts w:ascii="Times New Roman" w:cs="Times New Roman" w:eastAsia="Times New Roman" w:hAnsi="Times New Roman"/>
                <w:sz w:val="18"/>
                <w:szCs w:val="18"/>
                <w:color w:val="0000FF"/>
                <w:w w:val="96"/>
              </w:rPr>
            </w:pPr>
            <w:hyperlink r:id="rId293">
              <w:r>
                <w:rPr>
                  <w:rFonts w:ascii="Times New Roman" w:cs="Times New Roman" w:eastAsia="Times New Roman" w:hAnsi="Times New Roman"/>
                  <w:sz w:val="18"/>
                  <w:szCs w:val="18"/>
                  <w:color w:val="0000FF"/>
                  <w:w w:val="96"/>
                </w:rPr>
                <w:t>Registrant’s Current Report on Form 8-K filed on January 5, 2022)</w:t>
              </w:r>
            </w:hyperlink>
          </w:p>
        </w:tc>
        <w:tc>
          <w:tcPr>
            <w:tcW w:w="534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0"/>
                <w:szCs w:val="20"/>
                <w:color w:val="auto"/>
              </w:rPr>
            </w:pPr>
          </w:p>
        </w:tc>
        <w:tc>
          <w:tcPr>
            <w:tcW w:w="10620" w:type="dxa"/>
            <w:vAlign w:val="bottom"/>
            <w:gridSpan w:val="42"/>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Indenture between the Registrant and The Bank of New York Trust Company, N.A., dated December 8, 2005 (incorporated by reference to</w:t>
              </w:r>
            </w:hyperlink>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0" w:type="dxa"/>
            <w:vAlign w:val="bottom"/>
            <w:tcBorders>
              <w:top w:val="single" w:sz="8" w:color="0000FF"/>
            </w:tcBorders>
            <w:gridSpan w:val="41"/>
          </w:tcPr>
          <w:p>
            <w:pPr>
              <w:spacing w:after="0" w:line="152" w:lineRule="exact"/>
              <w:rPr>
                <w:rFonts w:ascii="Times New Roman" w:cs="Times New Roman" w:eastAsia="Times New Roman" w:hAnsi="Times New Roman"/>
                <w:sz w:val="16"/>
                <w:szCs w:val="16"/>
                <w:color w:val="0000FF"/>
              </w:rPr>
            </w:pPr>
            <w:hyperlink r:id="rId294">
              <w:r>
                <w:rPr>
                  <w:rFonts w:ascii="Times New Roman" w:cs="Times New Roman" w:eastAsia="Times New Roman" w:hAnsi="Times New Roman"/>
                  <w:sz w:val="16"/>
                  <w:szCs w:val="16"/>
                  <w:color w:val="0000FF"/>
                </w:rPr>
                <w:t>Exhibit 4.1 to the Registrant’s Annual Report on Form 10-K for the year ended December 31, 2005)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18"/>
                <w:szCs w:val="18"/>
                <w:color w:val="auto"/>
              </w:rPr>
            </w:pPr>
          </w:p>
        </w:tc>
        <w:tc>
          <w:tcPr>
            <w:tcW w:w="10620" w:type="dxa"/>
            <w:vAlign w:val="bottom"/>
            <w:gridSpan w:val="42"/>
          </w:tcPr>
          <w:p>
            <w:pPr>
              <w:spacing w:after="0"/>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First Supplemental Indenture between the Registrant and the Bank of New York Trust Company, N.A., dated as of January 6, 2006 (incorporated by</w:t>
              </w:r>
            </w:hyperlink>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60" w:type="dxa"/>
            <w:vAlign w:val="bottom"/>
            <w:tcBorders>
              <w:top w:val="single" w:sz="8" w:color="0000FF"/>
            </w:tcBorders>
            <w:gridSpan w:val="39"/>
          </w:tcPr>
          <w:p>
            <w:pPr>
              <w:spacing w:after="0" w:line="152" w:lineRule="exact"/>
              <w:rPr>
                <w:rFonts w:ascii="Times New Roman" w:cs="Times New Roman" w:eastAsia="Times New Roman" w:hAnsi="Times New Roman"/>
                <w:sz w:val="16"/>
                <w:szCs w:val="16"/>
                <w:color w:val="0000FF"/>
              </w:rPr>
            </w:pPr>
            <w:hyperlink r:id="rId295">
              <w:r>
                <w:rPr>
                  <w:rFonts w:ascii="Times New Roman" w:cs="Times New Roman" w:eastAsia="Times New Roman" w:hAnsi="Times New Roman"/>
                  <w:sz w:val="16"/>
                  <w:szCs w:val="16"/>
                  <w:color w:val="0000FF"/>
                </w:rPr>
                <w:t>reference to Exhibit 4.1 to the Registrant’s Current Report on Form 8-K filed on January 24, 2006)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18"/>
                <w:szCs w:val="18"/>
                <w:color w:val="auto"/>
              </w:rPr>
            </w:pPr>
          </w:p>
        </w:tc>
        <w:tc>
          <w:tcPr>
            <w:tcW w:w="10620" w:type="dxa"/>
            <w:vAlign w:val="bottom"/>
            <w:gridSpan w:val="42"/>
          </w:tcPr>
          <w:p>
            <w:pPr>
              <w:spacing w:after="0"/>
              <w:rPr>
                <w:rFonts w:ascii="Times New Roman" w:cs="Times New Roman" w:eastAsia="Times New Roman" w:hAnsi="Times New Roman"/>
                <w:sz w:val="18"/>
                <w:szCs w:val="18"/>
                <w:color w:val="0000FF"/>
                <w:w w:val="98"/>
              </w:rPr>
            </w:pPr>
            <w:hyperlink r:id="rId296">
              <w:r>
                <w:rPr>
                  <w:rFonts w:ascii="Times New Roman" w:cs="Times New Roman" w:eastAsia="Times New Roman" w:hAnsi="Times New Roman"/>
                  <w:sz w:val="18"/>
                  <w:szCs w:val="18"/>
                  <w:color w:val="0000FF"/>
                  <w:w w:val="98"/>
                </w:rPr>
                <w:t>Second Supplemental Indenture, dated May 5, 2010, between the Registrant and The Bank of New York Mellon Trust Company, N.A. (incorporated</w:t>
              </w:r>
            </w:hyperlink>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2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296">
              <w:r>
                <w:rPr>
                  <w:rFonts w:ascii="Times New Roman" w:cs="Times New Roman" w:eastAsia="Times New Roman" w:hAnsi="Times New Roman"/>
                  <w:sz w:val="16"/>
                  <w:szCs w:val="16"/>
                  <w:color w:val="0000FF"/>
                </w:rPr>
                <w:t>by reference to Exhibit 4.1 to the Registrant's Current Report on Form 8-K filed on May 5, 2010)</w:t>
              </w:r>
            </w:hyperlink>
          </w:p>
        </w:tc>
        <w:tc>
          <w:tcPr>
            <w:tcW w:w="36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4.4</w:t>
            </w:r>
          </w:p>
        </w:tc>
        <w:tc>
          <w:tcPr>
            <w:tcW w:w="160" w:type="dxa"/>
            <w:vAlign w:val="bottom"/>
          </w:tcPr>
          <w:p>
            <w:pPr>
              <w:spacing w:after="0"/>
              <w:rPr>
                <w:sz w:val="18"/>
                <w:szCs w:val="18"/>
                <w:color w:val="auto"/>
              </w:rPr>
            </w:pPr>
          </w:p>
        </w:tc>
        <w:tc>
          <w:tcPr>
            <w:tcW w:w="10620" w:type="dxa"/>
            <w:vAlign w:val="bottom"/>
            <w:gridSpan w:val="42"/>
          </w:tcPr>
          <w:p>
            <w:pPr>
              <w:spacing w:after="0"/>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Third Supplemental Indenture, dated June 30, 2014, between the Registrant and The Bank of New York Mellon Trust Company, N.A. (incorporated</w:t>
              </w:r>
            </w:hyperlink>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20" w:type="dxa"/>
            <w:vAlign w:val="bottom"/>
            <w:tcBorders>
              <w:top w:val="single" w:sz="8" w:color="0000FF"/>
            </w:tcBorders>
            <w:gridSpan w:val="37"/>
          </w:tcPr>
          <w:p>
            <w:pPr>
              <w:spacing w:after="0" w:line="152" w:lineRule="exact"/>
              <w:rPr>
                <w:rFonts w:ascii="Times New Roman" w:cs="Times New Roman" w:eastAsia="Times New Roman" w:hAnsi="Times New Roman"/>
                <w:sz w:val="16"/>
                <w:szCs w:val="16"/>
                <w:color w:val="0000FF"/>
              </w:rPr>
            </w:pPr>
            <w:hyperlink r:id="rId297">
              <w:r>
                <w:rPr>
                  <w:rFonts w:ascii="Times New Roman" w:cs="Times New Roman" w:eastAsia="Times New Roman" w:hAnsi="Times New Roman"/>
                  <w:sz w:val="16"/>
                  <w:szCs w:val="16"/>
                  <w:color w:val="0000FF"/>
                </w:rPr>
                <w:t>by reference to Exhibit 4.1 to the Registrant's Current Report on Form 8-K filed on June 30,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4.5</w:t>
            </w:r>
          </w:p>
        </w:tc>
        <w:tc>
          <w:tcPr>
            <w:tcW w:w="160" w:type="dxa"/>
            <w:vAlign w:val="bottom"/>
          </w:tcPr>
          <w:p>
            <w:pPr>
              <w:spacing w:after="0"/>
              <w:rPr>
                <w:sz w:val="18"/>
                <w:szCs w:val="18"/>
                <w:color w:val="auto"/>
              </w:rPr>
            </w:pPr>
          </w:p>
        </w:tc>
        <w:tc>
          <w:tcPr>
            <w:tcW w:w="10620" w:type="dxa"/>
            <w:vAlign w:val="bottom"/>
            <w:gridSpan w:val="42"/>
          </w:tcPr>
          <w:p>
            <w:pPr>
              <w:spacing w:after="0"/>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Form of Subordinated Indenture between the Registrant and the Bank of New York Trust Company, N.A. (incorporated by reference to Exhibit 4.2</w:t>
              </w:r>
            </w:hyperlink>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20" w:type="dxa"/>
            <w:vAlign w:val="bottom"/>
            <w:tcBorders>
              <w:top w:val="single" w:sz="8" w:color="0000FF"/>
            </w:tcBorders>
            <w:gridSpan w:val="32"/>
          </w:tcPr>
          <w:p>
            <w:pPr>
              <w:spacing w:after="0" w:line="152" w:lineRule="exact"/>
              <w:rPr>
                <w:rFonts w:ascii="Times New Roman" w:cs="Times New Roman" w:eastAsia="Times New Roman" w:hAnsi="Times New Roman"/>
                <w:sz w:val="16"/>
                <w:szCs w:val="16"/>
                <w:color w:val="0000FF"/>
              </w:rPr>
            </w:pPr>
            <w:hyperlink r:id="rId298">
              <w:r>
                <w:rPr>
                  <w:rFonts w:ascii="Times New Roman" w:cs="Times New Roman" w:eastAsia="Times New Roman" w:hAnsi="Times New Roman"/>
                  <w:sz w:val="16"/>
                  <w:szCs w:val="16"/>
                  <w:color w:val="0000FF"/>
                </w:rPr>
                <w:t>(A) to the Registrant’s Registration Statement on Form S-3 filed on November 14,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18"/>
                <w:szCs w:val="18"/>
                <w:color w:val="auto"/>
              </w:rPr>
            </w:pPr>
          </w:p>
        </w:tc>
        <w:tc>
          <w:tcPr>
            <w:tcW w:w="10620" w:type="dxa"/>
            <w:vAlign w:val="bottom"/>
            <w:gridSpan w:val="42"/>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Fourth Supplemental Indenture, dated August 13, 2018, between the Registrant and The Bank of New York Mellon Trust Company, N.A.</w:t>
              </w:r>
            </w:hyperlink>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299">
              <w:r>
                <w:rPr>
                  <w:rFonts w:ascii="Times New Roman" w:cs="Times New Roman" w:eastAsia="Times New Roman" w:hAnsi="Times New Roman"/>
                  <w:sz w:val="16"/>
                  <w:szCs w:val="16"/>
                  <w:color w:val="0000FF"/>
                </w:rPr>
                <w:t>(incorporated by reference to Exhibit 4.4 to the Registrant's Current Report on Form 8-K filed on August 13, 2018)</w:t>
              </w:r>
            </w:hyperlink>
          </w:p>
        </w:tc>
        <w:tc>
          <w:tcPr>
            <w:tcW w:w="240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4.7</w:t>
            </w:r>
          </w:p>
        </w:tc>
        <w:tc>
          <w:tcPr>
            <w:tcW w:w="160" w:type="dxa"/>
            <w:vAlign w:val="bottom"/>
          </w:tcPr>
          <w:p>
            <w:pPr>
              <w:spacing w:after="0"/>
              <w:rPr>
                <w:sz w:val="21"/>
                <w:szCs w:val="21"/>
                <w:color w:val="auto"/>
              </w:rPr>
            </w:pPr>
          </w:p>
        </w:tc>
        <w:tc>
          <w:tcPr>
            <w:tcW w:w="10620" w:type="dxa"/>
            <w:vAlign w:val="bottom"/>
            <w:gridSpan w:val="42"/>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Form of 4.50% Senior Note of the Registrant due 2028 (incorporated by reference to Exhibit A to Exhibit 4.4 to the Registrant's Current Report on</w:t>
              </w:r>
            </w:hyperlink>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tcBorders>
              <w:top w:val="single" w:sz="8" w:color="0000FF"/>
              <w:bottom w:val="single" w:sz="8" w:color="0000FF"/>
            </w:tcBorders>
            <w:gridSpan w:val="6"/>
          </w:tcPr>
          <w:p>
            <w:pPr>
              <w:spacing w:after="0" w:line="164" w:lineRule="exact"/>
              <w:rPr>
                <w:rFonts w:ascii="Times New Roman" w:cs="Times New Roman" w:eastAsia="Times New Roman" w:hAnsi="Times New Roman"/>
                <w:sz w:val="18"/>
                <w:szCs w:val="18"/>
                <w:color w:val="0000FF"/>
                <w:w w:val="96"/>
              </w:rPr>
            </w:pPr>
            <w:hyperlink r:id="rId299">
              <w:r>
                <w:rPr>
                  <w:rFonts w:ascii="Times New Roman" w:cs="Times New Roman" w:eastAsia="Times New Roman" w:hAnsi="Times New Roman"/>
                  <w:sz w:val="18"/>
                  <w:szCs w:val="18"/>
                  <w:color w:val="0000FF"/>
                  <w:w w:val="96"/>
                </w:rPr>
                <w:t>Form 8-K filed on August 13, 2018).</w:t>
              </w:r>
            </w:hyperlink>
          </w:p>
        </w:tc>
        <w:tc>
          <w:tcPr>
            <w:tcW w:w="7700" w:type="dxa"/>
            <w:vAlign w:val="bottom"/>
            <w:tcBorders>
              <w:top w:val="single" w:sz="8" w:color="0000FF"/>
            </w:tcBorders>
            <w:gridSpan w:val="2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4.8</w:t>
            </w:r>
          </w:p>
        </w:tc>
        <w:tc>
          <w:tcPr>
            <w:tcW w:w="160" w:type="dxa"/>
            <w:vAlign w:val="bottom"/>
          </w:tcPr>
          <w:p>
            <w:pPr>
              <w:spacing w:after="0"/>
              <w:rPr>
                <w:sz w:val="21"/>
                <w:szCs w:val="21"/>
                <w:color w:val="auto"/>
              </w:rPr>
            </w:pPr>
          </w:p>
        </w:tc>
        <w:tc>
          <w:tcPr>
            <w:tcW w:w="10620" w:type="dxa"/>
            <w:vAlign w:val="bottom"/>
            <w:gridSpan w:val="42"/>
          </w:tcPr>
          <w:p>
            <w:pPr>
              <w:spacing w:after="0"/>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 xml:space="preserve">Specimen certificate for shares of the Registrant’s FNF Group common stock, par value </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0.0001 per Share (incorporated by reference to Exhibit 4.1</w:t>
              </w:r>
            </w:hyperlink>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60" w:type="dxa"/>
            <w:vAlign w:val="bottom"/>
            <w:tcBorders>
              <w:top w:val="single" w:sz="8" w:color="0000FF"/>
            </w:tcBorders>
            <w:gridSpan w:val="34"/>
          </w:tcPr>
          <w:p>
            <w:pPr>
              <w:spacing w:after="0" w:line="152" w:lineRule="exact"/>
              <w:rPr>
                <w:rFonts w:ascii="Times New Roman" w:cs="Times New Roman" w:eastAsia="Times New Roman" w:hAnsi="Times New Roman"/>
                <w:sz w:val="16"/>
                <w:szCs w:val="16"/>
                <w:color w:val="0000FF"/>
              </w:rPr>
            </w:pPr>
            <w:hyperlink r:id="rId300">
              <w:r>
                <w:rPr>
                  <w:rFonts w:ascii="Times New Roman" w:cs="Times New Roman" w:eastAsia="Times New Roman" w:hAnsi="Times New Roman"/>
                  <w:sz w:val="16"/>
                  <w:szCs w:val="16"/>
                  <w:color w:val="0000FF"/>
                </w:rPr>
                <w:t>to the Registrant’s Registration Statement on Form S-4/A filed on May 5, 2014)</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4.9</w:t>
            </w:r>
          </w:p>
        </w:tc>
        <w:tc>
          <w:tcPr>
            <w:tcW w:w="160" w:type="dxa"/>
            <w:vAlign w:val="bottom"/>
          </w:tcPr>
          <w:p>
            <w:pPr>
              <w:spacing w:after="0"/>
              <w:rPr>
                <w:sz w:val="18"/>
                <w:szCs w:val="18"/>
                <w:color w:val="auto"/>
              </w:rPr>
            </w:pPr>
          </w:p>
        </w:tc>
        <w:tc>
          <w:tcPr>
            <w:tcW w:w="10620" w:type="dxa"/>
            <w:vAlign w:val="bottom"/>
            <w:gridSpan w:val="42"/>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Description of FNF Common Stock (incorporated by reference to Exhibit 4.9 to the Registrant’s Annual Report on Form 10-K for the year ended</w:t>
              </w:r>
            </w:hyperlink>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301">
              <w:r>
                <w:rPr>
                  <w:rFonts w:ascii="Times New Roman" w:cs="Times New Roman" w:eastAsia="Times New Roman" w:hAnsi="Times New Roman"/>
                  <w:sz w:val="16"/>
                  <w:szCs w:val="16"/>
                  <w:color w:val="0000FF"/>
                </w:rPr>
                <w:t>December 31, 2019)</w:t>
              </w:r>
            </w:hyperlink>
          </w:p>
        </w:tc>
        <w:tc>
          <w:tcPr>
            <w:tcW w:w="9100" w:type="dxa"/>
            <w:vAlign w:val="bottom"/>
            <w:tcBorders>
              <w:top w:val="single" w:sz="8" w:color="0000FF"/>
            </w:tcBorders>
            <w:gridSpan w:val="3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5"/>
              </w:rPr>
              <w:t>4.10</w:t>
            </w:r>
          </w:p>
        </w:tc>
        <w:tc>
          <w:tcPr>
            <w:tcW w:w="160" w:type="dxa"/>
            <w:vAlign w:val="bottom"/>
          </w:tcPr>
          <w:p>
            <w:pPr>
              <w:spacing w:after="0"/>
              <w:rPr>
                <w:sz w:val="18"/>
                <w:szCs w:val="18"/>
                <w:color w:val="auto"/>
              </w:rPr>
            </w:pPr>
          </w:p>
        </w:tc>
        <w:tc>
          <w:tcPr>
            <w:tcW w:w="10620" w:type="dxa"/>
            <w:vAlign w:val="bottom"/>
            <w:gridSpan w:val="42"/>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Supplemental Indenture, dated as of June 1, 2020, by and among Fidelity &amp; Guaranty Life Holdings, Inc., Fidelity National Financial, Inc., and</w:t>
              </w:r>
            </w:hyperlink>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40" w:type="dxa"/>
            <w:vAlign w:val="bottom"/>
            <w:tcBorders>
              <w:top w:val="single" w:sz="8" w:color="0000FF"/>
              <w:bottom w:val="single" w:sz="8" w:color="0000FF"/>
            </w:tcBorders>
            <w:gridSpan w:val="33"/>
          </w:tcPr>
          <w:p>
            <w:pPr>
              <w:spacing w:after="0" w:line="152" w:lineRule="exact"/>
              <w:rPr>
                <w:rFonts w:ascii="Times New Roman" w:cs="Times New Roman" w:eastAsia="Times New Roman" w:hAnsi="Times New Roman"/>
                <w:sz w:val="16"/>
                <w:szCs w:val="16"/>
                <w:color w:val="0000FF"/>
              </w:rPr>
            </w:pPr>
            <w:hyperlink r:id="rId302">
              <w:r>
                <w:rPr>
                  <w:rFonts w:ascii="Times New Roman" w:cs="Times New Roman" w:eastAsia="Times New Roman" w:hAnsi="Times New Roman"/>
                  <w:sz w:val="16"/>
                  <w:szCs w:val="16"/>
                  <w:color w:val="0000FF"/>
                </w:rPr>
                <w:t>Wells Fargo Bank, National Association, as trustee (incorporated by reference to Exhibit 4.1 to the Registrant's Current Report on Form 8-K filed on</w:t>
              </w:r>
            </w:hyperlink>
          </w:p>
        </w:tc>
        <w:tc>
          <w:tcPr>
            <w:tcW w:w="140" w:type="dxa"/>
            <w:vAlign w:val="bottom"/>
            <w:tcBorders>
              <w:bottom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302">
              <w:r>
                <w:rPr>
                  <w:rFonts w:ascii="Times New Roman" w:cs="Times New Roman" w:eastAsia="Times New Roman" w:hAnsi="Times New Roman"/>
                  <w:sz w:val="16"/>
                  <w:szCs w:val="16"/>
                  <w:color w:val="0000FF"/>
                </w:rPr>
                <w:t>June 1, 2020).</w:t>
              </w:r>
            </w:hyperlink>
          </w:p>
        </w:tc>
        <w:tc>
          <w:tcPr>
            <w:tcW w:w="9580" w:type="dxa"/>
            <w:vAlign w:val="bottom"/>
            <w:gridSpan w:val="3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5"/>
              </w:rPr>
              <w:t>4.11</w:t>
            </w:r>
          </w:p>
        </w:tc>
        <w:tc>
          <w:tcPr>
            <w:tcW w:w="160" w:type="dxa"/>
            <w:vAlign w:val="bottom"/>
          </w:tcPr>
          <w:p>
            <w:pPr>
              <w:spacing w:after="0"/>
              <w:rPr>
                <w:sz w:val="20"/>
                <w:szCs w:val="20"/>
                <w:color w:val="auto"/>
              </w:rPr>
            </w:pPr>
          </w:p>
        </w:tc>
        <w:tc>
          <w:tcPr>
            <w:tcW w:w="10620" w:type="dxa"/>
            <w:vAlign w:val="bottom"/>
            <w:gridSpan w:val="42"/>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Indenture, dated as of April 20, 2018, by and among Fidelity &amp; Guaranty Life Holdings, Inc., the guarantors party thereto and Wells Fargo Bank,</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3440" w:type="dxa"/>
            <w:vAlign w:val="bottom"/>
            <w:gridSpan w:val="8"/>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20" w:type="dxa"/>
            <w:vAlign w:val="bottom"/>
            <w:gridSpan w:val="42"/>
          </w:tcPr>
          <w:p>
            <w:pPr>
              <w:spacing w:after="0" w:line="177"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National Association, as trustee (incorporated by reference to Exhibit 4.1 to the Current Report on Form 8-K filed by FGL Holdings (File No. 001-</w:t>
              </w:r>
            </w:hyperlink>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340" w:type="dxa"/>
            <w:vAlign w:val="bottom"/>
            <w:tcBorders>
              <w:top w:val="single" w:sz="8" w:color="0000FF"/>
            </w:tcBorders>
            <w:gridSpan w:val="30"/>
          </w:tcPr>
          <w:p>
            <w:pPr>
              <w:spacing w:after="0" w:line="177"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37779) on April 25, 2018).</w:t>
              </w:r>
            </w:hyperlink>
          </w:p>
        </w:tc>
        <w:tc>
          <w:tcPr>
            <w:tcW w:w="28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758"/>
        </w:trPr>
        <w:tc>
          <w:tcPr>
            <w:tcW w:w="140" w:type="dxa"/>
            <w:vAlign w:val="bottom"/>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40" w:type="dxa"/>
            <w:vAlign w:val="bottom"/>
            <w:gridSpan w:val="33"/>
            <w:vMerge w:val="restart"/>
          </w:tcPr>
          <w:p>
            <w:pPr>
              <w:jc w:val="center"/>
              <w:ind w:right="498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660" w:type="dxa"/>
            <w:vAlign w:val="bottom"/>
            <w:gridSpan w:val="2"/>
          </w:tcPr>
          <w:p>
            <w:pPr>
              <w:jc w:val="center"/>
              <w:ind w:right="160"/>
              <w:spacing w:after="0" w:line="156"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40" w:type="dxa"/>
            <w:vAlign w:val="bottom"/>
            <w:gridSpan w:val="3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160" w:type="dxa"/>
            <w:vAlign w:val="bottom"/>
          </w:tcPr>
          <w:p>
            <w:pPr>
              <w:spacing w:after="0"/>
              <w:rPr>
                <w:sz w:val="18"/>
                <w:szCs w:val="18"/>
                <w:color w:val="auto"/>
              </w:rPr>
            </w:pPr>
          </w:p>
        </w:tc>
        <w:tc>
          <w:tcPr>
            <w:tcW w:w="98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7"/>
              </w:rPr>
            </w:pPr>
            <w:hyperlink r:id="rId304">
              <w:r>
                <w:rPr>
                  <w:rFonts w:ascii="Times New Roman" w:cs="Times New Roman" w:eastAsia="Times New Roman" w:hAnsi="Times New Roman"/>
                  <w:sz w:val="18"/>
                  <w:szCs w:val="18"/>
                  <w:color w:val="0000FF"/>
                  <w:w w:val="97"/>
                </w:rPr>
                <w:t>Fifth Supplemental Indenture, dated as of June 12, 2020, between Fidelity National Financial, Inc. and The Bank of New York Mellon Trust</w:t>
              </w:r>
            </w:hyperlink>
          </w:p>
        </w:tc>
        <w:tc>
          <w:tcPr>
            <w:tcW w:w="78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80" w:type="dxa"/>
            <w:vAlign w:val="bottom"/>
            <w:tcBorders>
              <w:bottom w:val="single" w:sz="8" w:color="0000FF"/>
            </w:tcBorders>
            <w:gridSpan w:val="21"/>
          </w:tcPr>
          <w:p>
            <w:pPr>
              <w:spacing w:after="0" w:line="190" w:lineRule="exact"/>
              <w:rPr>
                <w:rFonts w:ascii="Times New Roman" w:cs="Times New Roman" w:eastAsia="Times New Roman" w:hAnsi="Times New Roman"/>
                <w:sz w:val="18"/>
                <w:szCs w:val="18"/>
                <w:color w:val="0000FF"/>
                <w:w w:val="97"/>
              </w:rPr>
            </w:pPr>
            <w:hyperlink r:id="rId304">
              <w:r>
                <w:rPr>
                  <w:rFonts w:ascii="Times New Roman" w:cs="Times New Roman" w:eastAsia="Times New Roman" w:hAnsi="Times New Roman"/>
                  <w:sz w:val="18"/>
                  <w:szCs w:val="18"/>
                  <w:color w:val="0000FF"/>
                  <w:w w:val="97"/>
                </w:rPr>
                <w:t>Company, N.A. (incorporated by reference to Exhibit 4.1 to the Registrant's Current Report on Form 8-K filed on June 12, 2020).</w:t>
              </w:r>
            </w:hyperlink>
          </w:p>
        </w:tc>
        <w:tc>
          <w:tcPr>
            <w:tcW w:w="154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5"/>
              </w:rPr>
              <w:t>4.13</w:t>
            </w:r>
          </w:p>
        </w:tc>
        <w:tc>
          <w:tcPr>
            <w:tcW w:w="160" w:type="dxa"/>
            <w:vAlign w:val="bottom"/>
          </w:tcPr>
          <w:p>
            <w:pPr>
              <w:spacing w:after="0"/>
              <w:rPr>
                <w:sz w:val="20"/>
                <w:szCs w:val="20"/>
                <w:color w:val="auto"/>
              </w:rPr>
            </w:pPr>
          </w:p>
        </w:tc>
        <w:tc>
          <w:tcPr>
            <w:tcW w:w="100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7"/>
              </w:rPr>
            </w:pPr>
            <w:hyperlink r:id="rId304">
              <w:r>
                <w:rPr>
                  <w:rFonts w:ascii="Times New Roman" w:cs="Times New Roman" w:eastAsia="Times New Roman" w:hAnsi="Times New Roman"/>
                  <w:sz w:val="18"/>
                  <w:szCs w:val="18"/>
                  <w:color w:val="0000FF"/>
                  <w:w w:val="97"/>
                </w:rPr>
                <w:t>Form of 3.40% Senior Note of the Registrant due 2030 (included in Exhibit 4.12 hereto which is incorporated by reference to Exhibit 4.1 to the</w:t>
              </w:r>
            </w:hyperlink>
          </w:p>
        </w:tc>
        <w:tc>
          <w:tcPr>
            <w:tcW w:w="56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20" w:type="dxa"/>
            <w:vAlign w:val="bottom"/>
            <w:gridSpan w:val="42"/>
          </w:tcPr>
          <w:p>
            <w:pPr>
              <w:spacing w:after="0" w:line="190"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Registrant's Current Report on Form 8-K filed on June 12, 2020)</w:t>
              </w:r>
            </w:hyperlink>
          </w:p>
        </w:tc>
        <w:tc>
          <w:tcPr>
            <w:tcW w:w="0" w:type="dxa"/>
            <w:vAlign w:val="bottom"/>
          </w:tcPr>
          <w:p>
            <w:pPr>
              <w:spacing w:after="0"/>
              <w:rPr>
                <w:sz w:val="1"/>
                <w:szCs w:val="1"/>
                <w:color w:val="auto"/>
              </w:rPr>
            </w:pPr>
          </w:p>
        </w:tc>
      </w:tr>
      <w:tr>
        <w:trPr>
          <w:trHeight w:val="993"/>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40" w:type="dxa"/>
            <w:vAlign w:val="bottom"/>
            <w:tcBorders>
              <w:top w:val="single" w:sz="8" w:color="0000FF"/>
            </w:tcBorders>
            <w:gridSpan w:val="7"/>
          </w:tcPr>
          <w:p>
            <w:pPr>
              <w:spacing w:after="0"/>
              <w:rPr>
                <w:sz w:val="24"/>
                <w:szCs w:val="24"/>
                <w:color w:val="auto"/>
              </w:rPr>
            </w:pPr>
          </w:p>
        </w:tc>
        <w:tc>
          <w:tcPr>
            <w:tcW w:w="10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00" w:hanging="558"/>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4.14</w:t>
      </w:r>
      <w:r>
        <w:rPr>
          <w:sz w:val="20"/>
          <w:szCs w:val="20"/>
          <w:color w:val="auto"/>
        </w:rPr>
        <w:tab/>
      </w:r>
      <w:hyperlink r:id="rId307">
        <w:r>
          <w:rPr>
            <w:rFonts w:ascii="Times New Roman" w:cs="Times New Roman" w:eastAsia="Times New Roman" w:hAnsi="Times New Roman"/>
            <w:sz w:val="18"/>
            <w:szCs w:val="18"/>
            <w:u w:val="single" w:color="auto"/>
            <w:color w:val="0000FF"/>
          </w:rPr>
          <w:t>Sixth Supplemental Indenture, dated as of September 15, 2020, between Fidelity National Financial, Inc. and The Bank of New York Mellon Trust</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Company, N.A. (incorporated by reference to Exhibit 4.1 to the Registrant's Current Report on Form 8-K filed on September 15, 2020).</w:t>
        </w:r>
      </w:hyperlink>
    </w:p>
    <w:p>
      <w:pPr>
        <w:spacing w:after="0" w:line="9" w:lineRule="exact"/>
        <w:rPr>
          <w:sz w:val="20"/>
          <w:szCs w:val="20"/>
          <w:color w:val="auto"/>
        </w:rPr>
      </w:pPr>
    </w:p>
    <w:p>
      <w:pPr>
        <w:ind w:left="800" w:right="280" w:hanging="558"/>
        <w:spacing w:after="0" w:line="253" w:lineRule="auto"/>
        <w:tabs>
          <w:tab w:leader="none" w:pos="7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4.15</w:t>
      </w:r>
      <w:r>
        <w:rPr>
          <w:sz w:val="20"/>
          <w:szCs w:val="20"/>
          <w:color w:val="auto"/>
        </w:rPr>
        <w:tab/>
      </w:r>
      <w:hyperlink r:id="rId307">
        <w:r>
          <w:rPr>
            <w:rFonts w:ascii="Times New Roman" w:cs="Times New Roman" w:eastAsia="Times New Roman" w:hAnsi="Times New Roman"/>
            <w:sz w:val="18"/>
            <w:szCs w:val="18"/>
            <w:u w:val="single" w:color="auto"/>
            <w:color w:val="0000FF"/>
          </w:rPr>
          <w:t>Form of 2.450% Senior Note of the Registrant due 2031 (included in Exhibit 4.14 hereto which is incorporated by reference to Exhibit 4.1 to the</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Registrant's Current Report on Form 8-K filed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FF"/>
            <w:highlight w:val="white"/>
          </w:rPr>
          <w:t>September 15, 2020</w:t>
        </w:r>
        <w:r>
          <w:rPr>
            <w:rFonts w:ascii="Times New Roman" w:cs="Times New Roman" w:eastAsia="Times New Roman" w:hAnsi="Times New Roman"/>
            <w:sz w:val="18"/>
            <w:szCs w:val="18"/>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-22225</wp:posOffset>
            </wp:positionV>
            <wp:extent cx="9309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spacing w:after="0" w:line="4" w:lineRule="exact"/>
        <w:rPr>
          <w:sz w:val="20"/>
          <w:szCs w:val="20"/>
          <w:color w:val="auto"/>
        </w:rPr>
      </w:pPr>
    </w:p>
    <w:p>
      <w:pPr>
        <w:ind w:left="800" w:right="340" w:hanging="558"/>
        <w:spacing w:after="0" w:line="291"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309">
        <w:r>
          <w:rPr>
            <w:rFonts w:ascii="Times New Roman" w:cs="Times New Roman" w:eastAsia="Times New Roman" w:hAnsi="Times New Roman"/>
            <w:sz w:val="16"/>
            <w:szCs w:val="16"/>
            <w:u w:val="single" w:color="auto"/>
            <w:color w:val="0000FF"/>
          </w:rPr>
          <w:t>Seventh Supplemental Indenture, dated as of September 17, 2021, between Fidelity National Financial, Inc. and The Bank of New York Mellon</w:t>
        </w:r>
      </w:hyperlink>
      <w:r>
        <w:rPr>
          <w:rFonts w:ascii="Times New Roman" w:cs="Times New Roman" w:eastAsia="Times New Roman" w:hAnsi="Times New Roman"/>
          <w:sz w:val="16"/>
          <w:szCs w:val="16"/>
          <w:u w:val="single" w:color="auto"/>
          <w:color w:val="0000FF"/>
        </w:rPr>
        <w:t xml:space="preserve"> </w:t>
      </w:r>
      <w:hyperlink r:id="rId309">
        <w:r>
          <w:rPr>
            <w:rFonts w:ascii="Times New Roman" w:cs="Times New Roman" w:eastAsia="Times New Roman" w:hAnsi="Times New Roman"/>
            <w:sz w:val="16"/>
            <w:szCs w:val="16"/>
            <w:u w:val="single" w:color="auto"/>
            <w:color w:val="0000FF"/>
          </w:rPr>
          <w:t>Trust Company, N.A. (incorporated by reference to Exhibit 4.1 to the Registrant's Current Report on Form 8-K filed on September 17, 2021)</w:t>
        </w:r>
      </w:hyperlink>
    </w:p>
    <w:p>
      <w:pPr>
        <w:spacing w:after="0" w:line="1" w:lineRule="exact"/>
        <w:rPr>
          <w:sz w:val="20"/>
          <w:szCs w:val="20"/>
          <w:color w:val="auto"/>
        </w:rPr>
      </w:pPr>
    </w:p>
    <w:p>
      <w:pPr>
        <w:ind w:left="800" w:right="400" w:hanging="558"/>
        <w:spacing w:after="0" w:line="253"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4.17</w:t>
      </w:r>
      <w:r>
        <w:rPr>
          <w:sz w:val="20"/>
          <w:szCs w:val="20"/>
          <w:color w:val="auto"/>
        </w:rPr>
        <w:tab/>
      </w:r>
      <w:hyperlink r:id="rId309">
        <w:r>
          <w:rPr>
            <w:rFonts w:ascii="Times New Roman" w:cs="Times New Roman" w:eastAsia="Times New Roman" w:hAnsi="Times New Roman"/>
            <w:sz w:val="18"/>
            <w:szCs w:val="18"/>
            <w:u w:val="single" w:color="auto"/>
            <w:color w:val="0000FF"/>
          </w:rPr>
          <w:t>Form of 3.20% Senior Note of the Registrant due 2051 (included in exhibit 4.16 hereto which is incorporated by reference to Exhibit 4.1 to the</w:t>
        </w:r>
      </w:hyperlink>
      <w:r>
        <w:rPr>
          <w:rFonts w:ascii="Times New Roman" w:cs="Times New Roman" w:eastAsia="Times New Roman" w:hAnsi="Times New Roman"/>
          <w:sz w:val="18"/>
          <w:szCs w:val="18"/>
          <w:u w:val="single" w:color="auto"/>
          <w:color w:val="0000FF"/>
        </w:rPr>
        <w:t xml:space="preserve"> </w:t>
      </w:r>
      <w:hyperlink r:id="rId309">
        <w:r>
          <w:rPr>
            <w:rFonts w:ascii="Times New Roman" w:cs="Times New Roman" w:eastAsia="Times New Roman" w:hAnsi="Times New Roman"/>
            <w:sz w:val="18"/>
            <w:szCs w:val="18"/>
            <w:u w:val="single" w:color="auto"/>
            <w:color w:val="0000FF"/>
          </w:rPr>
          <w:t>Registrant's Current Report on Form 8-K filed on September 17, 2021)</w:t>
        </w:r>
      </w:hyperlink>
    </w:p>
    <w:p>
      <w:pPr>
        <w:spacing w:after="0" w:line="11" w:lineRule="exact"/>
        <w:rPr>
          <w:sz w:val="20"/>
          <w:szCs w:val="20"/>
          <w:color w:val="auto"/>
        </w:rPr>
      </w:pPr>
    </w:p>
    <w:p>
      <w:pPr>
        <w:ind w:left="800" w:hanging="558"/>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4.18</w:t>
      </w:r>
      <w:r>
        <w:rPr>
          <w:sz w:val="20"/>
          <w:szCs w:val="20"/>
          <w:color w:val="auto"/>
        </w:rPr>
        <w:tab/>
      </w:r>
      <w:hyperlink r:id="rId310">
        <w:r>
          <w:rPr>
            <w:rFonts w:ascii="Times New Roman" w:cs="Times New Roman" w:eastAsia="Times New Roman" w:hAnsi="Times New Roman"/>
            <w:sz w:val="18"/>
            <w:szCs w:val="18"/>
            <w:u w:val="single" w:color="auto"/>
            <w:color w:val="0000FF"/>
          </w:rPr>
          <w:t>Indenture, dated as of January 13, 2023, by and among F&amp;G Annuities &amp; Life, Inc., the guarantors named therein and Citibank, N.A. (incorporated</w:t>
        </w:r>
      </w:hyperlink>
      <w:r>
        <w:rPr>
          <w:rFonts w:ascii="Times New Roman" w:cs="Times New Roman" w:eastAsia="Times New Roman" w:hAnsi="Times New Roman"/>
          <w:sz w:val="18"/>
          <w:szCs w:val="18"/>
          <w:u w:val="single" w:color="auto"/>
          <w:color w:val="0000FF"/>
        </w:rPr>
        <w:t xml:space="preserve"> </w:t>
      </w:r>
      <w:hyperlink r:id="rId310">
        <w:r>
          <w:rPr>
            <w:rFonts w:ascii="Times New Roman" w:cs="Times New Roman" w:eastAsia="Times New Roman" w:hAnsi="Times New Roman"/>
            <w:sz w:val="18"/>
            <w:szCs w:val="18"/>
            <w:u w:val="single" w:color="auto"/>
            <w:color w:val="0000FF"/>
          </w:rPr>
          <w:t>by reference to Exhibit 4.1 to the Registrant's Current Report on Form 8-K filed on January 13, 2023)</w:t>
        </w:r>
      </w:hyperlink>
    </w:p>
    <w:p>
      <w:pPr>
        <w:spacing w:after="0" w:line="9" w:lineRule="exact"/>
        <w:rPr>
          <w:sz w:val="20"/>
          <w:szCs w:val="20"/>
          <w:color w:val="auto"/>
        </w:rPr>
      </w:pPr>
    </w:p>
    <w:p>
      <w:pPr>
        <w:ind w:left="800" w:hanging="558"/>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4.19</w:t>
      </w:r>
      <w:r>
        <w:rPr>
          <w:sz w:val="20"/>
          <w:szCs w:val="20"/>
          <w:color w:val="auto"/>
        </w:rPr>
        <w:tab/>
      </w:r>
      <w:hyperlink r:id="rId311">
        <w:r>
          <w:rPr>
            <w:rFonts w:ascii="Times New Roman" w:cs="Times New Roman" w:eastAsia="Times New Roman" w:hAnsi="Times New Roman"/>
            <w:sz w:val="18"/>
            <w:szCs w:val="18"/>
            <w:u w:val="single" w:color="auto"/>
            <w:color w:val="0000FF"/>
          </w:rPr>
          <w:t>First Supplemental Indenture, dated as of January 13, 2023, among F&amp;G Annuities &amp; Life, Inc., the guarantors named therein and Citibank, N.A.</w:t>
        </w:r>
      </w:hyperlink>
      <w:r>
        <w:rPr>
          <w:rFonts w:ascii="Times New Roman" w:cs="Times New Roman" w:eastAsia="Times New Roman" w:hAnsi="Times New Roman"/>
          <w:sz w:val="18"/>
          <w:szCs w:val="18"/>
          <w:u w:val="single" w:color="auto"/>
          <w:color w:val="0000FF"/>
        </w:rPr>
        <w:t xml:space="preserve"> </w:t>
      </w:r>
      <w:hyperlink r:id="rId311">
        <w:r>
          <w:rPr>
            <w:rFonts w:ascii="Times New Roman" w:cs="Times New Roman" w:eastAsia="Times New Roman" w:hAnsi="Times New Roman"/>
            <w:sz w:val="18"/>
            <w:szCs w:val="18"/>
            <w:u w:val="single" w:color="auto"/>
            <w:color w:val="0000FF"/>
          </w:rPr>
          <w:t>(incorporated by reference to Exhibit 4.2 to the Registrant's Current Report on Form 8-K filed on January 13, 2023)</w:t>
        </w:r>
      </w:hyperlink>
    </w:p>
    <w:p>
      <w:pPr>
        <w:ind w:left="24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4.20</w:t>
      </w:r>
      <w:r>
        <w:rPr>
          <w:sz w:val="20"/>
          <w:szCs w:val="20"/>
          <w:color w:val="auto"/>
        </w:rPr>
        <w:tab/>
      </w:r>
      <w:hyperlink r:id="rId311">
        <w:r>
          <w:rPr>
            <w:rFonts w:ascii="Times New Roman" w:cs="Times New Roman" w:eastAsia="Times New Roman" w:hAnsi="Times New Roman"/>
            <w:sz w:val="16"/>
            <w:szCs w:val="16"/>
            <w:u w:val="single" w:color="auto"/>
            <w:color w:val="0000FF"/>
          </w:rPr>
          <w:t>Form of F&amp;G Annuities &amp; Life, Inc’s 7.400% Senior Notes due 2028 (included in Exhibit 4.18 hereto which is incorporated by reference to Exhibit</w:t>
        </w:r>
      </w:hyperlink>
    </w:p>
    <w:p>
      <w:pPr>
        <w:ind w:left="800"/>
        <w:spacing w:after="0"/>
        <w:rPr>
          <w:rFonts w:ascii="Times New Roman" w:cs="Times New Roman" w:eastAsia="Times New Roman" w:hAnsi="Times New Roman"/>
          <w:sz w:val="18"/>
          <w:szCs w:val="18"/>
          <w:u w:val="single" w:color="auto"/>
          <w:color w:val="0000FF"/>
        </w:rPr>
      </w:pPr>
      <w:hyperlink r:id="rId311">
        <w:r>
          <w:rPr>
            <w:rFonts w:ascii="Times New Roman" w:cs="Times New Roman" w:eastAsia="Times New Roman" w:hAnsi="Times New Roman"/>
            <w:sz w:val="18"/>
            <w:szCs w:val="18"/>
            <w:u w:val="single" w:color="auto"/>
            <w:color w:val="0000FF"/>
          </w:rPr>
          <w:t>4.2 to the Registrant's Current Report on Form 8-K filed on January 13, 2023)</w:t>
        </w:r>
      </w:hyperlink>
    </w:p>
    <w:p>
      <w:pPr>
        <w:spacing w:after="0" w:line="10" w:lineRule="exact"/>
        <w:rPr>
          <w:sz w:val="20"/>
          <w:szCs w:val="20"/>
          <w:color w:val="auto"/>
        </w:rPr>
      </w:pPr>
    </w:p>
    <w:p>
      <w:pPr>
        <w:jc w:val="right"/>
        <w:ind w:left="240"/>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4.21   </w:t>
      </w:r>
      <w:hyperlink r:id="rId312">
        <w:r>
          <w:rPr>
            <w:rFonts w:ascii="Times New Roman" w:cs="Times New Roman" w:eastAsia="Times New Roman" w:hAnsi="Times New Roman"/>
            <w:sz w:val="18"/>
            <w:szCs w:val="18"/>
            <w:u w:val="single" w:color="auto"/>
            <w:color w:val="0000FF"/>
          </w:rPr>
          <w:t>Third Supplemental Indenture relating to the 7.950% Senior Notes due 2053, dated as of December 6, 2023, among F&amp;G Annuities &amp; Life, Inc., the</w:t>
        </w:r>
      </w:hyperlink>
      <w:r>
        <w:rPr>
          <w:rFonts w:ascii="Times New Roman" w:cs="Times New Roman" w:eastAsia="Times New Roman" w:hAnsi="Times New Roman"/>
          <w:sz w:val="18"/>
          <w:szCs w:val="18"/>
          <w:color w:val="auto"/>
        </w:rPr>
        <w:t xml:space="preserve"> </w:t>
      </w:r>
      <w:hyperlink r:id="rId312">
        <w:r>
          <w:rPr>
            <w:rFonts w:ascii="Times New Roman" w:cs="Times New Roman" w:eastAsia="Times New Roman" w:hAnsi="Times New Roman"/>
            <w:sz w:val="18"/>
            <w:szCs w:val="18"/>
            <w:u w:val="single" w:color="auto"/>
            <w:color w:val="0000FF"/>
          </w:rPr>
          <w:t>guarantors named therein and Citibank, N.A., as trustee (incorporated by reference to the Company’s Current Report on Form 8-K, filed with the</w:t>
        </w:r>
      </w:hyperlink>
    </w:p>
    <w:p>
      <w:pPr>
        <w:spacing w:after="0" w:line="1" w:lineRule="exact"/>
        <w:rPr>
          <w:sz w:val="20"/>
          <w:szCs w:val="20"/>
          <w:color w:val="auto"/>
        </w:rPr>
      </w:pPr>
    </w:p>
    <w:p>
      <w:pPr>
        <w:ind w:left="800"/>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u w:val="single" w:color="auto"/>
            <w:color w:val="0000FF"/>
          </w:rPr>
          <w:t>Commission on December 6, 2023)</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800" w:hanging="558"/>
        <w:spacing w:after="0" w:line="228"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313">
        <w:r>
          <w:rPr>
            <w:rFonts w:ascii="Times New Roman" w:cs="Times New Roman" w:eastAsia="Times New Roman" w:hAnsi="Times New Roman"/>
            <w:sz w:val="18"/>
            <w:szCs w:val="18"/>
            <w:u w:val="single" w:color="auto"/>
            <w:color w:val="0000FF"/>
          </w:rPr>
          <w:t>Amended and Restated Fidelity National Financial, Inc. 2005 Omnibus Incentive Plan (incorporated by reference to Annex A to the Registrant’s</w:t>
        </w:r>
      </w:hyperlink>
      <w:r>
        <w:rPr>
          <w:rFonts w:ascii="Times New Roman" w:cs="Times New Roman" w:eastAsia="Times New Roman" w:hAnsi="Times New Roman"/>
          <w:sz w:val="18"/>
          <w:szCs w:val="18"/>
          <w:u w:val="single" w:color="auto"/>
          <w:color w:val="0000FF"/>
        </w:rPr>
        <w:t xml:space="preserve"> </w:t>
      </w:r>
      <w:hyperlink r:id="rId313">
        <w:r>
          <w:rPr>
            <w:rFonts w:ascii="Times New Roman" w:cs="Times New Roman" w:eastAsia="Times New Roman" w:hAnsi="Times New Roman"/>
            <w:sz w:val="18"/>
            <w:szCs w:val="18"/>
            <w:u w:val="single" w:color="auto"/>
            <w:color w:val="0000FF"/>
          </w:rPr>
          <w:t>Schedule 14A filed on April 29, 2016) (1)</w:t>
        </w:r>
      </w:hyperlink>
    </w:p>
    <w:p>
      <w:pPr>
        <w:spacing w:after="0" w:line="10" w:lineRule="exact"/>
        <w:rPr>
          <w:sz w:val="20"/>
          <w:szCs w:val="20"/>
          <w:color w:val="auto"/>
        </w:rPr>
      </w:pPr>
    </w:p>
    <w:p>
      <w:pPr>
        <w:ind w:left="800" w:hanging="558"/>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314">
        <w:r>
          <w:rPr>
            <w:rFonts w:ascii="Times New Roman" w:cs="Times New Roman" w:eastAsia="Times New Roman" w:hAnsi="Times New Roman"/>
            <w:sz w:val="18"/>
            <w:szCs w:val="18"/>
            <w:u w:val="single" w:color="auto"/>
            <w:color w:val="0000FF"/>
          </w:rPr>
          <w:t>Fidelity National Financial, Inc. Amended and Restated 2013 Employee Stock Purchase Plan (incorporated by reference to Exhibit 99.1 to the</w:t>
        </w:r>
      </w:hyperlink>
      <w:r>
        <w:rPr>
          <w:rFonts w:ascii="Times New Roman" w:cs="Times New Roman" w:eastAsia="Times New Roman" w:hAnsi="Times New Roman"/>
          <w:sz w:val="18"/>
          <w:szCs w:val="18"/>
          <w:u w:val="single" w:color="auto"/>
          <w:color w:val="0000FF"/>
        </w:rPr>
        <w:t xml:space="preserve"> </w:t>
      </w:r>
      <w:hyperlink r:id="rId314">
        <w:r>
          <w:rPr>
            <w:rFonts w:ascii="Times New Roman" w:cs="Times New Roman" w:eastAsia="Times New Roman" w:hAnsi="Times New Roman"/>
            <w:sz w:val="18"/>
            <w:szCs w:val="18"/>
            <w:u w:val="single" w:color="auto"/>
            <w:color w:val="0000FF"/>
          </w:rPr>
          <w:t>Registrant's Registration Statement on Form S-8 filed on August 19, 2022) (1)</w:t>
        </w:r>
      </w:hyperlink>
    </w:p>
    <w:p>
      <w:pPr>
        <w:ind w:left="24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315">
        <w:r>
          <w:rPr>
            <w:rFonts w:ascii="Times New Roman" w:cs="Times New Roman" w:eastAsia="Times New Roman" w:hAnsi="Times New Roman"/>
            <w:sz w:val="16"/>
            <w:szCs w:val="16"/>
            <w:u w:val="single" w:color="auto"/>
            <w:color w:val="0000FF"/>
          </w:rPr>
          <w:t>Fidelity National Financial, Inc. Annual Incentive Plan (incorporated by reference to Annex B to the Registrant's Schedule 14A filed on April 29,</w:t>
        </w:r>
      </w:hyperlink>
    </w:p>
    <w:p>
      <w:pPr>
        <w:ind w:left="800"/>
        <w:spacing w:after="0"/>
        <w:rPr>
          <w:rFonts w:ascii="Times New Roman" w:cs="Times New Roman" w:eastAsia="Times New Roman" w:hAnsi="Times New Roman"/>
          <w:sz w:val="18"/>
          <w:szCs w:val="18"/>
          <w:u w:val="single" w:color="auto"/>
          <w:color w:val="0000FF"/>
        </w:rPr>
      </w:pPr>
      <w:hyperlink r:id="rId315">
        <w:r>
          <w:rPr>
            <w:rFonts w:ascii="Times New Roman" w:cs="Times New Roman" w:eastAsia="Times New Roman" w:hAnsi="Times New Roman"/>
            <w:sz w:val="18"/>
            <w:szCs w:val="18"/>
            <w:u w:val="single" w:color="auto"/>
            <w:color w:val="0000FF"/>
          </w:rPr>
          <w:t>2016) (1)</w:t>
        </w:r>
      </w:hyperlink>
    </w:p>
    <w:p>
      <w:pPr>
        <w:spacing w:after="0" w:line="10" w:lineRule="exact"/>
        <w:rPr>
          <w:sz w:val="20"/>
          <w:szCs w:val="20"/>
          <w:color w:val="auto"/>
        </w:rPr>
      </w:pPr>
    </w:p>
    <w:p>
      <w:pPr>
        <w:ind w:left="800" w:hanging="558"/>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316">
        <w:r>
          <w:rPr>
            <w:rFonts w:ascii="Times New Roman" w:cs="Times New Roman" w:eastAsia="Times New Roman" w:hAnsi="Times New Roman"/>
            <w:sz w:val="18"/>
            <w:szCs w:val="18"/>
            <w:u w:val="single" w:color="auto"/>
            <w:color w:val="0000FF"/>
          </w:rPr>
          <w:t>Fidelity National Financial, Inc. Deferred Compensation Plan, as amended and restated, effective January 1, 2009 (incorporated by reference to</w:t>
        </w:r>
      </w:hyperlink>
      <w:r>
        <w:rPr>
          <w:rFonts w:ascii="Times New Roman" w:cs="Times New Roman" w:eastAsia="Times New Roman" w:hAnsi="Times New Roman"/>
          <w:sz w:val="18"/>
          <w:szCs w:val="18"/>
          <w:u w:val="single" w:color="auto"/>
          <w:color w:val="0000FF"/>
        </w:rPr>
        <w:t xml:space="preserve"> </w:t>
      </w:r>
      <w:hyperlink r:id="rId316">
        <w:r>
          <w:rPr>
            <w:rFonts w:ascii="Times New Roman" w:cs="Times New Roman" w:eastAsia="Times New Roman" w:hAnsi="Times New Roman"/>
            <w:sz w:val="18"/>
            <w:szCs w:val="18"/>
            <w:u w:val="single" w:color="auto"/>
            <w:color w:val="0000FF"/>
          </w:rPr>
          <w:t>Exhibit 10.18 to the Registrant’s Annual Report on Form 10-K for the year ended December 31, 2008) (1)</w:t>
        </w:r>
      </w:hyperlink>
    </w:p>
    <w:p>
      <w:pPr>
        <w:spacing w:after="0" w:line="9" w:lineRule="exact"/>
        <w:rPr>
          <w:sz w:val="20"/>
          <w:szCs w:val="20"/>
          <w:color w:val="auto"/>
        </w:rPr>
      </w:pPr>
    </w:p>
    <w:p>
      <w:pPr>
        <w:jc w:val="right"/>
        <w:ind w:left="240"/>
        <w:spacing w:after="0" w:line="244"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10.5   </w:t>
      </w:r>
      <w:hyperlink r:id="rId317">
        <w:r>
          <w:rPr>
            <w:rFonts w:ascii="Times New Roman" w:cs="Times New Roman" w:eastAsia="Times New Roman" w:hAnsi="Times New Roman"/>
            <w:sz w:val="16"/>
            <w:szCs w:val="16"/>
            <w:u w:val="single" w:color="auto"/>
            <w:color w:val="0000FF"/>
          </w:rPr>
          <w:t>Form of Notice of FNF Group Stock Option Award and FNF Group Stock Option Award Agreement under Amended and Restated Fidelity National</w:t>
        </w:r>
      </w:hyperlink>
      <w:r>
        <w:rPr>
          <w:rFonts w:ascii="Times New Roman" w:cs="Times New Roman" w:eastAsia="Times New Roman" w:hAnsi="Times New Roman"/>
          <w:sz w:val="16"/>
          <w:szCs w:val="16"/>
          <w:color w:val="auto"/>
        </w:rPr>
        <w:t xml:space="preserve"> </w:t>
      </w:r>
      <w:hyperlink r:id="rId317">
        <w:r>
          <w:rPr>
            <w:rFonts w:ascii="Times New Roman" w:cs="Times New Roman" w:eastAsia="Times New Roman" w:hAnsi="Times New Roman"/>
            <w:sz w:val="16"/>
            <w:szCs w:val="16"/>
            <w:u w:val="single" w:color="auto"/>
            <w:color w:val="0000FF"/>
          </w:rPr>
          <w:t>Financial, Inc. 2005 Omnibus Incentive Plan for October 2015 Awards (incorporated by reference to Exhibit 10.12 to Registrant's Annual Report on</w:t>
        </w:r>
      </w:hyperlink>
    </w:p>
    <w:p>
      <w:pPr>
        <w:spacing w:after="0" w:line="1" w:lineRule="exact"/>
        <w:rPr>
          <w:sz w:val="20"/>
          <w:szCs w:val="20"/>
          <w:color w:val="auto"/>
        </w:rPr>
      </w:pPr>
    </w:p>
    <w:p>
      <w:pPr>
        <w:ind w:left="800"/>
        <w:spacing w:after="0"/>
        <w:rPr>
          <w:rFonts w:ascii="Times New Roman" w:cs="Times New Roman" w:eastAsia="Times New Roman" w:hAnsi="Times New Roman"/>
          <w:sz w:val="18"/>
          <w:szCs w:val="18"/>
          <w:u w:val="single" w:color="auto"/>
          <w:color w:val="0000FF"/>
        </w:rPr>
      </w:pPr>
      <w:hyperlink r:id="rId317">
        <w:r>
          <w:rPr>
            <w:rFonts w:ascii="Times New Roman" w:cs="Times New Roman" w:eastAsia="Times New Roman" w:hAnsi="Times New Roman"/>
            <w:sz w:val="18"/>
            <w:szCs w:val="18"/>
            <w:u w:val="single" w:color="auto"/>
            <w:color w:val="0000FF"/>
          </w:rPr>
          <w:t>Form 10-K for the year ended December 31, 2015)(1)</w:t>
        </w:r>
      </w:hyperlink>
    </w:p>
    <w:p>
      <w:pPr>
        <w:spacing w:after="0" w:line="1" w:lineRule="exact"/>
        <w:rPr>
          <w:sz w:val="20"/>
          <w:szCs w:val="20"/>
          <w:color w:val="auto"/>
        </w:rPr>
      </w:pPr>
    </w:p>
    <w:p>
      <w:pPr>
        <w:ind w:left="800" w:hanging="558"/>
        <w:spacing w:after="0" w:line="228"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318">
        <w:r>
          <w:rPr>
            <w:rFonts w:ascii="Times New Roman" w:cs="Times New Roman" w:eastAsia="Times New Roman" w:hAnsi="Times New Roman"/>
            <w:sz w:val="18"/>
            <w:szCs w:val="18"/>
            <w:u w:val="single" w:color="auto"/>
            <w:color w:val="0000FF"/>
          </w:rPr>
          <w:t>Amended and Restated Employment Agreement between the Registrant and Anthony J. Park, effective as of October 10, 2008 (incorporated by</w:t>
        </w:r>
      </w:hyperlink>
      <w:r>
        <w:rPr>
          <w:rFonts w:ascii="Times New Roman" w:cs="Times New Roman" w:eastAsia="Times New Roman" w:hAnsi="Times New Roman"/>
          <w:sz w:val="18"/>
          <w:szCs w:val="18"/>
          <w:u w:val="single" w:color="auto"/>
          <w:color w:val="0000FF"/>
        </w:rPr>
        <w:t xml:space="preserve"> </w:t>
      </w:r>
      <w:hyperlink r:id="rId318">
        <w:r>
          <w:rPr>
            <w:rFonts w:ascii="Times New Roman" w:cs="Times New Roman" w:eastAsia="Times New Roman" w:hAnsi="Times New Roman"/>
            <w:sz w:val="18"/>
            <w:szCs w:val="18"/>
            <w:u w:val="single" w:color="auto"/>
            <w:color w:val="0000FF"/>
          </w:rPr>
          <w:t>reference to Exhibit 10.11 to Registrant’s Annual Report on Form 10-K for the year ended December 31, 2008) (1)</w:t>
        </w:r>
      </w:hyperlink>
    </w:p>
    <w:p>
      <w:pPr>
        <w:spacing w:after="0" w:line="10" w:lineRule="exact"/>
        <w:rPr>
          <w:sz w:val="20"/>
          <w:szCs w:val="20"/>
          <w:color w:val="auto"/>
        </w:rPr>
      </w:pPr>
    </w:p>
    <w:p>
      <w:pPr>
        <w:jc w:val="right"/>
        <w:ind w:left="240"/>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   </w:t>
      </w:r>
      <w:hyperlink r:id="rId319">
        <w:r>
          <w:rPr>
            <w:rFonts w:ascii="Times New Roman" w:cs="Times New Roman" w:eastAsia="Times New Roman" w:hAnsi="Times New Roman"/>
            <w:sz w:val="18"/>
            <w:szCs w:val="18"/>
            <w:u w:val="single" w:color="auto"/>
            <w:color w:val="0000FF"/>
          </w:rPr>
          <w:t>Amendment effective February 4, 2010 to Amended and Restated Employment Agreement between the Registrant and Anthony J. Park, effective as</w:t>
        </w:r>
      </w:hyperlink>
      <w:r>
        <w:rPr>
          <w:rFonts w:ascii="Times New Roman" w:cs="Times New Roman" w:eastAsia="Times New Roman" w:hAnsi="Times New Roman"/>
          <w:sz w:val="18"/>
          <w:szCs w:val="18"/>
          <w:color w:val="auto"/>
        </w:rPr>
        <w:t xml:space="preserve"> </w:t>
      </w:r>
      <w:hyperlink r:id="rId319">
        <w:r>
          <w:rPr>
            <w:rFonts w:ascii="Times New Roman" w:cs="Times New Roman" w:eastAsia="Times New Roman" w:hAnsi="Times New Roman"/>
            <w:sz w:val="18"/>
            <w:szCs w:val="18"/>
            <w:u w:val="single" w:color="auto"/>
            <w:color w:val="0000FF"/>
          </w:rPr>
          <w:t>of October 10, 2008 (incorporated by reference to Exhibit 10.13 to the Registrant's Annual Report on Form 10-K for the year ended December 31,</w:t>
        </w:r>
      </w:hyperlink>
    </w:p>
    <w:p>
      <w:pPr>
        <w:spacing w:after="0" w:line="1" w:lineRule="exact"/>
        <w:rPr>
          <w:sz w:val="20"/>
          <w:szCs w:val="20"/>
          <w:color w:val="auto"/>
        </w:rPr>
      </w:pPr>
    </w:p>
    <w:p>
      <w:pPr>
        <w:ind w:left="800"/>
        <w:spacing w:after="0"/>
        <w:rPr>
          <w:rFonts w:ascii="Times New Roman" w:cs="Times New Roman" w:eastAsia="Times New Roman" w:hAnsi="Times New Roman"/>
          <w:sz w:val="18"/>
          <w:szCs w:val="18"/>
          <w:u w:val="single" w:color="auto"/>
          <w:color w:val="0000FF"/>
        </w:rPr>
      </w:pPr>
      <w:hyperlink r:id="rId319">
        <w:r>
          <w:rPr>
            <w:rFonts w:ascii="Times New Roman" w:cs="Times New Roman" w:eastAsia="Times New Roman" w:hAnsi="Times New Roman"/>
            <w:sz w:val="18"/>
            <w:szCs w:val="18"/>
            <w:u w:val="single" w:color="auto"/>
            <w:color w:val="0000FF"/>
          </w:rPr>
          <w:t>2009) (1)</w:t>
        </w:r>
      </w:hyperlink>
    </w:p>
    <w:p>
      <w:pPr>
        <w:spacing w:after="0" w:line="1" w:lineRule="exact"/>
        <w:rPr>
          <w:sz w:val="20"/>
          <w:szCs w:val="20"/>
          <w:color w:val="auto"/>
        </w:rPr>
      </w:pPr>
    </w:p>
    <w:p>
      <w:pPr>
        <w:ind w:left="800" w:hanging="558"/>
        <w:spacing w:after="0" w:line="228"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320">
        <w:r>
          <w:rPr>
            <w:rFonts w:ascii="Times New Roman" w:cs="Times New Roman" w:eastAsia="Times New Roman" w:hAnsi="Times New Roman"/>
            <w:sz w:val="18"/>
            <w:szCs w:val="18"/>
            <w:u w:val="single" w:color="auto"/>
            <w:color w:val="0000FF"/>
          </w:rPr>
          <w:t>Director Services Agreement between Fidelity National Financial, Inc. and William P. Foley, II (incorporated by reference to Exhibit 10.27 to</w:t>
        </w:r>
      </w:hyperlink>
      <w:r>
        <w:rPr>
          <w:rFonts w:ascii="Times New Roman" w:cs="Times New Roman" w:eastAsia="Times New Roman" w:hAnsi="Times New Roman"/>
          <w:sz w:val="18"/>
          <w:szCs w:val="18"/>
          <w:u w:val="single" w:color="auto"/>
          <w:color w:val="0000FF"/>
        </w:rPr>
        <w:t xml:space="preserve"> </w:t>
      </w:r>
      <w:hyperlink r:id="rId320">
        <w:r>
          <w:rPr>
            <w:rFonts w:ascii="Times New Roman" w:cs="Times New Roman" w:eastAsia="Times New Roman" w:hAnsi="Times New Roman"/>
            <w:sz w:val="18"/>
            <w:szCs w:val="18"/>
            <w:u w:val="single" w:color="auto"/>
            <w:color w:val="0000FF"/>
          </w:rPr>
          <w:t>Registrant's Annual Report on Form 10-K for the year ended December 31, 2015) (1)</w:t>
        </w:r>
      </w:hyperlink>
    </w:p>
    <w:p>
      <w:pPr>
        <w:spacing w:after="0" w:line="10" w:lineRule="exact"/>
        <w:rPr>
          <w:sz w:val="20"/>
          <w:szCs w:val="20"/>
          <w:color w:val="auto"/>
        </w:rPr>
      </w:pPr>
    </w:p>
    <w:p>
      <w:pPr>
        <w:ind w:left="800" w:hanging="558"/>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321">
        <w:r>
          <w:rPr>
            <w:rFonts w:ascii="Times New Roman" w:cs="Times New Roman" w:eastAsia="Times New Roman" w:hAnsi="Times New Roman"/>
            <w:sz w:val="18"/>
            <w:szCs w:val="18"/>
            <w:u w:val="single" w:color="auto"/>
            <w:color w:val="0000FF"/>
          </w:rPr>
          <w:t>Amended and Restated Employment Agreement between the Registrant and Raymond R. Quirk, effective as of February 1, 2022 (incorporated by</w:t>
        </w:r>
      </w:hyperlink>
      <w:r>
        <w:rPr>
          <w:rFonts w:ascii="Times New Roman" w:cs="Times New Roman" w:eastAsia="Times New Roman" w:hAnsi="Times New Roman"/>
          <w:sz w:val="18"/>
          <w:szCs w:val="18"/>
          <w:u w:val="single" w:color="auto"/>
          <w:color w:val="0000FF"/>
        </w:rPr>
        <w:t xml:space="preserve"> </w:t>
      </w:r>
      <w:hyperlink r:id="rId321">
        <w:r>
          <w:rPr>
            <w:rFonts w:ascii="Times New Roman" w:cs="Times New Roman" w:eastAsia="Times New Roman" w:hAnsi="Times New Roman"/>
            <w:sz w:val="18"/>
            <w:szCs w:val="18"/>
            <w:u w:val="single" w:color="auto"/>
            <w:color w:val="0000FF"/>
          </w:rPr>
          <w:t>reference to Exhibit 10.2 to the Registrant’s Current Report on Form 8-K filed on February 17, 2022)</w:t>
        </w:r>
      </w:hyperlink>
    </w:p>
    <w:p>
      <w:pPr>
        <w:spacing w:after="0" w:line="9" w:lineRule="exact"/>
        <w:rPr>
          <w:sz w:val="20"/>
          <w:szCs w:val="20"/>
          <w:color w:val="auto"/>
        </w:rPr>
      </w:pPr>
    </w:p>
    <w:p>
      <w:pPr>
        <w:ind w:left="800" w:hanging="602"/>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322">
        <w:r>
          <w:rPr>
            <w:rFonts w:ascii="Times New Roman" w:cs="Times New Roman" w:eastAsia="Times New Roman" w:hAnsi="Times New Roman"/>
            <w:sz w:val="18"/>
            <w:szCs w:val="18"/>
            <w:u w:val="single" w:color="auto"/>
            <w:color w:val="0000FF"/>
          </w:rPr>
          <w:t>Amended and Restated Employment Agreement between the Registrant and Michael L. Gravelle, effective as of January 1, 2010 (incorporated by</w:t>
        </w:r>
      </w:hyperlink>
      <w:r>
        <w:rPr>
          <w:rFonts w:ascii="Times New Roman" w:cs="Times New Roman" w:eastAsia="Times New Roman" w:hAnsi="Times New Roman"/>
          <w:sz w:val="18"/>
          <w:szCs w:val="18"/>
          <w:u w:val="single" w:color="auto"/>
          <w:color w:val="0000FF"/>
        </w:rPr>
        <w:t xml:space="preserve"> </w:t>
      </w:r>
      <w:hyperlink r:id="rId322">
        <w:r>
          <w:rPr>
            <w:rFonts w:ascii="Times New Roman" w:cs="Times New Roman" w:eastAsia="Times New Roman" w:hAnsi="Times New Roman"/>
            <w:sz w:val="18"/>
            <w:szCs w:val="18"/>
            <w:u w:val="single" w:color="auto"/>
            <w:color w:val="0000FF"/>
          </w:rPr>
          <w:t>reference to Exhibit 10.22 to Registrant's Annual Report on Form 10-K for the year ended December 31, 2010) (1)</w:t>
        </w:r>
      </w:hyperlink>
    </w:p>
    <w:p>
      <w:pPr>
        <w:ind w:left="20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323">
        <w:r>
          <w:rPr>
            <w:rFonts w:ascii="Times New Roman" w:cs="Times New Roman" w:eastAsia="Times New Roman" w:hAnsi="Times New Roman"/>
            <w:sz w:val="16"/>
            <w:szCs w:val="16"/>
            <w:u w:val="single" w:color="auto"/>
            <w:color w:val="0000FF"/>
          </w:rPr>
          <w:t>Amendment No. 1 to Amended and Restated Employment Agreement between the Registrant and Michael L. Gravelle, effective as of January 30,</w:t>
        </w:r>
      </w:hyperlink>
    </w:p>
    <w:p>
      <w:pPr>
        <w:ind w:left="800"/>
        <w:spacing w:after="0"/>
        <w:rPr>
          <w:rFonts w:ascii="Times New Roman" w:cs="Times New Roman" w:eastAsia="Times New Roman" w:hAnsi="Times New Roman"/>
          <w:sz w:val="18"/>
          <w:szCs w:val="18"/>
          <w:u w:val="single" w:color="auto"/>
          <w:color w:val="0000FF"/>
        </w:rPr>
      </w:pPr>
      <w:hyperlink r:id="rId323">
        <w:r>
          <w:rPr>
            <w:rFonts w:ascii="Times New Roman" w:cs="Times New Roman" w:eastAsia="Times New Roman" w:hAnsi="Times New Roman"/>
            <w:sz w:val="18"/>
            <w:szCs w:val="18"/>
            <w:u w:val="single" w:color="auto"/>
            <w:color w:val="0000FF"/>
          </w:rPr>
          <w:t>2013 (incorporated by reference to Exhibit 10.22 to the Registrant's Annual Report on Form 10-K for the year ended December 31, 2012) (1)</w:t>
        </w:r>
      </w:hyperlink>
    </w:p>
    <w:p>
      <w:pPr>
        <w:ind w:left="200"/>
        <w:spacing w:after="0" w:line="232"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324">
        <w:r>
          <w:rPr>
            <w:rFonts w:ascii="Times New Roman" w:cs="Times New Roman" w:eastAsia="Times New Roman" w:hAnsi="Times New Roman"/>
            <w:sz w:val="18"/>
            <w:szCs w:val="18"/>
            <w:u w:val="single" w:color="auto"/>
            <w:color w:val="0000FF"/>
          </w:rPr>
          <w:t>Amendment No. 2 to Amended and Restated Employment Agreement between the Registrant and Michael L. Gravelle, effective as of March 1,</w:t>
        </w:r>
      </w:hyperlink>
    </w:p>
    <w:p>
      <w:pPr>
        <w:spacing w:after="0" w:line="1" w:lineRule="exact"/>
        <w:rPr>
          <w:sz w:val="20"/>
          <w:szCs w:val="20"/>
          <w:color w:val="auto"/>
        </w:rPr>
      </w:pPr>
    </w:p>
    <w:p>
      <w:pPr>
        <w:ind w:left="800"/>
        <w:spacing w:after="0"/>
        <w:rPr>
          <w:rFonts w:ascii="Times New Roman" w:cs="Times New Roman" w:eastAsia="Times New Roman" w:hAnsi="Times New Roman"/>
          <w:sz w:val="18"/>
          <w:szCs w:val="18"/>
          <w:u w:val="single" w:color="auto"/>
          <w:color w:val="0000FF"/>
        </w:rPr>
      </w:pPr>
      <w:hyperlink r:id="rId324">
        <w:r>
          <w:rPr>
            <w:rFonts w:ascii="Times New Roman" w:cs="Times New Roman" w:eastAsia="Times New Roman" w:hAnsi="Times New Roman"/>
            <w:sz w:val="18"/>
            <w:szCs w:val="18"/>
            <w:u w:val="single" w:color="auto"/>
            <w:color w:val="0000FF"/>
          </w:rPr>
          <w:t>2015 (incorporated by reference to Exhibit 10.2 to the Registrant’s Quarterly Report on Form 10-Q for the quarter ended March 31, 2015) (1)</w:t>
        </w:r>
      </w:hyperlink>
    </w:p>
    <w:p>
      <w:pPr>
        <w:spacing w:after="0" w:line="10" w:lineRule="exact"/>
        <w:rPr>
          <w:sz w:val="20"/>
          <w:szCs w:val="20"/>
          <w:color w:val="auto"/>
        </w:rPr>
      </w:pPr>
    </w:p>
    <w:p>
      <w:pPr>
        <w:ind w:left="800" w:hanging="602"/>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325">
        <w:r>
          <w:rPr>
            <w:rFonts w:ascii="Times New Roman" w:cs="Times New Roman" w:eastAsia="Times New Roman" w:hAnsi="Times New Roman"/>
            <w:sz w:val="18"/>
            <w:szCs w:val="18"/>
            <w:u w:val="single" w:color="auto"/>
            <w:color w:val="0000FF"/>
          </w:rPr>
          <w:t>Amended and Restated Employment Agreement between the Registrant and Peter T. Sadowski, effective as of February 4, 2010 (incorporated by</w:t>
        </w:r>
      </w:hyperlink>
      <w:r>
        <w:rPr>
          <w:rFonts w:ascii="Times New Roman" w:cs="Times New Roman" w:eastAsia="Times New Roman" w:hAnsi="Times New Roman"/>
          <w:sz w:val="18"/>
          <w:szCs w:val="18"/>
          <w:u w:val="single" w:color="auto"/>
          <w:color w:val="0000FF"/>
        </w:rPr>
        <w:t xml:space="preserve"> </w:t>
      </w:r>
      <w:hyperlink r:id="rId325">
        <w:r>
          <w:rPr>
            <w:rFonts w:ascii="Times New Roman" w:cs="Times New Roman" w:eastAsia="Times New Roman" w:hAnsi="Times New Roman"/>
            <w:sz w:val="18"/>
            <w:szCs w:val="18"/>
            <w:u w:val="single" w:color="auto"/>
            <w:color w:val="0000FF"/>
          </w:rPr>
          <w:t>reference to Exhibit 10.26 to the Registrant's Annual Report on Form 10-K for the year ended December 31, 2012) (1)</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00" w:hanging="602"/>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327">
        <w:r>
          <w:rPr>
            <w:rFonts w:ascii="Times New Roman" w:cs="Times New Roman" w:eastAsia="Times New Roman" w:hAnsi="Times New Roman"/>
            <w:sz w:val="18"/>
            <w:szCs w:val="18"/>
            <w:u w:val="single" w:color="auto"/>
            <w:color w:val="0000FF"/>
          </w:rPr>
          <w:t>ServiceLink Holdings, LLC 2013 Management Incentive Plan (incorporated by reference to Exhibit 10.2 to the Registrant’s Current Report on</w:t>
        </w:r>
      </w:hyperlink>
      <w:r>
        <w:rPr>
          <w:rFonts w:ascii="Times New Roman" w:cs="Times New Roman" w:eastAsia="Times New Roman" w:hAnsi="Times New Roman"/>
          <w:sz w:val="18"/>
          <w:szCs w:val="18"/>
          <w:u w:val="single" w:color="auto"/>
          <w:color w:val="0000FF"/>
        </w:rPr>
        <w:t xml:space="preserve"> </w:t>
      </w:r>
      <w:hyperlink r:id="rId327">
        <w:r>
          <w:rPr>
            <w:rFonts w:ascii="Times New Roman" w:cs="Times New Roman" w:eastAsia="Times New Roman" w:hAnsi="Times New Roman"/>
            <w:sz w:val="18"/>
            <w:szCs w:val="18"/>
            <w:u w:val="single" w:color="auto"/>
            <w:color w:val="0000FF"/>
          </w:rPr>
          <w:t>Form 8-K filed on January 15, 2014)(1)</w:t>
        </w:r>
      </w:hyperlink>
    </w:p>
    <w:p>
      <w:pPr>
        <w:ind w:left="200"/>
        <w:spacing w:after="0"/>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328">
        <w:r>
          <w:rPr>
            <w:rFonts w:ascii="Times New Roman" w:cs="Times New Roman" w:eastAsia="Times New Roman" w:hAnsi="Times New Roman"/>
            <w:sz w:val="16"/>
            <w:szCs w:val="16"/>
            <w:u w:val="single" w:color="auto"/>
            <w:color w:val="0000FF"/>
          </w:rPr>
          <w:t>Form of ServiceLink Holdings, LLC Unit Grant Agreement (incorporated by reference to Exhibit 10.4 to the Registrant's Current Report on Form</w:t>
        </w:r>
      </w:hyperlink>
    </w:p>
    <w:p>
      <w:pPr>
        <w:ind w:left="800"/>
        <w:spacing w:after="0"/>
        <w:rPr>
          <w:rFonts w:ascii="Times New Roman" w:cs="Times New Roman" w:eastAsia="Times New Roman" w:hAnsi="Times New Roman"/>
          <w:sz w:val="18"/>
          <w:szCs w:val="18"/>
          <w:u w:val="single" w:color="auto"/>
          <w:color w:val="0000FF"/>
        </w:rPr>
      </w:pPr>
      <w:hyperlink r:id="rId328">
        <w:r>
          <w:rPr>
            <w:rFonts w:ascii="Times New Roman" w:cs="Times New Roman" w:eastAsia="Times New Roman" w:hAnsi="Times New Roman"/>
            <w:sz w:val="18"/>
            <w:szCs w:val="18"/>
            <w:u w:val="single" w:color="auto"/>
            <w:color w:val="0000FF"/>
          </w:rPr>
          <w:t>8-K filed on January 15, 2014)(1)</w:t>
        </w:r>
      </w:hyperlink>
    </w:p>
    <w:p>
      <w:pPr>
        <w:spacing w:after="0" w:line="10" w:lineRule="exact"/>
        <w:rPr>
          <w:sz w:val="20"/>
          <w:szCs w:val="20"/>
          <w:color w:val="auto"/>
        </w:rPr>
      </w:pPr>
    </w:p>
    <w:p>
      <w:pPr>
        <w:ind w:left="800" w:hanging="602"/>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329">
        <w:r>
          <w:rPr>
            <w:rFonts w:ascii="Times New Roman" w:cs="Times New Roman" w:eastAsia="Times New Roman" w:hAnsi="Times New Roman"/>
            <w:sz w:val="18"/>
            <w:szCs w:val="18"/>
            <w:u w:val="single" w:color="auto"/>
            <w:color w:val="0000FF"/>
          </w:rPr>
          <w:t>Amendment effective May 3, 2016 to Director Services Agreement between the Registrant and William P. Foley II (incorporated by reference to</w:t>
        </w:r>
      </w:hyperlink>
      <w:r>
        <w:rPr>
          <w:rFonts w:ascii="Times New Roman" w:cs="Times New Roman" w:eastAsia="Times New Roman" w:hAnsi="Times New Roman"/>
          <w:sz w:val="18"/>
          <w:szCs w:val="18"/>
          <w:u w:val="single" w:color="auto"/>
          <w:color w:val="0000FF"/>
        </w:rPr>
        <w:t xml:space="preserve"> </w:t>
      </w:r>
      <w:hyperlink r:id="rId329">
        <w:r>
          <w:rPr>
            <w:rFonts w:ascii="Times New Roman" w:cs="Times New Roman" w:eastAsia="Times New Roman" w:hAnsi="Times New Roman"/>
            <w:sz w:val="18"/>
            <w:szCs w:val="18"/>
            <w:u w:val="single" w:color="auto"/>
            <w:color w:val="0000FF"/>
          </w:rPr>
          <w:t>Exhibit 10.1 to Registrant's Quarterly Report on Form 10-Q for the quarter ended June 30, 2016) (1)</w:t>
        </w:r>
      </w:hyperlink>
    </w:p>
    <w:p>
      <w:pPr>
        <w:spacing w:after="0" w:line="9" w:lineRule="exact"/>
        <w:rPr>
          <w:sz w:val="20"/>
          <w:szCs w:val="20"/>
          <w:color w:val="auto"/>
        </w:rPr>
      </w:pPr>
    </w:p>
    <w:p>
      <w:pPr>
        <w:ind w:left="800" w:right="160" w:hanging="602"/>
        <w:spacing w:after="0" w:line="253"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330">
        <w:r>
          <w:rPr>
            <w:rFonts w:ascii="Times New Roman" w:cs="Times New Roman" w:eastAsia="Times New Roman" w:hAnsi="Times New Roman"/>
            <w:sz w:val="18"/>
            <w:szCs w:val="18"/>
            <w:u w:val="single" w:color="auto"/>
            <w:color w:val="0000FF"/>
          </w:rPr>
          <w:t>Letter agreement between Fidelity National Financial, Inc. and William P. Foley, II dated May 28, 2020 (incorporated by reference to Exhibit 99.1</w:t>
        </w:r>
      </w:hyperlink>
      <w:r>
        <w:rPr>
          <w:rFonts w:ascii="Times New Roman" w:cs="Times New Roman" w:eastAsia="Times New Roman" w:hAnsi="Times New Roman"/>
          <w:sz w:val="18"/>
          <w:szCs w:val="18"/>
          <w:u w:val="single" w:color="auto"/>
          <w:color w:val="0000FF"/>
        </w:rPr>
        <w:t xml:space="preserve"> </w:t>
      </w:r>
      <w:hyperlink r:id="rId330">
        <w:r>
          <w:rPr>
            <w:rFonts w:ascii="Times New Roman" w:cs="Times New Roman" w:eastAsia="Times New Roman" w:hAnsi="Times New Roman"/>
            <w:sz w:val="18"/>
            <w:szCs w:val="18"/>
            <w:u w:val="single" w:color="auto"/>
            <w:color w:val="0000FF"/>
          </w:rPr>
          <w:t>to the Registrant’s Current Report on Form 8-K filed on May 29, 2020) (1)</w:t>
        </w:r>
      </w:hyperlink>
    </w:p>
    <w:p>
      <w:pPr>
        <w:spacing w:after="0" w:line="24" w:lineRule="exact"/>
        <w:rPr>
          <w:sz w:val="20"/>
          <w:szCs w:val="20"/>
          <w:color w:val="auto"/>
        </w:rPr>
      </w:pPr>
    </w:p>
    <w:p>
      <w:pPr>
        <w:ind w:left="800" w:hanging="602"/>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331">
        <w:r>
          <w:rPr>
            <w:rFonts w:ascii="Times New Roman" w:cs="Times New Roman" w:eastAsia="Times New Roman" w:hAnsi="Times New Roman"/>
            <w:sz w:val="18"/>
            <w:szCs w:val="18"/>
            <w:u w:val="single" w:color="auto"/>
            <w:color w:val="0000FF"/>
          </w:rPr>
          <w:t>Amendment effective May 3, 2016 to Amended and Restated Employment Agreement between the Registrant and Anthony J. Park (incorporated by</w:t>
        </w:r>
      </w:hyperlink>
      <w:r>
        <w:rPr>
          <w:rFonts w:ascii="Times New Roman" w:cs="Times New Roman" w:eastAsia="Times New Roman" w:hAnsi="Times New Roman"/>
          <w:sz w:val="18"/>
          <w:szCs w:val="18"/>
          <w:u w:val="single" w:color="auto"/>
          <w:color w:val="0000FF"/>
        </w:rPr>
        <w:t xml:space="preserve"> </w:t>
      </w:r>
      <w:hyperlink r:id="rId331">
        <w:r>
          <w:rPr>
            <w:rFonts w:ascii="Times New Roman" w:cs="Times New Roman" w:eastAsia="Times New Roman" w:hAnsi="Times New Roman"/>
            <w:sz w:val="18"/>
            <w:szCs w:val="18"/>
            <w:u w:val="single" w:color="auto"/>
            <w:color w:val="0000FF"/>
          </w:rPr>
          <w:t>reference to Exhibit 10.4 to the Registrant's Quarterly Report on Form 10-Q for the quarter ended June 30, 2016) (1)</w:t>
        </w:r>
      </w:hyperlink>
    </w:p>
    <w:p>
      <w:pPr>
        <w:spacing w:after="0" w:line="9" w:lineRule="exact"/>
        <w:rPr>
          <w:sz w:val="20"/>
          <w:szCs w:val="20"/>
          <w:color w:val="auto"/>
        </w:rPr>
      </w:pPr>
    </w:p>
    <w:p>
      <w:pPr>
        <w:ind w:left="800" w:hanging="602"/>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332">
        <w:r>
          <w:rPr>
            <w:rFonts w:ascii="Times New Roman" w:cs="Times New Roman" w:eastAsia="Times New Roman" w:hAnsi="Times New Roman"/>
            <w:sz w:val="18"/>
            <w:szCs w:val="18"/>
            <w:u w:val="single" w:color="auto"/>
            <w:color w:val="0000FF"/>
          </w:rPr>
          <w:t>Amendment effective May 3, 2016 to Amended and Restated Employment Agreement between the Registrant and Michael L. Gravelle</w:t>
        </w:r>
      </w:hyperlink>
      <w:r>
        <w:rPr>
          <w:rFonts w:ascii="Times New Roman" w:cs="Times New Roman" w:eastAsia="Times New Roman" w:hAnsi="Times New Roman"/>
          <w:sz w:val="18"/>
          <w:szCs w:val="18"/>
          <w:u w:val="single" w:color="auto"/>
          <w:color w:val="0000FF"/>
        </w:rPr>
        <w:t xml:space="preserve"> </w:t>
      </w:r>
      <w:hyperlink r:id="rId332">
        <w:r>
          <w:rPr>
            <w:rFonts w:ascii="Times New Roman" w:cs="Times New Roman" w:eastAsia="Times New Roman" w:hAnsi="Times New Roman"/>
            <w:sz w:val="18"/>
            <w:szCs w:val="18"/>
            <w:u w:val="single" w:color="auto"/>
            <w:color w:val="0000FF"/>
          </w:rPr>
          <w:t>(incorporated by reference to Exhibit 10.5 to the Registrant's Quarterly Report on Form 10-Q for the quarter ended June 30, 2016) (1)</w:t>
        </w:r>
      </w:hyperlink>
    </w:p>
    <w:p>
      <w:pPr>
        <w:spacing w:after="0" w:line="9" w:lineRule="exact"/>
        <w:rPr>
          <w:sz w:val="20"/>
          <w:szCs w:val="20"/>
          <w:color w:val="auto"/>
        </w:rPr>
      </w:pPr>
    </w:p>
    <w:p>
      <w:pPr>
        <w:ind w:left="800" w:hanging="602"/>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333">
        <w:r>
          <w:rPr>
            <w:rFonts w:ascii="Times New Roman" w:cs="Times New Roman" w:eastAsia="Times New Roman" w:hAnsi="Times New Roman"/>
            <w:sz w:val="18"/>
            <w:szCs w:val="18"/>
            <w:u w:val="single" w:color="auto"/>
            <w:color w:val="0000FF"/>
          </w:rPr>
          <w:t>Amendment effective May 3, 2016 to Amended and Restated Employment Agreement between the Registrant and Peter T. Sadowski (incorporated</w:t>
        </w:r>
      </w:hyperlink>
      <w:r>
        <w:rPr>
          <w:rFonts w:ascii="Times New Roman" w:cs="Times New Roman" w:eastAsia="Times New Roman" w:hAnsi="Times New Roman"/>
          <w:sz w:val="18"/>
          <w:szCs w:val="18"/>
          <w:u w:val="single" w:color="auto"/>
          <w:color w:val="0000FF"/>
        </w:rPr>
        <w:t xml:space="preserve"> </w:t>
      </w:r>
      <w:hyperlink r:id="rId333">
        <w:r>
          <w:rPr>
            <w:rFonts w:ascii="Times New Roman" w:cs="Times New Roman" w:eastAsia="Times New Roman" w:hAnsi="Times New Roman"/>
            <w:sz w:val="18"/>
            <w:szCs w:val="18"/>
            <w:u w:val="single" w:color="auto"/>
            <w:color w:val="0000FF"/>
          </w:rPr>
          <w:t>by reference to Exhibit 10.6 to the Registrant's Quarterly Report on Form 10-Q for the quarter ended June 30, 2016) (1)</w:t>
        </w:r>
      </w:hyperlink>
    </w:p>
    <w:p>
      <w:pPr>
        <w:spacing w:after="0" w:line="9" w:lineRule="exact"/>
        <w:rPr>
          <w:sz w:val="20"/>
          <w:szCs w:val="20"/>
          <w:color w:val="auto"/>
        </w:rPr>
      </w:pPr>
    </w:p>
    <w:p>
      <w:pPr>
        <w:ind w:left="800" w:hanging="602"/>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334">
        <w:r>
          <w:rPr>
            <w:rFonts w:ascii="Times New Roman" w:cs="Times New Roman" w:eastAsia="Times New Roman" w:hAnsi="Times New Roman"/>
            <w:sz w:val="18"/>
            <w:szCs w:val="18"/>
            <w:u w:val="single" w:color="auto"/>
            <w:color w:val="0000FF"/>
          </w:rPr>
          <w:t>Amended and Restated Employment Agreement between the Registrant and Michael Nolan, effective as of February 1, 2022 (incorporated by</w:t>
        </w:r>
      </w:hyperlink>
      <w:r>
        <w:rPr>
          <w:rFonts w:ascii="Times New Roman" w:cs="Times New Roman" w:eastAsia="Times New Roman" w:hAnsi="Times New Roman"/>
          <w:sz w:val="18"/>
          <w:szCs w:val="18"/>
          <w:u w:val="single" w:color="auto"/>
          <w:color w:val="0000FF"/>
        </w:rPr>
        <w:t xml:space="preserve"> </w:t>
      </w:r>
      <w:hyperlink r:id="rId334">
        <w:r>
          <w:rPr>
            <w:rFonts w:ascii="Times New Roman" w:cs="Times New Roman" w:eastAsia="Times New Roman" w:hAnsi="Times New Roman"/>
            <w:sz w:val="18"/>
            <w:szCs w:val="18"/>
            <w:u w:val="single" w:color="auto"/>
            <w:color w:val="0000FF"/>
          </w:rPr>
          <w:t>reference to Exhibit 10.1 to the Registrant's Current Report on Form 8-K filed on February 17, 2022)</w:t>
        </w:r>
      </w:hyperlink>
    </w:p>
    <w:p>
      <w:pPr>
        <w:spacing w:after="0" w:line="9" w:lineRule="exact"/>
        <w:rPr>
          <w:sz w:val="20"/>
          <w:szCs w:val="20"/>
          <w:color w:val="auto"/>
        </w:rPr>
      </w:pPr>
    </w:p>
    <w:p>
      <w:pPr>
        <w:jc w:val="right"/>
        <w:ind w:left="200"/>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10.22   </w:t>
      </w:r>
      <w:hyperlink r:id="rId335">
        <w:r>
          <w:rPr>
            <w:rFonts w:ascii="Times New Roman" w:cs="Times New Roman" w:eastAsia="Times New Roman" w:hAnsi="Times New Roman"/>
            <w:sz w:val="18"/>
            <w:szCs w:val="18"/>
            <w:u w:val="single" w:color="auto"/>
            <w:color w:val="0000FF"/>
          </w:rPr>
          <w:t>Form of Notice of Restricted Stock Grant and FNF Restricted Stock Award Agreement under Amended and Restated Fidelity National Financial,</w:t>
        </w:r>
      </w:hyperlink>
      <w:r>
        <w:rPr>
          <w:rFonts w:ascii="Times New Roman" w:cs="Times New Roman" w:eastAsia="Times New Roman" w:hAnsi="Times New Roman"/>
          <w:sz w:val="18"/>
          <w:szCs w:val="18"/>
          <w:color w:val="auto"/>
        </w:rPr>
        <w:t xml:space="preserve"> </w:t>
      </w:r>
      <w:hyperlink r:id="rId335">
        <w:r>
          <w:rPr>
            <w:rFonts w:ascii="Times New Roman" w:cs="Times New Roman" w:eastAsia="Times New Roman" w:hAnsi="Times New Roman"/>
            <w:sz w:val="18"/>
            <w:szCs w:val="18"/>
            <w:u w:val="single" w:color="auto"/>
            <w:color w:val="0000FF"/>
          </w:rPr>
          <w:t>Inc. 2005 Omnibus Incentive Plan for November 2021 Awards (incorporated by reference to Exhibit 10.34 to the Registrant's Annual Report on</w:t>
        </w:r>
      </w:hyperlink>
    </w:p>
    <w:p>
      <w:pPr>
        <w:spacing w:after="0" w:line="1" w:lineRule="exact"/>
        <w:rPr>
          <w:sz w:val="20"/>
          <w:szCs w:val="20"/>
          <w:color w:val="auto"/>
        </w:rPr>
      </w:pPr>
    </w:p>
    <w:p>
      <w:pPr>
        <w:ind w:left="800"/>
        <w:spacing w:after="0"/>
        <w:rPr>
          <w:rFonts w:ascii="Times New Roman" w:cs="Times New Roman" w:eastAsia="Times New Roman" w:hAnsi="Times New Roman"/>
          <w:sz w:val="18"/>
          <w:szCs w:val="18"/>
          <w:u w:val="single" w:color="auto"/>
          <w:color w:val="0000FF"/>
        </w:rPr>
      </w:pPr>
      <w:hyperlink r:id="rId335">
        <w:r>
          <w:rPr>
            <w:rFonts w:ascii="Times New Roman" w:cs="Times New Roman" w:eastAsia="Times New Roman" w:hAnsi="Times New Roman"/>
            <w:sz w:val="18"/>
            <w:szCs w:val="18"/>
            <w:u w:val="single" w:color="auto"/>
            <w:color w:val="0000FF"/>
          </w:rPr>
          <w:t>Form 10-K for the year ended December 31, 2021)</w:t>
        </w:r>
      </w:hyperlink>
    </w:p>
    <w:p>
      <w:pPr>
        <w:spacing w:after="0" w:line="1" w:lineRule="exact"/>
        <w:rPr>
          <w:sz w:val="20"/>
          <w:szCs w:val="20"/>
          <w:color w:val="auto"/>
        </w:rPr>
      </w:pPr>
    </w:p>
    <w:p>
      <w:pPr>
        <w:jc w:val="right"/>
        <w:ind w:left="200"/>
        <w:spacing w:after="0" w:line="21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10.23   </w:t>
      </w:r>
      <w:hyperlink r:id="rId336">
        <w:r>
          <w:rPr>
            <w:rFonts w:ascii="Times New Roman" w:cs="Times New Roman" w:eastAsia="Times New Roman" w:hAnsi="Times New Roman"/>
            <w:sz w:val="18"/>
            <w:szCs w:val="18"/>
            <w:u w:val="single" w:color="auto"/>
            <w:color w:val="0000FF"/>
          </w:rPr>
          <w:t>Form of Notice of Restricted Stock Grant and FNF Restricted Stock Award Agreement under Amended and Restated Fidelity National Financial,</w:t>
        </w:r>
      </w:hyperlink>
      <w:r>
        <w:rPr>
          <w:rFonts w:ascii="Times New Roman" w:cs="Times New Roman" w:eastAsia="Times New Roman" w:hAnsi="Times New Roman"/>
          <w:sz w:val="18"/>
          <w:szCs w:val="18"/>
          <w:color w:val="auto"/>
        </w:rPr>
        <w:t xml:space="preserve"> </w:t>
      </w:r>
      <w:hyperlink r:id="rId336">
        <w:r>
          <w:rPr>
            <w:rFonts w:ascii="Times New Roman" w:cs="Times New Roman" w:eastAsia="Times New Roman" w:hAnsi="Times New Roman"/>
            <w:sz w:val="18"/>
            <w:szCs w:val="18"/>
            <w:u w:val="single" w:color="auto"/>
            <w:color w:val="0000FF"/>
          </w:rPr>
          <w:t>Inc. 2005 Omnibus Incentive Plan for November 2022 Awards (incorporated by reference to Exhibit 10.24 to the Registrant's Annual Report on</w:t>
        </w:r>
      </w:hyperlink>
    </w:p>
    <w:p>
      <w:pPr>
        <w:spacing w:after="0" w:line="2" w:lineRule="exact"/>
        <w:rPr>
          <w:sz w:val="20"/>
          <w:szCs w:val="20"/>
          <w:color w:val="auto"/>
        </w:rPr>
      </w:pPr>
    </w:p>
    <w:p>
      <w:pPr>
        <w:ind w:left="800"/>
        <w:spacing w:after="0"/>
        <w:rPr>
          <w:rFonts w:ascii="Times New Roman" w:cs="Times New Roman" w:eastAsia="Times New Roman" w:hAnsi="Times New Roman"/>
          <w:sz w:val="18"/>
          <w:szCs w:val="18"/>
          <w:u w:val="single" w:color="auto"/>
          <w:color w:val="0000FF"/>
        </w:rPr>
      </w:pPr>
      <w:hyperlink r:id="rId336">
        <w:r>
          <w:rPr>
            <w:rFonts w:ascii="Times New Roman" w:cs="Times New Roman" w:eastAsia="Times New Roman" w:hAnsi="Times New Roman"/>
            <w:sz w:val="18"/>
            <w:szCs w:val="18"/>
            <w:u w:val="single" w:color="auto"/>
            <w:color w:val="0000FF"/>
          </w:rPr>
          <w:t>Form 10-K for the year ended December 31, 2022)</w:t>
        </w:r>
      </w:hyperlink>
    </w:p>
    <w:p>
      <w:pPr>
        <w:spacing w:after="0" w:line="1" w:lineRule="exact"/>
        <w:rPr>
          <w:sz w:val="20"/>
          <w:szCs w:val="20"/>
          <w:color w:val="auto"/>
        </w:rPr>
      </w:pPr>
    </w:p>
    <w:p>
      <w:pPr>
        <w:ind w:left="800" w:hanging="602"/>
        <w:spacing w:after="0" w:line="228" w:lineRule="auto"/>
        <w:tabs>
          <w:tab w:leader="none" w:pos="78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u w:val="single" w:color="auto"/>
          <w:color w:val="0000FF"/>
        </w:rPr>
        <w:t>Form of Notice of Restricted Stock Grant and FNF Restricted Stock Award Agreement under Amended and Restated Fidelity National Financial, Inc. 2005 Omnibus Incentive Plan for November 2023 Awards</w:t>
      </w:r>
    </w:p>
    <w:p>
      <w:pPr>
        <w:spacing w:after="0" w:line="10" w:lineRule="exact"/>
        <w:rPr>
          <w:sz w:val="20"/>
          <w:szCs w:val="20"/>
          <w:color w:val="auto"/>
        </w:rPr>
      </w:pPr>
    </w:p>
    <w:p>
      <w:pPr>
        <w:ind w:left="800" w:right="520" w:hanging="602"/>
        <w:spacing w:after="0" w:line="244"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337">
        <w:r>
          <w:rPr>
            <w:rFonts w:ascii="Times New Roman" w:cs="Times New Roman" w:eastAsia="Times New Roman" w:hAnsi="Times New Roman"/>
            <w:sz w:val="16"/>
            <w:szCs w:val="16"/>
            <w:u w:val="single" w:color="auto"/>
            <w:color w:val="0000FF"/>
          </w:rPr>
          <w:t>Amendment effective November 1, 2019 to Amended and Restated Employment Agreement between the Registrant and Michael L. Gravelle</w:t>
        </w:r>
      </w:hyperlink>
      <w:r>
        <w:rPr>
          <w:rFonts w:ascii="Times New Roman" w:cs="Times New Roman" w:eastAsia="Times New Roman" w:hAnsi="Times New Roman"/>
          <w:sz w:val="16"/>
          <w:szCs w:val="16"/>
          <w:u w:val="single" w:color="auto"/>
          <w:color w:val="0000FF"/>
        </w:rPr>
        <w:t xml:space="preserve"> </w:t>
      </w:r>
      <w:hyperlink r:id="rId337">
        <w:r>
          <w:rPr>
            <w:rFonts w:ascii="Times New Roman" w:cs="Times New Roman" w:eastAsia="Times New Roman" w:hAnsi="Times New Roman"/>
            <w:sz w:val="16"/>
            <w:szCs w:val="16"/>
            <w:u w:val="single" w:color="auto"/>
            <w:color w:val="0000FF"/>
          </w:rPr>
          <w:t>effective May 3, 2016 (incorporated by reference to Exhibit 10.2 to the Registrant's Quarterly Report on Form 10-Q for the quarter ended</w:t>
        </w:r>
      </w:hyperlink>
    </w:p>
    <w:p>
      <w:pPr>
        <w:spacing w:after="0" w:line="1" w:lineRule="exact"/>
        <w:rPr>
          <w:sz w:val="20"/>
          <w:szCs w:val="20"/>
          <w:color w:val="auto"/>
        </w:rPr>
      </w:pPr>
    </w:p>
    <w:p>
      <w:pPr>
        <w:ind w:left="800"/>
        <w:spacing w:after="0"/>
        <w:rPr>
          <w:rFonts w:ascii="Times New Roman" w:cs="Times New Roman" w:eastAsia="Times New Roman" w:hAnsi="Times New Roman"/>
          <w:sz w:val="18"/>
          <w:szCs w:val="18"/>
          <w:u w:val="single" w:color="auto"/>
          <w:color w:val="0000FF"/>
        </w:rPr>
      </w:pPr>
      <w:hyperlink r:id="rId337">
        <w:r>
          <w:rPr>
            <w:rFonts w:ascii="Times New Roman" w:cs="Times New Roman" w:eastAsia="Times New Roman" w:hAnsi="Times New Roman"/>
            <w:sz w:val="18"/>
            <w:szCs w:val="18"/>
            <w:u w:val="single" w:color="auto"/>
            <w:color w:val="0000FF"/>
          </w:rPr>
          <w:t>September 30, 2019) (1)</w:t>
        </w:r>
      </w:hyperlink>
    </w:p>
    <w:p>
      <w:pPr>
        <w:spacing w:after="0" w:line="1" w:lineRule="exact"/>
        <w:rPr>
          <w:sz w:val="20"/>
          <w:szCs w:val="20"/>
          <w:color w:val="auto"/>
        </w:rPr>
      </w:pPr>
    </w:p>
    <w:p>
      <w:pPr>
        <w:ind w:left="800" w:hanging="602"/>
        <w:spacing w:after="0" w:line="228"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338">
        <w:r>
          <w:rPr>
            <w:rFonts w:ascii="Times New Roman" w:cs="Times New Roman" w:eastAsia="Times New Roman" w:hAnsi="Times New Roman"/>
            <w:sz w:val="18"/>
            <w:szCs w:val="18"/>
            <w:u w:val="single" w:color="auto"/>
            <w:color w:val="0000FF"/>
          </w:rPr>
          <w:t>FGL Holdings 2017 Omnibus Incentive Plan, as amended and restated through June 1, 2020 (incorporated by reference to Exhibit 99.1 to the</w:t>
        </w:r>
      </w:hyperlink>
      <w:r>
        <w:rPr>
          <w:rFonts w:ascii="Times New Roman" w:cs="Times New Roman" w:eastAsia="Times New Roman" w:hAnsi="Times New Roman"/>
          <w:sz w:val="18"/>
          <w:szCs w:val="18"/>
          <w:u w:val="single" w:color="auto"/>
          <w:color w:val="0000FF"/>
        </w:rPr>
        <w:t xml:space="preserve"> </w:t>
      </w:r>
      <w:hyperlink r:id="rId338">
        <w:r>
          <w:rPr>
            <w:rFonts w:ascii="Times New Roman" w:cs="Times New Roman" w:eastAsia="Times New Roman" w:hAnsi="Times New Roman"/>
            <w:sz w:val="18"/>
            <w:szCs w:val="18"/>
            <w:u w:val="single" w:color="auto"/>
            <w:color w:val="0000FF"/>
          </w:rPr>
          <w:t>Registrant’s Registration Statement on Form S-8 filed on June 1, 2020) (1)</w:t>
        </w:r>
      </w:hyperlink>
    </w:p>
    <w:p>
      <w:pPr>
        <w:spacing w:after="0" w:line="10" w:lineRule="exact"/>
        <w:rPr>
          <w:sz w:val="20"/>
          <w:szCs w:val="20"/>
          <w:color w:val="auto"/>
        </w:rPr>
      </w:pPr>
    </w:p>
    <w:p>
      <w:pPr>
        <w:ind w:left="800" w:hanging="602"/>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339">
        <w:r>
          <w:rPr>
            <w:rFonts w:ascii="Times New Roman" w:cs="Times New Roman" w:eastAsia="Times New Roman" w:hAnsi="Times New Roman"/>
            <w:sz w:val="18"/>
            <w:szCs w:val="18"/>
            <w:u w:val="single" w:color="auto"/>
            <w:color w:val="0000FF"/>
          </w:rPr>
          <w:t>F&amp;G Annuities &amp; Life, Inc. 2022 Omnibus Incentive Plan (incorporated by reference to Exhibit 10.4 to F&amp;G Annuities &amp; Life, Inc.’s Current</w:t>
        </w:r>
      </w:hyperlink>
      <w:r>
        <w:rPr>
          <w:rFonts w:ascii="Times New Roman" w:cs="Times New Roman" w:eastAsia="Times New Roman" w:hAnsi="Times New Roman"/>
          <w:sz w:val="18"/>
          <w:szCs w:val="18"/>
          <w:u w:val="single" w:color="auto"/>
          <w:color w:val="0000FF"/>
        </w:rPr>
        <w:t xml:space="preserve"> </w:t>
      </w:r>
      <w:hyperlink r:id="rId339">
        <w:r>
          <w:rPr>
            <w:rFonts w:ascii="Times New Roman" w:cs="Times New Roman" w:eastAsia="Times New Roman" w:hAnsi="Times New Roman"/>
            <w:sz w:val="18"/>
            <w:szCs w:val="18"/>
            <w:u w:val="single" w:color="auto"/>
            <w:color w:val="0000FF"/>
          </w:rPr>
          <w:t>Report on Form 8-K filed on December 1, 2022, SEC File Number 001-41490) (1)</w:t>
        </w:r>
      </w:hyperlink>
    </w:p>
    <w:p>
      <w:pPr>
        <w:spacing w:after="0" w:line="9" w:lineRule="exact"/>
        <w:rPr>
          <w:sz w:val="20"/>
          <w:szCs w:val="20"/>
          <w:color w:val="auto"/>
        </w:rPr>
      </w:pPr>
    </w:p>
    <w:p>
      <w:pPr>
        <w:ind w:left="800" w:hanging="602"/>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340">
        <w:r>
          <w:rPr>
            <w:rFonts w:ascii="Times New Roman" w:cs="Times New Roman" w:eastAsia="Times New Roman" w:hAnsi="Times New Roman"/>
            <w:sz w:val="18"/>
            <w:szCs w:val="18"/>
            <w:u w:val="single" w:color="auto"/>
            <w:color w:val="0000FF"/>
          </w:rPr>
          <w:t>F&amp;G Annuities &amp; Life, Inc. Employee Stock Purchase Plan (incorporated by reference to Exhibit 10.5 to F&amp;G Annuities &amp; Life, Inc.’s Current</w:t>
        </w:r>
      </w:hyperlink>
      <w:r>
        <w:rPr>
          <w:rFonts w:ascii="Times New Roman" w:cs="Times New Roman" w:eastAsia="Times New Roman" w:hAnsi="Times New Roman"/>
          <w:sz w:val="18"/>
          <w:szCs w:val="18"/>
          <w:u w:val="single" w:color="auto"/>
          <w:color w:val="0000FF"/>
        </w:rPr>
        <w:t xml:space="preserve"> </w:t>
      </w:r>
      <w:hyperlink r:id="rId340">
        <w:r>
          <w:rPr>
            <w:rFonts w:ascii="Times New Roman" w:cs="Times New Roman" w:eastAsia="Times New Roman" w:hAnsi="Times New Roman"/>
            <w:sz w:val="18"/>
            <w:szCs w:val="18"/>
            <w:u w:val="single" w:color="auto"/>
            <w:color w:val="0000FF"/>
          </w:rPr>
          <w:t>Report on Form 8-K filed on December 1, 2022, SEC File Number 001-41490) (1)</w:t>
        </w:r>
      </w:hyperlink>
    </w:p>
    <w:p>
      <w:pPr>
        <w:spacing w:after="0" w:line="9" w:lineRule="exact"/>
        <w:rPr>
          <w:sz w:val="20"/>
          <w:szCs w:val="20"/>
          <w:color w:val="auto"/>
        </w:rPr>
      </w:pPr>
    </w:p>
    <w:p>
      <w:pPr>
        <w:ind w:left="800" w:hanging="602"/>
        <w:spacing w:after="0" w:line="231"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341">
        <w:r>
          <w:rPr>
            <w:rFonts w:ascii="Times New Roman" w:cs="Times New Roman" w:eastAsia="Times New Roman" w:hAnsi="Times New Roman"/>
            <w:sz w:val="18"/>
            <w:szCs w:val="18"/>
            <w:u w:val="single" w:color="auto"/>
            <w:color w:val="0000FF"/>
          </w:rPr>
          <w:t>F&amp;G Annuities &amp; Life, Inc. Deferred Compensation Plan (incorporated by reference to Exhibit 10.6 to F&amp;G Annuities &amp; Life, Inc.’s Current</w:t>
        </w:r>
      </w:hyperlink>
      <w:r>
        <w:rPr>
          <w:rFonts w:ascii="Times New Roman" w:cs="Times New Roman" w:eastAsia="Times New Roman" w:hAnsi="Times New Roman"/>
          <w:sz w:val="18"/>
          <w:szCs w:val="18"/>
          <w:u w:val="single" w:color="auto"/>
          <w:color w:val="0000FF"/>
        </w:rPr>
        <w:t xml:space="preserve"> </w:t>
      </w:r>
      <w:hyperlink r:id="rId341">
        <w:r>
          <w:rPr>
            <w:rFonts w:ascii="Times New Roman" w:cs="Times New Roman" w:eastAsia="Times New Roman" w:hAnsi="Times New Roman"/>
            <w:sz w:val="18"/>
            <w:szCs w:val="18"/>
            <w:u w:val="single" w:color="auto"/>
            <w:color w:val="0000FF"/>
          </w:rPr>
          <w:t>Report on Form 8-K filed on December 1, 2022, SEC File Number 001-41490) (1)</w:t>
        </w:r>
      </w:hyperlink>
    </w:p>
    <w:p>
      <w:pPr>
        <w:spacing w:after="0" w:line="9" w:lineRule="exact"/>
        <w:rPr>
          <w:sz w:val="20"/>
          <w:szCs w:val="20"/>
          <w:color w:val="auto"/>
        </w:rPr>
      </w:pPr>
    </w:p>
    <w:p>
      <w:pPr>
        <w:jc w:val="right"/>
        <w:ind w:left="200"/>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10.30   </w:t>
      </w:r>
      <w:hyperlink r:id="rId342">
        <w:r>
          <w:rPr>
            <w:rFonts w:ascii="Times New Roman" w:cs="Times New Roman" w:eastAsia="Times New Roman" w:hAnsi="Times New Roman"/>
            <w:sz w:val="18"/>
            <w:szCs w:val="18"/>
            <w:u w:val="single" w:color="auto"/>
            <w:color w:val="0000FF"/>
          </w:rPr>
          <w:t>Fifth Amended and Restated Credit Agreement, dated as of October 29, 2020, by and among Fidelity National Financial, Inc., as the Borrower,</w:t>
        </w:r>
      </w:hyperlink>
      <w:r>
        <w:rPr>
          <w:rFonts w:ascii="Times New Roman" w:cs="Times New Roman" w:eastAsia="Times New Roman" w:hAnsi="Times New Roman"/>
          <w:sz w:val="18"/>
          <w:szCs w:val="18"/>
          <w:color w:val="auto"/>
        </w:rPr>
        <w:t xml:space="preserve"> </w:t>
      </w:r>
      <w:hyperlink r:id="rId342">
        <w:r>
          <w:rPr>
            <w:rFonts w:ascii="Times New Roman" w:cs="Times New Roman" w:eastAsia="Times New Roman" w:hAnsi="Times New Roman"/>
            <w:sz w:val="18"/>
            <w:szCs w:val="18"/>
            <w:u w:val="single" w:color="auto"/>
            <w:color w:val="0000FF"/>
          </w:rPr>
          <w:t>Bank of America, N.A., as administrative agent, and other agents party thereto (incorporated by reference to Exhibit 10.1 to the Registrant's Current</w:t>
        </w:r>
      </w:hyperlink>
    </w:p>
    <w:p>
      <w:pPr>
        <w:spacing w:after="0" w:line="1" w:lineRule="exact"/>
        <w:rPr>
          <w:sz w:val="20"/>
          <w:szCs w:val="20"/>
          <w:color w:val="auto"/>
        </w:rPr>
      </w:pPr>
    </w:p>
    <w:p>
      <w:pPr>
        <w:ind w:left="800"/>
        <w:spacing w:after="0"/>
        <w:rPr>
          <w:rFonts w:ascii="Times New Roman" w:cs="Times New Roman" w:eastAsia="Times New Roman" w:hAnsi="Times New Roman"/>
          <w:sz w:val="18"/>
          <w:szCs w:val="18"/>
          <w:u w:val="single" w:color="auto"/>
          <w:color w:val="0000FF"/>
        </w:rPr>
      </w:pPr>
      <w:hyperlink r:id="rId342">
        <w:r>
          <w:rPr>
            <w:rFonts w:ascii="Times New Roman" w:cs="Times New Roman" w:eastAsia="Times New Roman" w:hAnsi="Times New Roman"/>
            <w:sz w:val="18"/>
            <w:szCs w:val="18"/>
            <w:u w:val="single" w:color="auto"/>
            <w:color w:val="0000FF"/>
          </w:rPr>
          <w:t>Report on Form 8-K filed on November 4, 2020)</w:t>
        </w:r>
      </w:hyperlink>
    </w:p>
    <w:p>
      <w:pPr>
        <w:spacing w:after="0" w:line="1" w:lineRule="exact"/>
        <w:rPr>
          <w:sz w:val="20"/>
          <w:szCs w:val="20"/>
          <w:color w:val="auto"/>
        </w:rPr>
      </w:pPr>
    </w:p>
    <w:p>
      <w:pPr>
        <w:jc w:val="right"/>
        <w:ind w:left="200"/>
        <w:spacing w:after="0" w:line="21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10.31   </w:t>
      </w:r>
      <w:hyperlink r:id="rId343">
        <w:r>
          <w:rPr>
            <w:rFonts w:ascii="Times New Roman" w:cs="Times New Roman" w:eastAsia="Times New Roman" w:hAnsi="Times New Roman"/>
            <w:sz w:val="18"/>
            <w:szCs w:val="18"/>
            <w:u w:val="single" w:color="auto"/>
            <w:color w:val="0000FF"/>
          </w:rPr>
          <w:t>Registration Rights Agreement, dated as of January 13, 2023, by and among F&amp;G Annuities &amp; Life, Inc., the guarantors named therein and BofA</w:t>
        </w:r>
      </w:hyperlink>
      <w:r>
        <w:rPr>
          <w:rFonts w:ascii="Times New Roman" w:cs="Times New Roman" w:eastAsia="Times New Roman" w:hAnsi="Times New Roman"/>
          <w:sz w:val="18"/>
          <w:szCs w:val="18"/>
          <w:color w:val="auto"/>
        </w:rPr>
        <w:t xml:space="preserve"> </w:t>
      </w:r>
      <w:hyperlink r:id="rId343">
        <w:r>
          <w:rPr>
            <w:rFonts w:ascii="Times New Roman" w:cs="Times New Roman" w:eastAsia="Times New Roman" w:hAnsi="Times New Roman"/>
            <w:sz w:val="18"/>
            <w:szCs w:val="18"/>
            <w:u w:val="single" w:color="auto"/>
            <w:color w:val="0000FF"/>
          </w:rPr>
          <w:t>Securities, Inc., J.P. Morgan Securities LLC and RBC Capital Markets, LLC (incorporated by reference to Exhibit 10.1 to the Registrant's Current</w:t>
        </w:r>
      </w:hyperlink>
    </w:p>
    <w:p>
      <w:pPr>
        <w:spacing w:after="0" w:line="2" w:lineRule="exact"/>
        <w:rPr>
          <w:sz w:val="20"/>
          <w:szCs w:val="20"/>
          <w:color w:val="auto"/>
        </w:rPr>
      </w:pPr>
    </w:p>
    <w:p>
      <w:pPr>
        <w:ind w:left="800"/>
        <w:spacing w:after="0"/>
        <w:rPr>
          <w:rFonts w:ascii="Times New Roman" w:cs="Times New Roman" w:eastAsia="Times New Roman" w:hAnsi="Times New Roman"/>
          <w:sz w:val="18"/>
          <w:szCs w:val="18"/>
          <w:u w:val="single" w:color="auto"/>
          <w:color w:val="0000FF"/>
        </w:rPr>
      </w:pPr>
      <w:hyperlink r:id="rId343">
        <w:r>
          <w:rPr>
            <w:rFonts w:ascii="Times New Roman" w:cs="Times New Roman" w:eastAsia="Times New Roman" w:hAnsi="Times New Roman"/>
            <w:sz w:val="18"/>
            <w:szCs w:val="18"/>
            <w:u w:val="single" w:color="auto"/>
            <w:color w:val="0000FF"/>
          </w:rPr>
          <w:t>Report on Form 8-K filed on January 13, 2023)</w:t>
        </w:r>
      </w:hyperlink>
    </w:p>
    <w:p>
      <w:pPr>
        <w:spacing w:after="0" w:line="1" w:lineRule="exact"/>
        <w:rPr>
          <w:sz w:val="20"/>
          <w:szCs w:val="20"/>
          <w:color w:val="auto"/>
        </w:rPr>
      </w:pPr>
    </w:p>
    <w:p>
      <w:pPr>
        <w:ind w:left="800" w:hanging="602"/>
        <w:spacing w:after="0" w:line="228"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344">
        <w:r>
          <w:rPr>
            <w:rFonts w:ascii="Times New Roman" w:cs="Times New Roman" w:eastAsia="Times New Roman" w:hAnsi="Times New Roman"/>
            <w:sz w:val="18"/>
            <w:szCs w:val="18"/>
            <w:u w:val="single" w:color="auto"/>
            <w:color w:val="0000FF"/>
          </w:rPr>
          <w:t>Investment Management Agreement, dated as of December 16, 2020, by and between F&amp;G Cayman Re Ltd. and Blackstone ISGI Advisors L.L.C.</w:t>
        </w:r>
      </w:hyperlink>
      <w:r>
        <w:rPr>
          <w:rFonts w:ascii="Times New Roman" w:cs="Times New Roman" w:eastAsia="Times New Roman" w:hAnsi="Times New Roman"/>
          <w:sz w:val="18"/>
          <w:szCs w:val="18"/>
          <w:u w:val="single" w:color="auto"/>
          <w:color w:val="0000FF"/>
        </w:rPr>
        <w:t xml:space="preserve"> </w:t>
      </w:r>
      <w:hyperlink r:id="rId344">
        <w:r>
          <w:rPr>
            <w:rFonts w:ascii="Times New Roman" w:cs="Times New Roman" w:eastAsia="Times New Roman" w:hAnsi="Times New Roman"/>
            <w:sz w:val="18"/>
            <w:szCs w:val="18"/>
            <w:u w:val="single" w:color="auto"/>
            <w:color w:val="0000FF"/>
          </w:rPr>
          <w:t>(incorporated by reference to Exhibit 10.1 to the Registrant's Quarterly Report on Form 10-Q for the quarter ended September 30, 2022)</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590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660" w:type="dxa"/>
            <w:vAlign w:val="bottom"/>
            <w:gridSpan w:val="4"/>
          </w:tcPr>
          <w:p>
            <w:pPr>
              <w:jc w:val="center"/>
              <w:ind w:right="160"/>
              <w:spacing w:after="0" w:line="156"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5900" w:type="dxa"/>
            <w:vAlign w:val="bottom"/>
            <w:gridSpan w:val="2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jc w:val="center"/>
              <w:spacing w:after="0" w:line="204" w:lineRule="exact"/>
              <w:rPr>
                <w:sz w:val="20"/>
                <w:szCs w:val="20"/>
                <w:color w:val="auto"/>
              </w:rPr>
            </w:pPr>
            <w:r>
              <w:rPr>
                <w:rFonts w:ascii="Times New Roman" w:cs="Times New Roman" w:eastAsia="Times New Roman" w:hAnsi="Times New Roman"/>
                <w:sz w:val="18"/>
                <w:szCs w:val="18"/>
                <w:color w:val="auto"/>
                <w:w w:val="98"/>
              </w:rPr>
              <w:t>10.33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2"/>
          </w:tcPr>
          <w:p>
            <w:pPr>
              <w:spacing w:after="0" w:line="204"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Investment Management Agreement, dated as of January 4, 2021, by and between F&amp;G Annuities &amp; Life, Inc. and Blackstone ISG-I Advisors</w:t>
              </w:r>
            </w:hyperlink>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52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346">
              <w:r>
                <w:rPr>
                  <w:rFonts w:ascii="Times New Roman" w:cs="Times New Roman" w:eastAsia="Times New Roman" w:hAnsi="Times New Roman"/>
                  <w:sz w:val="16"/>
                  <w:szCs w:val="16"/>
                  <w:color w:val="0000FF"/>
                </w:rPr>
                <w:t>L.L.C. (incorporated by reference to Exhibit 10.2 to the Registrant's Quarterly Report on Form 10-Q for the quarter ended September 30,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80" w:type="dxa"/>
            <w:vAlign w:val="bottom"/>
            <w:gridSpan w:val="32"/>
          </w:tcPr>
          <w:p>
            <w:pPr>
              <w:spacing w:after="0"/>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Investment Management Agreement, dated as of July 29, 2021, by and between Fidelity &amp; Guaranty Life Insurance Company and Blackstone ISG-I</w:t>
              </w:r>
            </w:hyperlink>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56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347">
              <w:r>
                <w:rPr>
                  <w:rFonts w:ascii="Times New Roman" w:cs="Times New Roman" w:eastAsia="Times New Roman" w:hAnsi="Times New Roman"/>
                  <w:sz w:val="16"/>
                  <w:szCs w:val="16"/>
                  <w:color w:val="0000FF"/>
                </w:rPr>
                <w:t>Advisors L.L.C. (incorporated by reference to Exhibit 10.3 to the Registrant's Quarterly Report on Form 10-Q for the quarter ended September 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0000FF"/>
              <w:bottom w:val="single" w:sz="8" w:color="0000FF"/>
            </w:tcBorders>
            <w:gridSpan w:val="2"/>
          </w:tcPr>
          <w:p>
            <w:pPr>
              <w:spacing w:after="0" w:line="164" w:lineRule="exact"/>
              <w:rPr>
                <w:rFonts w:ascii="Times New Roman" w:cs="Times New Roman" w:eastAsia="Times New Roman" w:hAnsi="Times New Roman"/>
                <w:sz w:val="18"/>
                <w:szCs w:val="18"/>
                <w:color w:val="0000FF"/>
                <w:w w:val="90"/>
              </w:rPr>
            </w:pPr>
            <w:hyperlink r:id="rId347">
              <w:r>
                <w:rPr>
                  <w:rFonts w:ascii="Times New Roman" w:cs="Times New Roman" w:eastAsia="Times New Roman" w:hAnsi="Times New Roman"/>
                  <w:sz w:val="18"/>
                  <w:szCs w:val="18"/>
                  <w:color w:val="0000FF"/>
                  <w:w w:val="90"/>
                </w:rPr>
                <w:t>2022)</w:t>
              </w:r>
            </w:hyperlink>
          </w:p>
        </w:tc>
        <w:tc>
          <w:tcPr>
            <w:tcW w:w="7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0" w:type="dxa"/>
            <w:vAlign w:val="bottom"/>
            <w:gridSpan w:val="2"/>
          </w:tcPr>
          <w:p>
            <w:pPr>
              <w:jc w:val="center"/>
              <w:spacing w:after="0" w:line="204" w:lineRule="exact"/>
              <w:rPr>
                <w:sz w:val="20"/>
                <w:szCs w:val="20"/>
                <w:color w:val="auto"/>
              </w:rPr>
            </w:pPr>
            <w:r>
              <w:rPr>
                <w:rFonts w:ascii="Times New Roman" w:cs="Times New Roman" w:eastAsia="Times New Roman" w:hAnsi="Times New Roman"/>
                <w:sz w:val="18"/>
                <w:szCs w:val="18"/>
                <w:color w:val="auto"/>
                <w:w w:val="98"/>
              </w:rPr>
              <w:t>10.35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2"/>
          </w:tcPr>
          <w:p>
            <w:pPr>
              <w:spacing w:after="0" w:line="204"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Amended and Restated Amendment to Investment Management Agreements; IMA Omnibus Termination Side Letter; SMA Fee Agreement and</w:t>
              </w:r>
            </w:hyperlink>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540" w:type="dxa"/>
            <w:vAlign w:val="bottom"/>
            <w:tcBorders>
              <w:top w:val="single" w:sz="8" w:color="0000FF"/>
              <w:bottom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348">
              <w:r>
                <w:rPr>
                  <w:rFonts w:ascii="Times New Roman" w:cs="Times New Roman" w:eastAsia="Times New Roman" w:hAnsi="Times New Roman"/>
                  <w:sz w:val="16"/>
                  <w:szCs w:val="16"/>
                  <w:color w:val="0000FF"/>
                </w:rPr>
                <w:t>Participation Fee Agreement, dated September 24, 2021, by and among F&amp;G Life &amp; Annuities, Inc., Fidelity National Financial, Inc. and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40" w:type="dxa"/>
            <w:vAlign w:val="bottom"/>
            <w:gridSpan w:val="30"/>
          </w:tcPr>
          <w:p>
            <w:pPr>
              <w:spacing w:after="0" w:line="164"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Blackstone ISG-I Advisors L.L.C. (incorporated by reference to Exhibit 10.4 to the Registrant's Quarterly Report on Form 10-Q for the quarter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6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348">
              <w:r>
                <w:rPr>
                  <w:rFonts w:ascii="Times New Roman" w:cs="Times New Roman" w:eastAsia="Times New Roman" w:hAnsi="Times New Roman"/>
                  <w:sz w:val="16"/>
                  <w:szCs w:val="16"/>
                  <w:color w:val="0000FF"/>
                </w:rPr>
                <w:t>ended September 30,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jc w:val="center"/>
              <w:spacing w:after="0" w:line="204" w:lineRule="exact"/>
              <w:rPr>
                <w:sz w:val="20"/>
                <w:szCs w:val="20"/>
                <w:color w:val="auto"/>
              </w:rPr>
            </w:pPr>
            <w:r>
              <w:rPr>
                <w:rFonts w:ascii="Times New Roman" w:cs="Times New Roman" w:eastAsia="Times New Roman" w:hAnsi="Times New Roman"/>
                <w:sz w:val="18"/>
                <w:szCs w:val="18"/>
                <w:color w:val="auto"/>
                <w:w w:val="98"/>
              </w:rPr>
              <w:t>10.36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2"/>
          </w:tcPr>
          <w:p>
            <w:pPr>
              <w:spacing w:after="0" w:line="204"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Credit Agreement, dated as of November 22, 2022, by and among F&amp;G Annuities &amp; Life, Inc., a Delaware corporation, as the borrower, the</w:t>
              </w:r>
            </w:hyperlink>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500" w:type="dxa"/>
            <w:vAlign w:val="bottom"/>
            <w:tcBorders>
              <w:top w:val="single" w:sz="8" w:color="0000FF"/>
              <w:bottom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349">
              <w:r>
                <w:rPr>
                  <w:rFonts w:ascii="Times New Roman" w:cs="Times New Roman" w:eastAsia="Times New Roman" w:hAnsi="Times New Roman"/>
                  <w:sz w:val="16"/>
                  <w:szCs w:val="16"/>
                  <w:color w:val="0000FF"/>
                </w:rPr>
                <w:t>guarantors party thereto, Bank of America, N.A., as administrative agent, and the financial institutions party thereto as lenders (incorporated by</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0" w:type="dxa"/>
            <w:vAlign w:val="bottom"/>
            <w:tcBorders>
              <w:bottom w:val="single" w:sz="8" w:color="0000FF"/>
            </w:tcBorders>
            <w:gridSpan w:val="14"/>
          </w:tcPr>
          <w:p>
            <w:pPr>
              <w:spacing w:after="0" w:line="164" w:lineRule="exact"/>
              <w:rPr>
                <w:rFonts w:ascii="Times New Roman" w:cs="Times New Roman" w:eastAsia="Times New Roman" w:hAnsi="Times New Roman"/>
                <w:sz w:val="18"/>
                <w:szCs w:val="18"/>
                <w:color w:val="0000FF"/>
                <w:w w:val="97"/>
              </w:rPr>
            </w:pPr>
            <w:hyperlink r:id="rId349">
              <w:r>
                <w:rPr>
                  <w:rFonts w:ascii="Times New Roman" w:cs="Times New Roman" w:eastAsia="Times New Roman" w:hAnsi="Times New Roman"/>
                  <w:sz w:val="18"/>
                  <w:szCs w:val="18"/>
                  <w:color w:val="0000FF"/>
                  <w:w w:val="97"/>
                </w:rPr>
                <w:t>reference to Exhibit 10.1 to the Registrant's Current Report on Form 8-K filed on November 22, 2022)</w:t>
              </w:r>
            </w:hyperlink>
          </w:p>
        </w:tc>
        <w:tc>
          <w:tcPr>
            <w:tcW w:w="338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0" w:type="dxa"/>
            <w:vAlign w:val="bottom"/>
            <w:gridSpan w:val="2"/>
          </w:tcPr>
          <w:p>
            <w:pPr>
              <w:jc w:val="center"/>
              <w:spacing w:after="0" w:line="204" w:lineRule="exact"/>
              <w:rPr>
                <w:sz w:val="20"/>
                <w:szCs w:val="20"/>
                <w:color w:val="auto"/>
              </w:rPr>
            </w:pPr>
            <w:r>
              <w:rPr>
                <w:rFonts w:ascii="Times New Roman" w:cs="Times New Roman" w:eastAsia="Times New Roman" w:hAnsi="Times New Roman"/>
                <w:sz w:val="18"/>
                <w:szCs w:val="18"/>
                <w:color w:val="auto"/>
                <w:w w:val="98"/>
              </w:rPr>
              <w:t>10.37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2"/>
          </w:tcPr>
          <w:p>
            <w:pPr>
              <w:spacing w:after="0" w:line="204"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Corporate Services Agreement, dated as of November 30, 2022, between Fidelity National Financial, Inc. and F&amp;G Annuities &amp; Life, Inc.</w:t>
              </w:r>
            </w:hyperlink>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350">
              <w:r>
                <w:rPr>
                  <w:rFonts w:ascii="Times New Roman" w:cs="Times New Roman" w:eastAsia="Times New Roman" w:hAnsi="Times New Roman"/>
                  <w:sz w:val="16"/>
                  <w:szCs w:val="16"/>
                  <w:color w:val="0000FF"/>
                </w:rPr>
                <w:t>(incorporated by reference to Exhibit 99.2 to the Registrant's Current Report on Form 8-K filed on December 1, 2022)</w:t>
              </w:r>
            </w:hyperlink>
          </w:p>
        </w:tc>
        <w:tc>
          <w:tcPr>
            <w:tcW w:w="23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80" w:type="dxa"/>
            <w:vAlign w:val="bottom"/>
            <w:gridSpan w:val="32"/>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Reverse Corporate Services Agreement, dated as of November 30, 2022, between Fidelity National Financial, Inc. and F&amp;G Annuities &amp; Life, Inc.</w:t>
              </w:r>
            </w:hyperlink>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351">
              <w:r>
                <w:rPr>
                  <w:rFonts w:ascii="Times New Roman" w:cs="Times New Roman" w:eastAsia="Times New Roman" w:hAnsi="Times New Roman"/>
                  <w:sz w:val="16"/>
                  <w:szCs w:val="16"/>
                  <w:color w:val="0000FF"/>
                </w:rPr>
                <w:t>(incorporated by reference to Exhibit 99.3 to the Registrant's Current Report on Form 8-K filed on December 1, 2022)</w:t>
              </w:r>
            </w:hyperlink>
          </w:p>
        </w:tc>
        <w:tc>
          <w:tcPr>
            <w:tcW w:w="23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80" w:type="dxa"/>
            <w:vAlign w:val="bottom"/>
            <w:gridSpan w:val="32"/>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Tax Sharing Agreement, dated as of November 30, 2022, between Fidelity National Financial, Inc. and F&amp;G Annuities &amp; Life, Inc. (incorporated</w:t>
              </w:r>
            </w:hyperlink>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56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352">
              <w:r>
                <w:rPr>
                  <w:rFonts w:ascii="Times New Roman" w:cs="Times New Roman" w:eastAsia="Times New Roman" w:hAnsi="Times New Roman"/>
                  <w:sz w:val="16"/>
                  <w:szCs w:val="16"/>
                  <w:color w:val="0000FF"/>
                </w:rPr>
                <w:t>by reference to Exhibit 99.4 to the Registrant's Current Report on Form 8-K filed on December 1, 2022)</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First Amendment to Credit Agreement, dated as of February 21, 2023, among F&amp;G Annuities &amp; Life, Inc. and the Guarantor parties and Lender</w:t>
            </w: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6"/>
                <w:szCs w:val="16"/>
                <w:color w:val="0000FF"/>
              </w:rPr>
              <w:t>parties signatory thereto.</w:t>
            </w:r>
          </w:p>
        </w:tc>
        <w:tc>
          <w:tcPr>
            <w:tcW w:w="870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80" w:type="dxa"/>
            <w:vAlign w:val="bottom"/>
            <w:gridSpan w:val="32"/>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Amended and Restated Employment Agreement between the Registrant and Michael L. Gravelle, effective as of January 1, 2010 (incorporated by</w:t>
              </w:r>
            </w:hyperlink>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322">
              <w:r>
                <w:rPr>
                  <w:rFonts w:ascii="Times New Roman" w:cs="Times New Roman" w:eastAsia="Times New Roman" w:hAnsi="Times New Roman"/>
                  <w:sz w:val="16"/>
                  <w:szCs w:val="16"/>
                  <w:color w:val="0000FF"/>
                </w:rPr>
                <w:t>reference to Exhibit 10.22 to the Registrant's Annual Report on Form 10-K for the year ended December 31, 2009)</w:t>
              </w:r>
            </w:hyperlink>
          </w:p>
        </w:tc>
        <w:tc>
          <w:tcPr>
            <w:tcW w:w="256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756"/>
        </w:trPr>
        <w:tc>
          <w:tcPr>
            <w:tcW w:w="100" w:type="dxa"/>
            <w:vAlign w:val="bottom"/>
          </w:tcPr>
          <w:p>
            <w:pPr>
              <w:spacing w:after="0"/>
              <w:rPr>
                <w:sz w:val="24"/>
                <w:szCs w:val="24"/>
                <w:color w:val="auto"/>
              </w:rPr>
            </w:pPr>
          </w:p>
        </w:tc>
        <w:tc>
          <w:tcPr>
            <w:tcW w:w="760" w:type="dxa"/>
            <w:vAlign w:val="bottom"/>
            <w:gridSpan w:val="4"/>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900" w:type="dxa"/>
            <w:vAlign w:val="bottom"/>
            <w:gridSpan w:val="25"/>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760" w:type="dxa"/>
            <w:vAlign w:val="bottom"/>
            <w:gridSpan w:val="4"/>
          </w:tcPr>
          <w:p>
            <w:pPr>
              <w:jc w:val="center"/>
              <w:ind w:right="175"/>
              <w:spacing w:after="0" w:line="125"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5900" w:type="dxa"/>
            <w:vAlign w:val="bottom"/>
            <w:gridSpan w:val="2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00" w:type="dxa"/>
            <w:vAlign w:val="bottom"/>
            <w:gridSpan w:val="3"/>
          </w:tcPr>
          <w:p>
            <w:pPr>
              <w:jc w:val="center"/>
              <w:ind w:left="14"/>
              <w:spacing w:after="0"/>
              <w:rPr>
                <w:sz w:val="20"/>
                <w:szCs w:val="20"/>
                <w:color w:val="auto"/>
              </w:rPr>
            </w:pPr>
            <w:r>
              <w:rPr>
                <w:rFonts w:ascii="Times New Roman" w:cs="Times New Roman" w:eastAsia="Times New Roman" w:hAnsi="Times New Roman"/>
                <w:sz w:val="18"/>
                <w:szCs w:val="18"/>
                <w:color w:val="auto"/>
                <w:w w:val="95"/>
              </w:rPr>
              <w:t>21.1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860" w:type="dxa"/>
            <w:vAlign w:val="bottom"/>
            <w:tcBorders>
              <w:top w:val="single" w:sz="8" w:color="auto"/>
            </w:tcBorders>
            <w:gridSpan w:val="2"/>
          </w:tcPr>
          <w:p>
            <w:pPr>
              <w:spacing w:after="0"/>
              <w:rPr>
                <w:sz w:val="18"/>
                <w:szCs w:val="18"/>
                <w:color w:val="auto"/>
              </w:rPr>
            </w:pPr>
          </w:p>
        </w:tc>
        <w:tc>
          <w:tcPr>
            <w:tcW w:w="494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0" w:type="dxa"/>
            <w:vAlign w:val="bottom"/>
            <w:gridSpan w:val="3"/>
          </w:tcPr>
          <w:p>
            <w:pPr>
              <w:jc w:val="center"/>
              <w:ind w:left="14"/>
              <w:spacing w:after="0" w:line="204" w:lineRule="exact"/>
              <w:rPr>
                <w:sz w:val="20"/>
                <w:szCs w:val="20"/>
                <w:color w:val="auto"/>
              </w:rPr>
            </w:pPr>
            <w:r>
              <w:rPr>
                <w:rFonts w:ascii="Times New Roman" w:cs="Times New Roman" w:eastAsia="Times New Roman" w:hAnsi="Times New Roman"/>
                <w:sz w:val="18"/>
                <w:szCs w:val="18"/>
                <w:color w:val="auto"/>
                <w:w w:val="95"/>
              </w:rPr>
              <w:t>23.1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gridSpan w:val="31"/>
          </w:tcPr>
          <w:p>
            <w:pPr>
              <w:spacing w:after="0" w:line="204" w:lineRule="exact"/>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68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0" w:type="dxa"/>
            <w:vAlign w:val="bottom"/>
            <w:gridSpan w:val="3"/>
          </w:tcPr>
          <w:p>
            <w:pPr>
              <w:jc w:val="center"/>
              <w:ind w:left="14"/>
              <w:spacing w:after="0" w:line="204" w:lineRule="exact"/>
              <w:rPr>
                <w:sz w:val="20"/>
                <w:szCs w:val="20"/>
                <w:color w:val="auto"/>
              </w:rPr>
            </w:pPr>
            <w:r>
              <w:rPr>
                <w:rFonts w:ascii="Times New Roman" w:cs="Times New Roman" w:eastAsia="Times New Roman" w:hAnsi="Times New Roman"/>
                <w:sz w:val="18"/>
                <w:szCs w:val="18"/>
                <w:color w:val="auto"/>
                <w:w w:val="95"/>
              </w:rPr>
              <w:t>31.1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0" w:type="dxa"/>
            <w:vAlign w:val="bottom"/>
            <w:tcBorders>
              <w:bottom w:val="single" w:sz="8" w:color="0000FF"/>
            </w:tcBorders>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302 of the Sarbanes-Oxley Act of 2002</w:t>
            </w:r>
          </w:p>
        </w:tc>
        <w:tc>
          <w:tcPr>
            <w:tcW w:w="34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 w:type="dxa"/>
            <w:vAlign w:val="bottom"/>
            <w:gridSpan w:val="3"/>
          </w:tcPr>
          <w:p>
            <w:pPr>
              <w:jc w:val="center"/>
              <w:ind w:left="14"/>
              <w:spacing w:after="0" w:line="204" w:lineRule="exact"/>
              <w:rPr>
                <w:sz w:val="20"/>
                <w:szCs w:val="20"/>
                <w:color w:val="auto"/>
              </w:rPr>
            </w:pPr>
            <w:r>
              <w:rPr>
                <w:rFonts w:ascii="Times New Roman" w:cs="Times New Roman" w:eastAsia="Times New Roman" w:hAnsi="Times New Roman"/>
                <w:sz w:val="18"/>
                <w:szCs w:val="18"/>
                <w:color w:val="auto"/>
                <w:w w:val="95"/>
              </w:rPr>
              <w:t>31.2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gridSpan w:val="31"/>
          </w:tcPr>
          <w:p>
            <w:pPr>
              <w:spacing w:after="0" w:line="204"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680" w:type="dxa"/>
            <w:vAlign w:val="bottom"/>
            <w:gridSpan w:val="8"/>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0" w:type="dxa"/>
            <w:vAlign w:val="bottom"/>
            <w:gridSpan w:val="3"/>
          </w:tcPr>
          <w:p>
            <w:pPr>
              <w:jc w:val="center"/>
              <w:ind w:left="14"/>
              <w:spacing w:after="0" w:line="204" w:lineRule="exact"/>
              <w:rPr>
                <w:sz w:val="20"/>
                <w:szCs w:val="20"/>
                <w:color w:val="auto"/>
              </w:rPr>
            </w:pPr>
            <w:r>
              <w:rPr>
                <w:rFonts w:ascii="Times New Roman" w:cs="Times New Roman" w:eastAsia="Times New Roman" w:hAnsi="Times New Roman"/>
                <w:sz w:val="18"/>
                <w:szCs w:val="18"/>
                <w:color w:val="auto"/>
                <w:w w:val="95"/>
              </w:rPr>
              <w:t>32.1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gridSpan w:val="31"/>
          </w:tcPr>
          <w:p>
            <w:pPr>
              <w:spacing w:after="0" w:line="204" w:lineRule="exact"/>
              <w:rPr>
                <w:sz w:val="20"/>
                <w:szCs w:val="20"/>
                <w:color w:val="auto"/>
              </w:rPr>
            </w:pPr>
            <w:r>
              <w:rPr>
                <w:rFonts w:ascii="Times New Roman" w:cs="Times New Roman" w:eastAsia="Times New Roman" w:hAnsi="Times New Roman"/>
                <w:sz w:val="18"/>
                <w:szCs w:val="18"/>
                <w:color w:val="0000FF"/>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6"/>
                <w:szCs w:val="16"/>
                <w:color w:val="0000FF"/>
              </w:rPr>
              <w:t>Section 1350</w:t>
            </w:r>
          </w:p>
        </w:tc>
        <w:tc>
          <w:tcPr>
            <w:tcW w:w="930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0" w:type="dxa"/>
            <w:vAlign w:val="bottom"/>
            <w:gridSpan w:val="3"/>
          </w:tcPr>
          <w:p>
            <w:pPr>
              <w:jc w:val="center"/>
              <w:ind w:left="14"/>
              <w:spacing w:after="0"/>
              <w:rPr>
                <w:sz w:val="20"/>
                <w:szCs w:val="20"/>
                <w:color w:val="auto"/>
              </w:rPr>
            </w:pPr>
            <w:r>
              <w:rPr>
                <w:rFonts w:ascii="Times New Roman" w:cs="Times New Roman" w:eastAsia="Times New Roman" w:hAnsi="Times New Roman"/>
                <w:sz w:val="18"/>
                <w:szCs w:val="18"/>
                <w:color w:val="auto"/>
                <w:w w:val="95"/>
              </w:rPr>
              <w:t>32.2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6"/>
                <w:szCs w:val="16"/>
                <w:color w:val="0000FF"/>
              </w:rPr>
              <w:t>Section 1350</w:t>
            </w:r>
          </w:p>
        </w:tc>
        <w:tc>
          <w:tcPr>
            <w:tcW w:w="9360" w:type="dxa"/>
            <w:vAlign w:val="bottom"/>
            <w:tcBorders>
              <w:top w:val="single" w:sz="8" w:color="0000FF"/>
            </w:tcBorders>
            <w:gridSpan w:val="19"/>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0" w:type="dxa"/>
            <w:vAlign w:val="bottom"/>
            <w:gridSpan w:val="3"/>
          </w:tcPr>
          <w:p>
            <w:pPr>
              <w:jc w:val="center"/>
              <w:ind w:left="14"/>
              <w:spacing w:after="0"/>
              <w:rPr>
                <w:sz w:val="20"/>
                <w:szCs w:val="20"/>
                <w:color w:val="auto"/>
              </w:rPr>
            </w:pPr>
            <w:r>
              <w:rPr>
                <w:rFonts w:ascii="Times New Roman" w:cs="Times New Roman" w:eastAsia="Times New Roman" w:hAnsi="Times New Roman"/>
                <w:sz w:val="18"/>
                <w:szCs w:val="18"/>
                <w:color w:val="auto"/>
                <w:w w:val="95"/>
              </w:rPr>
              <w:t>97.1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Fidelity National Financial, Inc. Incentive-Based Executive Recoupment Policy</w:t>
            </w:r>
          </w:p>
        </w:tc>
        <w:tc>
          <w:tcPr>
            <w:tcW w:w="488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101.INS</w:t>
            </w:r>
          </w:p>
        </w:tc>
        <w:tc>
          <w:tcPr>
            <w:tcW w:w="104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Instance Document (2)</w:t>
            </w:r>
          </w:p>
        </w:tc>
        <w:tc>
          <w:tcPr>
            <w:tcW w:w="0" w:type="dxa"/>
            <w:vAlign w:val="bottom"/>
          </w:tcPr>
          <w:p>
            <w:pPr>
              <w:spacing w:after="0"/>
              <w:rPr>
                <w:sz w:val="1"/>
                <w:szCs w:val="1"/>
                <w:color w:val="auto"/>
              </w:rPr>
            </w:pPr>
          </w:p>
        </w:tc>
      </w:tr>
      <w:tr>
        <w:trPr>
          <w:trHeight w:val="224"/>
        </w:trPr>
        <w:tc>
          <w:tcPr>
            <w:tcW w:w="860" w:type="dxa"/>
            <w:vAlign w:val="bottom"/>
            <w:gridSpan w:val="5"/>
          </w:tcPr>
          <w:p>
            <w:pPr>
              <w:jc w:val="center"/>
              <w:ind w:right="75"/>
              <w:spacing w:after="0"/>
              <w:rPr>
                <w:sz w:val="20"/>
                <w:szCs w:val="20"/>
                <w:color w:val="auto"/>
              </w:rPr>
            </w:pPr>
            <w:r>
              <w:rPr>
                <w:rFonts w:ascii="Times New Roman" w:cs="Times New Roman" w:eastAsia="Times New Roman" w:hAnsi="Times New Roman"/>
                <w:sz w:val="18"/>
                <w:szCs w:val="18"/>
                <w:color w:val="auto"/>
                <w:w w:val="99"/>
              </w:rPr>
              <w:t>101.SCH</w:t>
            </w:r>
          </w:p>
        </w:tc>
        <w:tc>
          <w:tcPr>
            <w:tcW w:w="104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4"/>
        </w:trPr>
        <w:tc>
          <w:tcPr>
            <w:tcW w:w="860" w:type="dxa"/>
            <w:vAlign w:val="bottom"/>
            <w:gridSpan w:val="5"/>
          </w:tcPr>
          <w:p>
            <w:pPr>
              <w:jc w:val="center"/>
              <w:ind w:right="75"/>
              <w:spacing w:after="0"/>
              <w:rPr>
                <w:sz w:val="20"/>
                <w:szCs w:val="20"/>
                <w:color w:val="auto"/>
              </w:rPr>
            </w:pPr>
            <w:r>
              <w:rPr>
                <w:rFonts w:ascii="Times New Roman" w:cs="Times New Roman" w:eastAsia="Times New Roman" w:hAnsi="Times New Roman"/>
                <w:sz w:val="18"/>
                <w:szCs w:val="18"/>
                <w:color w:val="auto"/>
                <w:w w:val="97"/>
              </w:rPr>
              <w:t>101.CAL</w:t>
            </w:r>
          </w:p>
        </w:tc>
        <w:tc>
          <w:tcPr>
            <w:tcW w:w="104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4"/>
        </w:trPr>
        <w:tc>
          <w:tcPr>
            <w:tcW w:w="860" w:type="dxa"/>
            <w:vAlign w:val="bottom"/>
            <w:gridSpan w:val="5"/>
          </w:tcPr>
          <w:p>
            <w:pPr>
              <w:jc w:val="center"/>
              <w:ind w:right="55"/>
              <w:spacing w:after="0"/>
              <w:rPr>
                <w:sz w:val="20"/>
                <w:szCs w:val="20"/>
                <w:color w:val="auto"/>
              </w:rPr>
            </w:pPr>
            <w:r>
              <w:rPr>
                <w:rFonts w:ascii="Times New Roman" w:cs="Times New Roman" w:eastAsia="Times New Roman" w:hAnsi="Times New Roman"/>
                <w:sz w:val="18"/>
                <w:szCs w:val="18"/>
                <w:color w:val="auto"/>
                <w:w w:val="97"/>
              </w:rPr>
              <w:t>101.DEF</w:t>
            </w:r>
          </w:p>
        </w:tc>
        <w:tc>
          <w:tcPr>
            <w:tcW w:w="104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4"/>
        </w:trPr>
        <w:tc>
          <w:tcPr>
            <w:tcW w:w="860" w:type="dxa"/>
            <w:vAlign w:val="bottom"/>
            <w:gridSpan w:val="5"/>
          </w:tcPr>
          <w:p>
            <w:pPr>
              <w:jc w:val="center"/>
              <w:ind w:right="75"/>
              <w:spacing w:after="0"/>
              <w:rPr>
                <w:sz w:val="20"/>
                <w:szCs w:val="20"/>
                <w:color w:val="auto"/>
              </w:rPr>
            </w:pPr>
            <w:r>
              <w:rPr>
                <w:rFonts w:ascii="Times New Roman" w:cs="Times New Roman" w:eastAsia="Times New Roman" w:hAnsi="Times New Roman"/>
                <w:sz w:val="18"/>
                <w:szCs w:val="18"/>
                <w:color w:val="auto"/>
                <w:w w:val="96"/>
              </w:rPr>
              <w:t>101.PRE</w:t>
            </w:r>
          </w:p>
        </w:tc>
        <w:tc>
          <w:tcPr>
            <w:tcW w:w="104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8"/>
        </w:trPr>
        <w:tc>
          <w:tcPr>
            <w:tcW w:w="860" w:type="dxa"/>
            <w:vAlign w:val="bottom"/>
            <w:gridSpan w:val="5"/>
          </w:tcPr>
          <w:p>
            <w:pPr>
              <w:jc w:val="center"/>
              <w:ind w:right="75"/>
              <w:spacing w:after="0"/>
              <w:rPr>
                <w:sz w:val="20"/>
                <w:szCs w:val="20"/>
                <w:color w:val="auto"/>
              </w:rPr>
            </w:pPr>
            <w:r>
              <w:rPr>
                <w:rFonts w:ascii="Times New Roman" w:cs="Times New Roman" w:eastAsia="Times New Roman" w:hAnsi="Times New Roman"/>
                <w:sz w:val="18"/>
                <w:szCs w:val="18"/>
                <w:color w:val="auto"/>
                <w:w w:val="97"/>
              </w:rPr>
              <w:t>101.LAB</w:t>
            </w:r>
          </w:p>
        </w:tc>
        <w:tc>
          <w:tcPr>
            <w:tcW w:w="104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bl>
    <w:p>
      <w:pPr>
        <w:ind w:left="1000" w:hanging="639"/>
        <w:spacing w:after="0"/>
        <w:tabs>
          <w:tab w:leader="none" w:pos="10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77"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or compensatory plan or arrangement required to be filed as an exhibit to this report pursuant to Item 15(c) of Form 10-K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The instance document does not appear in the interactive data file because its XBRL tags are embedded within the inline XBRL document.</w:t>
      </w:r>
    </w:p>
    <w:p>
      <w:pPr>
        <w:spacing w:after="0" w:line="36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i w:val="1"/>
          <w:iCs w:val="1"/>
          <w:color w:val="auto"/>
        </w:rPr>
        <w:t>Form 10-K Summary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SIGNATURES</w:t>
      </w:r>
    </w:p>
    <w:p>
      <w:pPr>
        <w:spacing w:after="0" w:line="109" w:lineRule="exact"/>
        <w:rPr>
          <w:sz w:val="20"/>
          <w:szCs w:val="20"/>
          <w:color w:val="auto"/>
        </w:rPr>
      </w:pPr>
    </w:p>
    <w:p>
      <w:pPr>
        <w:ind w:firstLine="158"/>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Fidelity National Financial, Inc.</w:t>
      </w:r>
    </w:p>
    <w:p>
      <w:pPr>
        <w:spacing w:after="0" w:line="21" w:lineRule="exact"/>
        <w:rPr>
          <w:sz w:val="20"/>
          <w:szCs w:val="20"/>
          <w:color w:val="auto"/>
        </w:rPr>
      </w:pPr>
    </w:p>
    <w:p>
      <w:pPr>
        <w:ind w:left="6160"/>
        <w:spacing w:after="0"/>
        <w:tabs>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10795</wp:posOffset>
            </wp:positionV>
            <wp:extent cx="233934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5">
                      <a:extLst>
                        <a:ext uri="{28A0092B-C50C-407E-A947-70E740481C1C}"/>
                      </a:extLst>
                    </a:blip>
                    <a:srcRect/>
                    <a:stretch>
                      <a:fillRect/>
                    </a:stretch>
                  </pic:blipFill>
                  <pic:spPr bwMode="auto">
                    <a:xfrm>
                      <a:off x="0" y="0"/>
                      <a:ext cx="2339340" cy="8255"/>
                    </a:xfrm>
                    <a:prstGeom prst="rect">
                      <a:avLst/>
                    </a:prstGeom>
                    <a:noFill/>
                  </pic:spPr>
                </pic:pic>
              </a:graphicData>
            </a:graphic>
          </wp:anchor>
        </w:drawing>
      </w:r>
    </w:p>
    <w:p>
      <w:pPr>
        <w:spacing w:after="0" w:line="5"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Michael J. Nolan</w:t>
      </w:r>
    </w:p>
    <w:p>
      <w:pPr>
        <w:spacing w:after="0" w:line="2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80" w:lineRule="exact"/>
        <w:rPr>
          <w:sz w:val="20"/>
          <w:szCs w:val="20"/>
          <w:color w:val="auto"/>
        </w:rPr>
      </w:pPr>
    </w:p>
    <w:p>
      <w:pPr>
        <w:ind w:left="20" w:right="400" w:firstLine="263"/>
        <w:spacing w:after="0" w:line="23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400" w:type="dxa"/>
            <w:vAlign w:val="bottom"/>
          </w:tcPr>
          <w:p>
            <w:pPr>
              <w:spacing w:after="0"/>
              <w:rPr>
                <w:sz w:val="13"/>
                <w:szCs w:val="13"/>
                <w:color w:val="auto"/>
              </w:rPr>
            </w:pPr>
          </w:p>
        </w:tc>
        <w:tc>
          <w:tcPr>
            <w:tcW w:w="4880" w:type="dxa"/>
            <w:vAlign w:val="bottom"/>
            <w:gridSpan w:val="3"/>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48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0"/>
        </w:trPr>
        <w:tc>
          <w:tcPr>
            <w:tcW w:w="1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308"/>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Michael J. Nolan</w:t>
            </w:r>
          </w:p>
        </w:tc>
        <w:tc>
          <w:tcPr>
            <w:tcW w:w="4880" w:type="dxa"/>
            <w:vAlign w:val="bottom"/>
            <w:gridSpan w:val="3"/>
          </w:tcPr>
          <w:p>
            <w:pPr>
              <w:jc w:val="center"/>
              <w:ind w:left="473"/>
              <w:spacing w:after="0"/>
              <w:rPr>
                <w:sz w:val="20"/>
                <w:szCs w:val="20"/>
                <w:color w:val="auto"/>
              </w:rPr>
            </w:pPr>
            <w:r>
              <w:rPr>
                <w:rFonts w:ascii="Times New Roman" w:cs="Times New Roman" w:eastAsia="Times New Roman" w:hAnsi="Times New Roman"/>
                <w:sz w:val="18"/>
                <w:szCs w:val="18"/>
                <w:color w:val="auto"/>
                <w:w w:val="97"/>
              </w:rPr>
              <w:t>Chief Executive Officer</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2"/>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Michael J. Nolan</w:t>
            </w:r>
          </w:p>
        </w:tc>
        <w:tc>
          <w:tcPr>
            <w:tcW w:w="4880" w:type="dxa"/>
            <w:vAlign w:val="bottom"/>
            <w:gridSpan w:val="3"/>
          </w:tcPr>
          <w:p>
            <w:pPr>
              <w:jc w:val="center"/>
              <w:ind w:left="473"/>
              <w:spacing w:after="0"/>
              <w:rPr>
                <w:sz w:val="20"/>
                <w:szCs w:val="20"/>
                <w:color w:val="auto"/>
              </w:rPr>
            </w:pPr>
            <w:r>
              <w:rPr>
                <w:rFonts w:ascii="Times New Roman" w:cs="Times New Roman" w:eastAsia="Times New Roman" w:hAnsi="Times New Roman"/>
                <w:sz w:val="18"/>
                <w:szCs w:val="18"/>
                <w:color w:val="auto"/>
                <w:w w:val="97"/>
              </w:rPr>
              <w:t>(Principal Executive Officer)</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71"/>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Anthony J. Park</w:t>
            </w:r>
          </w:p>
        </w:tc>
        <w:tc>
          <w:tcPr>
            <w:tcW w:w="4880" w:type="dxa"/>
            <w:vAlign w:val="bottom"/>
            <w:gridSpan w:val="3"/>
          </w:tcPr>
          <w:p>
            <w:pPr>
              <w:jc w:val="center"/>
              <w:ind w:left="473"/>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2"/>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Anthony J. Park</w:t>
            </w:r>
          </w:p>
        </w:tc>
        <w:tc>
          <w:tcPr>
            <w:tcW w:w="4880" w:type="dxa"/>
            <w:vAlign w:val="bottom"/>
            <w:gridSpan w:val="3"/>
          </w:tcPr>
          <w:p>
            <w:pPr>
              <w:jc w:val="center"/>
              <w:ind w:left="473"/>
              <w:spacing w:after="0"/>
              <w:rPr>
                <w:sz w:val="20"/>
                <w:szCs w:val="20"/>
                <w:color w:val="auto"/>
              </w:rPr>
            </w:pPr>
            <w:r>
              <w:rPr>
                <w:rFonts w:ascii="Times New Roman" w:cs="Times New Roman" w:eastAsia="Times New Roman" w:hAnsi="Times New Roman"/>
                <w:sz w:val="18"/>
                <w:szCs w:val="18"/>
                <w:color w:val="auto"/>
                <w:w w:val="97"/>
              </w:rPr>
              <w:t>(Principal Financial and Accounting Officer)</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71"/>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/s/ William P. Foley, II</w:t>
            </w:r>
          </w:p>
        </w:tc>
        <w:tc>
          <w:tcPr>
            <w:tcW w:w="4880" w:type="dxa"/>
            <w:vAlign w:val="bottom"/>
            <w:gridSpan w:val="3"/>
          </w:tcPr>
          <w:p>
            <w:pPr>
              <w:jc w:val="center"/>
              <w:ind w:left="453"/>
              <w:spacing w:after="0"/>
              <w:rPr>
                <w:sz w:val="20"/>
                <w:szCs w:val="20"/>
                <w:color w:val="auto"/>
              </w:rPr>
            </w:pPr>
            <w:r>
              <w:rPr>
                <w:rFonts w:ascii="Times New Roman" w:cs="Times New Roman" w:eastAsia="Times New Roman" w:hAnsi="Times New Roman"/>
                <w:sz w:val="18"/>
                <w:szCs w:val="18"/>
                <w:color w:val="auto"/>
                <w:w w:val="97"/>
              </w:rPr>
              <w:t>Director and Chairman of the Board</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2"/>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4"/>
              </w:rPr>
              <w:t>William P. Foley, II</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71"/>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Raymond R. Quirk</w:t>
            </w:r>
          </w:p>
        </w:tc>
        <w:tc>
          <w:tcPr>
            <w:tcW w:w="4880" w:type="dxa"/>
            <w:vAlign w:val="bottom"/>
            <w:gridSpan w:val="3"/>
          </w:tcPr>
          <w:p>
            <w:pPr>
              <w:jc w:val="center"/>
              <w:ind w:left="473"/>
              <w:spacing w:after="0"/>
              <w:rPr>
                <w:sz w:val="20"/>
                <w:szCs w:val="20"/>
                <w:color w:val="auto"/>
              </w:rPr>
            </w:pPr>
            <w:r>
              <w:rPr>
                <w:rFonts w:ascii="Times New Roman" w:cs="Times New Roman" w:eastAsia="Times New Roman" w:hAnsi="Times New Roman"/>
                <w:sz w:val="18"/>
                <w:szCs w:val="18"/>
                <w:color w:val="auto"/>
                <w:w w:val="96"/>
              </w:rPr>
              <w:t>Director and Executive Vice Chairman of the Board</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2"/>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Raymond R. Quirk</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1"/>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Douglas K. Ammerman</w:t>
            </w:r>
          </w:p>
        </w:tc>
        <w:tc>
          <w:tcPr>
            <w:tcW w:w="4880" w:type="dxa"/>
            <w:vAlign w:val="bottom"/>
            <w:gridSpan w:val="3"/>
          </w:tcPr>
          <w:p>
            <w:pPr>
              <w:jc w:val="center"/>
              <w:ind w:left="453"/>
              <w:spacing w:after="0"/>
              <w:rPr>
                <w:sz w:val="20"/>
                <w:szCs w:val="20"/>
                <w:color w:val="auto"/>
              </w:rPr>
            </w:pPr>
            <w:r>
              <w:rPr>
                <w:rFonts w:ascii="Times New Roman" w:cs="Times New Roman" w:eastAsia="Times New Roman" w:hAnsi="Times New Roman"/>
                <w:sz w:val="18"/>
                <w:szCs w:val="18"/>
                <w:color w:val="auto"/>
                <w:w w:val="96"/>
              </w:rPr>
              <w:t>Director</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2"/>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Douglas K. Ammerman</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71"/>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Halim Dhanidina</w:t>
            </w:r>
          </w:p>
        </w:tc>
        <w:tc>
          <w:tcPr>
            <w:tcW w:w="4880" w:type="dxa"/>
            <w:vAlign w:val="bottom"/>
            <w:gridSpan w:val="3"/>
          </w:tcPr>
          <w:p>
            <w:pPr>
              <w:jc w:val="center"/>
              <w:ind w:left="453"/>
              <w:spacing w:after="0"/>
              <w:rPr>
                <w:sz w:val="20"/>
                <w:szCs w:val="20"/>
                <w:color w:val="auto"/>
              </w:rPr>
            </w:pPr>
            <w:r>
              <w:rPr>
                <w:rFonts w:ascii="Times New Roman" w:cs="Times New Roman" w:eastAsia="Times New Roman" w:hAnsi="Times New Roman"/>
                <w:sz w:val="18"/>
                <w:szCs w:val="18"/>
                <w:color w:val="auto"/>
                <w:w w:val="96"/>
              </w:rPr>
              <w:t>Director</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2"/>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Halim Dhanidina</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71"/>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Thomas M. Hagerty</w:t>
            </w:r>
          </w:p>
        </w:tc>
        <w:tc>
          <w:tcPr>
            <w:tcW w:w="4880" w:type="dxa"/>
            <w:vAlign w:val="bottom"/>
            <w:gridSpan w:val="3"/>
          </w:tcPr>
          <w:p>
            <w:pPr>
              <w:jc w:val="center"/>
              <w:ind w:left="453"/>
              <w:spacing w:after="0"/>
              <w:rPr>
                <w:sz w:val="20"/>
                <w:szCs w:val="20"/>
                <w:color w:val="auto"/>
              </w:rPr>
            </w:pPr>
            <w:r>
              <w:rPr>
                <w:rFonts w:ascii="Times New Roman" w:cs="Times New Roman" w:eastAsia="Times New Roman" w:hAnsi="Times New Roman"/>
                <w:sz w:val="18"/>
                <w:szCs w:val="18"/>
                <w:color w:val="auto"/>
                <w:w w:val="96"/>
              </w:rPr>
              <w:t>Director</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2"/>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Thomas M. Hagerty</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71"/>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Daniel D. (Ron) Lane</w:t>
            </w:r>
          </w:p>
        </w:tc>
        <w:tc>
          <w:tcPr>
            <w:tcW w:w="4880" w:type="dxa"/>
            <w:vAlign w:val="bottom"/>
            <w:gridSpan w:val="3"/>
          </w:tcPr>
          <w:p>
            <w:pPr>
              <w:jc w:val="center"/>
              <w:ind w:left="453"/>
              <w:spacing w:after="0"/>
              <w:rPr>
                <w:sz w:val="20"/>
                <w:szCs w:val="20"/>
                <w:color w:val="auto"/>
              </w:rPr>
            </w:pPr>
            <w:r>
              <w:rPr>
                <w:rFonts w:ascii="Times New Roman" w:cs="Times New Roman" w:eastAsia="Times New Roman" w:hAnsi="Times New Roman"/>
                <w:sz w:val="18"/>
                <w:szCs w:val="18"/>
                <w:color w:val="auto"/>
                <w:w w:val="96"/>
              </w:rPr>
              <w:t>Director</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2"/>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Daniel D. (Ron) Lane</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71"/>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Sandra D. Morgan</w:t>
            </w:r>
          </w:p>
        </w:tc>
        <w:tc>
          <w:tcPr>
            <w:tcW w:w="4880" w:type="dxa"/>
            <w:vAlign w:val="bottom"/>
            <w:gridSpan w:val="3"/>
          </w:tcPr>
          <w:p>
            <w:pPr>
              <w:jc w:val="center"/>
              <w:ind w:left="453"/>
              <w:spacing w:after="0"/>
              <w:rPr>
                <w:sz w:val="20"/>
                <w:szCs w:val="20"/>
                <w:color w:val="auto"/>
              </w:rPr>
            </w:pPr>
            <w:r>
              <w:rPr>
                <w:rFonts w:ascii="Times New Roman" w:cs="Times New Roman" w:eastAsia="Times New Roman" w:hAnsi="Times New Roman"/>
                <w:sz w:val="18"/>
                <w:szCs w:val="18"/>
                <w:color w:val="auto"/>
                <w:w w:val="96"/>
              </w:rPr>
              <w:t>Director</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2"/>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Sandra D. Morgan</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71"/>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Heather H. Miller</w:t>
            </w:r>
          </w:p>
        </w:tc>
        <w:tc>
          <w:tcPr>
            <w:tcW w:w="4880" w:type="dxa"/>
            <w:vAlign w:val="bottom"/>
            <w:gridSpan w:val="3"/>
          </w:tcPr>
          <w:p>
            <w:pPr>
              <w:jc w:val="center"/>
              <w:ind w:left="453"/>
              <w:spacing w:after="0"/>
              <w:rPr>
                <w:sz w:val="20"/>
                <w:szCs w:val="20"/>
                <w:color w:val="auto"/>
              </w:rPr>
            </w:pPr>
            <w:r>
              <w:rPr>
                <w:rFonts w:ascii="Times New Roman" w:cs="Times New Roman" w:eastAsia="Times New Roman" w:hAnsi="Times New Roman"/>
                <w:sz w:val="18"/>
                <w:szCs w:val="18"/>
                <w:color w:val="auto"/>
                <w:w w:val="96"/>
              </w:rPr>
              <w:t>Director</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2"/>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Heather H. Miller</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71"/>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John D. Rood</w:t>
            </w:r>
          </w:p>
        </w:tc>
        <w:tc>
          <w:tcPr>
            <w:tcW w:w="4880" w:type="dxa"/>
            <w:vAlign w:val="bottom"/>
            <w:gridSpan w:val="3"/>
          </w:tcPr>
          <w:p>
            <w:pPr>
              <w:jc w:val="center"/>
              <w:ind w:left="453"/>
              <w:spacing w:after="0"/>
              <w:rPr>
                <w:sz w:val="20"/>
                <w:szCs w:val="20"/>
                <w:color w:val="auto"/>
              </w:rPr>
            </w:pPr>
            <w:r>
              <w:rPr>
                <w:rFonts w:ascii="Times New Roman" w:cs="Times New Roman" w:eastAsia="Times New Roman" w:hAnsi="Times New Roman"/>
                <w:sz w:val="18"/>
                <w:szCs w:val="18"/>
                <w:color w:val="auto"/>
                <w:w w:val="96"/>
              </w:rPr>
              <w:t>Director</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2"/>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John D. Rood</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71"/>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Peter O. Shea, Jr.</w:t>
            </w:r>
          </w:p>
        </w:tc>
        <w:tc>
          <w:tcPr>
            <w:tcW w:w="4880" w:type="dxa"/>
            <w:vAlign w:val="bottom"/>
            <w:gridSpan w:val="3"/>
          </w:tcPr>
          <w:p>
            <w:pPr>
              <w:jc w:val="center"/>
              <w:ind w:left="453"/>
              <w:spacing w:after="0"/>
              <w:rPr>
                <w:sz w:val="20"/>
                <w:szCs w:val="20"/>
                <w:color w:val="auto"/>
              </w:rPr>
            </w:pPr>
            <w:r>
              <w:rPr>
                <w:rFonts w:ascii="Times New Roman" w:cs="Times New Roman" w:eastAsia="Times New Roman" w:hAnsi="Times New Roman"/>
                <w:sz w:val="18"/>
                <w:szCs w:val="18"/>
                <w:color w:val="auto"/>
                <w:w w:val="96"/>
              </w:rPr>
              <w:t>Director</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2"/>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Peter O. Shea, Jr.</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71"/>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Cary H. Thompson</w:t>
            </w:r>
          </w:p>
        </w:tc>
        <w:tc>
          <w:tcPr>
            <w:tcW w:w="4880" w:type="dxa"/>
            <w:vAlign w:val="bottom"/>
            <w:gridSpan w:val="3"/>
          </w:tcPr>
          <w:p>
            <w:pPr>
              <w:jc w:val="center"/>
              <w:ind w:left="453"/>
              <w:spacing w:after="0"/>
              <w:rPr>
                <w:sz w:val="20"/>
                <w:szCs w:val="20"/>
                <w:color w:val="auto"/>
              </w:rPr>
            </w:pPr>
            <w:r>
              <w:rPr>
                <w:rFonts w:ascii="Times New Roman" w:cs="Times New Roman" w:eastAsia="Times New Roman" w:hAnsi="Times New Roman"/>
                <w:sz w:val="18"/>
                <w:szCs w:val="18"/>
                <w:color w:val="auto"/>
                <w:w w:val="96"/>
              </w:rPr>
              <w:t>Director</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2"/>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Cary H. Thompson</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vMerge w:val="restart"/>
          </w:tcPr>
          <w:p>
            <w:pPr>
              <w:jc w:val="center"/>
              <w:ind w:left="2728"/>
              <w:spacing w:after="0"/>
              <w:rPr>
                <w:sz w:val="20"/>
                <w:szCs w:val="20"/>
                <w:color w:val="auto"/>
              </w:rPr>
            </w:pPr>
            <w:r>
              <w:rPr>
                <w:rFonts w:ascii="Times New Roman" w:cs="Times New Roman" w:eastAsia="Times New Roman" w:hAnsi="Times New Roman"/>
                <w:sz w:val="18"/>
                <w:szCs w:val="18"/>
                <w:b w:val="1"/>
                <w:bCs w:val="1"/>
                <w:color w:val="auto"/>
                <w:w w:val="97"/>
              </w:rPr>
              <w:t>FIDELITY NATIONAL FINANCIAL, INC.</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5"/>
              </w:rPr>
              <w:t>SCHEDULE II</w:t>
            </w:r>
          </w:p>
        </w:tc>
        <w:tc>
          <w:tcPr>
            <w:tcW w:w="0" w:type="dxa"/>
            <w:vAlign w:val="bottom"/>
          </w:tcPr>
          <w:p>
            <w:pPr>
              <w:spacing w:after="0"/>
              <w:rPr>
                <w:sz w:val="1"/>
                <w:szCs w:val="1"/>
                <w:color w:val="auto"/>
              </w:rPr>
            </w:pPr>
          </w:p>
        </w:tc>
      </w:tr>
      <w:tr>
        <w:trPr>
          <w:trHeight w:val="191"/>
        </w:trPr>
        <w:tc>
          <w:tcPr>
            <w:tcW w:w="844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40" w:type="dxa"/>
            <w:vAlign w:val="bottom"/>
          </w:tcPr>
          <w:p>
            <w:pPr>
              <w:jc w:val="center"/>
              <w:ind w:left="2728"/>
              <w:spacing w:after="0"/>
              <w:rPr>
                <w:sz w:val="20"/>
                <w:szCs w:val="20"/>
                <w:color w:val="auto"/>
              </w:rPr>
            </w:pPr>
            <w:r>
              <w:rPr>
                <w:rFonts w:ascii="Times New Roman" w:cs="Times New Roman" w:eastAsia="Times New Roman" w:hAnsi="Times New Roman"/>
                <w:sz w:val="18"/>
                <w:szCs w:val="18"/>
                <w:b w:val="1"/>
                <w:bCs w:val="1"/>
                <w:color w:val="auto"/>
                <w:w w:val="97"/>
              </w:rPr>
              <w:t>(Parent Company)</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8440" w:type="dxa"/>
            <w:vAlign w:val="bottom"/>
          </w:tcPr>
          <w:p>
            <w:pPr>
              <w:jc w:val="center"/>
              <w:ind w:left="2748"/>
              <w:spacing w:after="0"/>
              <w:rPr>
                <w:sz w:val="20"/>
                <w:szCs w:val="20"/>
                <w:color w:val="auto"/>
              </w:rPr>
            </w:pPr>
            <w:r>
              <w:rPr>
                <w:rFonts w:ascii="Times New Roman" w:cs="Times New Roman" w:eastAsia="Times New Roman" w:hAnsi="Times New Roman"/>
                <w:sz w:val="18"/>
                <w:szCs w:val="18"/>
                <w:b w:val="1"/>
                <w:bCs w:val="1"/>
                <w:color w:val="auto"/>
                <w:w w:val="97"/>
              </w:rPr>
              <w:t>BALANCE SHEETS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gridSpan w:val="5"/>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440" w:type="dxa"/>
            <w:vAlign w:val="bottom"/>
          </w:tcPr>
          <w:p>
            <w:pPr>
              <w:spacing w:after="0"/>
              <w:rPr>
                <w:sz w:val="16"/>
                <w:szCs w:val="16"/>
                <w:color w:val="auto"/>
              </w:rPr>
            </w:pPr>
          </w:p>
        </w:tc>
        <w:tc>
          <w:tcPr>
            <w:tcW w:w="2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5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7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7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 at fair value</w:t>
            </w:r>
          </w:p>
        </w:tc>
        <w:tc>
          <w:tcPr>
            <w:tcW w:w="7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w:t>
            </w: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and amounts due from subsidiaries</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7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7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40" w:type="dxa"/>
            <w:vAlign w:val="bottom"/>
            <w:shd w:val="clear" w:color="auto" w:fill="CCEEFF"/>
          </w:tcPr>
          <w:p>
            <w:pPr>
              <w:ind w:left="46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7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payable</w:t>
            </w:r>
          </w:p>
        </w:tc>
        <w:tc>
          <w:tcPr>
            <w:tcW w:w="7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Notes payable</w:t>
            </w: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84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FNF common stock, $0.0001 par value; authorized 600,000,000 shares as of December 31, 2023 and December 31, 2022; outstanding of</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4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273,366,235 and 279,064,457 as of December 31, 2023 and December 31, 2022, respectively, and issued of 329,185,916 and 327,757,349 as of</w:t>
            </w:r>
          </w:p>
        </w:tc>
        <w:tc>
          <w:tcPr>
            <w:tcW w:w="7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December 31, 2023 and December 31, 2022, respectively</w:t>
            </w:r>
          </w:p>
        </w:tc>
        <w:tc>
          <w:tcPr>
            <w:tcW w:w="78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$0.0001 par value; authorized 50,000,000 shares; issued and outstanding, none</w:t>
            </w:r>
          </w:p>
        </w:tc>
        <w:tc>
          <w:tcPr>
            <w:tcW w:w="7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earnings</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Less: Treasury stock, 55,819,681 shares and 48,692,892 shares as of December 31, 2023 and December 31, 2022, respectively, at cost</w:t>
            </w: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equity of Fidelity National Financial, Inc. common shareholders</w:t>
            </w:r>
          </w:p>
        </w:tc>
        <w:tc>
          <w:tcPr>
            <w:tcW w:w="7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7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SCHEDULE II</w:t>
            </w:r>
          </w:p>
        </w:tc>
      </w:tr>
      <w:tr>
        <w:trPr>
          <w:trHeight w:val="428"/>
        </w:trPr>
        <w:tc>
          <w:tcPr>
            <w:tcW w:w="7440" w:type="dxa"/>
            <w:vAlign w:val="bottom"/>
          </w:tcPr>
          <w:p>
            <w:pPr>
              <w:jc w:val="center"/>
              <w:ind w:left="3728"/>
              <w:spacing w:after="0"/>
              <w:rPr>
                <w:sz w:val="20"/>
                <w:szCs w:val="20"/>
                <w:color w:val="auto"/>
              </w:rPr>
            </w:pPr>
            <w:r>
              <w:rPr>
                <w:rFonts w:ascii="Times New Roman" w:cs="Times New Roman" w:eastAsia="Times New Roman" w:hAnsi="Times New Roman"/>
                <w:sz w:val="18"/>
                <w:szCs w:val="18"/>
                <w:b w:val="1"/>
                <w:bCs w:val="1"/>
                <w:color w:val="auto"/>
                <w:w w:val="97"/>
              </w:rPr>
              <w:t>FIDELITY NATIONAL FINANCIAL, INC.</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7440" w:type="dxa"/>
            <w:vAlign w:val="bottom"/>
          </w:tcPr>
          <w:p>
            <w:pPr>
              <w:jc w:val="center"/>
              <w:ind w:left="3728"/>
              <w:spacing w:after="0"/>
              <w:rPr>
                <w:sz w:val="20"/>
                <w:szCs w:val="20"/>
                <w:color w:val="auto"/>
              </w:rPr>
            </w:pPr>
            <w:r>
              <w:rPr>
                <w:rFonts w:ascii="Times New Roman" w:cs="Times New Roman" w:eastAsia="Times New Roman" w:hAnsi="Times New Roman"/>
                <w:sz w:val="18"/>
                <w:szCs w:val="18"/>
                <w:b w:val="1"/>
                <w:bCs w:val="1"/>
                <w:color w:val="auto"/>
                <w:w w:val="97"/>
              </w:rPr>
              <w:t>(Parent Company)</w:t>
            </w: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7"/>
        </w:trPr>
        <w:tc>
          <w:tcPr>
            <w:tcW w:w="8200" w:type="dxa"/>
            <w:vAlign w:val="bottom"/>
            <w:gridSpan w:val="2"/>
          </w:tcPr>
          <w:p>
            <w:pPr>
              <w:jc w:val="center"/>
              <w:ind w:left="2988"/>
              <w:spacing w:after="0"/>
              <w:rPr>
                <w:sz w:val="20"/>
                <w:szCs w:val="20"/>
                <w:color w:val="auto"/>
              </w:rPr>
            </w:pPr>
            <w:r>
              <w:rPr>
                <w:rFonts w:ascii="Times New Roman" w:cs="Times New Roman" w:eastAsia="Times New Roman" w:hAnsi="Times New Roman"/>
                <w:sz w:val="18"/>
                <w:szCs w:val="18"/>
                <w:b w:val="1"/>
                <w:bCs w:val="1"/>
                <w:color w:val="auto"/>
                <w:w w:val="96"/>
              </w:rPr>
              <w:t>STATEMENTS OF EARNINGS AND RETAINED EARNINGS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1"/>
        </w:trPr>
        <w:tc>
          <w:tcPr>
            <w:tcW w:w="7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20" w:type="dxa"/>
            <w:vAlign w:val="bottom"/>
            <w:gridSpan w:val="6"/>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
        </w:trPr>
        <w:tc>
          <w:tcPr>
            <w:tcW w:w="74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4"/>
        </w:trPr>
        <w:tc>
          <w:tcPr>
            <w:tcW w:w="74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r>
      <w:tr>
        <w:trPr>
          <w:trHeight w:val="191"/>
        </w:trPr>
        <w:tc>
          <w:tcPr>
            <w:tcW w:w="7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fees and revenue</w:t>
            </w:r>
          </w:p>
        </w:tc>
        <w:tc>
          <w:tcPr>
            <w:tcW w:w="76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400" w:type="dxa"/>
            <w:vAlign w:val="bottom"/>
          </w:tcPr>
          <w:p>
            <w:pPr>
              <w:jc w:val="right"/>
              <w:ind w:right="246"/>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tcPr>
          <w:p>
            <w:pPr>
              <w:spacing w:after="0"/>
              <w:rPr>
                <w:sz w:val="16"/>
                <w:szCs w:val="16"/>
                <w:color w:val="auto"/>
              </w:rPr>
            </w:pPr>
          </w:p>
        </w:tc>
      </w:tr>
      <w:tr>
        <w:trPr>
          <w:trHeight w:val="205"/>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and realized gains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7"/>
                <w:szCs w:val="17"/>
                <w:color w:val="auto"/>
              </w:rPr>
            </w:pPr>
          </w:p>
        </w:tc>
      </w:tr>
      <w:tr>
        <w:trPr>
          <w:trHeight w:val="191"/>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6"/>
                <w:szCs w:val="16"/>
                <w:color w:val="auto"/>
              </w:rPr>
            </w:pPr>
          </w:p>
        </w:tc>
      </w:tr>
      <w:tr>
        <w:trPr>
          <w:trHeight w:val="197"/>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7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Pr>
          <w:p>
            <w:pPr>
              <w:spacing w:after="0"/>
              <w:rPr>
                <w:sz w:val="17"/>
                <w:szCs w:val="17"/>
                <w:color w:val="auto"/>
              </w:rPr>
            </w:pPr>
          </w:p>
        </w:tc>
      </w:tr>
      <w:tr>
        <w:trPr>
          <w:trHeight w:val="167"/>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4"/>
        </w:trPr>
        <w:tc>
          <w:tcPr>
            <w:tcW w:w="7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Personnel expenses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Pr>
          <w:p>
            <w:pPr>
              <w:spacing w:after="0"/>
              <w:rPr>
                <w:sz w:val="17"/>
                <w:szCs w:val="17"/>
                <w:color w:val="auto"/>
              </w:rPr>
            </w:pPr>
          </w:p>
        </w:tc>
      </w:tr>
      <w:tr>
        <w:trPr>
          <w:trHeight w:val="19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6"/>
                <w:szCs w:val="16"/>
                <w:color w:val="auto"/>
              </w:rPr>
            </w:pPr>
          </w:p>
        </w:tc>
      </w:tr>
      <w:tr>
        <w:trPr>
          <w:trHeight w:val="205"/>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40" w:type="dxa"/>
            <w:vAlign w:val="bottom"/>
          </w:tcPr>
          <w:p>
            <w:pPr>
              <w:spacing w:after="0"/>
              <w:rPr>
                <w:sz w:val="17"/>
                <w:szCs w:val="17"/>
                <w:color w:val="auto"/>
              </w:rPr>
            </w:pPr>
          </w:p>
        </w:tc>
      </w:tr>
      <w:tr>
        <w:trPr>
          <w:trHeight w:val="184"/>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expenses</w:t>
            </w: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40" w:type="dxa"/>
            <w:vAlign w:val="bottom"/>
          </w:tcPr>
          <w:p>
            <w:pPr>
              <w:spacing w:after="0"/>
              <w:rPr>
                <w:sz w:val="15"/>
                <w:szCs w:val="15"/>
                <w:color w:val="auto"/>
              </w:rPr>
            </w:pPr>
          </w:p>
        </w:tc>
      </w:tr>
      <w:tr>
        <w:trPr>
          <w:trHeight w:val="19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before income tax benefit and equity in earnings of subsidiaries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tcPr>
          <w:p>
            <w:pPr>
              <w:spacing w:after="0"/>
              <w:rPr>
                <w:sz w:val="17"/>
                <w:szCs w:val="17"/>
                <w:color w:val="auto"/>
              </w:rPr>
            </w:pPr>
          </w:p>
        </w:tc>
      </w:tr>
      <w:tr>
        <w:trPr>
          <w:trHeight w:val="191"/>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40" w:type="dxa"/>
            <w:vAlign w:val="bottom"/>
          </w:tcPr>
          <w:p>
            <w:pPr>
              <w:spacing w:after="0"/>
              <w:rPr>
                <w:sz w:val="16"/>
                <w:szCs w:val="16"/>
                <w:color w:val="auto"/>
              </w:rPr>
            </w:pPr>
          </w:p>
        </w:tc>
      </w:tr>
      <w:tr>
        <w:trPr>
          <w:trHeight w:val="19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before equity in earnings of subsidiaries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40" w:type="dxa"/>
            <w:vAlign w:val="bottom"/>
          </w:tcPr>
          <w:p>
            <w:pPr>
              <w:spacing w:after="0"/>
              <w:rPr>
                <w:sz w:val="17"/>
                <w:szCs w:val="17"/>
                <w:color w:val="auto"/>
              </w:rPr>
            </w:pPr>
          </w:p>
        </w:tc>
      </w:tr>
      <w:tr>
        <w:trPr>
          <w:trHeight w:val="191"/>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earnings of subsidiaries</w:t>
            </w: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40" w:type="dxa"/>
            <w:vAlign w:val="bottom"/>
          </w:tcPr>
          <w:p>
            <w:pPr>
              <w:spacing w:after="0"/>
              <w:rPr>
                <w:sz w:val="16"/>
                <w:szCs w:val="16"/>
                <w:color w:val="auto"/>
              </w:rPr>
            </w:pPr>
          </w:p>
        </w:tc>
      </w:tr>
      <w:tr>
        <w:trPr>
          <w:trHeight w:val="19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from continuing operations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40" w:type="dxa"/>
            <w:vAlign w:val="bottom"/>
          </w:tcPr>
          <w:p>
            <w:pPr>
              <w:spacing w:after="0"/>
              <w:rPr>
                <w:sz w:val="17"/>
                <w:szCs w:val="17"/>
                <w:color w:val="auto"/>
              </w:rPr>
            </w:pPr>
          </w:p>
        </w:tc>
      </w:tr>
      <w:tr>
        <w:trPr>
          <w:trHeight w:val="191"/>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earnings of discontinued operations</w:t>
            </w:r>
          </w:p>
        </w:tc>
        <w:tc>
          <w:tcPr>
            <w:tcW w:w="76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6"/>
                <w:szCs w:val="16"/>
                <w:color w:val="auto"/>
              </w:rPr>
            </w:pPr>
          </w:p>
        </w:tc>
      </w:tr>
      <w:tr>
        <w:trPr>
          <w:trHeight w:val="222"/>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Fidelity National Financial, Inc. common shareholders</w:t>
            </w:r>
          </w:p>
        </w:tc>
        <w:tc>
          <w:tcPr>
            <w:tcW w:w="76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40" w:type="dxa"/>
            <w:vAlign w:val="bottom"/>
          </w:tcPr>
          <w:p>
            <w:pPr>
              <w:spacing w:after="0"/>
              <w:rPr>
                <w:sz w:val="18"/>
                <w:szCs w:val="18"/>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7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 beginning of year</w:t>
            </w:r>
          </w:p>
        </w:tc>
        <w:tc>
          <w:tcPr>
            <w:tcW w:w="7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w:t>
            </w:r>
          </w:p>
        </w:tc>
        <w:tc>
          <w:tcPr>
            <w:tcW w:w="40" w:type="dxa"/>
            <w:vAlign w:val="bottom"/>
          </w:tcPr>
          <w:p>
            <w:pPr>
              <w:spacing w:after="0"/>
              <w:rPr>
                <w:sz w:val="17"/>
                <w:szCs w:val="17"/>
                <w:color w:val="auto"/>
              </w:rPr>
            </w:pPr>
          </w:p>
        </w:tc>
      </w:tr>
      <w:tr>
        <w:trPr>
          <w:trHeight w:val="183"/>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40" w:type="dxa"/>
            <w:vAlign w:val="bottom"/>
          </w:tcPr>
          <w:p>
            <w:pPr>
              <w:spacing w:after="0"/>
              <w:rPr>
                <w:sz w:val="15"/>
                <w:szCs w:val="15"/>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of F&amp;G to FNF common shareholders</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r>
      <w:tr>
        <w:trPr>
          <w:trHeight w:val="191"/>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Fidelity National Financial, Inc. common shareholders</w:t>
            </w: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40" w:type="dxa"/>
            <w:vAlign w:val="bottom"/>
          </w:tcPr>
          <w:p>
            <w:pPr>
              <w:spacing w:after="0"/>
              <w:rPr>
                <w:sz w:val="16"/>
                <w:szCs w:val="16"/>
                <w:color w:val="auto"/>
              </w:rPr>
            </w:pPr>
          </w:p>
        </w:tc>
      </w:tr>
      <w:tr>
        <w:trPr>
          <w:trHeight w:val="22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 end of year</w:t>
            </w:r>
          </w:p>
        </w:tc>
        <w:tc>
          <w:tcPr>
            <w:tcW w:w="76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w:t>
            </w:r>
          </w:p>
        </w:tc>
        <w:tc>
          <w:tcPr>
            <w:tcW w:w="40" w:type="dxa"/>
            <w:vAlign w:val="bottom"/>
          </w:tcPr>
          <w:p>
            <w:pPr>
              <w:spacing w:after="0"/>
              <w:rPr>
                <w:sz w:val="18"/>
                <w:szCs w:val="18"/>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vMerge w:val="restart"/>
          </w:tcPr>
          <w:p>
            <w:pPr>
              <w:jc w:val="center"/>
              <w:ind w:left="3208"/>
              <w:spacing w:after="0"/>
              <w:rPr>
                <w:sz w:val="20"/>
                <w:szCs w:val="20"/>
                <w:color w:val="auto"/>
              </w:rPr>
            </w:pPr>
            <w:r>
              <w:rPr>
                <w:rFonts w:ascii="Times New Roman" w:cs="Times New Roman" w:eastAsia="Times New Roman" w:hAnsi="Times New Roman"/>
                <w:sz w:val="18"/>
                <w:szCs w:val="18"/>
                <w:b w:val="1"/>
                <w:bCs w:val="1"/>
                <w:color w:val="auto"/>
                <w:w w:val="97"/>
              </w:rPr>
              <w:t>FIDELITY NATIONAL FINANCIAL, INC.</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SCHEDULE II</w:t>
            </w:r>
          </w:p>
        </w:tc>
        <w:tc>
          <w:tcPr>
            <w:tcW w:w="0" w:type="dxa"/>
            <w:vAlign w:val="bottom"/>
          </w:tcPr>
          <w:p>
            <w:pPr>
              <w:spacing w:after="0"/>
              <w:rPr>
                <w:sz w:val="1"/>
                <w:szCs w:val="1"/>
                <w:color w:val="auto"/>
              </w:rPr>
            </w:pPr>
          </w:p>
        </w:tc>
      </w:tr>
      <w:tr>
        <w:trPr>
          <w:trHeight w:val="191"/>
        </w:trPr>
        <w:tc>
          <w:tcPr>
            <w:tcW w:w="79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60" w:type="dxa"/>
            <w:vAlign w:val="bottom"/>
          </w:tcPr>
          <w:p>
            <w:pPr>
              <w:jc w:val="center"/>
              <w:ind w:left="3208"/>
              <w:spacing w:after="0"/>
              <w:rPr>
                <w:sz w:val="20"/>
                <w:szCs w:val="20"/>
                <w:color w:val="auto"/>
              </w:rPr>
            </w:pPr>
            <w:r>
              <w:rPr>
                <w:rFonts w:ascii="Times New Roman" w:cs="Times New Roman" w:eastAsia="Times New Roman" w:hAnsi="Times New Roman"/>
                <w:sz w:val="18"/>
                <w:szCs w:val="18"/>
                <w:b w:val="1"/>
                <w:bCs w:val="1"/>
                <w:color w:val="auto"/>
                <w:w w:val="97"/>
              </w:rPr>
              <w:t>(Parent Company)</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7960" w:type="dxa"/>
            <w:vAlign w:val="bottom"/>
          </w:tcPr>
          <w:p>
            <w:pPr>
              <w:jc w:val="center"/>
              <w:ind w:left="3208"/>
              <w:spacing w:after="0"/>
              <w:rPr>
                <w:sz w:val="20"/>
                <w:szCs w:val="20"/>
                <w:color w:val="auto"/>
              </w:rPr>
            </w:pPr>
            <w:r>
              <w:rPr>
                <w:rFonts w:ascii="Times New Roman" w:cs="Times New Roman" w:eastAsia="Times New Roman" w:hAnsi="Times New Roman"/>
                <w:sz w:val="18"/>
                <w:szCs w:val="18"/>
                <w:b w:val="1"/>
                <w:bCs w:val="1"/>
                <w:color w:val="auto"/>
                <w:w w:val="96"/>
              </w:rPr>
              <w:t>STATEMENTS OF CASH FLOWS</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gridSpan w:val="7"/>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9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1"/>
        </w:trPr>
        <w:tc>
          <w:tcPr>
            <w:tcW w:w="7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660" w:type="dxa"/>
            <w:vAlign w:val="bottom"/>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3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6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in earnings of subsidiaries</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0" w:type="dxa"/>
            <w:vAlign w:val="bottom"/>
          </w:tcPr>
          <w:p>
            <w:pPr>
              <w:spacing w:after="0"/>
              <w:rPr>
                <w:sz w:val="1"/>
                <w:szCs w:val="1"/>
                <w:color w:val="auto"/>
              </w:rPr>
            </w:pPr>
          </w:p>
        </w:tc>
      </w:tr>
      <w:tr>
        <w:trPr>
          <w:trHeight w:val="190"/>
        </w:trPr>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0"/>
        </w:trPr>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(increase) decrease in prepaid expenses and other assets</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1"/>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increase in accounts payable and other accrued liabilities</w:t>
            </w: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7"/>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6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6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investments available for sale</w:t>
            </w:r>
          </w:p>
        </w:tc>
        <w:tc>
          <w:tcPr>
            <w:tcW w:w="6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purchases of short-term investment activities</w:t>
            </w: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notes receivable</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Collection of notes receivable</w:t>
            </w: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7"/>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6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6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6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service payments</w:t>
            </w:r>
          </w:p>
        </w:tc>
        <w:tc>
          <w:tcPr>
            <w:tcW w:w="6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6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for shares withheld for taxes and in treasury</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investments in non-controlling interests</w:t>
            </w: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dividends from subsidiaries</w:t>
            </w:r>
          </w:p>
        </w:tc>
        <w:tc>
          <w:tcPr>
            <w:tcW w:w="6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184"/>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6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19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19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at beginning of year</w:t>
            </w: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0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at end of year</w:t>
            </w:r>
          </w:p>
        </w:tc>
        <w:tc>
          <w:tcPr>
            <w:tcW w:w="66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0" w:type="dxa"/>
            <w:vAlign w:val="bottom"/>
          </w:tcPr>
          <w:p>
            <w:pPr>
              <w:spacing w:after="0"/>
              <w:rPr>
                <w:sz w:val="1"/>
                <w:szCs w:val="1"/>
                <w:color w:val="auto"/>
              </w:rPr>
            </w:pPr>
          </w:p>
        </w:tc>
      </w:tr>
    </w:tbl>
    <w:p>
      <w:pPr>
        <w:jc w:val="center"/>
        <w:ind w:right="4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-122555</wp:posOffset>
            </wp:positionV>
            <wp:extent cx="208915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9">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w:t>
      </w:r>
    </w:p>
    <w:p>
      <w:pPr>
        <w:spacing w:after="0" w:line="98" w:lineRule="exact"/>
        <w:rPr>
          <w:sz w:val="20"/>
          <w:szCs w:val="20"/>
          <w:color w:val="auto"/>
        </w:rPr>
      </w:pPr>
    </w:p>
    <w:p>
      <w:pPr>
        <w:ind w:firstLine="276"/>
        <w:spacing w:after="0" w:line="268" w:lineRule="auto"/>
        <w:rPr>
          <w:sz w:val="20"/>
          <w:szCs w:val="20"/>
          <w:color w:val="auto"/>
        </w:rPr>
      </w:pPr>
      <w:r>
        <w:rPr>
          <w:rFonts w:ascii="Times New Roman" w:cs="Times New Roman" w:eastAsia="Times New Roman" w:hAnsi="Times New Roman"/>
          <w:sz w:val="18"/>
          <w:szCs w:val="18"/>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Notes payable consist of the following:</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4.50% Notes, net of discount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9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3.40% Notes, net of discount</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205"/>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2.45% Notes, net of discount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9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3.20% Notes, net of discount</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198"/>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tcBorders>
              <w:bottom w:val="single" w:sz="8" w:color="CCEEFF"/>
            </w:tcBorders>
            <w:shd w:val="clear" w:color="auto" w:fill="CCEEFF"/>
          </w:tcPr>
          <w:p>
            <w:pPr>
              <w:spacing w:after="0"/>
              <w:rPr>
                <w:sz w:val="18"/>
                <w:szCs w:val="18"/>
                <w:color w:val="auto"/>
              </w:rPr>
            </w:pPr>
          </w:p>
        </w:tc>
        <w:tc>
          <w:tcPr>
            <w:tcW w:w="7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74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20" w:type="dxa"/>
            <w:vAlign w:val="bottom"/>
            <w:vMerge w:val="continue"/>
          </w:tcPr>
          <w:p>
            <w:pPr>
              <w:spacing w:after="0"/>
              <w:rPr>
                <w:sz w:val="23"/>
                <w:szCs w:val="23"/>
                <w:color w:val="auto"/>
              </w:rPr>
            </w:pPr>
          </w:p>
        </w:tc>
        <w:tc>
          <w:tcPr>
            <w:tcW w:w="746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paid during the year:</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payments</w:t>
            </w:r>
          </w:p>
        </w:tc>
        <w:tc>
          <w:tcPr>
            <w:tcW w:w="26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213</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330"/>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Dividends Received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8"/>
          <w:szCs w:val="18"/>
          <w:color w:val="auto"/>
        </w:rPr>
        <w:t>We have received cash dividends from subsidiaries and affiliates of $0.4 billion, $0.8 billion, and $0.6 billion during the years ended December 31, 2023, 2022, and 2021, respectively.</w:t>
      </w:r>
    </w:p>
    <w:p>
      <w:pPr>
        <w:spacing w:after="0" w:line="194" w:lineRule="exact"/>
        <w:rPr>
          <w:sz w:val="20"/>
          <w:szCs w:val="20"/>
          <w:color w:val="auto"/>
        </w:rPr>
      </w:pPr>
    </w:p>
    <w:p>
      <w:pPr>
        <w:ind w:left="380" w:hanging="375"/>
        <w:spacing w:after="0"/>
        <w:tabs>
          <w:tab w:leader="none" w:pos="3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Amendment to our Revolving Credit Facility</w:t>
      </w:r>
    </w:p>
    <w:p>
      <w:pPr>
        <w:spacing w:after="0" w:line="11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 xml:space="preserve">On February 16, 2024, we entered into a Sixth Amended and Restated Credit Agreement for our $800 million revolving credit facility (the "Amended Revolving Credit Facility") with Bank of America, N.A., as administrative agent and other agents party thereto (the "Sixth Restated Credit Agreement"). For further information related to the Amended Revolving Credit Facility and the Sixth Restated Credit Agreement refer to Note G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Investment of $250 million in F&amp;G</w:t>
      </w:r>
    </w:p>
    <w:p>
      <w:pPr>
        <w:spacing w:after="0" w:line="1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On January 12, 2024, we completed a $250 million preferred stock investment in F&amp;G. F&amp;G will use the net proceeds from the investment to support growth of its assets under management.</w:t>
      </w:r>
    </w:p>
    <w:p>
      <w:pPr>
        <w:spacing w:after="0" w:line="64"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Under the terms of the agreement, we have agreed to invest $250 million in exchange for 5 million shares of F&amp;G's 6.875% Series A Mandatory Convertible Preferred Stock, par value $0.001 per share (the "Mandatory Convertible Preferred Stock"). Each share of Mandatory Convertible Preferred Stock will have a liquidation preference of $50.00 per share. Unless earlier converted at the option of the holder, each outstanding share of the Mandatory Convertible Preferred Stock will automatically convert into shares of common stock of F&amp;G on January 15, 2027 (the "Mandatory Conversion Date"). Upon conversion on the Mandatory Conversion Date, the conversion rate for each share of the Mandatory Convertible Preferred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Stock will be no more than 1.1111 shares of common stock and no less than 0.9456 shares of common stock per share of Mandatory Convertible Preferred Stock, depending on the value of F&amp;G's common stock.</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Schedule III</w:t>
            </w:r>
          </w:p>
        </w:tc>
      </w:tr>
      <w:tr>
        <w:trPr>
          <w:trHeight w:val="289"/>
        </w:trPr>
        <w:tc>
          <w:tcPr>
            <w:tcW w:w="3640" w:type="dxa"/>
            <w:vAlign w:val="bottom"/>
          </w:tcPr>
          <w:p>
            <w:pPr>
              <w:spacing w:after="0"/>
              <w:rPr>
                <w:sz w:val="24"/>
                <w:szCs w:val="24"/>
                <w:color w:val="auto"/>
              </w:rPr>
            </w:pPr>
          </w:p>
        </w:tc>
        <w:tc>
          <w:tcPr>
            <w:tcW w:w="42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FIDELITY NATIONAL FINANCIAL, INC.</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9"/>
        </w:trPr>
        <w:tc>
          <w:tcPr>
            <w:tcW w:w="3640" w:type="dxa"/>
            <w:vAlign w:val="bottom"/>
          </w:tcPr>
          <w:p>
            <w:pPr>
              <w:spacing w:after="0"/>
              <w:rPr>
                <w:sz w:val="24"/>
                <w:szCs w:val="24"/>
                <w:color w:val="auto"/>
              </w:rPr>
            </w:pPr>
          </w:p>
        </w:tc>
        <w:tc>
          <w:tcPr>
            <w:tcW w:w="42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F&amp;G Supplementary Insurance Information</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p>
        </w:tc>
        <w:tc>
          <w:tcPr>
            <w:tcW w:w="42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1"/>
        </w:trPr>
        <w:tc>
          <w:tcPr>
            <w:tcW w:w="36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
        </w:trPr>
        <w:tc>
          <w:tcPr>
            <w:tcW w:w="3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320" w:type="dxa"/>
            <w:vAlign w:val="bottom"/>
            <w:gridSpan w:val="3"/>
          </w:tcPr>
          <w:p>
            <w:pPr>
              <w:spacing w:after="0"/>
              <w:rPr>
                <w:sz w:val="2"/>
                <w:szCs w:val="2"/>
                <w:color w:val="auto"/>
              </w:rPr>
            </w:pPr>
          </w:p>
        </w:tc>
        <w:tc>
          <w:tcPr>
            <w:tcW w:w="1220" w:type="dxa"/>
            <w:vAlign w:val="bottom"/>
            <w:gridSpan w:val="3"/>
          </w:tcPr>
          <w:p>
            <w:pPr>
              <w:spacing w:after="0"/>
              <w:rPr>
                <w:sz w:val="2"/>
                <w:szCs w:val="2"/>
                <w:color w:val="auto"/>
              </w:rPr>
            </w:pPr>
          </w:p>
        </w:tc>
      </w:tr>
      <w:tr>
        <w:trPr>
          <w:trHeight w:val="184"/>
        </w:trPr>
        <w:tc>
          <w:tcPr>
            <w:tcW w:w="36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3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2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6"/>
                <w:szCs w:val="16"/>
                <w:color w:val="auto"/>
              </w:rPr>
            </w:pPr>
          </w:p>
        </w:tc>
      </w:tr>
      <w:tr>
        <w:trPr>
          <w:trHeight w:val="19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F&amp;G Segment:</w:t>
            </w:r>
          </w:p>
        </w:tc>
        <w:tc>
          <w:tcPr>
            <w:tcW w:w="37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0"/>
        </w:trPr>
        <w:tc>
          <w:tcPr>
            <w:tcW w:w="3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acquisition costs</w:t>
            </w:r>
          </w:p>
        </w:tc>
        <w:tc>
          <w:tcPr>
            <w:tcW w:w="42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8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20" w:type="dxa"/>
            <w:vAlign w:val="bottom"/>
          </w:tcPr>
          <w:p>
            <w:pPr>
              <w:spacing w:after="0"/>
              <w:rPr>
                <w:sz w:val="16"/>
                <w:szCs w:val="16"/>
                <w:color w:val="auto"/>
              </w:rPr>
            </w:pPr>
          </w:p>
        </w:tc>
      </w:tr>
      <w:tr>
        <w:trPr>
          <w:trHeight w:val="205"/>
        </w:trPr>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Future policy benefits, losses, claims and loss expenses</w:t>
            </w:r>
          </w:p>
        </w:tc>
        <w:tc>
          <w:tcPr>
            <w:tcW w:w="3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4,918</w:t>
            </w:r>
          </w:p>
        </w:tc>
        <w:tc>
          <w:tcPr>
            <w:tcW w:w="20" w:type="dxa"/>
            <w:vAlign w:val="bottom"/>
          </w:tcPr>
          <w:p>
            <w:pPr>
              <w:spacing w:after="0"/>
              <w:rPr>
                <w:sz w:val="17"/>
                <w:szCs w:val="17"/>
                <w:color w:val="auto"/>
              </w:rPr>
            </w:pPr>
          </w:p>
        </w:tc>
      </w:tr>
      <w:tr>
        <w:trPr>
          <w:trHeight w:val="190"/>
        </w:trPr>
        <w:tc>
          <w:tcPr>
            <w:tcW w:w="3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policy claims and benefits payable</w:t>
            </w:r>
          </w:p>
        </w:tc>
        <w:tc>
          <w:tcPr>
            <w:tcW w:w="3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16"/>
                <w:szCs w:val="16"/>
                <w:color w:val="auto"/>
              </w:rPr>
            </w:pPr>
          </w:p>
        </w:tc>
      </w:tr>
      <w:tr>
        <w:trPr>
          <w:trHeight w:val="205"/>
        </w:trPr>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Life insurance premiums and other fees</w:t>
            </w:r>
          </w:p>
        </w:tc>
        <w:tc>
          <w:tcPr>
            <w:tcW w:w="3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20" w:type="dxa"/>
            <w:vAlign w:val="bottom"/>
          </w:tcPr>
          <w:p>
            <w:pPr>
              <w:spacing w:after="0"/>
              <w:rPr>
                <w:sz w:val="17"/>
                <w:szCs w:val="17"/>
                <w:color w:val="auto"/>
              </w:rPr>
            </w:pPr>
          </w:p>
        </w:tc>
      </w:tr>
      <w:tr>
        <w:trPr>
          <w:trHeight w:val="190"/>
        </w:trPr>
        <w:tc>
          <w:tcPr>
            <w:tcW w:w="3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3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20" w:type="dxa"/>
            <w:vAlign w:val="bottom"/>
          </w:tcPr>
          <w:p>
            <w:pPr>
              <w:spacing w:after="0"/>
              <w:rPr>
                <w:sz w:val="16"/>
                <w:szCs w:val="16"/>
                <w:color w:val="auto"/>
              </w:rPr>
            </w:pPr>
          </w:p>
        </w:tc>
      </w:tr>
      <w:tr>
        <w:trPr>
          <w:trHeight w:val="205"/>
        </w:trPr>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Benefits, claims, losses and settlement expenses</w:t>
            </w:r>
          </w:p>
        </w:tc>
        <w:tc>
          <w:tcPr>
            <w:tcW w:w="3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20" w:type="dxa"/>
            <w:vAlign w:val="bottom"/>
          </w:tcPr>
          <w:p>
            <w:pPr>
              <w:spacing w:after="0"/>
              <w:rPr>
                <w:sz w:val="17"/>
                <w:szCs w:val="17"/>
                <w:color w:val="auto"/>
              </w:rPr>
            </w:pPr>
          </w:p>
        </w:tc>
      </w:tr>
      <w:tr>
        <w:trPr>
          <w:trHeight w:val="190"/>
        </w:trPr>
        <w:tc>
          <w:tcPr>
            <w:tcW w:w="3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deferred policy acquisition costs</w:t>
            </w:r>
          </w:p>
        </w:tc>
        <w:tc>
          <w:tcPr>
            <w:tcW w:w="3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6"/>
                <w:szCs w:val="16"/>
                <w:color w:val="auto"/>
              </w:rPr>
            </w:pPr>
          </w:p>
        </w:tc>
      </w:tr>
      <w:tr>
        <w:trPr>
          <w:trHeight w:val="205"/>
        </w:trPr>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operating expenses, net of deferrals</w:t>
            </w:r>
          </w:p>
        </w:tc>
        <w:tc>
          <w:tcPr>
            <w:tcW w:w="3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w w:val="94"/>
              </w:rPr>
              <w:t>Schedule IV</w:t>
            </w:r>
          </w:p>
        </w:tc>
        <w:tc>
          <w:tcPr>
            <w:tcW w:w="0" w:type="dxa"/>
            <w:vAlign w:val="bottom"/>
          </w:tcPr>
          <w:p>
            <w:pPr>
              <w:spacing w:after="0"/>
              <w:rPr>
                <w:sz w:val="1"/>
                <w:szCs w:val="1"/>
                <w:color w:val="auto"/>
              </w:rPr>
            </w:pPr>
          </w:p>
        </w:tc>
      </w:tr>
      <w:tr>
        <w:trPr>
          <w:trHeight w:val="368"/>
        </w:trPr>
        <w:tc>
          <w:tcPr>
            <w:tcW w:w="3140" w:type="dxa"/>
            <w:vAlign w:val="bottom"/>
          </w:tcPr>
          <w:p>
            <w:pPr>
              <w:spacing w:after="0"/>
              <w:rPr>
                <w:sz w:val="24"/>
                <w:szCs w:val="24"/>
                <w:color w:val="auto"/>
              </w:rPr>
            </w:pPr>
          </w:p>
        </w:tc>
        <w:tc>
          <w:tcPr>
            <w:tcW w:w="4140" w:type="dxa"/>
            <w:vAlign w:val="bottom"/>
            <w:gridSpan w:val="7"/>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7"/>
              </w:rPr>
              <w:t>FIDELITY NATIONAL FINANCIAL, INC.</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40" w:type="dxa"/>
            <w:vAlign w:val="bottom"/>
            <w:gridSpan w:val="5"/>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6"/>
              </w:rPr>
              <w:t>F&amp;G Reinsurance</w:t>
            </w: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left="308"/>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Ceded to other</w:t>
            </w:r>
          </w:p>
        </w:tc>
        <w:tc>
          <w:tcPr>
            <w:tcW w:w="80" w:type="dxa"/>
            <w:vAlign w:val="bottom"/>
          </w:tcPr>
          <w:p>
            <w:pPr>
              <w:spacing w:after="0"/>
              <w:rPr>
                <w:sz w:val="13"/>
                <w:szCs w:val="13"/>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Assumed from</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340" w:type="dxa"/>
            <w:vAlign w:val="bottom"/>
            <w:gridSpan w:val="2"/>
          </w:tcPr>
          <w:p>
            <w:pPr>
              <w:jc w:val="center"/>
              <w:ind w:right="20"/>
              <w:spacing w:after="0" w:line="143" w:lineRule="exact"/>
              <w:rPr>
                <w:sz w:val="20"/>
                <w:szCs w:val="20"/>
                <w:color w:val="auto"/>
              </w:rPr>
            </w:pPr>
            <w:r>
              <w:rPr>
                <w:rFonts w:ascii="Times New Roman" w:cs="Times New Roman" w:eastAsia="Times New Roman" w:hAnsi="Times New Roman"/>
                <w:sz w:val="14"/>
                <w:szCs w:val="14"/>
                <w:b w:val="1"/>
                <w:bCs w:val="1"/>
                <w:color w:val="auto"/>
              </w:rPr>
              <w:t>amount assumed to</w:t>
            </w:r>
          </w:p>
        </w:tc>
        <w:tc>
          <w:tcPr>
            <w:tcW w:w="0" w:type="dxa"/>
            <w:vAlign w:val="bottom"/>
          </w:tcPr>
          <w:p>
            <w:pPr>
              <w:spacing w:after="0"/>
              <w:rPr>
                <w:sz w:val="1"/>
                <w:szCs w:val="1"/>
                <w:color w:val="auto"/>
              </w:rPr>
            </w:pPr>
          </w:p>
        </w:tc>
      </w:tr>
      <w:tr>
        <w:trPr>
          <w:trHeight w:val="192"/>
        </w:trPr>
        <w:tc>
          <w:tcPr>
            <w:tcW w:w="314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companies</w:t>
            </w:r>
          </w:p>
        </w:tc>
        <w:tc>
          <w:tcPr>
            <w:tcW w:w="8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other companies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Life insurance in force</w:t>
            </w:r>
          </w:p>
        </w:tc>
        <w:tc>
          <w:tcPr>
            <w:tcW w:w="1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7,012</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and other considerations: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Traditional life insurance premiums</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5"/>
                <w:szCs w:val="15"/>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Life-contingent PRT premiums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Annuity product charges and other fees</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tcPr>
          <w:p>
            <w:pPr>
              <w:spacing w:after="0"/>
              <w:rPr>
                <w:sz w:val="16"/>
                <w:szCs w:val="16"/>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premiums and other considerations</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Ceded to other</w:t>
            </w:r>
          </w:p>
        </w:tc>
        <w:tc>
          <w:tcPr>
            <w:tcW w:w="80" w:type="dxa"/>
            <w:vAlign w:val="bottom"/>
          </w:tcPr>
          <w:p>
            <w:pPr>
              <w:spacing w:after="0"/>
              <w:rPr>
                <w:sz w:val="16"/>
                <w:szCs w:val="16"/>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Assumed from</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340" w:type="dxa"/>
            <w:vAlign w:val="bottom"/>
            <w:gridSpan w:val="2"/>
          </w:tcPr>
          <w:p>
            <w:pPr>
              <w:jc w:val="center"/>
              <w:ind w:right="20"/>
              <w:spacing w:after="0" w:line="143" w:lineRule="exact"/>
              <w:rPr>
                <w:sz w:val="20"/>
                <w:szCs w:val="20"/>
                <w:color w:val="auto"/>
              </w:rPr>
            </w:pPr>
            <w:r>
              <w:rPr>
                <w:rFonts w:ascii="Times New Roman" w:cs="Times New Roman" w:eastAsia="Times New Roman" w:hAnsi="Times New Roman"/>
                <w:sz w:val="14"/>
                <w:szCs w:val="14"/>
                <w:b w:val="1"/>
                <w:bCs w:val="1"/>
                <w:color w:val="auto"/>
              </w:rPr>
              <w:t>amount assumed to</w:t>
            </w:r>
          </w:p>
        </w:tc>
        <w:tc>
          <w:tcPr>
            <w:tcW w:w="0" w:type="dxa"/>
            <w:vAlign w:val="bottom"/>
          </w:tcPr>
          <w:p>
            <w:pPr>
              <w:spacing w:after="0"/>
              <w:rPr>
                <w:sz w:val="1"/>
                <w:szCs w:val="1"/>
                <w:color w:val="auto"/>
              </w:rPr>
            </w:pPr>
          </w:p>
        </w:tc>
      </w:tr>
      <w:tr>
        <w:trPr>
          <w:trHeight w:val="192"/>
        </w:trPr>
        <w:tc>
          <w:tcPr>
            <w:tcW w:w="314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companies</w:t>
            </w:r>
          </w:p>
        </w:tc>
        <w:tc>
          <w:tcPr>
            <w:tcW w:w="8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other companies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Life insurance in force</w:t>
            </w:r>
          </w:p>
        </w:tc>
        <w:tc>
          <w:tcPr>
            <w:tcW w:w="1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and other considerations: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Traditional life insurance premiums</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Life-contingent PRT premiums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Annuity product charges and other fees</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Pr>
          <w:p>
            <w:pPr>
              <w:spacing w:after="0"/>
              <w:rPr>
                <w:sz w:val="16"/>
                <w:szCs w:val="16"/>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premiums and other considerations</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Ceded to other</w:t>
            </w:r>
          </w:p>
        </w:tc>
        <w:tc>
          <w:tcPr>
            <w:tcW w:w="80" w:type="dxa"/>
            <w:vAlign w:val="bottom"/>
          </w:tcPr>
          <w:p>
            <w:pPr>
              <w:spacing w:after="0"/>
              <w:rPr>
                <w:sz w:val="16"/>
                <w:szCs w:val="16"/>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Assumed from</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340" w:type="dxa"/>
            <w:vAlign w:val="bottom"/>
            <w:gridSpan w:val="2"/>
          </w:tcPr>
          <w:p>
            <w:pPr>
              <w:jc w:val="center"/>
              <w:ind w:right="20"/>
              <w:spacing w:after="0" w:line="143" w:lineRule="exact"/>
              <w:rPr>
                <w:sz w:val="20"/>
                <w:szCs w:val="20"/>
                <w:color w:val="auto"/>
              </w:rPr>
            </w:pPr>
            <w:r>
              <w:rPr>
                <w:rFonts w:ascii="Times New Roman" w:cs="Times New Roman" w:eastAsia="Times New Roman" w:hAnsi="Times New Roman"/>
                <w:sz w:val="14"/>
                <w:szCs w:val="14"/>
                <w:b w:val="1"/>
                <w:bCs w:val="1"/>
                <w:color w:val="auto"/>
              </w:rPr>
              <w:t>amount assumed to</w:t>
            </w:r>
          </w:p>
        </w:tc>
        <w:tc>
          <w:tcPr>
            <w:tcW w:w="0" w:type="dxa"/>
            <w:vAlign w:val="bottom"/>
          </w:tcPr>
          <w:p>
            <w:pPr>
              <w:spacing w:after="0"/>
              <w:rPr>
                <w:sz w:val="1"/>
                <w:szCs w:val="1"/>
                <w:color w:val="auto"/>
              </w:rPr>
            </w:pPr>
          </w:p>
        </w:tc>
      </w:tr>
      <w:tr>
        <w:trPr>
          <w:trHeight w:val="192"/>
        </w:trPr>
        <w:tc>
          <w:tcPr>
            <w:tcW w:w="314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companies</w:t>
            </w:r>
          </w:p>
        </w:tc>
        <w:tc>
          <w:tcPr>
            <w:tcW w:w="8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other companies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Life insurance in force</w:t>
            </w:r>
          </w:p>
        </w:tc>
        <w:tc>
          <w:tcPr>
            <w:tcW w:w="1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and other considerations: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Traditional life insurance premiums</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5"/>
                <w:szCs w:val="15"/>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Life-contingent PRT premiums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Annuity product charges and other fees</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Pr>
          <w:p>
            <w:pPr>
              <w:spacing w:after="0"/>
              <w:rPr>
                <w:sz w:val="16"/>
                <w:szCs w:val="16"/>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premiums and other considerations</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240"/>
          </w:cols>
          <w:pgMar w:left="320" w:top="121" w:right="339" w:bottom="1440" w:gutter="0" w:footer="0" w:header="0"/>
        </w:sectPr>
      </w:pPr>
    </w:p>
    <w:bookmarkStart w:id="201" w:name="page202"/>
    <w:bookmarkEnd w:id="201"/>
    <w:p>
      <w:pPr>
        <w:spacing w:after="0" w:line="23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8"/>
          <w:szCs w:val="28"/>
          <w:b w:val="1"/>
          <w:bCs w:val="1"/>
          <w:color w:val="auto"/>
        </w:rPr>
        <w:t>F</w:t>
      </w:r>
      <w:r>
        <w:rPr>
          <w:rFonts w:ascii="Times New Roman" w:cs="Times New Roman" w:eastAsia="Times New Roman" w:hAnsi="Times New Roman"/>
          <w:sz w:val="22"/>
          <w:szCs w:val="22"/>
          <w:b w:val="1"/>
          <w:bCs w:val="1"/>
          <w:color w:val="auto"/>
        </w:rPr>
        <w:t>IDELITY</w:t>
      </w:r>
      <w:r>
        <w:rPr>
          <w:rFonts w:ascii="Times New Roman" w:cs="Times New Roman" w:eastAsia="Times New Roman" w:hAnsi="Times New Roman"/>
          <w:sz w:val="28"/>
          <w:szCs w:val="28"/>
          <w:b w:val="1"/>
          <w:bCs w:val="1"/>
          <w:color w:val="auto"/>
        </w:rPr>
        <w:t xml:space="preserve"> N</w:t>
      </w:r>
      <w:r>
        <w:rPr>
          <w:rFonts w:ascii="Times New Roman" w:cs="Times New Roman" w:eastAsia="Times New Roman" w:hAnsi="Times New Roman"/>
          <w:sz w:val="22"/>
          <w:szCs w:val="22"/>
          <w:b w:val="1"/>
          <w:bCs w:val="1"/>
          <w:color w:val="auto"/>
        </w:rPr>
        <w:t>ATIONAL</w:t>
      </w:r>
      <w:r>
        <w:rPr>
          <w:rFonts w:ascii="Times New Roman" w:cs="Times New Roman" w:eastAsia="Times New Roman" w:hAnsi="Times New Roman"/>
          <w:sz w:val="28"/>
          <w:szCs w:val="28"/>
          <w:b w:val="1"/>
          <w:bCs w:val="1"/>
          <w:color w:val="auto"/>
        </w:rPr>
        <w:t xml:space="preserve"> F</w:t>
      </w:r>
      <w:r>
        <w:rPr>
          <w:rFonts w:ascii="Times New Roman" w:cs="Times New Roman" w:eastAsia="Times New Roman" w:hAnsi="Times New Roman"/>
          <w:sz w:val="22"/>
          <w:szCs w:val="22"/>
          <w:b w:val="1"/>
          <w:bCs w:val="1"/>
          <w:color w:val="auto"/>
        </w:rPr>
        <w:t>INANCIAL</w:t>
      </w:r>
      <w:r>
        <w:rPr>
          <w:rFonts w:ascii="Times New Roman" w:cs="Times New Roman" w:eastAsia="Times New Roman" w:hAnsi="Times New Roman"/>
          <w:sz w:val="28"/>
          <w:szCs w:val="28"/>
          <w:b w:val="1"/>
          <w:bCs w:val="1"/>
          <w:color w:val="auto"/>
        </w:rPr>
        <w:t>, I</w:t>
      </w:r>
      <w:r>
        <w:rPr>
          <w:rFonts w:ascii="Times New Roman" w:cs="Times New Roman" w:eastAsia="Times New Roman" w:hAnsi="Times New Roman"/>
          <w:sz w:val="22"/>
          <w:szCs w:val="22"/>
          <w:b w:val="1"/>
          <w:bCs w:val="1"/>
          <w:color w:val="auto"/>
        </w:rPr>
        <w:t>NC</w:t>
      </w:r>
      <w:r>
        <w:rPr>
          <w:rFonts w:ascii="Times New Roman" w:cs="Times New Roman" w:eastAsia="Times New Roman" w:hAnsi="Times New Roman"/>
          <w:sz w:val="28"/>
          <w:szCs w:val="28"/>
          <w:b w:val="1"/>
          <w:bCs w:val="1"/>
          <w:color w:val="auto"/>
        </w:rPr>
        <w:t>. A</w:t>
      </w:r>
      <w:r>
        <w:rPr>
          <w:rFonts w:ascii="Times New Roman" w:cs="Times New Roman" w:eastAsia="Times New Roman" w:hAnsi="Times New Roman"/>
          <w:sz w:val="22"/>
          <w:szCs w:val="22"/>
          <w:b w:val="1"/>
          <w:bCs w:val="1"/>
          <w:color w:val="auto"/>
        </w:rPr>
        <w:t>MENDED AND</w:t>
      </w:r>
      <w:r>
        <w:rPr>
          <w:rFonts w:ascii="Times New Roman" w:cs="Times New Roman" w:eastAsia="Times New Roman" w:hAnsi="Times New Roman"/>
          <w:sz w:val="28"/>
          <w:szCs w:val="28"/>
          <w:b w:val="1"/>
          <w:bCs w:val="1"/>
          <w:color w:val="auto"/>
        </w:rPr>
        <w:t xml:space="preserve"> R</w:t>
      </w:r>
      <w:r>
        <w:rPr>
          <w:rFonts w:ascii="Times New Roman" w:cs="Times New Roman" w:eastAsia="Times New Roman" w:hAnsi="Times New Roman"/>
          <w:sz w:val="22"/>
          <w:szCs w:val="22"/>
          <w:b w:val="1"/>
          <w:bCs w:val="1"/>
          <w:color w:val="auto"/>
        </w:rPr>
        <w:t>ESTATED</w:t>
      </w:r>
    </w:p>
    <w:p>
      <w:pPr>
        <w:spacing w:after="0" w:line="1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8"/>
          <w:szCs w:val="28"/>
          <w:b w:val="1"/>
          <w:bCs w:val="1"/>
          <w:color w:val="auto"/>
        </w:rPr>
        <w:t>2005 O</w:t>
      </w:r>
      <w:r>
        <w:rPr>
          <w:rFonts w:ascii="Times New Roman" w:cs="Times New Roman" w:eastAsia="Times New Roman" w:hAnsi="Times New Roman"/>
          <w:sz w:val="22"/>
          <w:szCs w:val="22"/>
          <w:b w:val="1"/>
          <w:bCs w:val="1"/>
          <w:color w:val="auto"/>
        </w:rPr>
        <w:t>MNIBUS</w:t>
      </w:r>
      <w:r>
        <w:rPr>
          <w:rFonts w:ascii="Times New Roman" w:cs="Times New Roman" w:eastAsia="Times New Roman" w:hAnsi="Times New Roman"/>
          <w:sz w:val="28"/>
          <w:szCs w:val="28"/>
          <w:b w:val="1"/>
          <w:bCs w:val="1"/>
          <w:color w:val="auto"/>
        </w:rPr>
        <w:t xml:space="preserve"> I</w:t>
      </w:r>
      <w:r>
        <w:rPr>
          <w:rFonts w:ascii="Times New Roman" w:cs="Times New Roman" w:eastAsia="Times New Roman" w:hAnsi="Times New Roman"/>
          <w:sz w:val="22"/>
          <w:szCs w:val="22"/>
          <w:b w:val="1"/>
          <w:bCs w:val="1"/>
          <w:color w:val="auto"/>
        </w:rPr>
        <w:t>NCENTIVE</w:t>
      </w:r>
      <w:r>
        <w:rPr>
          <w:rFonts w:ascii="Times New Roman" w:cs="Times New Roman" w:eastAsia="Times New Roman" w:hAnsi="Times New Roman"/>
          <w:sz w:val="28"/>
          <w:szCs w:val="28"/>
          <w:b w:val="1"/>
          <w:bCs w:val="1"/>
          <w:color w:val="auto"/>
        </w:rPr>
        <w:t xml:space="preserve"> P</w:t>
      </w:r>
      <w:r>
        <w:rPr>
          <w:rFonts w:ascii="Times New Roman" w:cs="Times New Roman" w:eastAsia="Times New Roman" w:hAnsi="Times New Roman"/>
          <w:sz w:val="22"/>
          <w:szCs w:val="22"/>
          <w:b w:val="1"/>
          <w:bCs w:val="1"/>
          <w:color w:val="auto"/>
        </w:rPr>
        <w:t>LAN</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Notice of Restricted Stock Grant (Time and Performance-Based)</w:t>
      </w:r>
    </w:p>
    <w:p>
      <w:pPr>
        <w:spacing w:after="0" w:line="249" w:lineRule="exact"/>
        <w:rPr>
          <w:sz w:val="20"/>
          <w:szCs w:val="20"/>
          <w:color w:val="auto"/>
        </w:rPr>
      </w:pPr>
    </w:p>
    <w:p>
      <w:pPr>
        <w:jc w:val="both"/>
        <w:ind w:right="20" w:firstLine="554"/>
        <w:spacing w:after="0" w:line="272" w:lineRule="auto"/>
        <w:rPr>
          <w:sz w:val="20"/>
          <w:szCs w:val="20"/>
          <w:color w:val="auto"/>
        </w:rPr>
      </w:pPr>
      <w:r>
        <w:rPr>
          <w:rFonts w:ascii="Times New Roman" w:cs="Times New Roman" w:eastAsia="Times New Roman" w:hAnsi="Times New Roman"/>
          <w:sz w:val="21"/>
          <w:szCs w:val="21"/>
          <w:color w:val="auto"/>
        </w:rPr>
        <w:t>You (the “Grantee”) have been granted the following award of restricted Shares (the “Restricted Stock”), of common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52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Name of Grantee:</w:t>
            </w:r>
          </w:p>
        </w:tc>
        <w:tc>
          <w:tcPr>
            <w:tcW w:w="6020" w:type="dxa"/>
            <w:vAlign w:val="bottom"/>
            <w:tcBorders>
              <w:top w:val="single" w:sz="8" w:color="auto"/>
              <w:bottom w:val="single" w:sz="8" w:color="auto"/>
              <w:right w:val="single" w:sz="8" w:color="auto"/>
            </w:tcBorders>
          </w:tcPr>
          <w:p>
            <w:pPr>
              <w:spacing w:after="0"/>
              <w:rPr>
                <w:sz w:val="24"/>
                <w:szCs w:val="24"/>
                <w:color w:val="auto"/>
              </w:rPr>
            </w:pPr>
          </w:p>
        </w:tc>
      </w:tr>
      <w:tr>
        <w:trPr>
          <w:trHeight w:val="283"/>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Number of Shares:</w:t>
            </w:r>
          </w:p>
        </w:tc>
        <w:tc>
          <w:tcPr>
            <w:tcW w:w="6020" w:type="dxa"/>
            <w:vAlign w:val="bottom"/>
            <w:tcBorders>
              <w:bottom w:val="single" w:sz="8" w:color="auto"/>
              <w:right w:val="single" w:sz="8" w:color="auto"/>
            </w:tcBorders>
          </w:tcPr>
          <w:p>
            <w:pPr>
              <w:spacing w:after="0"/>
              <w:rPr>
                <w:sz w:val="24"/>
                <w:szCs w:val="24"/>
                <w:color w:val="auto"/>
              </w:rPr>
            </w:pPr>
          </w:p>
        </w:tc>
      </w:tr>
      <w:tr>
        <w:trPr>
          <w:trHeight w:val="283"/>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Effective Date of Grant:</w:t>
            </w:r>
          </w:p>
        </w:tc>
        <w:tc>
          <w:tcPr>
            <w:tcW w:w="6020" w:type="dxa"/>
            <w:vAlign w:val="bottom"/>
            <w:tcBorders>
              <w:bottom w:val="single" w:sz="8" w:color="auto"/>
              <w:right w:val="single" w:sz="8" w:color="auto"/>
            </w:tcBorders>
          </w:tcPr>
          <w:p>
            <w:pPr>
              <w:jc w:val="right"/>
              <w:ind w:right="4215"/>
              <w:spacing w:after="0"/>
              <w:rPr>
                <w:sz w:val="20"/>
                <w:szCs w:val="20"/>
                <w:color w:val="auto"/>
              </w:rPr>
            </w:pPr>
            <w:r>
              <w:rPr>
                <w:rFonts w:ascii="Times New Roman" w:cs="Times New Roman" w:eastAsia="Times New Roman" w:hAnsi="Times New Roman"/>
                <w:sz w:val="21"/>
                <w:szCs w:val="21"/>
                <w:color w:val="010302"/>
              </w:rPr>
              <w:t>November 9, 2023</w:t>
            </w:r>
          </w:p>
        </w:tc>
      </w:tr>
      <w:tr>
        <w:trPr>
          <w:trHeight w:val="262"/>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Vesting and Period of Restriction:</w:t>
            </w:r>
          </w:p>
        </w:tc>
        <w:tc>
          <w:tcPr>
            <w:tcW w:w="6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Subject to the terms of the Plan and the Restricted Stock Award</w:t>
            </w:r>
          </w:p>
        </w:tc>
      </w:tr>
      <w:tr>
        <w:trPr>
          <w:trHeight w:val="263"/>
        </w:trPr>
        <w:tc>
          <w:tcPr>
            <w:tcW w:w="5240" w:type="dxa"/>
            <w:vAlign w:val="bottom"/>
            <w:tcBorders>
              <w:left w:val="single" w:sz="8" w:color="auto"/>
              <w:right w:val="single" w:sz="8" w:color="auto"/>
            </w:tcBorders>
          </w:tcPr>
          <w:p>
            <w:pPr>
              <w:spacing w:after="0"/>
              <w:rPr>
                <w:sz w:val="22"/>
                <w:szCs w:val="22"/>
                <w:color w:val="auto"/>
              </w:rPr>
            </w:pPr>
          </w:p>
        </w:tc>
        <w:tc>
          <w:tcPr>
            <w:tcW w:w="6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Agreement attached hereto, the Period of Restriction shall lapse, and</w:t>
            </w:r>
          </w:p>
        </w:tc>
      </w:tr>
      <w:tr>
        <w:trPr>
          <w:trHeight w:val="250"/>
        </w:trPr>
        <w:tc>
          <w:tcPr>
            <w:tcW w:w="5240" w:type="dxa"/>
            <w:vAlign w:val="bottom"/>
            <w:tcBorders>
              <w:left w:val="single" w:sz="8" w:color="auto"/>
              <w:right w:val="single" w:sz="8" w:color="auto"/>
            </w:tcBorders>
          </w:tcPr>
          <w:p>
            <w:pPr>
              <w:spacing w:after="0"/>
              <w:rPr>
                <w:sz w:val="21"/>
                <w:szCs w:val="21"/>
                <w:color w:val="auto"/>
              </w:rPr>
            </w:pPr>
          </w:p>
        </w:tc>
        <w:tc>
          <w:tcPr>
            <w:tcW w:w="6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the Shares shall vest and become free of the forfeiture provisions</w:t>
            </w:r>
          </w:p>
        </w:tc>
      </w:tr>
      <w:tr>
        <w:trPr>
          <w:trHeight w:val="250"/>
        </w:trPr>
        <w:tc>
          <w:tcPr>
            <w:tcW w:w="5240" w:type="dxa"/>
            <w:vAlign w:val="bottom"/>
            <w:tcBorders>
              <w:left w:val="single" w:sz="8" w:color="auto"/>
              <w:right w:val="single" w:sz="8" w:color="auto"/>
            </w:tcBorders>
          </w:tcPr>
          <w:p>
            <w:pPr>
              <w:spacing w:after="0"/>
              <w:rPr>
                <w:sz w:val="21"/>
                <w:szCs w:val="21"/>
                <w:color w:val="auto"/>
              </w:rPr>
            </w:pPr>
          </w:p>
        </w:tc>
        <w:tc>
          <w:tcPr>
            <w:tcW w:w="6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contained in the Restricted Stock Award Agreement, with respect to</w:t>
            </w:r>
          </w:p>
        </w:tc>
      </w:tr>
      <w:tr>
        <w:trPr>
          <w:trHeight w:val="250"/>
        </w:trPr>
        <w:tc>
          <w:tcPr>
            <w:tcW w:w="5240" w:type="dxa"/>
            <w:vAlign w:val="bottom"/>
            <w:tcBorders>
              <w:left w:val="single" w:sz="8" w:color="auto"/>
              <w:right w:val="single" w:sz="8" w:color="auto"/>
            </w:tcBorders>
          </w:tcPr>
          <w:p>
            <w:pPr>
              <w:spacing w:after="0"/>
              <w:rPr>
                <w:sz w:val="21"/>
                <w:szCs w:val="21"/>
                <w:color w:val="auto"/>
              </w:rPr>
            </w:pPr>
          </w:p>
        </w:tc>
        <w:tc>
          <w:tcPr>
            <w:tcW w:w="6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one third of the shares on each anniversary of the Effective Date of</w:t>
            </w:r>
          </w:p>
        </w:tc>
      </w:tr>
      <w:tr>
        <w:trPr>
          <w:trHeight w:val="250"/>
        </w:trPr>
        <w:tc>
          <w:tcPr>
            <w:tcW w:w="5240" w:type="dxa"/>
            <w:vAlign w:val="bottom"/>
            <w:tcBorders>
              <w:left w:val="single" w:sz="8" w:color="auto"/>
              <w:right w:val="single" w:sz="8" w:color="auto"/>
            </w:tcBorders>
          </w:tcPr>
          <w:p>
            <w:pPr>
              <w:spacing w:after="0"/>
              <w:rPr>
                <w:sz w:val="21"/>
                <w:szCs w:val="21"/>
                <w:color w:val="auto"/>
              </w:rPr>
            </w:pPr>
          </w:p>
        </w:tc>
        <w:tc>
          <w:tcPr>
            <w:tcW w:w="6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Grant and satisfaction of the Performance Restriction as set forth on</w:t>
            </w:r>
          </w:p>
        </w:tc>
      </w:tr>
      <w:tr>
        <w:trPr>
          <w:trHeight w:val="284"/>
        </w:trPr>
        <w:tc>
          <w:tcPr>
            <w:tcW w:w="5240" w:type="dxa"/>
            <w:vAlign w:val="bottom"/>
            <w:tcBorders>
              <w:left w:val="single" w:sz="8" w:color="auto"/>
              <w:bottom w:val="single" w:sz="8" w:color="auto"/>
              <w:right w:val="single" w:sz="8" w:color="auto"/>
            </w:tcBorders>
          </w:tcPr>
          <w:p>
            <w:pPr>
              <w:spacing w:after="0"/>
              <w:rPr>
                <w:sz w:val="24"/>
                <w:szCs w:val="24"/>
                <w:color w:val="auto"/>
              </w:rPr>
            </w:pPr>
          </w:p>
        </w:tc>
        <w:tc>
          <w:tcPr>
            <w:tcW w:w="6020" w:type="dxa"/>
            <w:vAlign w:val="bottom"/>
            <w:tcBorders>
              <w:bottom w:val="single" w:sz="8" w:color="auto"/>
              <w:right w:val="single" w:sz="8" w:color="auto"/>
            </w:tcBorders>
          </w:tcPr>
          <w:p>
            <w:pPr>
              <w:jc w:val="right"/>
              <w:ind w:right="4735"/>
              <w:spacing w:after="0"/>
              <w:rPr>
                <w:sz w:val="20"/>
                <w:szCs w:val="20"/>
                <w:color w:val="auto"/>
              </w:rPr>
            </w:pPr>
            <w:r>
              <w:rPr>
                <w:rFonts w:ascii="Times New Roman" w:cs="Times New Roman" w:eastAsia="Times New Roman" w:hAnsi="Times New Roman"/>
                <w:sz w:val="21"/>
                <w:szCs w:val="21"/>
                <w:color w:val="auto"/>
                <w:w w:val="99"/>
              </w:rPr>
              <w:t>Exhibit A of t</w:t>
            </w:r>
          </w:p>
        </w:tc>
      </w:tr>
    </w:tbl>
    <w:p>
      <w:pPr>
        <w:spacing w:after="0" w:line="30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1"/>
          <w:szCs w:val="21"/>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ectPr>
          <w:pgSz w:w="11900" w:h="16838" w:orient="portrait"/>
          <w:cols w:equalWidth="0" w:num="1">
            <w:col w:w="11260"/>
          </w:cols>
          <w:pgMar w:left="320" w:top="1440" w:right="319" w:bottom="1440" w:gutter="0" w:footer="0" w:header="0"/>
        </w:sectPr>
      </w:pPr>
    </w:p>
    <w:bookmarkStart w:id="202" w:name="page203"/>
    <w:bookmarkEnd w:id="202"/>
    <w:p>
      <w:pPr>
        <w:spacing w:after="0" w:line="16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1"/>
          <w:szCs w:val="21"/>
          <w:b w:val="1"/>
          <w:bCs w:val="1"/>
          <w:color w:val="auto"/>
        </w:rPr>
        <w:t>F</w:t>
      </w:r>
      <w:r>
        <w:rPr>
          <w:rFonts w:ascii="Times New Roman" w:cs="Times New Roman" w:eastAsia="Times New Roman" w:hAnsi="Times New Roman"/>
          <w:sz w:val="15"/>
          <w:szCs w:val="15"/>
          <w:b w:val="1"/>
          <w:bCs w:val="1"/>
          <w:color w:val="auto"/>
        </w:rPr>
        <w:t>IDELITY</w:t>
      </w:r>
      <w:r>
        <w:rPr>
          <w:rFonts w:ascii="Times New Roman" w:cs="Times New Roman" w:eastAsia="Times New Roman" w:hAnsi="Times New Roman"/>
          <w:sz w:val="21"/>
          <w:szCs w:val="21"/>
          <w:b w:val="1"/>
          <w:bCs w:val="1"/>
          <w:color w:val="auto"/>
        </w:rPr>
        <w:t xml:space="preserve"> N</w:t>
      </w:r>
      <w:r>
        <w:rPr>
          <w:rFonts w:ascii="Times New Roman" w:cs="Times New Roman" w:eastAsia="Times New Roman" w:hAnsi="Times New Roman"/>
          <w:sz w:val="15"/>
          <w:szCs w:val="15"/>
          <w:b w:val="1"/>
          <w:bCs w:val="1"/>
          <w:color w:val="auto"/>
        </w:rPr>
        <w:t>ATIONAL</w:t>
      </w:r>
      <w:r>
        <w:rPr>
          <w:rFonts w:ascii="Times New Roman" w:cs="Times New Roman" w:eastAsia="Times New Roman" w:hAnsi="Times New Roman"/>
          <w:sz w:val="21"/>
          <w:szCs w:val="21"/>
          <w:b w:val="1"/>
          <w:bCs w:val="1"/>
          <w:color w:val="auto"/>
        </w:rPr>
        <w:t xml:space="preserve"> F</w:t>
      </w:r>
      <w:r>
        <w:rPr>
          <w:rFonts w:ascii="Times New Roman" w:cs="Times New Roman" w:eastAsia="Times New Roman" w:hAnsi="Times New Roman"/>
          <w:sz w:val="15"/>
          <w:szCs w:val="15"/>
          <w:b w:val="1"/>
          <w:bCs w:val="1"/>
          <w:color w:val="auto"/>
        </w:rPr>
        <w:t>INANCIAL</w:t>
      </w:r>
      <w:r>
        <w:rPr>
          <w:rFonts w:ascii="Times New Roman" w:cs="Times New Roman" w:eastAsia="Times New Roman" w:hAnsi="Times New Roman"/>
          <w:sz w:val="21"/>
          <w:szCs w:val="21"/>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21"/>
          <w:szCs w:val="21"/>
          <w:b w:val="1"/>
          <w:bCs w:val="1"/>
          <w:color w:val="auto"/>
        </w:rPr>
        <w:t>.</w:t>
      </w:r>
    </w:p>
    <w:p>
      <w:pPr>
        <w:spacing w:after="0" w:line="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5"/>
          <w:szCs w:val="15"/>
          <w:b w:val="1"/>
          <w:bCs w:val="1"/>
          <w:color w:val="auto"/>
        </w:rPr>
        <w:t>MENDED AND</w:t>
      </w:r>
      <w:r>
        <w:rPr>
          <w:rFonts w:ascii="Times New Roman" w:cs="Times New Roman" w:eastAsia="Times New Roman" w:hAnsi="Times New Roman"/>
          <w:sz w:val="21"/>
          <w:szCs w:val="21"/>
          <w:b w:val="1"/>
          <w:bCs w:val="1"/>
          <w:color w:val="auto"/>
        </w:rPr>
        <w:t xml:space="preserve"> R</w:t>
      </w:r>
      <w:r>
        <w:rPr>
          <w:rFonts w:ascii="Times New Roman" w:cs="Times New Roman" w:eastAsia="Times New Roman" w:hAnsi="Times New Roman"/>
          <w:sz w:val="15"/>
          <w:szCs w:val="15"/>
          <w:b w:val="1"/>
          <w:bCs w:val="1"/>
          <w:color w:val="auto"/>
        </w:rPr>
        <w:t>ESTATED</w:t>
      </w:r>
      <w:r>
        <w:rPr>
          <w:rFonts w:ascii="Times New Roman" w:cs="Times New Roman" w:eastAsia="Times New Roman" w:hAnsi="Times New Roman"/>
          <w:sz w:val="21"/>
          <w:szCs w:val="21"/>
          <w:b w:val="1"/>
          <w:bCs w:val="1"/>
          <w:color w:val="auto"/>
        </w:rPr>
        <w:t xml:space="preserve"> 2005 O</w:t>
      </w:r>
      <w:r>
        <w:rPr>
          <w:rFonts w:ascii="Times New Roman" w:cs="Times New Roman" w:eastAsia="Times New Roman" w:hAnsi="Times New Roman"/>
          <w:sz w:val="15"/>
          <w:szCs w:val="15"/>
          <w:b w:val="1"/>
          <w:bCs w:val="1"/>
          <w:color w:val="auto"/>
        </w:rPr>
        <w:t>MNIBUS</w:t>
      </w:r>
      <w:r>
        <w:rPr>
          <w:rFonts w:ascii="Times New Roman" w:cs="Times New Roman" w:eastAsia="Times New Roman" w:hAnsi="Times New Roman"/>
          <w:sz w:val="21"/>
          <w:szCs w:val="21"/>
          <w:b w:val="1"/>
          <w:bCs w:val="1"/>
          <w:color w:val="auto"/>
        </w:rPr>
        <w:t xml:space="preserve"> I</w:t>
      </w:r>
      <w:r>
        <w:rPr>
          <w:rFonts w:ascii="Times New Roman" w:cs="Times New Roman" w:eastAsia="Times New Roman" w:hAnsi="Times New Roman"/>
          <w:sz w:val="15"/>
          <w:szCs w:val="15"/>
          <w:b w:val="1"/>
          <w:bCs w:val="1"/>
          <w:color w:val="auto"/>
        </w:rPr>
        <w:t>NCENTIVE</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5"/>
          <w:szCs w:val="15"/>
          <w:b w:val="1"/>
          <w:bCs w:val="1"/>
          <w:color w:val="auto"/>
        </w:rPr>
        <w:t>LAN</w:t>
      </w:r>
    </w:p>
    <w:p>
      <w:pPr>
        <w:spacing w:after="0" w:line="19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b w:val="1"/>
          <w:bCs w:val="1"/>
          <w:color w:val="auto"/>
        </w:rPr>
        <w:t>Restricted Stock Award Agreement (Time and Performance-Based)</w:t>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b w:val="1"/>
          <w:bCs w:val="1"/>
          <w:color w:val="auto"/>
        </w:rPr>
        <w:t>SECTION 1. GRANT OF RESTRICTED STOCK</w:t>
      </w:r>
    </w:p>
    <w:p>
      <w:pPr>
        <w:spacing w:after="0" w:line="37" w:lineRule="exact"/>
        <w:rPr>
          <w:sz w:val="20"/>
          <w:szCs w:val="20"/>
          <w:color w:val="auto"/>
        </w:rPr>
      </w:pPr>
    </w:p>
    <w:p>
      <w:pPr>
        <w:jc w:val="both"/>
        <w:ind w:firstLine="559"/>
        <w:spacing w:after="0" w:line="249" w:lineRule="auto"/>
        <w:tabs>
          <w:tab w:leader="none" w:pos="852"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Restricted Stock</w:t>
      </w:r>
      <w:r>
        <w:rPr>
          <w:rFonts w:ascii="Times New Roman" w:cs="Times New Roman" w:eastAsia="Times New Roman" w:hAnsi="Times New Roman"/>
          <w:sz w:val="21"/>
          <w:szCs w:val="21"/>
          <w:color w:val="auto"/>
        </w:rPr>
        <w:t>. On the terms and conditions set forth in the Notice of Restricted Stock Grant and this Restricted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Agreement (the “Agreement”), the Company grants to the Grantee on the Effective Date of Grant the Shares of Restricted Stock (the “Restricted Stock”) set forth in the Notice of Restricted Stock Grant.</w:t>
      </w:r>
    </w:p>
    <w:p>
      <w:pPr>
        <w:jc w:val="both"/>
        <w:ind w:firstLine="559"/>
        <w:spacing w:after="0" w:line="253" w:lineRule="auto"/>
        <w:tabs>
          <w:tab w:leader="none" w:pos="890"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Plan and Defined Terms</w:t>
      </w:r>
      <w:r>
        <w:rPr>
          <w:rFonts w:ascii="Times New Roman" w:cs="Times New Roman" w:eastAsia="Times New Roman" w:hAnsi="Times New Roman"/>
          <w:sz w:val="21"/>
          <w:szCs w:val="21"/>
          <w:color w:val="auto"/>
        </w:rPr>
        <w:t>. The Restricted Stock is granted pursuant to the Plan. All terms, provisions, and conditions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to the Restricted 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2" w:lineRule="exact"/>
        <w:rPr>
          <w:rFonts w:ascii="Times New Roman" w:cs="Times New Roman" w:eastAsia="Times New Roman" w:hAnsi="Times New Roman"/>
          <w:sz w:val="21"/>
          <w:szCs w:val="21"/>
          <w:b w:val="1"/>
          <w:bCs w:val="1"/>
          <w:color w:val="auto"/>
        </w:rPr>
      </w:pPr>
    </w:p>
    <w:p>
      <w:pPr>
        <w:ind w:left="560"/>
        <w:spacing w:after="0" w:line="22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2. FORFEITURE AND TRANSFER RESTRICTIONS</w:t>
      </w:r>
    </w:p>
    <w:p>
      <w:pPr>
        <w:ind w:left="860" w:hanging="301"/>
        <w:spacing w:after="0"/>
        <w:tabs>
          <w:tab w:leader="none" w:pos="860"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Forfeiture</w:t>
      </w:r>
      <w:r>
        <w:rPr>
          <w:rFonts w:ascii="Times New Roman" w:cs="Times New Roman" w:eastAsia="Times New Roman" w:hAnsi="Times New Roman"/>
          <w:sz w:val="21"/>
          <w:szCs w:val="21"/>
          <w:color w:val="auto"/>
        </w:rPr>
        <w:t>. Except as otherwise provided in Grantee’s employment, director services or similar agreement in effect at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time of the employment termination:</w:t>
      </w:r>
    </w:p>
    <w:p>
      <w:pPr>
        <w:jc w:val="both"/>
        <w:ind w:firstLine="1190"/>
        <w:spacing w:after="0" w:line="239" w:lineRule="auto"/>
        <w:tabs>
          <w:tab w:leader="none" w:pos="144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2" w:lineRule="exact"/>
        <w:rPr>
          <w:rFonts w:ascii="Times New Roman" w:cs="Times New Roman" w:eastAsia="Times New Roman" w:hAnsi="Times New Roman"/>
          <w:sz w:val="21"/>
          <w:szCs w:val="21"/>
          <w:color w:val="auto"/>
        </w:rPr>
      </w:pPr>
    </w:p>
    <w:p>
      <w:pPr>
        <w:jc w:val="both"/>
        <w:ind w:firstLine="1190"/>
        <w:spacing w:after="0" w:line="241" w:lineRule="auto"/>
        <w:tabs>
          <w:tab w:leader="none" w:pos="1514"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w:t>
      </w:r>
    </w:p>
    <w:p>
      <w:pPr>
        <w:jc w:val="center"/>
        <w:ind w:right="4900"/>
        <w:spacing w:after="0"/>
        <w:rPr>
          <w:sz w:val="20"/>
          <w:szCs w:val="20"/>
          <w:color w:val="auto"/>
        </w:rPr>
      </w:pPr>
      <w:r>
        <w:rPr>
          <w:rFonts w:ascii="Times New Roman" w:cs="Times New Roman" w:eastAsia="Times New Roman" w:hAnsi="Times New Roman"/>
          <w:sz w:val="21"/>
          <w:szCs w:val="21"/>
          <w:color w:val="auto"/>
        </w:rPr>
        <w:t>determined by the following formula (rounded to the nearest whole Share):</w:t>
      </w:r>
    </w:p>
    <w:p>
      <w:pPr>
        <w:jc w:val="center"/>
        <w:ind w:right="4720"/>
        <w:spacing w:after="0" w:line="235" w:lineRule="auto"/>
        <w:rPr>
          <w:sz w:val="20"/>
          <w:szCs w:val="20"/>
          <w:color w:val="auto"/>
        </w:rPr>
      </w:pPr>
      <w:r>
        <w:rPr>
          <w:rFonts w:ascii="Times New Roman" w:cs="Times New Roman" w:eastAsia="Times New Roman" w:hAnsi="Times New Roman"/>
          <w:sz w:val="21"/>
          <w:szCs w:val="21"/>
          <w:color w:val="auto"/>
        </w:rPr>
        <w:t>(A x B) – C, where</w:t>
      </w:r>
    </w:p>
    <w:p>
      <w:pPr>
        <w:ind w:left="2460"/>
        <w:spacing w:after="0" w:line="235" w:lineRule="auto"/>
        <w:rPr>
          <w:sz w:val="20"/>
          <w:szCs w:val="20"/>
          <w:color w:val="auto"/>
        </w:rPr>
      </w:pPr>
      <w:r>
        <w:rPr>
          <w:rFonts w:ascii="Times New Roman" w:cs="Times New Roman" w:eastAsia="Times New Roman" w:hAnsi="Times New Roman"/>
          <w:sz w:val="21"/>
          <w:szCs w:val="21"/>
          <w:color w:val="auto"/>
        </w:rPr>
        <w:t>A = the total number of Shares granted under this Agreement,</w:t>
      </w:r>
    </w:p>
    <w:p>
      <w:pPr>
        <w:ind w:left="2460"/>
        <w:spacing w:after="0" w:line="236" w:lineRule="auto"/>
        <w:rPr>
          <w:sz w:val="20"/>
          <w:szCs w:val="20"/>
          <w:color w:val="auto"/>
        </w:rPr>
      </w:pPr>
      <w:r>
        <w:rPr>
          <w:rFonts w:ascii="Times New Roman" w:cs="Times New Roman" w:eastAsia="Times New Roman" w:hAnsi="Times New Roman"/>
          <w:sz w:val="21"/>
          <w:szCs w:val="21"/>
          <w:color w:val="auto"/>
        </w:rPr>
        <w:t>B = the number of completed months to the date of termination of employment since the Effective Date</w:t>
      </w:r>
    </w:p>
    <w:p>
      <w:pPr>
        <w:spacing w:after="0" w:line="235" w:lineRule="auto"/>
        <w:rPr>
          <w:sz w:val="20"/>
          <w:szCs w:val="20"/>
          <w:color w:val="auto"/>
        </w:rPr>
      </w:pPr>
      <w:r>
        <w:rPr>
          <w:rFonts w:ascii="Times New Roman" w:cs="Times New Roman" w:eastAsia="Times New Roman" w:hAnsi="Times New Roman"/>
          <w:sz w:val="21"/>
          <w:szCs w:val="21"/>
          <w:color w:val="auto"/>
        </w:rPr>
        <w:t>of Grant divided by 36, and</w:t>
      </w:r>
    </w:p>
    <w:p>
      <w:pPr>
        <w:spacing w:after="0" w:line="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color w:val="auto"/>
        </w:rPr>
        <w:t>C = the number of Shares granted under this Agreement which vested on or prior to the date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termination of employment.</w:t>
      </w:r>
    </w:p>
    <w:p>
      <w:pPr>
        <w:ind w:firstLine="554"/>
        <w:spacing w:after="0" w:line="241" w:lineRule="auto"/>
        <w:rPr>
          <w:sz w:val="20"/>
          <w:szCs w:val="20"/>
          <w:color w:val="auto"/>
        </w:rPr>
      </w:pPr>
      <w:r>
        <w:rPr>
          <w:rFonts w:ascii="Times New Roman" w:cs="Times New Roman" w:eastAsia="Times New Roman" w:hAnsi="Times New Roman"/>
          <w:sz w:val="21"/>
          <w:szCs w:val="21"/>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2" w:lineRule="exact"/>
        <w:rPr>
          <w:sz w:val="20"/>
          <w:szCs w:val="20"/>
          <w:color w:val="auto"/>
        </w:rPr>
      </w:pPr>
    </w:p>
    <w:p>
      <w:pPr>
        <w:jc w:val="both"/>
        <w:ind w:firstLine="1190"/>
        <w:spacing w:after="0" w:line="241" w:lineRule="auto"/>
        <w:tabs>
          <w:tab w:leader="none" w:pos="155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ectPr>
          <w:pgSz w:w="11900" w:h="16838" w:orient="portrait"/>
          <w:cols w:equalWidth="0" w:num="1">
            <w:col w:w="11240"/>
          </w:cols>
          <w:pgMar w:left="320" w:top="1440" w:right="339" w:bottom="1440" w:gutter="0" w:footer="0" w:header="0"/>
        </w:sectPr>
      </w:pPr>
    </w:p>
    <w:bookmarkStart w:id="203" w:name="page204"/>
    <w:bookmarkEnd w:id="203"/>
    <w:p>
      <w:pPr>
        <w:ind w:firstLine="1190"/>
        <w:spacing w:after="0" w:line="269" w:lineRule="auto"/>
        <w:tabs>
          <w:tab w:leader="none" w:pos="1547"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Performance Restriction is not satisfied during the Measurement Period, all of the Shares that do not satisfy the performance criteria for the applicable Performance Period, shall be forfeited to the Company, for no consideration.</w:t>
      </w:r>
    </w:p>
    <w:p>
      <w:pPr>
        <w:spacing w:after="0" w:line="178" w:lineRule="exact"/>
        <w:rPr>
          <w:rFonts w:ascii="Times New Roman" w:cs="Times New Roman" w:eastAsia="Times New Roman" w:hAnsi="Times New Roman"/>
          <w:sz w:val="21"/>
          <w:szCs w:val="21"/>
          <w:color w:val="auto"/>
        </w:rPr>
      </w:pPr>
    </w:p>
    <w:p>
      <w:pPr>
        <w:jc w:val="both"/>
        <w:ind w:firstLine="559"/>
        <w:spacing w:after="0" w:line="249" w:lineRule="auto"/>
        <w:tabs>
          <w:tab w:leader="none" w:pos="903"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Transfer Restrictions</w:t>
      </w:r>
      <w:r>
        <w:rPr>
          <w:rFonts w:ascii="Times New Roman" w:cs="Times New Roman" w:eastAsia="Times New Roman" w:hAnsi="Times New Roman"/>
          <w:sz w:val="21"/>
          <w:szCs w:val="21"/>
          <w:color w:val="auto"/>
        </w:rPr>
        <w:t>. During the Period of Restriction, the Restricted Stock may not be sold, assigned, pledged,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exchanged, hypothecated or otherwise transferred, encumbered or disposed of, to the extent such Shares are subject to a Period of Restriction.</w:t>
      </w:r>
    </w:p>
    <w:p>
      <w:pPr>
        <w:jc w:val="both"/>
        <w:ind w:firstLine="559"/>
        <w:spacing w:after="0"/>
        <w:tabs>
          <w:tab w:leader="none" w:pos="853"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Holding Period</w:t>
      </w:r>
      <w:r>
        <w:rPr>
          <w:rFonts w:ascii="Times New Roman" w:cs="Times New Roman" w:eastAsia="Times New Roman" w:hAnsi="Times New Roman"/>
          <w:sz w:val="21"/>
          <w:szCs w:val="21"/>
          <w:color w:val="auto"/>
        </w:rPr>
        <w:t>. If and when (i) the Grantee is an Officer (as defined in Rule 16a-1(f) of the Exchange Act), and (ii)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does not hold Shares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1" w:lineRule="exact"/>
        <w:rPr>
          <w:rFonts w:ascii="Times New Roman" w:cs="Times New Roman" w:eastAsia="Times New Roman" w:hAnsi="Times New Roman"/>
          <w:sz w:val="21"/>
          <w:szCs w:val="21"/>
          <w:b w:val="1"/>
          <w:bCs w:val="1"/>
          <w:color w:val="auto"/>
        </w:rPr>
      </w:pPr>
    </w:p>
    <w:p>
      <w:pPr>
        <w:jc w:val="both"/>
        <w:ind w:firstLine="559"/>
        <w:spacing w:after="0" w:line="241" w:lineRule="auto"/>
        <w:tabs>
          <w:tab w:leader="none" w:pos="877"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Lapse of Restrictions</w:t>
      </w:r>
      <w:r>
        <w:rPr>
          <w:rFonts w:ascii="Times New Roman" w:cs="Times New Roman" w:eastAsia="Times New Roman" w:hAnsi="Times New Roman"/>
          <w:sz w:val="21"/>
          <w:szCs w:val="21"/>
          <w:color w:val="auto"/>
        </w:rPr>
        <w:t>. The Period of Restriction shall lapse as to the Restricted Stock in accordance with the Notice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Restricted Stock Grant and the 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ind w:left="560"/>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3. STOCK CERTIFICATES</w:t>
      </w:r>
    </w:p>
    <w:p>
      <w:pPr>
        <w:ind w:firstLine="553"/>
        <w:spacing w:after="0" w:line="22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5" w:lineRule="exact"/>
        <w:rPr>
          <w:rFonts w:ascii="Times New Roman" w:cs="Times New Roman" w:eastAsia="Times New Roman" w:hAnsi="Times New Roman"/>
          <w:sz w:val="21"/>
          <w:szCs w:val="21"/>
          <w:b w:val="1"/>
          <w:bCs w:val="1"/>
          <w:color w:val="auto"/>
        </w:rPr>
      </w:pPr>
    </w:p>
    <w:p>
      <w:pPr>
        <w:ind w:left="560"/>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4. SHAREHOLDER RIGHTS</w:t>
      </w:r>
    </w:p>
    <w:p>
      <w:pPr>
        <w:jc w:val="both"/>
        <w:ind w:firstLine="553"/>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w:t>
      </w:r>
    </w:p>
    <w:p>
      <w:pPr>
        <w:sectPr>
          <w:pgSz w:w="11900" w:h="16838" w:orient="portrait"/>
          <w:cols w:equalWidth="0" w:num="1">
            <w:col w:w="11240"/>
          </w:cols>
          <w:pgMar w:left="320" w:top="1375" w:right="339" w:bottom="1440" w:gutter="0" w:footer="0" w:header="0"/>
        </w:sectPr>
      </w:pPr>
    </w:p>
    <w:bookmarkStart w:id="204" w:name="page205"/>
    <w:bookmarkEnd w:id="204"/>
    <w:p>
      <w:pPr>
        <w:ind w:right="120"/>
        <w:spacing w:after="0"/>
        <w:rPr>
          <w:sz w:val="20"/>
          <w:szCs w:val="20"/>
          <w:color w:val="auto"/>
        </w:rPr>
      </w:pPr>
      <w:r>
        <w:rPr>
          <w:rFonts w:ascii="Times New Roman" w:cs="Times New Roman" w:eastAsia="Times New Roman" w:hAnsi="Times New Roman"/>
          <w:sz w:val="21"/>
          <w:szCs w:val="21"/>
          <w:color w:val="auto"/>
        </w:rPr>
        <w:t>securities shall be held by the Company subject to the same restrictions as the Restricted Stock in respect of which the dividend was paid.</w:t>
      </w:r>
    </w:p>
    <w:p>
      <w:pPr>
        <w:ind w:left="560"/>
        <w:spacing w:after="0" w:line="236" w:lineRule="auto"/>
        <w:rPr>
          <w:sz w:val="20"/>
          <w:szCs w:val="20"/>
          <w:color w:val="auto"/>
        </w:rPr>
      </w:pPr>
      <w:r>
        <w:rPr>
          <w:rFonts w:ascii="Times New Roman" w:cs="Times New Roman" w:eastAsia="Times New Roman" w:hAnsi="Times New Roman"/>
          <w:sz w:val="21"/>
          <w:szCs w:val="21"/>
          <w:b w:val="1"/>
          <w:bCs w:val="1"/>
          <w:color w:val="auto"/>
        </w:rPr>
        <w:t>SECTION 5. DIVIDENDS</w:t>
      </w:r>
    </w:p>
    <w:p>
      <w:pPr>
        <w:spacing w:after="0" w:line="1" w:lineRule="exact"/>
        <w:rPr>
          <w:sz w:val="20"/>
          <w:szCs w:val="20"/>
          <w:color w:val="auto"/>
        </w:rPr>
      </w:pPr>
    </w:p>
    <w:p>
      <w:pPr>
        <w:ind w:right="120" w:firstLine="559"/>
        <w:spacing w:after="0" w:line="241" w:lineRule="auto"/>
        <w:tabs>
          <w:tab w:leader="none" w:pos="852"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dividends paid with respect to Shares which remain subject to a Period of Restriction shall not be paid to the Grantee but shall be held by the Company.</w:t>
      </w:r>
    </w:p>
    <w:p>
      <w:pPr>
        <w:spacing w:after="0" w:line="1" w:lineRule="exact"/>
        <w:rPr>
          <w:rFonts w:ascii="Times New Roman" w:cs="Times New Roman" w:eastAsia="Times New Roman" w:hAnsi="Times New Roman"/>
          <w:sz w:val="21"/>
          <w:szCs w:val="21"/>
          <w:b w:val="1"/>
          <w:bCs w:val="1"/>
          <w:color w:val="auto"/>
        </w:rPr>
      </w:pPr>
    </w:p>
    <w:p>
      <w:pPr>
        <w:ind w:left="880" w:hanging="319"/>
        <w:spacing w:after="0" w:line="235" w:lineRule="auto"/>
        <w:tabs>
          <w:tab w:leader="none" w:pos="88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Such held dividends shall be subject to the same Period of Restriction as the Shares to which they relate.</w:t>
      </w:r>
    </w:p>
    <w:p>
      <w:pPr>
        <w:ind w:right="80" w:firstLine="561"/>
        <w:spacing w:after="0" w:line="235" w:lineRule="auto"/>
        <w:tabs>
          <w:tab w:leader="none" w:pos="842"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dividends held pursuant to this Section 5 which are attributable to Shares which vest pursuant to this Agreement shall be paid to the Grantee within 30 days of the applicable vesting date.</w:t>
      </w:r>
    </w:p>
    <w:p>
      <w:pPr>
        <w:ind w:right="20" w:firstLine="561"/>
        <w:spacing w:after="0" w:line="235" w:lineRule="auto"/>
        <w:tabs>
          <w:tab w:leader="none" w:pos="866"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Dividends attributable to Shares forfeited pursuant to Section 2 of this Agreement shall be forfeited to the Company on the date such Shares are forfeited.</w:t>
      </w:r>
    </w:p>
    <w:p>
      <w:pPr>
        <w:ind w:left="560"/>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6. MISCELLANEOUS PROVISIONS</w:t>
      </w:r>
    </w:p>
    <w:p>
      <w:pPr>
        <w:ind w:left="860" w:hanging="299"/>
        <w:spacing w:after="0"/>
        <w:tabs>
          <w:tab w:leader="none" w:pos="860"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 Withholding</w:t>
      </w:r>
      <w:r>
        <w:rPr>
          <w:rFonts w:ascii="Times New Roman" w:cs="Times New Roman" w:eastAsia="Times New Roman" w:hAnsi="Times New Roman"/>
          <w:sz w:val="21"/>
          <w:szCs w:val="21"/>
          <w:color w:val="auto"/>
        </w:rPr>
        <w:t>. Pursuant to Article 20 of the Plan, the Committee shall have the power and right to deduct or withhold,</w:t>
      </w:r>
    </w:p>
    <w:p>
      <w:pPr>
        <w:spacing w:after="0" w:line="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or require the Grantee 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7" w:lineRule="exact"/>
        <w:rPr>
          <w:sz w:val="20"/>
          <w:szCs w:val="20"/>
          <w:color w:val="auto"/>
        </w:rPr>
      </w:pPr>
    </w:p>
    <w:p>
      <w:pPr>
        <w:jc w:val="both"/>
        <w:ind w:firstLine="559"/>
        <w:spacing w:after="0" w:line="239" w:lineRule="auto"/>
        <w:tabs>
          <w:tab w:leader="none" w:pos="863"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Ratification of Actions</w:t>
      </w:r>
      <w:r>
        <w:rPr>
          <w:rFonts w:ascii="Times New Roman" w:cs="Times New Roman" w:eastAsia="Times New Roman" w:hAnsi="Times New Roman"/>
          <w:sz w:val="21"/>
          <w:szCs w:val="21"/>
          <w:color w:val="auto"/>
        </w:rPr>
        <w:t>. By accepting this Agreement, the Grantee and each person claiming under or through the Grantee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conclusively deemed to have indicated the Grantee’s acceptance and ratification of, and consent to, any action taken under the Plan or this Agreement and Notice of Restricted Stock Grant by the Company, the Board or the Committee.</w:t>
      </w:r>
    </w:p>
    <w:p>
      <w:pPr>
        <w:spacing w:after="0" w:line="2" w:lineRule="exact"/>
        <w:rPr>
          <w:rFonts w:ascii="Times New Roman" w:cs="Times New Roman" w:eastAsia="Times New Roman" w:hAnsi="Times New Roman"/>
          <w:sz w:val="21"/>
          <w:szCs w:val="21"/>
          <w:b w:val="1"/>
          <w:bCs w:val="1"/>
          <w:color w:val="auto"/>
        </w:rPr>
      </w:pPr>
    </w:p>
    <w:p>
      <w:pPr>
        <w:jc w:val="both"/>
        <w:ind w:firstLine="559"/>
        <w:spacing w:after="0" w:line="241" w:lineRule="auto"/>
        <w:tabs>
          <w:tab w:leader="none" w:pos="840"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Any notice required by the terms of this Agreement shall be given in writing and shall be deemed effective upon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personal delivery or 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3" w:lineRule="exact"/>
        <w:rPr>
          <w:rFonts w:ascii="Times New Roman" w:cs="Times New Roman" w:eastAsia="Times New Roman" w:hAnsi="Times New Roman"/>
          <w:sz w:val="21"/>
          <w:szCs w:val="21"/>
          <w:b w:val="1"/>
          <w:bCs w:val="1"/>
          <w:color w:val="auto"/>
        </w:rPr>
      </w:pPr>
    </w:p>
    <w:p>
      <w:pPr>
        <w:jc w:val="both"/>
        <w:ind w:firstLine="559"/>
        <w:spacing w:after="0" w:line="238" w:lineRule="auto"/>
        <w:tabs>
          <w:tab w:leader="none" w:pos="903"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Choice of Law</w:t>
      </w:r>
      <w:r>
        <w:rPr>
          <w:rFonts w:ascii="Times New Roman" w:cs="Times New Roman" w:eastAsia="Times New Roman" w:hAnsi="Times New Roman"/>
          <w:sz w:val="21"/>
          <w:szCs w:val="21"/>
          <w:color w:val="auto"/>
        </w:rPr>
        <w:t>. This Agreement and the Notice of Restricted Stock Grant shall be governed by, and construed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the laws of Florida,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2" w:lineRule="exact"/>
        <w:rPr>
          <w:rFonts w:ascii="Times New Roman" w:cs="Times New Roman" w:eastAsia="Times New Roman" w:hAnsi="Times New Roman"/>
          <w:sz w:val="21"/>
          <w:szCs w:val="21"/>
          <w:b w:val="1"/>
          <w:bCs w:val="1"/>
          <w:color w:val="auto"/>
        </w:rPr>
      </w:pPr>
    </w:p>
    <w:p>
      <w:pPr>
        <w:jc w:val="both"/>
        <w:ind w:firstLine="559"/>
        <w:spacing w:after="0" w:line="244" w:lineRule="auto"/>
        <w:tabs>
          <w:tab w:leader="none" w:pos="840"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Arbitration</w:t>
      </w:r>
      <w:r>
        <w:rPr>
          <w:rFonts w:ascii="Times New Roman" w:cs="Times New Roman" w:eastAsia="Times New Roman" w:hAnsi="Times New Roman"/>
          <w:sz w:val="21"/>
          <w:szCs w:val="21"/>
          <w:color w:val="auto"/>
        </w:rPr>
        <w:t>. Subject to, and in accordance with the provisions of Article 3 of the Plan, any dispute or claim arising out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relating to the Plan, this Agreement 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w:t>
      </w:r>
    </w:p>
    <w:p>
      <w:pPr>
        <w:sectPr>
          <w:pgSz w:w="11900" w:h="16838" w:orient="portrait"/>
          <w:cols w:equalWidth="0" w:num="1">
            <w:col w:w="11240"/>
          </w:cols>
          <w:pgMar w:left="320" w:top="1375" w:right="339" w:bottom="1440" w:gutter="0" w:footer="0" w:header="0"/>
        </w:sectPr>
      </w:pPr>
    </w:p>
    <w:bookmarkStart w:id="205" w:name="page206"/>
    <w:bookmarkEnd w:id="205"/>
    <w:p>
      <w:pPr>
        <w:ind w:right="20"/>
        <w:spacing w:after="0" w:line="253" w:lineRule="auto"/>
        <w:rPr>
          <w:sz w:val="20"/>
          <w:szCs w:val="20"/>
          <w:color w:val="auto"/>
        </w:rPr>
      </w:pPr>
      <w:r>
        <w:rPr>
          <w:rFonts w:ascii="Times New Roman" w:cs="Times New Roman" w:eastAsia="Times New Roman" w:hAnsi="Times New Roman"/>
          <w:sz w:val="21"/>
          <w:szCs w:val="21"/>
          <w:color w:val="auto"/>
        </w:rPr>
        <w:t>Stock Grant, provided that all substantive questions of law shall be determined in accordance with the state and federal laws applicable in Florida, without regard to internal principles relating to conflict of laws.</w:t>
      </w:r>
    </w:p>
    <w:p>
      <w:pPr>
        <w:spacing w:after="0" w:line="2" w:lineRule="exact"/>
        <w:rPr>
          <w:sz w:val="20"/>
          <w:szCs w:val="20"/>
          <w:color w:val="auto"/>
        </w:rPr>
      </w:pPr>
    </w:p>
    <w:p>
      <w:pPr>
        <w:jc w:val="both"/>
        <w:ind w:right="20" w:firstLine="559"/>
        <w:spacing w:after="0" w:line="239" w:lineRule="auto"/>
        <w:tabs>
          <w:tab w:leader="none" w:pos="817"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Modification or Amendment</w:t>
      </w:r>
      <w:r>
        <w:rPr>
          <w:rFonts w:ascii="Times New Roman" w:cs="Times New Roman" w:eastAsia="Times New Roman" w:hAnsi="Times New Roman"/>
          <w:sz w:val="21"/>
          <w:szCs w:val="21"/>
          <w:color w:val="auto"/>
        </w:rPr>
        <w:t>. This Agreement may only be modified or amended by written agreement executed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hereto; provided, however, that the adjustments permitted pursuant to Section 4.3 of the Plan may be made without such written agreement.</w:t>
      </w:r>
    </w:p>
    <w:p>
      <w:pPr>
        <w:spacing w:after="0" w:line="2" w:lineRule="exact"/>
        <w:rPr>
          <w:rFonts w:ascii="Times New Roman" w:cs="Times New Roman" w:eastAsia="Times New Roman" w:hAnsi="Times New Roman"/>
          <w:sz w:val="21"/>
          <w:szCs w:val="21"/>
          <w:b w:val="1"/>
          <w:bCs w:val="1"/>
          <w:color w:val="auto"/>
        </w:rPr>
      </w:pPr>
    </w:p>
    <w:p>
      <w:pPr>
        <w:jc w:val="both"/>
        <w:ind w:right="20" w:firstLine="559"/>
        <w:spacing w:after="0" w:line="239" w:lineRule="auto"/>
        <w:tabs>
          <w:tab w:leader="none" w:pos="852"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In the event any provision of this Agreement shall be held illegal or invalid for any reason, the illegality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invalidity shall not affect the remaining provisions of this Agreement, and this Agreement shall be construed and enforced as if such illegal or invalid provision had not been included.</w:t>
      </w:r>
    </w:p>
    <w:p>
      <w:pPr>
        <w:spacing w:after="0" w:line="2" w:lineRule="exact"/>
        <w:rPr>
          <w:rFonts w:ascii="Times New Roman" w:cs="Times New Roman" w:eastAsia="Times New Roman" w:hAnsi="Times New Roman"/>
          <w:sz w:val="21"/>
          <w:szCs w:val="21"/>
          <w:b w:val="1"/>
          <w:bCs w:val="1"/>
          <w:color w:val="auto"/>
        </w:rPr>
      </w:pPr>
    </w:p>
    <w:p>
      <w:pPr>
        <w:ind w:left="860" w:hanging="301"/>
        <w:spacing w:after="0"/>
        <w:tabs>
          <w:tab w:leader="none" w:pos="86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References to Plan</w:t>
      </w:r>
      <w:r>
        <w:rPr>
          <w:rFonts w:ascii="Times New Roman" w:cs="Times New Roman" w:eastAsia="Times New Roman" w:hAnsi="Times New Roman"/>
          <w:sz w:val="21"/>
          <w:szCs w:val="21"/>
          <w:color w:val="auto"/>
        </w:rPr>
        <w:t>. All references to the Plan shall be deemed references to the Plan as may be amended from time to</w:t>
      </w:r>
    </w:p>
    <w:p>
      <w:pPr>
        <w:spacing w:after="0" w:line="8" w:lineRule="exact"/>
        <w:rPr>
          <w:rFonts w:ascii="Times New Roman" w:cs="Times New Roman" w:eastAsia="Times New Roman" w:hAnsi="Times New Roman"/>
          <w:sz w:val="21"/>
          <w:szCs w:val="21"/>
          <w:b w:val="1"/>
          <w:bCs w:val="1"/>
          <w:color w:val="auto"/>
        </w:rPr>
      </w:pPr>
    </w:p>
    <w:p>
      <w:pPr>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time.</w:t>
      </w:r>
    </w:p>
    <w:p>
      <w:pPr>
        <w:jc w:val="both"/>
        <w:ind w:right="20" w:firstLine="559"/>
        <w:spacing w:after="0" w:line="243" w:lineRule="auto"/>
        <w:tabs>
          <w:tab w:leader="none" w:pos="831"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409A Compliance</w:t>
      </w:r>
      <w:r>
        <w:rPr>
          <w:rFonts w:ascii="Times New Roman" w:cs="Times New Roman" w:eastAsia="Times New Roman" w:hAnsi="Times New Roman"/>
          <w:sz w:val="21"/>
          <w:szCs w:val="21"/>
          <w:color w:val="auto"/>
        </w:rPr>
        <w:t>. To the extent applicable, it is intended that the Plan and this Agreement comply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requirements of Code Section 409A and any related regulations or other guidance promulgated with respect to such Section by the U.S. Department of the Treasury or the Internal Revenue Service and the Plan and the Award Agreement shall be interpreted accordingly.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1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1"/>
          <w:szCs w:val="21"/>
          <w:b w:val="1"/>
          <w:bCs w:val="1"/>
          <w:color w:val="auto"/>
        </w:rPr>
        <w:t>Vesting and Restrictions</w:t>
      </w:r>
    </w:p>
    <w:p>
      <w:pPr>
        <w:ind w:right="60" w:firstLine="1185"/>
        <w:spacing w:after="0" w:line="235" w:lineRule="auto"/>
        <w:rPr>
          <w:sz w:val="20"/>
          <w:szCs w:val="20"/>
          <w:color w:val="auto"/>
        </w:rPr>
      </w:pPr>
      <w:r>
        <w:rPr>
          <w:rFonts w:ascii="Times New Roman" w:cs="Times New Roman" w:eastAsia="Times New Roman" w:hAnsi="Times New Roman"/>
          <w:sz w:val="21"/>
          <w:szCs w:val="21"/>
          <w:color w:val="auto"/>
        </w:rPr>
        <w:t>This grant is subject to both a Performance Restriction and a Time-Based Restriction, as described below (collectively, the “Period of Restriction”).</w:t>
      </w:r>
    </w:p>
    <w:p>
      <w:pPr>
        <w:ind w:left="6460"/>
        <w:spacing w:after="0" w:line="236" w:lineRule="auto"/>
        <w:rPr>
          <w:sz w:val="20"/>
          <w:szCs w:val="20"/>
          <w:color w:val="auto"/>
        </w:rPr>
      </w:pPr>
      <w:r>
        <w:rPr>
          <w:rFonts w:ascii="Times New Roman" w:cs="Times New Roman" w:eastAsia="Times New Roman" w:hAnsi="Times New Roman"/>
          <w:sz w:val="21"/>
          <w:szCs w:val="21"/>
          <w:b w:val="1"/>
          <w:bCs w:val="1"/>
          <w:color w:val="auto"/>
        </w:rPr>
        <w:t>Performance Restriction</w:t>
      </w:r>
    </w:p>
    <w:p>
      <w:pPr>
        <w:jc w:val="both"/>
        <w:ind w:right="20" w:firstLine="1185"/>
        <w:spacing w:after="0" w:line="241" w:lineRule="auto"/>
        <w:rPr>
          <w:sz w:val="20"/>
          <w:szCs w:val="20"/>
          <w:color w:val="auto"/>
        </w:rPr>
      </w:pPr>
      <w:r>
        <w:rPr>
          <w:rFonts w:ascii="Times New Roman" w:cs="Times New Roman" w:eastAsia="Times New Roman" w:hAnsi="Times New Roman"/>
          <w:sz w:val="21"/>
          <w:szCs w:val="21"/>
          <w:color w:val="auto"/>
        </w:rPr>
        <w:t xml:space="preserve">In order for the Restricted Stock to vest, the </w:t>
      </w:r>
      <w:r>
        <w:rPr>
          <w:rFonts w:ascii="Times New Roman" w:cs="Times New Roman" w:eastAsia="Times New Roman" w:hAnsi="Times New Roman"/>
          <w:sz w:val="19"/>
          <w:szCs w:val="19"/>
          <w:color w:val="auto"/>
        </w:rPr>
        <w:t>Compensation Committee of the Board of Directors of the Company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“Committee”) must determine that the Company has achieved </w:t>
      </w:r>
      <w:r>
        <w:rPr>
          <w:rFonts w:ascii="Times New Roman" w:cs="Times New Roman" w:eastAsia="Times New Roman" w:hAnsi="Times New Roman"/>
          <w:sz w:val="21"/>
          <w:szCs w:val="21"/>
          <w:color w:val="auto"/>
        </w:rPr>
        <w:t>7.5</w:t>
      </w:r>
      <w:r>
        <w:rPr>
          <w:rFonts w:ascii="Times New Roman" w:cs="Times New Roman" w:eastAsia="Times New Roman" w:hAnsi="Times New Roman"/>
          <w:sz w:val="19"/>
          <w:szCs w:val="19"/>
          <w:color w:val="auto"/>
        </w:rPr>
        <w:t>% or greater Title Operating Margin (as defined below) in at least two</w:t>
      </w:r>
    </w:p>
    <w:p>
      <w:pPr>
        <w:spacing w:after="0" w:line="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9"/>
          <w:szCs w:val="19"/>
          <w:color w:val="auto"/>
        </w:rPr>
        <w:t>calendar quarters of any of the next five calendar quarters starting October 1, 2023 (the “Performance Restriction”). The f</w:t>
      </w:r>
      <w:r>
        <w:rPr>
          <w:rFonts w:ascii="Times New Roman" w:cs="Times New Roman" w:eastAsia="Times New Roman" w:hAnsi="Times New Roman"/>
          <w:sz w:val="21"/>
          <w:szCs w:val="21"/>
          <w:color w:val="auto"/>
        </w:rPr>
        <w:t>i</w:t>
      </w:r>
      <w:r>
        <w:rPr>
          <w:rFonts w:ascii="Times New Roman" w:cs="Times New Roman" w:eastAsia="Times New Roman" w:hAnsi="Times New Roman"/>
          <w:sz w:val="19"/>
          <w:szCs w:val="19"/>
          <w:color w:val="auto"/>
        </w:rPr>
        <w:t>ve calendar quarters starting October 1, 2023 and ending December 31, 2024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w:t>
      </w:r>
    </w:p>
    <w:p>
      <w:pPr>
        <w:spacing w:after="0" w:line="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 xml:space="preserve">restructuring charges, </w:t>
      </w:r>
      <w:r>
        <w:rPr>
          <w:rFonts w:ascii="Times New Roman" w:cs="Times New Roman" w:eastAsia="Times New Roman" w:hAnsi="Times New Roman"/>
          <w:sz w:val="21"/>
          <w:szCs w:val="21"/>
          <w:color w:val="auto"/>
        </w:rPr>
        <w:t>and non-budgeted discontinued operations. The Committee will evaluate whether the Title Operating Margin has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been achieved following the completion of each calendar quarter during the Measurement Period.</w:t>
      </w:r>
    </w:p>
    <w:p>
      <w:pPr>
        <w:spacing w:after="0" w:line="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1"/>
          <w:szCs w:val="21"/>
          <w:b w:val="1"/>
          <w:bCs w:val="1"/>
          <w:color w:val="auto"/>
        </w:rPr>
        <w:t>Time-Based Restrictions</w:t>
      </w: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5780" w:type="dxa"/>
            <w:vAlign w:val="bottom"/>
            <w:tcBorders>
              <w:top w:val="single" w:sz="8" w:color="auto"/>
              <w:left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21"/>
                <w:szCs w:val="21"/>
                <w:b w:val="1"/>
                <w:bCs w:val="1"/>
                <w:color w:val="auto"/>
              </w:rPr>
              <w:t>Anniversary Date</w:t>
            </w:r>
          </w:p>
        </w:tc>
        <w:tc>
          <w:tcPr>
            <w:tcW w:w="5480" w:type="dxa"/>
            <w:vAlign w:val="bottom"/>
            <w:tcBorders>
              <w:top w:val="single" w:sz="8" w:color="auto"/>
              <w:bottom w:val="single" w:sz="8" w:color="auto"/>
              <w:right w:val="single" w:sz="8" w:color="auto"/>
            </w:tcBorders>
          </w:tcPr>
          <w:p>
            <w:pPr>
              <w:jc w:val="right"/>
              <w:ind w:right="2235"/>
              <w:spacing w:after="0"/>
              <w:rPr>
                <w:sz w:val="20"/>
                <w:szCs w:val="20"/>
                <w:color w:val="auto"/>
              </w:rPr>
            </w:pPr>
            <w:r>
              <w:rPr>
                <w:rFonts w:ascii="Times New Roman" w:cs="Times New Roman" w:eastAsia="Times New Roman" w:hAnsi="Times New Roman"/>
                <w:sz w:val="21"/>
                <w:szCs w:val="21"/>
                <w:b w:val="1"/>
                <w:bCs w:val="1"/>
                <w:color w:val="auto"/>
              </w:rPr>
              <w:t>% of Restricted Stock</w:t>
            </w:r>
          </w:p>
        </w:tc>
      </w:tr>
      <w:tr>
        <w:trPr>
          <w:trHeight w:val="294"/>
        </w:trPr>
        <w:tc>
          <w:tcPr>
            <w:tcW w:w="5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First (1</w:t>
            </w:r>
            <w:r>
              <w:rPr>
                <w:rFonts w:ascii="Times New Roman" w:cs="Times New Roman" w:eastAsia="Times New Roman" w:hAnsi="Times New Roman"/>
                <w:sz w:val="7"/>
                <w:szCs w:val="7"/>
                <w:color w:val="auto"/>
              </w:rPr>
              <w:t>st</w:t>
            </w:r>
            <w:r>
              <w:rPr>
                <w:rFonts w:ascii="Times New Roman" w:cs="Times New Roman" w:eastAsia="Times New Roman" w:hAnsi="Times New Roman"/>
                <w:sz w:val="21"/>
                <w:szCs w:val="21"/>
                <w:color w:val="auto"/>
              </w:rPr>
              <w:t>) anniversary of the Effective Date of Grant</w:t>
            </w:r>
          </w:p>
        </w:tc>
        <w:tc>
          <w:tcPr>
            <w:tcW w:w="5480" w:type="dxa"/>
            <w:vAlign w:val="bottom"/>
            <w:tcBorders>
              <w:bottom w:val="single" w:sz="8" w:color="auto"/>
              <w:right w:val="single" w:sz="8" w:color="auto"/>
            </w:tcBorders>
          </w:tcPr>
          <w:p>
            <w:pPr>
              <w:jc w:val="right"/>
              <w:ind w:right="4615"/>
              <w:spacing w:after="0"/>
              <w:rPr>
                <w:sz w:val="20"/>
                <w:szCs w:val="20"/>
                <w:color w:val="auto"/>
              </w:rPr>
            </w:pPr>
            <w:r>
              <w:rPr>
                <w:rFonts w:ascii="Times New Roman" w:cs="Times New Roman" w:eastAsia="Times New Roman" w:hAnsi="Times New Roman"/>
                <w:sz w:val="21"/>
                <w:szCs w:val="21"/>
                <w:color w:val="auto"/>
              </w:rPr>
              <w:t>33.33%</w:t>
            </w:r>
          </w:p>
        </w:tc>
      </w:tr>
      <w:tr>
        <w:trPr>
          <w:trHeight w:val="283"/>
        </w:trPr>
        <w:tc>
          <w:tcPr>
            <w:tcW w:w="5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Second (2</w:t>
            </w:r>
            <w:r>
              <w:rPr>
                <w:rFonts w:ascii="Times New Roman" w:cs="Times New Roman" w:eastAsia="Times New Roman" w:hAnsi="Times New Roman"/>
                <w:sz w:val="7"/>
                <w:szCs w:val="7"/>
                <w:color w:val="auto"/>
              </w:rPr>
              <w:t>nd</w:t>
            </w:r>
            <w:r>
              <w:rPr>
                <w:rFonts w:ascii="Times New Roman" w:cs="Times New Roman" w:eastAsia="Times New Roman" w:hAnsi="Times New Roman"/>
                <w:sz w:val="21"/>
                <w:szCs w:val="21"/>
                <w:color w:val="auto"/>
              </w:rPr>
              <w:t>) anniversary of the Effective Date of Grant</w:t>
            </w:r>
          </w:p>
        </w:tc>
        <w:tc>
          <w:tcPr>
            <w:tcW w:w="5480" w:type="dxa"/>
            <w:vAlign w:val="bottom"/>
            <w:tcBorders>
              <w:bottom w:val="single" w:sz="8" w:color="auto"/>
              <w:right w:val="single" w:sz="8" w:color="auto"/>
            </w:tcBorders>
          </w:tcPr>
          <w:p>
            <w:pPr>
              <w:jc w:val="right"/>
              <w:ind w:right="4615"/>
              <w:spacing w:after="0"/>
              <w:rPr>
                <w:sz w:val="20"/>
                <w:szCs w:val="20"/>
                <w:color w:val="auto"/>
              </w:rPr>
            </w:pPr>
            <w:r>
              <w:rPr>
                <w:rFonts w:ascii="Times New Roman" w:cs="Times New Roman" w:eastAsia="Times New Roman" w:hAnsi="Times New Roman"/>
                <w:sz w:val="21"/>
                <w:szCs w:val="21"/>
                <w:color w:val="auto"/>
              </w:rPr>
              <w:t>33.33%</w:t>
            </w:r>
          </w:p>
        </w:tc>
      </w:tr>
      <w:tr>
        <w:trPr>
          <w:trHeight w:val="283"/>
        </w:trPr>
        <w:tc>
          <w:tcPr>
            <w:tcW w:w="5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Third (3</w:t>
            </w:r>
            <w:r>
              <w:rPr>
                <w:rFonts w:ascii="Times New Roman" w:cs="Times New Roman" w:eastAsia="Times New Roman" w:hAnsi="Times New Roman"/>
                <w:sz w:val="7"/>
                <w:szCs w:val="7"/>
                <w:color w:val="auto"/>
              </w:rPr>
              <w:t>rd</w:t>
            </w:r>
            <w:r>
              <w:rPr>
                <w:rFonts w:ascii="Times New Roman" w:cs="Times New Roman" w:eastAsia="Times New Roman" w:hAnsi="Times New Roman"/>
                <w:sz w:val="21"/>
                <w:szCs w:val="21"/>
                <w:color w:val="auto"/>
              </w:rPr>
              <w:t>) anniversary of the Effective Date of Grant</w:t>
            </w:r>
          </w:p>
        </w:tc>
        <w:tc>
          <w:tcPr>
            <w:tcW w:w="5480" w:type="dxa"/>
            <w:vAlign w:val="bottom"/>
            <w:tcBorders>
              <w:bottom w:val="single" w:sz="8" w:color="auto"/>
              <w:right w:val="single" w:sz="8" w:color="auto"/>
            </w:tcBorders>
          </w:tcPr>
          <w:p>
            <w:pPr>
              <w:jc w:val="right"/>
              <w:ind w:right="4615"/>
              <w:spacing w:after="0"/>
              <w:rPr>
                <w:sz w:val="20"/>
                <w:szCs w:val="20"/>
                <w:color w:val="auto"/>
              </w:rPr>
            </w:pPr>
            <w:r>
              <w:rPr>
                <w:rFonts w:ascii="Times New Roman" w:cs="Times New Roman" w:eastAsia="Times New Roman" w:hAnsi="Times New Roman"/>
                <w:sz w:val="21"/>
                <w:szCs w:val="21"/>
                <w:color w:val="auto"/>
              </w:rPr>
              <w:t>33.34%</w:t>
            </w:r>
          </w:p>
        </w:tc>
      </w:tr>
    </w:tbl>
    <w:p>
      <w:pPr>
        <w:sectPr>
          <w:pgSz w:w="11900" w:h="16838" w:orient="portrait"/>
          <w:cols w:equalWidth="0" w:num="1">
            <w:col w:w="11260"/>
          </w:cols>
          <w:pgMar w:left="320" w:top="1375" w:right="319" w:bottom="1440" w:gutter="0" w:footer="0" w:header="0"/>
        </w:sectPr>
      </w:pPr>
    </w:p>
    <w:bookmarkStart w:id="206" w:name="page207"/>
    <w:bookmarkEnd w:id="206"/>
    <w:p>
      <w:pPr>
        <w:spacing w:after="0" w:line="200" w:lineRule="exact"/>
        <w:rPr>
          <w:sz w:val="20"/>
          <w:szCs w:val="20"/>
          <w:color w:val="auto"/>
        </w:rPr>
      </w:pPr>
    </w:p>
    <w:p>
      <w:pPr>
        <w:spacing w:after="0" w:line="20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21"/>
          <w:szCs w:val="21"/>
          <w:b w:val="1"/>
          <w:bCs w:val="1"/>
          <w:color w:val="auto"/>
        </w:rPr>
        <w:t>Vesting</w:t>
      </w:r>
    </w:p>
    <w:p>
      <w:pPr>
        <w:spacing w:after="0" w:line="23" w:lineRule="exact"/>
        <w:rPr>
          <w:sz w:val="20"/>
          <w:szCs w:val="20"/>
          <w:color w:val="auto"/>
        </w:rPr>
      </w:pPr>
    </w:p>
    <w:p>
      <w:pPr>
        <w:jc w:val="both"/>
        <w:ind w:firstLine="1185"/>
        <w:spacing w:after="0" w:line="241" w:lineRule="auto"/>
        <w:rPr>
          <w:sz w:val="20"/>
          <w:szCs w:val="20"/>
          <w:color w:val="auto"/>
        </w:rPr>
      </w:pPr>
      <w:r>
        <w:rPr>
          <w:rFonts w:ascii="Times New Roman" w:cs="Times New Roman" w:eastAsia="Times New Roman" w:hAnsi="Times New Roman"/>
          <w:sz w:val="21"/>
          <w:szCs w:val="21"/>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has not been achieved as of an Anniversary Date, but is achieved on or before the end of the Measurement Period, then the percentage of the Restricted Stock indicated next to such Anniversary Date shall vest at such time as the Committee determines that the Company has achieved the Performance Restriction.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240"/>
          </w:cols>
          <w:pgMar w:left="320" w:top="1440"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7500" w:type="dxa"/>
            <w:vAlign w:val="bottom"/>
            <w:gridSpan w:val="3"/>
          </w:tcPr>
          <w:p>
            <w:pPr>
              <w:jc w:val="center"/>
              <w:ind w:right="3572"/>
              <w:spacing w:after="0"/>
              <w:rPr>
                <w:sz w:val="20"/>
                <w:szCs w:val="20"/>
                <w:color w:val="auto"/>
              </w:rPr>
            </w:pPr>
            <w:r>
              <w:rPr>
                <w:rFonts w:ascii="Times New Roman" w:cs="Times New Roman" w:eastAsia="Times New Roman" w:hAnsi="Times New Roman"/>
                <w:sz w:val="18"/>
                <w:szCs w:val="18"/>
                <w:b w:val="1"/>
                <w:bCs w:val="1"/>
                <w:color w:val="auto"/>
                <w:w w:val="97"/>
              </w:rPr>
              <w:t>FIDELITY NATIONAL FINANCIAL, INC.</w:t>
            </w:r>
          </w:p>
        </w:tc>
      </w:tr>
      <w:tr>
        <w:trPr>
          <w:trHeight w:val="211"/>
        </w:trPr>
        <w:tc>
          <w:tcPr>
            <w:tcW w:w="3640" w:type="dxa"/>
            <w:vAlign w:val="bottom"/>
          </w:tcPr>
          <w:p>
            <w:pPr>
              <w:spacing w:after="0"/>
              <w:rPr>
                <w:sz w:val="18"/>
                <w:szCs w:val="18"/>
                <w:color w:val="auto"/>
              </w:rPr>
            </w:pPr>
          </w:p>
        </w:tc>
        <w:tc>
          <w:tcPr>
            <w:tcW w:w="7500" w:type="dxa"/>
            <w:vAlign w:val="bottom"/>
            <w:gridSpan w:val="3"/>
          </w:tcPr>
          <w:p>
            <w:pPr>
              <w:jc w:val="center"/>
              <w:ind w:right="3552"/>
              <w:spacing w:after="0"/>
              <w:rPr>
                <w:sz w:val="20"/>
                <w:szCs w:val="20"/>
                <w:color w:val="auto"/>
              </w:rPr>
            </w:pPr>
            <w:r>
              <w:rPr>
                <w:rFonts w:ascii="Times New Roman" w:cs="Times New Roman" w:eastAsia="Times New Roman" w:hAnsi="Times New Roman"/>
                <w:sz w:val="18"/>
                <w:szCs w:val="18"/>
                <w:b w:val="1"/>
                <w:bCs w:val="1"/>
                <w:color w:val="auto"/>
                <w:w w:val="97"/>
              </w:rPr>
              <w:t>List of Subsidiaries December 31, 2023</w:t>
            </w:r>
          </w:p>
        </w:tc>
      </w:tr>
      <w:tr>
        <w:trPr>
          <w:trHeight w:val="230"/>
        </w:trPr>
        <w:tc>
          <w:tcPr>
            <w:tcW w:w="3640" w:type="dxa"/>
            <w:vAlign w:val="bottom"/>
          </w:tcPr>
          <w:p>
            <w:pPr>
              <w:spacing w:after="0"/>
              <w:rPr>
                <w:sz w:val="20"/>
                <w:szCs w:val="20"/>
                <w:color w:val="auto"/>
              </w:rPr>
            </w:pPr>
          </w:p>
        </w:tc>
        <w:tc>
          <w:tcPr>
            <w:tcW w:w="7500" w:type="dxa"/>
            <w:vAlign w:val="bottom"/>
            <w:gridSpan w:val="3"/>
          </w:tcPr>
          <w:p>
            <w:pPr>
              <w:jc w:val="center"/>
              <w:ind w:right="3572"/>
              <w:spacing w:after="0"/>
              <w:rPr>
                <w:sz w:val="20"/>
                <w:szCs w:val="20"/>
                <w:color w:val="auto"/>
              </w:rPr>
            </w:pPr>
            <w:r>
              <w:rPr>
                <w:rFonts w:ascii="Times New Roman" w:cs="Times New Roman" w:eastAsia="Times New Roman" w:hAnsi="Times New Roman"/>
                <w:sz w:val="18"/>
                <w:szCs w:val="18"/>
                <w:b w:val="1"/>
                <w:bCs w:val="1"/>
                <w:color w:val="auto"/>
                <w:w w:val="96"/>
              </w:rPr>
              <w:t>Significant Subsidiaries</w:t>
            </w:r>
          </w:p>
        </w:tc>
      </w:tr>
      <w:tr>
        <w:trPr>
          <w:trHeight w:val="474"/>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060" w:type="dxa"/>
            <w:vAlign w:val="bottom"/>
            <w:tcBorders>
              <w:bottom w:val="single" w:sz="8" w:color="auto"/>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9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1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FNTG Holdings, LLC</w:t>
            </w:r>
          </w:p>
        </w:tc>
        <w:tc>
          <w:tcPr>
            <w:tcW w:w="3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 Title Insurance Company</w:t>
            </w:r>
          </w:p>
        </w:tc>
        <w:tc>
          <w:tcPr>
            <w:tcW w:w="3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National Title Group, Inc.</w:t>
            </w:r>
          </w:p>
        </w:tc>
        <w:tc>
          <w:tcPr>
            <w:tcW w:w="3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ServiceLink Holdings, Inc.</w:t>
            </w:r>
          </w:p>
        </w:tc>
        <w:tc>
          <w:tcPr>
            <w:tcW w:w="3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National Title Insurance Company</w:t>
            </w:r>
          </w:p>
        </w:tc>
        <w:tc>
          <w:tcPr>
            <w:tcW w:w="3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Commonwealth Land Title Insurance Company</w:t>
            </w:r>
          </w:p>
        </w:tc>
        <w:tc>
          <w:tcPr>
            <w:tcW w:w="3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F&amp;G Annuities &amp; Life, Inc.</w:t>
            </w:r>
          </w:p>
        </w:tc>
        <w:tc>
          <w:tcPr>
            <w:tcW w:w="3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180"/>
          </w:cols>
          <w:pgMar w:left="380" w:top="869"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ERNST &amp; YOUNG LLP,</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0" w:lineRule="exact"/>
        <w:rPr>
          <w:sz w:val="20"/>
          <w:szCs w:val="20"/>
          <w:color w:val="auto"/>
        </w:rPr>
      </w:pPr>
    </w:p>
    <w:p>
      <w:pPr>
        <w:ind w:left="640" w:hanging="319"/>
        <w:spacing w:after="0" w:line="235" w:lineRule="auto"/>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333-157123, 333-147391, 333-174650, 333-238860, 333-239002, 333-271691, 333-271692) of Fidelity National Financial, Inc.</w:t>
      </w:r>
    </w:p>
    <w:p>
      <w:pPr>
        <w:ind w:left="640" w:hanging="319"/>
        <w:spacing w:after="0" w:line="231" w:lineRule="auto"/>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S-4 Nos. 333-231213, 333-194938, 333-190902, 333-237540) of Fidelity National Financial, Inc.</w:t>
      </w:r>
    </w:p>
    <w:p>
      <w:pPr>
        <w:ind w:left="640" w:hanging="319"/>
        <w:spacing w:after="0" w:line="235" w:lineRule="auto"/>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333-197249, 333-190527, 333-157643, 333-132843, 333-138254, 333-129886, 333-129016, 333-176395, 333-213427, 333-238853, 333-266992) of Fidelity National Financial, Inc.</w:t>
      </w:r>
    </w:p>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of our reports dated February 29, 2024, with respect to the consolidated financial statements and schedules of Fidelity National Financial, Inc. and subsidiaries and the effectiveness of internal control over financial reporting of Fidelity National Financial, Inc. and subsidiaries included in this Annual Report on Form 10-K for the year ended December 31, 2023.</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Ernst &amp; Young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11240"/>
          </w:cols>
          <w:pgMar w:left="320" w:top="869"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Nolan, certify that:</w:t>
      </w:r>
    </w:p>
    <w:p>
      <w:pPr>
        <w:spacing w:after="0" w:line="144" w:lineRule="exact"/>
        <w:rPr>
          <w:sz w:val="20"/>
          <w:szCs w:val="20"/>
          <w:color w:val="auto"/>
        </w:rPr>
      </w:pPr>
    </w:p>
    <w:p>
      <w:pPr>
        <w:ind w:left="180" w:hanging="175"/>
        <w:spacing w:after="0"/>
        <w:tabs>
          <w:tab w:leader="none" w:pos="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Fidelity National Financial, Inc.;</w:t>
      </w:r>
    </w:p>
    <w:p>
      <w:pPr>
        <w:spacing w:after="0" w:line="161" w:lineRule="exact"/>
        <w:rPr>
          <w:rFonts w:ascii="Times New Roman" w:cs="Times New Roman" w:eastAsia="Times New Roman" w:hAnsi="Times New Roman"/>
          <w:sz w:val="18"/>
          <w:szCs w:val="18"/>
          <w:color w:val="auto"/>
        </w:rPr>
      </w:pPr>
    </w:p>
    <w:p>
      <w:pPr>
        <w:ind w:firstLine="5"/>
        <w:spacing w:after="0" w:line="268" w:lineRule="auto"/>
        <w:tabs>
          <w:tab w:leader="none" w:pos="17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firstLine="5"/>
        <w:spacing w:after="0" w:line="268" w:lineRule="auto"/>
        <w:tabs>
          <w:tab w:leader="none" w:pos="18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firstLine="5"/>
        <w:spacing w:after="0" w:line="256" w:lineRule="auto"/>
        <w:tabs>
          <w:tab w:leader="none" w:pos="17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8"/>
          <w:szCs w:val="18"/>
          <w:color w:val="auto"/>
        </w:rPr>
      </w:pPr>
    </w:p>
    <w:p>
      <w:pPr>
        <w:ind w:left="1420" w:hanging="941"/>
        <w:spacing w:after="0" w:line="268" w:lineRule="auto"/>
        <w:tabs>
          <w:tab w:leader="none" w:pos="141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firstLine="5"/>
        <w:spacing w:after="0" w:line="268" w:lineRule="auto"/>
        <w:tabs>
          <w:tab w:leader="none" w:pos="20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1420" w:hanging="941"/>
        <w:spacing w:after="0" w:line="268" w:lineRule="auto"/>
        <w:tabs>
          <w:tab w:leader="none" w:pos="141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Times New Roman" w:cs="Times New Roman" w:eastAsia="Times New Roman" w:hAnsi="Times New Roman"/>
          <w:sz w:val="18"/>
          <w:szCs w:val="18"/>
          <w:color w:val="auto"/>
        </w:rPr>
      </w:pPr>
    </w:p>
    <w:p>
      <w:pPr>
        <w:ind w:left="1420" w:hanging="941"/>
        <w:spacing w:after="0" w:line="268" w:lineRule="auto"/>
        <w:tabs>
          <w:tab w:leader="none" w:pos="141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41" w:lineRule="exact"/>
        <w:rPr>
          <w:sz w:val="20"/>
          <w:szCs w:val="20"/>
          <w:color w:val="auto"/>
        </w:rPr>
      </w:pPr>
    </w:p>
    <w:p>
      <w:pPr>
        <w:ind w:left="480"/>
        <w:spacing w:after="0"/>
        <w:tabs>
          <w:tab w:leader="none" w:pos="1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15240</wp:posOffset>
            </wp:positionV>
            <wp:extent cx="26238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4">
                      <a:extLst>
                        <a:ext uri="{28A0092B-C50C-407E-A947-70E740481C1C}"/>
                      </a:extLst>
                    </a:blip>
                    <a:srcRect/>
                    <a:stretch>
                      <a:fillRect/>
                    </a:stretch>
                  </pic:blipFill>
                  <pic:spPr bwMode="auto">
                    <a:xfrm>
                      <a:off x="0" y="0"/>
                      <a:ext cx="2623820" cy="825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8"/>
          <w:szCs w:val="18"/>
          <w:color w:val="auto"/>
        </w:rPr>
        <w:t>Michael J. Nolan</w:t>
      </w:r>
    </w:p>
    <w:p>
      <w:pPr>
        <w:ind w:left="11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69"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144" w:lineRule="exact"/>
        <w:rPr>
          <w:sz w:val="20"/>
          <w:szCs w:val="20"/>
          <w:color w:val="auto"/>
        </w:rPr>
      </w:pPr>
    </w:p>
    <w:p>
      <w:pPr>
        <w:ind w:left="180" w:hanging="175"/>
        <w:spacing w:after="0"/>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Fidelity National Financial, Inc.;</w:t>
      </w:r>
    </w:p>
    <w:p>
      <w:pPr>
        <w:spacing w:after="0" w:line="161" w:lineRule="exact"/>
        <w:rPr>
          <w:rFonts w:ascii="Times New Roman" w:cs="Times New Roman" w:eastAsia="Times New Roman" w:hAnsi="Times New Roman"/>
          <w:sz w:val="18"/>
          <w:szCs w:val="18"/>
          <w:color w:val="auto"/>
        </w:rPr>
      </w:pPr>
    </w:p>
    <w:p>
      <w:pPr>
        <w:ind w:firstLine="5"/>
        <w:spacing w:after="0" w:line="268" w:lineRule="auto"/>
        <w:tabs>
          <w:tab w:leader="none" w:pos="1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firstLine="5"/>
        <w:spacing w:after="0" w:line="268" w:lineRule="auto"/>
        <w:tabs>
          <w:tab w:leader="none" w:pos="18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firstLine="5"/>
        <w:spacing w:after="0" w:line="256" w:lineRule="auto"/>
        <w:tabs>
          <w:tab w:leader="none" w:pos="1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8"/>
          <w:szCs w:val="18"/>
          <w:color w:val="auto"/>
        </w:rPr>
      </w:pPr>
    </w:p>
    <w:p>
      <w:pPr>
        <w:ind w:left="1420" w:hanging="941"/>
        <w:spacing w:after="0" w:line="268" w:lineRule="auto"/>
        <w:tabs>
          <w:tab w:leader="none" w:pos="141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firstLine="5"/>
        <w:spacing w:after="0" w:line="268" w:lineRule="auto"/>
        <w:tabs>
          <w:tab w:leader="none" w:pos="20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1420" w:hanging="941"/>
        <w:spacing w:after="0" w:line="268" w:lineRule="auto"/>
        <w:tabs>
          <w:tab w:leader="none" w:pos="141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Times New Roman" w:cs="Times New Roman" w:eastAsia="Times New Roman" w:hAnsi="Times New Roman"/>
          <w:sz w:val="18"/>
          <w:szCs w:val="18"/>
          <w:color w:val="auto"/>
        </w:rPr>
      </w:pPr>
    </w:p>
    <w:p>
      <w:pPr>
        <w:ind w:left="1420" w:hanging="941"/>
        <w:spacing w:after="0" w:line="268" w:lineRule="auto"/>
        <w:tabs>
          <w:tab w:leader="none" w:pos="141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2180"/>
        <w:spacing w:after="0"/>
        <w:tabs>
          <w:tab w:leader="none" w:pos="2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15240</wp:posOffset>
            </wp:positionV>
            <wp:extent cx="26238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5">
                      <a:extLst>
                        <a:ext uri="{28A0092B-C50C-407E-A947-70E740481C1C}"/>
                      </a:extLst>
                    </a:blip>
                    <a:srcRect/>
                    <a:stretch>
                      <a:fillRect/>
                    </a:stretch>
                  </pic:blipFill>
                  <pic:spPr bwMode="auto">
                    <a:xfrm>
                      <a:off x="0" y="0"/>
                      <a:ext cx="2623820" cy="8255"/>
                    </a:xfrm>
                    <a:prstGeom prst="rect">
                      <a:avLst/>
                    </a:prstGeom>
                    <a:noFill/>
                  </pic:spPr>
                </pic:pic>
              </a:graphicData>
            </a:graphic>
          </wp:anchor>
        </w:drawing>
      </w:r>
    </w:p>
    <w:p>
      <w:pPr>
        <w:ind w:left="2860"/>
        <w:spacing w:after="0"/>
        <w:rPr>
          <w:sz w:val="20"/>
          <w:szCs w:val="20"/>
          <w:color w:val="auto"/>
        </w:rPr>
      </w:pPr>
      <w:r>
        <w:rPr>
          <w:rFonts w:ascii="Times New Roman" w:cs="Times New Roman" w:eastAsia="Times New Roman" w:hAnsi="Times New Roman"/>
          <w:sz w:val="18"/>
          <w:szCs w:val="18"/>
          <w:color w:val="auto"/>
        </w:rPr>
        <w:t>Anthony J. Park</w:t>
      </w:r>
    </w:p>
    <w:p>
      <w:pPr>
        <w:ind w:left="2860"/>
        <w:spacing w:after="0" w:line="190" w:lineRule="auto"/>
        <w:rPr>
          <w:sz w:val="20"/>
          <w:szCs w:val="20"/>
          <w:color w:val="auto"/>
        </w:rPr>
      </w:pPr>
      <w:r>
        <w:rPr>
          <w:rFonts w:ascii="Times New Roman" w:cs="Times New Roman" w:eastAsia="Times New Roman" w:hAnsi="Times New Roman"/>
          <w:sz w:val="13"/>
          <w:szCs w:val="13"/>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Date: February 29, 2024</w:t>
      </w:r>
    </w:p>
    <w:p>
      <w:pPr>
        <w:sectPr>
          <w:pgSz w:w="11900" w:h="16838" w:orient="portrait"/>
          <w:cols w:equalWidth="0" w:num="1">
            <w:col w:w="11240"/>
          </w:cols>
          <w:pgMar w:left="320" w:top="869"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42" w:lineRule="exact"/>
        <w:rPr>
          <w:sz w:val="20"/>
          <w:szCs w:val="20"/>
          <w:color w:val="auto"/>
        </w:rPr>
      </w:pPr>
    </w:p>
    <w:p>
      <w:pPr>
        <w:ind w:firstLine="376"/>
        <w:spacing w:after="0" w:line="268"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7" w:lineRule="exact"/>
        <w:rPr>
          <w:sz w:val="20"/>
          <w:szCs w:val="20"/>
          <w:color w:val="auto"/>
        </w:rPr>
      </w:pPr>
    </w:p>
    <w:p>
      <w:pPr>
        <w:ind w:left="880" w:hanging="875"/>
        <w:spacing w:after="0" w:line="268" w:lineRule="auto"/>
        <w:tabs>
          <w:tab w:leader="none" w:pos="8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95" w:lineRule="exact"/>
        <w:rPr>
          <w:rFonts w:ascii="Times New Roman" w:cs="Times New Roman" w:eastAsia="Times New Roman" w:hAnsi="Times New Roman"/>
          <w:sz w:val="18"/>
          <w:szCs w:val="18"/>
          <w:color w:val="auto"/>
        </w:rPr>
      </w:pPr>
    </w:p>
    <w:p>
      <w:pPr>
        <w:ind w:left="880" w:hanging="875"/>
        <w:spacing w:after="0" w:line="268" w:lineRule="auto"/>
        <w:tabs>
          <w:tab w:leader="none" w:pos="8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J. Nolan</w:t>
            </w: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Nolan</w:t>
            </w:r>
          </w:p>
        </w:tc>
        <w:tc>
          <w:tcPr>
            <w:tcW w:w="0" w:type="dxa"/>
            <w:vAlign w:val="bottom"/>
          </w:tcPr>
          <w:p>
            <w:pPr>
              <w:spacing w:after="0"/>
              <w:rPr>
                <w:sz w:val="1"/>
                <w:szCs w:val="1"/>
                <w:color w:val="auto"/>
              </w:rPr>
            </w:pPr>
          </w:p>
        </w:tc>
      </w:tr>
      <w:tr>
        <w:trPr>
          <w:trHeight w:val="228"/>
        </w:trPr>
        <w:tc>
          <w:tcPr>
            <w:tcW w:w="2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05"/>
        </w:trPr>
        <w:tc>
          <w:tcPr>
            <w:tcW w:w="2560" w:type="dxa"/>
            <w:vAlign w:val="bottom"/>
            <w:vMerge w:val="continue"/>
          </w:tcPr>
          <w:p>
            <w:pPr>
              <w:spacing w:after="0"/>
              <w:rPr>
                <w:sz w:val="9"/>
                <w:szCs w:val="9"/>
                <w:color w:val="auto"/>
              </w:rPr>
            </w:pPr>
          </w:p>
        </w:tc>
        <w:tc>
          <w:tcPr>
            <w:tcW w:w="5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6"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63" w:lineRule="exact"/>
        <w:rPr>
          <w:sz w:val="20"/>
          <w:szCs w:val="20"/>
          <w:color w:val="auto"/>
        </w:rPr>
      </w:pPr>
    </w:p>
    <w:p>
      <w:pPr>
        <w:ind w:firstLine="221"/>
        <w:spacing w:after="0" w:line="268"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7" w:lineRule="exact"/>
        <w:rPr>
          <w:sz w:val="20"/>
          <w:szCs w:val="20"/>
          <w:color w:val="auto"/>
        </w:rPr>
      </w:pPr>
    </w:p>
    <w:p>
      <w:pPr>
        <w:ind w:left="880" w:hanging="875"/>
        <w:spacing w:after="0" w:line="268" w:lineRule="auto"/>
        <w:tabs>
          <w:tab w:leader="none" w:pos="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95" w:lineRule="exact"/>
        <w:rPr>
          <w:rFonts w:ascii="Times New Roman" w:cs="Times New Roman" w:eastAsia="Times New Roman" w:hAnsi="Times New Roman"/>
          <w:sz w:val="18"/>
          <w:szCs w:val="18"/>
          <w:color w:val="auto"/>
        </w:rPr>
      </w:pPr>
    </w:p>
    <w:p>
      <w:pPr>
        <w:ind w:left="880" w:hanging="875"/>
        <w:spacing w:after="0" w:line="268" w:lineRule="auto"/>
        <w:tabs>
          <w:tab w:leader="none" w:pos="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Anthony J. Park</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J. Park</w:t>
            </w:r>
          </w:p>
        </w:tc>
        <w:tc>
          <w:tcPr>
            <w:tcW w:w="0" w:type="dxa"/>
            <w:vAlign w:val="bottom"/>
          </w:tcPr>
          <w:p>
            <w:pPr>
              <w:spacing w:after="0"/>
              <w:rPr>
                <w:sz w:val="1"/>
                <w:szCs w:val="1"/>
                <w:color w:val="auto"/>
              </w:rPr>
            </w:pPr>
          </w:p>
        </w:tc>
      </w:tr>
      <w:tr>
        <w:trPr>
          <w:trHeight w:val="228"/>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05"/>
        </w:trPr>
        <w:tc>
          <w:tcPr>
            <w:tcW w:w="2500" w:type="dxa"/>
            <w:vAlign w:val="bottom"/>
            <w:vMerge w:val="continue"/>
          </w:tcPr>
          <w:p>
            <w:pPr>
              <w:spacing w:after="0"/>
              <w:rPr>
                <w:sz w:val="9"/>
                <w:szCs w:val="9"/>
                <w:color w:val="auto"/>
              </w:rPr>
            </w:pPr>
          </w:p>
        </w:tc>
        <w:tc>
          <w:tcPr>
            <w:tcW w:w="5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9" w:right="339" w:bottom="1440" w:gutter="0" w:footer="0" w:header="0"/>
        </w:sectPr>
      </w:pPr>
    </w:p>
    <w:bookmarkStart w:id="213" w:name="page214"/>
    <w:bookmarkEnd w:id="213"/>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FIDELITY NATIONAL FINANCIAL, INC.</w:t>
      </w: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INCENTIVE-BASED COMPENSATION RECOVERY POLICY</w:t>
      </w:r>
    </w:p>
    <w:p>
      <w:pPr>
        <w:spacing w:after="0" w:line="236" w:lineRule="exact"/>
        <w:rPr>
          <w:sz w:val="20"/>
          <w:szCs w:val="20"/>
          <w:color w:val="auto"/>
        </w:rPr>
      </w:pPr>
    </w:p>
    <w:p>
      <w:pPr>
        <w:ind w:right="20" w:firstLine="316"/>
        <w:spacing w:after="0" w:line="236" w:lineRule="auto"/>
        <w:rPr>
          <w:sz w:val="20"/>
          <w:szCs w:val="20"/>
          <w:color w:val="auto"/>
        </w:rPr>
      </w:pPr>
      <w:r>
        <w:rPr>
          <w:rFonts w:ascii="Times New Roman" w:cs="Times New Roman" w:eastAsia="Times New Roman" w:hAnsi="Times New Roman"/>
          <w:sz w:val="21"/>
          <w:szCs w:val="21"/>
          <w:color w:val="auto"/>
        </w:rPr>
        <w:t>The Compensation Committee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of the Board of Directors (the “Board”) of Fidelity National Financial, Inc. (the “Company”) has adopted this Incentive-Based Compensation Recovery Policy (the “Policy”) to be applied to the Executive Officers of the Company. The Policy is being adopted in accordance with Section 303A.14 of the New York Stock Exchange Listed Company Manual, is intended to replace and supersede all previously existing policies covering the subject matter hereof, and shall be effective as of the Effective Date. Incentive-Based Compensation is subject to recovery under this Policy even if the Restatement was not due to any misconduct or failure of oversight on the part of the Executive Officer.</w:t>
      </w:r>
    </w:p>
    <w:p>
      <w:pPr>
        <w:spacing w:after="0" w:line="2" w:lineRule="exact"/>
        <w:rPr>
          <w:sz w:val="20"/>
          <w:szCs w:val="20"/>
          <w:color w:val="auto"/>
        </w:rPr>
      </w:pPr>
    </w:p>
    <w:p>
      <w:pPr>
        <w:ind w:left="620" w:hanging="299"/>
        <w:spacing w:after="0"/>
        <w:tabs>
          <w:tab w:leader="none" w:pos="620" w:val="left"/>
        </w:tabs>
        <w:numPr>
          <w:ilvl w:val="0"/>
          <w:numId w:val="80"/>
        </w:numPr>
        <w:rPr>
          <w:rFonts w:ascii="Arial" w:cs="Arial" w:eastAsia="Arial" w:hAnsi="Arial"/>
          <w:sz w:val="21"/>
          <w:szCs w:val="21"/>
          <w:b w:val="1"/>
          <w:bCs w:val="1"/>
          <w:color w:val="auto"/>
        </w:rPr>
      </w:pPr>
      <w:r>
        <w:rPr>
          <w:rFonts w:ascii="Times New Roman" w:cs="Times New Roman" w:eastAsia="Times New Roman" w:hAnsi="Times New Roman"/>
          <w:sz w:val="21"/>
          <w:szCs w:val="21"/>
          <w:b w:val="1"/>
          <w:bCs w:val="1"/>
          <w:color w:val="auto"/>
        </w:rPr>
        <w:t>Definitions</w:t>
      </w:r>
    </w:p>
    <w:p>
      <w:pPr>
        <w:ind w:right="560" w:firstLine="316"/>
        <w:spacing w:after="0" w:line="233" w:lineRule="auto"/>
        <w:rPr>
          <w:sz w:val="20"/>
          <w:szCs w:val="20"/>
          <w:color w:val="auto"/>
        </w:rPr>
      </w:pPr>
      <w:r>
        <w:rPr>
          <w:rFonts w:ascii="Times New Roman" w:cs="Times New Roman" w:eastAsia="Times New Roman" w:hAnsi="Times New Roman"/>
          <w:sz w:val="21"/>
          <w:szCs w:val="21"/>
          <w:color w:val="auto"/>
        </w:rPr>
        <w:t>For purposes of this Policy, terms defined in the preamble have their assigned meanings, and the following terms have the meanings set forth below:</w:t>
      </w:r>
    </w:p>
    <w:p>
      <w:pPr>
        <w:ind w:left="1260" w:hanging="307"/>
        <w:spacing w:after="0"/>
        <w:tabs>
          <w:tab w:leader="none" w:pos="1260" w:val="left"/>
        </w:tabs>
        <w:numPr>
          <w:ilvl w:val="0"/>
          <w:numId w:val="81"/>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xml:space="preserve"> means the Company and each of its Subsidiaries, as applicable.</w:t>
      </w:r>
    </w:p>
    <w:p>
      <w:pPr>
        <w:ind w:left="1260" w:right="20" w:hanging="307"/>
        <w:spacing w:after="0" w:line="235" w:lineRule="auto"/>
        <w:tabs>
          <w:tab w:leader="none" w:pos="1251" w:val="left"/>
        </w:tabs>
        <w:numPr>
          <w:ilvl w:val="0"/>
          <w:numId w:val="81"/>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“Covered Compensation”</w:t>
      </w:r>
      <w:r>
        <w:rPr>
          <w:rFonts w:ascii="Times New Roman" w:cs="Times New Roman" w:eastAsia="Times New Roman" w:hAnsi="Times New Roman"/>
          <w:sz w:val="21"/>
          <w:szCs w:val="21"/>
          <w:color w:val="auto"/>
        </w:rPr>
        <w:t xml:space="preserve"> means any Incentive-Based Compensation granted, vested or paid to a person who served as an Executive Officer at any time during the performance period for the Incentive-Based Compensation and that was Received (i) on or after the Effective Date,(ii) after the person became an Executive Officer, and (iii) at a time that the Company had a class of securities listed on a national securities exchange or a national securities association.</w:t>
      </w:r>
    </w:p>
    <w:p>
      <w:pPr>
        <w:ind w:left="1260" w:hanging="307"/>
        <w:spacing w:after="0" w:line="221" w:lineRule="auto"/>
        <w:tabs>
          <w:tab w:leader="none" w:pos="1260" w:val="left"/>
        </w:tabs>
        <w:numPr>
          <w:ilvl w:val="0"/>
          <w:numId w:val="81"/>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xml:space="preserve"> means October 2, 2023.</w:t>
      </w:r>
    </w:p>
    <w:p>
      <w:pPr>
        <w:ind w:left="1260" w:hanging="307"/>
        <w:spacing w:after="0" w:line="234" w:lineRule="auto"/>
        <w:tabs>
          <w:tab w:leader="none" w:pos="1251" w:val="left"/>
        </w:tabs>
        <w:numPr>
          <w:ilvl w:val="0"/>
          <w:numId w:val="81"/>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xml:space="preserve"> means the amount of Covered Compensation Received by a person during the fiscal period when the applicable Financial Reporting Measure relating to such Covered Compensation was attained that exceeds the amount of Covered Compensation that otherwise would have been Received had such amount been determined based on the applicable Restatement, computed without regard to any taxes paid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Received and the Committee shall maintain documentation of such determination and provide such documentation to the NYSE.</w:t>
      </w:r>
    </w:p>
    <w:p>
      <w:pPr>
        <w:ind w:left="1260" w:hanging="307"/>
        <w:spacing w:after="0" w:line="234" w:lineRule="auto"/>
        <w:tabs>
          <w:tab w:leader="none" w:pos="1260" w:val="left"/>
        </w:tabs>
        <w:numPr>
          <w:ilvl w:val="0"/>
          <w:numId w:val="81"/>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xml:space="preserve"> means the Securities Exchange Act of 1934, as amended.</w:t>
      </w:r>
    </w:p>
    <w:p>
      <w:pPr>
        <w:ind w:left="1260" w:right="140" w:hanging="307"/>
        <w:spacing w:after="0" w:line="238" w:lineRule="auto"/>
        <w:tabs>
          <w:tab w:leader="none" w:pos="1259" w:val="left"/>
        </w:tabs>
        <w:numPr>
          <w:ilvl w:val="0"/>
          <w:numId w:val="81"/>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xml:space="preserve"> 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p>
      <w:pPr>
        <w:sectPr>
          <w:pgSz w:w="11900" w:h="16838" w:orient="portrait"/>
          <w:cols w:equalWidth="0" w:num="1">
            <w:col w:w="11160"/>
          </w:cols>
          <w:pgMar w:left="320" w:top="1371" w:right="419" w:bottom="1440" w:gutter="0" w:footer="0" w:header="0"/>
        </w:sectPr>
      </w:pPr>
    </w:p>
    <w:bookmarkStart w:id="214" w:name="page215"/>
    <w:bookmarkEnd w:id="214"/>
    <w:p>
      <w:pPr>
        <w:ind w:left="307" w:hanging="307"/>
        <w:spacing w:after="0" w:line="236" w:lineRule="auto"/>
        <w:tabs>
          <w:tab w:leader="none" w:pos="299" w:val="left"/>
        </w:tabs>
        <w:numPr>
          <w:ilvl w:val="0"/>
          <w:numId w:val="82"/>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“Financial Reporting Measure”</w:t>
      </w:r>
      <w:r>
        <w:rPr>
          <w:rFonts w:ascii="Times New Roman" w:cs="Times New Roman" w:eastAsia="Times New Roman" w:hAnsi="Times New Roman"/>
          <w:sz w:val="21"/>
          <w:szCs w:val="21"/>
          <w:color w:val="auto"/>
        </w:rPr>
        <w:t xml:space="preserve">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p>
      <w:pPr>
        <w:spacing w:after="0" w:line="5" w:lineRule="exact"/>
        <w:rPr>
          <w:rFonts w:ascii="Arial" w:cs="Arial" w:eastAsia="Arial" w:hAnsi="Arial"/>
          <w:sz w:val="21"/>
          <w:szCs w:val="21"/>
          <w:color w:val="auto"/>
        </w:rPr>
      </w:pPr>
    </w:p>
    <w:p>
      <w:pPr>
        <w:ind w:left="307" w:hanging="307"/>
        <w:spacing w:after="0" w:line="234" w:lineRule="auto"/>
        <w:tabs>
          <w:tab w:leader="none" w:pos="307" w:val="left"/>
        </w:tabs>
        <w:numPr>
          <w:ilvl w:val="0"/>
          <w:numId w:val="82"/>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“Home Country”</w:t>
      </w:r>
      <w:r>
        <w:rPr>
          <w:rFonts w:ascii="Times New Roman" w:cs="Times New Roman" w:eastAsia="Times New Roman" w:hAnsi="Times New Roman"/>
          <w:sz w:val="21"/>
          <w:szCs w:val="21"/>
          <w:color w:val="auto"/>
        </w:rPr>
        <w:t xml:space="preserve"> means the Company’s jurisdiction of incorporation.</w:t>
      </w:r>
    </w:p>
    <w:p>
      <w:pPr>
        <w:ind w:left="307" w:right="220" w:hanging="307"/>
        <w:spacing w:after="0" w:line="234" w:lineRule="auto"/>
        <w:tabs>
          <w:tab w:leader="none" w:pos="307" w:val="left"/>
        </w:tabs>
        <w:numPr>
          <w:ilvl w:val="0"/>
          <w:numId w:val="82"/>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xml:space="preserve"> means any compensation that is granted, earned or vested based wholly or in part upon the attainment of a Financial Reporting Measure.</w:t>
      </w:r>
    </w:p>
    <w:p>
      <w:pPr>
        <w:spacing w:after="0" w:line="1" w:lineRule="exact"/>
        <w:rPr>
          <w:rFonts w:ascii="Arial" w:cs="Arial" w:eastAsia="Arial" w:hAnsi="Arial"/>
          <w:sz w:val="21"/>
          <w:szCs w:val="21"/>
          <w:color w:val="auto"/>
        </w:rPr>
      </w:pPr>
    </w:p>
    <w:p>
      <w:pPr>
        <w:ind w:left="307" w:right="20" w:hanging="307"/>
        <w:spacing w:after="0" w:line="233" w:lineRule="auto"/>
        <w:tabs>
          <w:tab w:leader="none" w:pos="307" w:val="left"/>
        </w:tabs>
        <w:numPr>
          <w:ilvl w:val="0"/>
          <w:numId w:val="82"/>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“Lookback Period”</w:t>
      </w:r>
      <w:r>
        <w:rPr>
          <w:rFonts w:ascii="Times New Roman" w:cs="Times New Roman" w:eastAsia="Times New Roman" w:hAnsi="Times New Roman"/>
          <w:sz w:val="21"/>
          <w:szCs w:val="21"/>
          <w:color w:val="auto"/>
        </w:rPr>
        <w:t xml:space="preserve">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restated financial statements are filed with the SEC.</w:t>
      </w:r>
    </w:p>
    <w:p>
      <w:pPr>
        <w:spacing w:after="0" w:line="7" w:lineRule="exact"/>
        <w:rPr>
          <w:rFonts w:ascii="Arial" w:cs="Arial" w:eastAsia="Arial" w:hAnsi="Arial"/>
          <w:sz w:val="21"/>
          <w:szCs w:val="21"/>
          <w:color w:val="auto"/>
        </w:rPr>
      </w:pPr>
    </w:p>
    <w:p>
      <w:pPr>
        <w:ind w:left="307" w:hanging="307"/>
        <w:spacing w:after="0" w:line="234" w:lineRule="auto"/>
        <w:tabs>
          <w:tab w:leader="none" w:pos="307" w:val="left"/>
        </w:tabs>
        <w:numPr>
          <w:ilvl w:val="0"/>
          <w:numId w:val="82"/>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“NYSE”</w:t>
      </w:r>
      <w:r>
        <w:rPr>
          <w:rFonts w:ascii="Times New Roman" w:cs="Times New Roman" w:eastAsia="Times New Roman" w:hAnsi="Times New Roman"/>
          <w:sz w:val="21"/>
          <w:szCs w:val="21"/>
          <w:color w:val="auto"/>
        </w:rPr>
        <w:t xml:space="preserve"> means the New York Stock Exchange.</w:t>
      </w:r>
    </w:p>
    <w:p>
      <w:pPr>
        <w:ind w:left="307" w:right="200" w:hanging="307"/>
        <w:spacing w:after="0" w:line="235" w:lineRule="auto"/>
        <w:tabs>
          <w:tab w:leader="none" w:pos="307" w:val="left"/>
        </w:tabs>
        <w:numPr>
          <w:ilvl w:val="0"/>
          <w:numId w:val="82"/>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“Received”</w:t>
      </w:r>
      <w:r>
        <w:rPr>
          <w:rFonts w:ascii="Times New Roman" w:cs="Times New Roman" w:eastAsia="Times New Roman" w:hAnsi="Times New Roman"/>
          <w:sz w:val="21"/>
          <w:szCs w:val="21"/>
          <w:color w:val="auto"/>
        </w:rPr>
        <w:t xml:space="preserve"> means the following: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ind w:left="307" w:hanging="307"/>
        <w:spacing w:after="0" w:line="234" w:lineRule="auto"/>
        <w:tabs>
          <w:tab w:leader="none" w:pos="304" w:val="left"/>
        </w:tabs>
        <w:numPr>
          <w:ilvl w:val="0"/>
          <w:numId w:val="82"/>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“Restatement”</w:t>
      </w:r>
      <w:r>
        <w:rPr>
          <w:rFonts w:ascii="Times New Roman" w:cs="Times New Roman" w:eastAsia="Times New Roman" w:hAnsi="Times New Roman"/>
          <w:sz w:val="21"/>
          <w:szCs w:val="21"/>
          <w:color w:val="auto"/>
        </w:rPr>
        <w:t xml:space="preserve">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p>
      <w:pPr>
        <w:ind w:left="307" w:hanging="307"/>
        <w:spacing w:after="0"/>
        <w:tabs>
          <w:tab w:leader="none" w:pos="307" w:val="left"/>
        </w:tabs>
        <w:numPr>
          <w:ilvl w:val="0"/>
          <w:numId w:val="82"/>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xml:space="preserve"> means the United States Securities and Exchange Commission.</w:t>
      </w:r>
    </w:p>
    <w:p>
      <w:pPr>
        <w:sectPr>
          <w:pgSz w:w="11900" w:h="16838" w:orient="portrait"/>
          <w:cols w:equalWidth="0" w:num="1">
            <w:col w:w="10247"/>
          </w:cols>
          <w:pgMar w:left="1273" w:top="1376" w:right="379" w:bottom="1440" w:gutter="0" w:footer="0" w:header="0"/>
        </w:sectPr>
      </w:pPr>
    </w:p>
    <w:bookmarkStart w:id="215" w:name="page216"/>
    <w:bookmarkEnd w:id="215"/>
    <w:p>
      <w:pPr>
        <w:ind w:left="1260" w:right="60" w:hanging="307"/>
        <w:spacing w:after="0" w:line="239" w:lineRule="auto"/>
        <w:tabs>
          <w:tab w:leader="none" w:pos="1251" w:val="left"/>
        </w:tabs>
        <w:numPr>
          <w:ilvl w:val="1"/>
          <w:numId w:val="83"/>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xml:space="preserve">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The term “Control” for this purpose means the possession, direct or indirect, of the power to direct or cause the direction of the management and policies of such person, whether through the ownership of voting securities, contract or otherwise.</w:t>
      </w:r>
    </w:p>
    <w:p>
      <w:pPr>
        <w:spacing w:after="0" w:line="4" w:lineRule="exact"/>
        <w:rPr>
          <w:rFonts w:ascii="Arial" w:cs="Arial" w:eastAsia="Arial" w:hAnsi="Arial"/>
          <w:sz w:val="21"/>
          <w:szCs w:val="21"/>
          <w:color w:val="auto"/>
        </w:rPr>
      </w:pPr>
    </w:p>
    <w:p>
      <w:pPr>
        <w:ind w:left="620" w:hanging="299"/>
        <w:spacing w:after="0" w:line="221" w:lineRule="auto"/>
        <w:tabs>
          <w:tab w:leader="none" w:pos="620" w:val="left"/>
        </w:tabs>
        <w:numPr>
          <w:ilvl w:val="0"/>
          <w:numId w:val="84"/>
        </w:numPr>
        <w:rPr>
          <w:rFonts w:ascii="Arial" w:cs="Arial" w:eastAsia="Arial" w:hAnsi="Arial"/>
          <w:sz w:val="21"/>
          <w:szCs w:val="21"/>
          <w:b w:val="1"/>
          <w:bCs w:val="1"/>
          <w:color w:val="auto"/>
        </w:rPr>
      </w:pPr>
      <w:r>
        <w:rPr>
          <w:rFonts w:ascii="Times New Roman" w:cs="Times New Roman" w:eastAsia="Times New Roman" w:hAnsi="Times New Roman"/>
          <w:sz w:val="21"/>
          <w:szCs w:val="21"/>
          <w:b w:val="1"/>
          <w:bCs w:val="1"/>
          <w:color w:val="auto"/>
        </w:rPr>
        <w:t>Recoupment of Erroneously Awarded Compensation</w:t>
      </w:r>
    </w:p>
    <w:p>
      <w:pPr>
        <w:ind w:right="40" w:firstLine="316"/>
        <w:spacing w:after="0" w:line="235" w:lineRule="auto"/>
        <w:rPr>
          <w:sz w:val="20"/>
          <w:szCs w:val="20"/>
          <w:color w:val="auto"/>
        </w:rPr>
      </w:pPr>
      <w:r>
        <w:rPr>
          <w:rFonts w:ascii="Times New Roman" w:cs="Times New Roman" w:eastAsia="Times New Roman" w:hAnsi="Times New Roman"/>
          <w:sz w:val="21"/>
          <w:szCs w:val="21"/>
          <w:color w:val="auto"/>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4 of this Policy. The Committee must pursue (and shall not have the discretion to waive) the recovery of such Erroneously Awarded Compensation in accordance with Section 4 of this Policy, except as provided in Section 3 below.</w:t>
      </w:r>
    </w:p>
    <w:p>
      <w:pPr>
        <w:ind w:left="320"/>
        <w:spacing w:after="0" w:line="237" w:lineRule="auto"/>
        <w:rPr>
          <w:sz w:val="20"/>
          <w:szCs w:val="20"/>
          <w:color w:val="auto"/>
        </w:rPr>
      </w:pPr>
      <w:r>
        <w:rPr>
          <w:rFonts w:ascii="Times New Roman" w:cs="Times New Roman" w:eastAsia="Times New Roman" w:hAnsi="Times New Roman"/>
          <w:sz w:val="21"/>
          <w:szCs w:val="21"/>
          <w:b w:val="1"/>
          <w:bCs w:val="1"/>
          <w:color w:val="auto"/>
        </w:rPr>
        <w:t>3. Limited Exceptions to Recovery</w:t>
      </w:r>
    </w:p>
    <w:p>
      <w:pPr>
        <w:ind w:right="20" w:firstLine="316"/>
        <w:spacing w:after="0" w:line="234" w:lineRule="auto"/>
        <w:rPr>
          <w:sz w:val="20"/>
          <w:szCs w:val="20"/>
          <w:color w:val="auto"/>
        </w:rPr>
      </w:pPr>
      <w:r>
        <w:rPr>
          <w:rFonts w:ascii="Times New Roman" w:cs="Times New Roman" w:eastAsia="Times New Roman" w:hAnsi="Times New Roman"/>
          <w:sz w:val="21"/>
          <w:szCs w:val="21"/>
          <w:color w:val="auto"/>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recovery of Erroneously Awarded Compensation from any person if the Committee determines that such recovery would be impracticable due to any of the following circumstances: (i) the direct expense paid to a third party (for example, reasonable legal expenses and consulting fees) to assist in enforcing the Policy would exceed the amount to be recovered (following reasonable attempts by the Company Group to recover such Erroneously Awarded Compensation, the documentation of such attempts, and the provision of such documentation to the NYSE), (ii) pursuing such recovery would violate the Company’s Home Country laws adopted prior to November 28, 2022 (provided that the Company obtains an opinion of Home Country counsel acceptable to the NYSE that recovery would result in such a violation and provides such opinion to the NYSE) or (iii) recovery would likely cause any otherwise tax-qualified retirement plan, under which benefits are broadly available to employees of Company Group, to fail to meet the requirements of 26 U.S.C. 401(a)(13) or 26 U.S.C. 411(a) and regulations thereunder.</w:t>
      </w:r>
    </w:p>
    <w:p>
      <w:pPr>
        <w:ind w:left="320"/>
        <w:spacing w:after="0"/>
        <w:rPr>
          <w:sz w:val="20"/>
          <w:szCs w:val="20"/>
          <w:color w:val="auto"/>
        </w:rPr>
      </w:pPr>
      <w:r>
        <w:rPr>
          <w:rFonts w:ascii="Times New Roman" w:cs="Times New Roman" w:eastAsia="Times New Roman" w:hAnsi="Times New Roman"/>
          <w:sz w:val="21"/>
          <w:szCs w:val="21"/>
          <w:b w:val="1"/>
          <w:bCs w:val="1"/>
          <w:color w:val="auto"/>
        </w:rPr>
        <w:t>4. Means of Repayment</w:t>
      </w:r>
    </w:p>
    <w:p>
      <w:pPr>
        <w:ind w:firstLine="316"/>
        <w:spacing w:after="0" w:line="232" w:lineRule="auto"/>
        <w:rPr>
          <w:sz w:val="20"/>
          <w:szCs w:val="20"/>
          <w:color w:val="auto"/>
        </w:rPr>
      </w:pPr>
      <w:r>
        <w:rPr>
          <w:rFonts w:ascii="Times New Roman" w:cs="Times New Roman" w:eastAsia="Times New Roman" w:hAnsi="Times New Roman"/>
          <w:sz w:val="21"/>
          <w:szCs w:val="21"/>
          <w:color w:val="auto"/>
        </w:rPr>
        <w:t>In the event that the Committee determines that an Executive Officer shall repay any Erroneously Awarded Compensation,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Internal Revenue Code, as amended and the regulations and guidance thereunder.</w:t>
      </w:r>
    </w:p>
    <w:p>
      <w:pPr>
        <w:spacing w:after="0"/>
        <w:rPr>
          <w:sz w:val="20"/>
          <w:szCs w:val="20"/>
          <w:color w:val="auto"/>
        </w:rPr>
      </w:pPr>
      <w:r>
        <w:rPr>
          <w:rFonts w:ascii="Times New Roman" w:cs="Times New Roman" w:eastAsia="Times New Roman" w:hAnsi="Times New Roman"/>
          <w:sz w:val="21"/>
          <w:szCs w:val="21"/>
          <w:b w:val="1"/>
          <w:bCs w:val="1"/>
          <w:color w:val="auto"/>
        </w:rPr>
        <w:t>5. No Indemnification</w:t>
      </w:r>
    </w:p>
    <w:p>
      <w:pPr>
        <w:ind w:right="40" w:firstLine="316"/>
        <w:spacing w:after="0" w:line="238" w:lineRule="auto"/>
        <w:rPr>
          <w:sz w:val="20"/>
          <w:szCs w:val="20"/>
          <w:color w:val="auto"/>
        </w:rPr>
      </w:pPr>
      <w:r>
        <w:rPr>
          <w:rFonts w:ascii="Times New Roman" w:cs="Times New Roman" w:eastAsia="Times New Roman" w:hAnsi="Times New Roman"/>
          <w:sz w:val="21"/>
          <w:szCs w:val="21"/>
          <w:color w:val="auto"/>
        </w:rPr>
        <w:t>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the term</w:t>
      </w:r>
    </w:p>
    <w:p>
      <w:pPr>
        <w:sectPr>
          <w:pgSz w:w="11900" w:h="16838" w:orient="portrait"/>
          <w:cols w:equalWidth="0" w:num="1">
            <w:col w:w="11240"/>
          </w:cols>
          <w:pgMar w:left="320" w:top="1375" w:right="339" w:bottom="1440" w:gutter="0" w:footer="0" w:header="0"/>
        </w:sectPr>
      </w:pPr>
    </w:p>
    <w:bookmarkStart w:id="216" w:name="page217"/>
    <w:bookmarkEnd w:id="216"/>
    <w:p>
      <w:pPr>
        <w:ind w:right="40"/>
        <w:spacing w:after="0" w:line="241" w:lineRule="auto"/>
        <w:rPr>
          <w:sz w:val="20"/>
          <w:szCs w:val="20"/>
          <w:color w:val="auto"/>
        </w:rPr>
      </w:pPr>
      <w:r>
        <w:rPr>
          <w:rFonts w:ascii="Times New Roman" w:cs="Times New Roman" w:eastAsia="Times New Roman" w:hAnsi="Times New Roman"/>
          <w:sz w:val="21"/>
          <w:szCs w:val="21"/>
          <w:color w:val="auto"/>
        </w:rPr>
        <w:t xml:space="preserve">“indemnification” includes any modification to current compensation arrangements or other means that would amount to </w:t>
      </w:r>
      <w:r>
        <w:rPr>
          <w:rFonts w:ascii="Times New Roman" w:cs="Times New Roman" w:eastAsia="Times New Roman" w:hAnsi="Times New Roman"/>
          <w:sz w:val="21"/>
          <w:szCs w:val="21"/>
          <w:i w:val="1"/>
          <w:iCs w:val="1"/>
          <w:color w:val="auto"/>
        </w:rPr>
        <w:t>de facto</w:t>
      </w:r>
      <w:r>
        <w:rPr>
          <w:rFonts w:ascii="Times New Roman" w:cs="Times New Roman" w:eastAsia="Times New Roman" w:hAnsi="Times New Roman"/>
          <w:sz w:val="21"/>
          <w:szCs w:val="21"/>
          <w:color w:val="auto"/>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spacing w:after="0" w:line="238" w:lineRule="auto"/>
        <w:rPr>
          <w:sz w:val="20"/>
          <w:szCs w:val="20"/>
          <w:color w:val="auto"/>
        </w:rPr>
      </w:pPr>
      <w:r>
        <w:rPr>
          <w:rFonts w:ascii="Times New Roman" w:cs="Times New Roman" w:eastAsia="Times New Roman" w:hAnsi="Times New Roman"/>
          <w:sz w:val="21"/>
          <w:szCs w:val="21"/>
          <w:b w:val="1"/>
          <w:bCs w:val="1"/>
          <w:color w:val="auto"/>
        </w:rPr>
        <w:t>6. Miscellaneous</w:t>
      </w:r>
    </w:p>
    <w:p>
      <w:pPr>
        <w:spacing w:after="0" w:line="1" w:lineRule="exact"/>
        <w:rPr>
          <w:sz w:val="20"/>
          <w:szCs w:val="20"/>
          <w:color w:val="auto"/>
        </w:rPr>
      </w:pPr>
    </w:p>
    <w:p>
      <w:pPr>
        <w:ind w:right="160" w:firstLine="316"/>
        <w:spacing w:after="0" w:line="232" w:lineRule="auto"/>
        <w:rPr>
          <w:sz w:val="20"/>
          <w:szCs w:val="20"/>
          <w:color w:val="auto"/>
        </w:rPr>
      </w:pPr>
      <w:r>
        <w:rPr>
          <w:rFonts w:ascii="Times New Roman" w:cs="Times New Roman" w:eastAsia="Times New Roman" w:hAnsi="Times New Roman"/>
          <w:sz w:val="21"/>
          <w:szCs w:val="21"/>
          <w:color w:val="auto"/>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w:t>
      </w:r>
    </w:p>
    <w:p>
      <w:pPr>
        <w:spacing w:after="0" w:line="4" w:lineRule="exact"/>
        <w:rPr>
          <w:sz w:val="20"/>
          <w:szCs w:val="20"/>
          <w:color w:val="auto"/>
        </w:rPr>
      </w:pPr>
    </w:p>
    <w:p>
      <w:pPr>
        <w:ind w:right="100" w:firstLine="316"/>
        <w:spacing w:after="0" w:line="235" w:lineRule="auto"/>
        <w:rPr>
          <w:sz w:val="20"/>
          <w:szCs w:val="20"/>
          <w:color w:val="auto"/>
        </w:rPr>
      </w:pPr>
      <w:r>
        <w:rPr>
          <w:rFonts w:ascii="Times New Roman" w:cs="Times New Roman" w:eastAsia="Times New Roman" w:hAnsi="Times New Roman"/>
          <w:sz w:val="21"/>
          <w:szCs w:val="21"/>
          <w:color w:val="auto"/>
        </w:rPr>
        <w:t>This Policy is intended to satisfy the requirements of Section 954 of the Dodd-Frank Wall Street Reform and Consumer Protection Act, as it may be amended from time to time, and any related rules or regulations promulgated by the SEC or the NYSE,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2" w:lineRule="exact"/>
        <w:rPr>
          <w:sz w:val="20"/>
          <w:szCs w:val="20"/>
          <w:color w:val="auto"/>
        </w:rPr>
      </w:pPr>
    </w:p>
    <w:p>
      <w:pPr>
        <w:ind w:right="120" w:firstLine="316"/>
        <w:spacing w:after="0" w:line="233" w:lineRule="auto"/>
        <w:rPr>
          <w:sz w:val="20"/>
          <w:szCs w:val="20"/>
          <w:color w:val="auto"/>
        </w:rPr>
      </w:pPr>
      <w:r>
        <w:rPr>
          <w:rFonts w:ascii="Times New Roman" w:cs="Times New Roman" w:eastAsia="Times New Roman" w:hAnsi="Times New Roman"/>
          <w:sz w:val="21"/>
          <w:szCs w:val="21"/>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the NYSE</w:t>
      </w:r>
      <w:r>
        <w:rPr>
          <w:rFonts w:ascii="Times New Roman" w:cs="Times New Roman" w:eastAsia="Times New Roman" w:hAnsi="Times New Roman"/>
          <w:sz w:val="21"/>
          <w:szCs w:val="21"/>
          <w:b w:val="1"/>
          <w:bCs w:val="1"/>
          <w:color w:val="auto"/>
        </w:rPr>
        <w:t>.</w:t>
      </w:r>
    </w:p>
    <w:p>
      <w:pPr>
        <w:spacing w:after="0" w:line="4" w:lineRule="exact"/>
        <w:rPr>
          <w:sz w:val="20"/>
          <w:szCs w:val="20"/>
          <w:color w:val="auto"/>
        </w:rPr>
      </w:pPr>
    </w:p>
    <w:p>
      <w:pPr>
        <w:ind w:firstLine="316"/>
        <w:spacing w:after="0" w:line="235" w:lineRule="auto"/>
        <w:rPr>
          <w:sz w:val="20"/>
          <w:szCs w:val="20"/>
          <w:color w:val="auto"/>
        </w:rPr>
      </w:pPr>
      <w:r>
        <w:rPr>
          <w:rFonts w:ascii="Times New Roman" w:cs="Times New Roman" w:eastAsia="Times New Roman" w:hAnsi="Times New Roman"/>
          <w:sz w:val="21"/>
          <w:szCs w:val="21"/>
          <w:color w:val="auto"/>
        </w:rPr>
        <w:t>The rights of the Company Group under this Policy to seek recovery are in addition to, and not in lieu of any rights of recoupment or any other similar remedies or rights,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spacing w:after="0" w:line="2" w:lineRule="exact"/>
        <w:rPr>
          <w:sz w:val="20"/>
          <w:szCs w:val="20"/>
          <w:color w:val="auto"/>
        </w:rPr>
      </w:pPr>
    </w:p>
    <w:p>
      <w:pPr>
        <w:ind w:right="20" w:firstLine="316"/>
        <w:spacing w:after="0" w:line="232" w:lineRule="auto"/>
        <w:rPr>
          <w:sz w:val="20"/>
          <w:szCs w:val="20"/>
          <w:color w:val="auto"/>
        </w:rPr>
      </w:pPr>
      <w:r>
        <w:rPr>
          <w:rFonts w:ascii="Times New Roman" w:cs="Times New Roman" w:eastAsia="Times New Roman" w:hAnsi="Times New Roman"/>
          <w:sz w:val="21"/>
          <w:szCs w:val="21"/>
          <w:color w:val="auto"/>
        </w:rPr>
        <w:t>In the event that a recovery is initiated under this Policy, amounts of Incentive-Based Compensation previously recovered by the Company Group from an Executive Officer pursuant to any of the Company Group’s other policies, code of conduct, employee handbook, employment agreement, equity award agreement, or other plan or agreement of the Company Group shall be considered so that recovery is not duplicative, provided that in the event of a conflict between any applicable recovery provision, including this Policy, the right to recovery shall be interpreted to result in the greatest recovery.</w:t>
      </w:r>
    </w:p>
    <w:p>
      <w:pPr>
        <w:spacing w:after="0"/>
        <w:rPr>
          <w:sz w:val="20"/>
          <w:szCs w:val="20"/>
          <w:color w:val="auto"/>
        </w:rPr>
      </w:pPr>
      <w:r>
        <w:rPr>
          <w:rFonts w:ascii="Times New Roman" w:cs="Times New Roman" w:eastAsia="Times New Roman" w:hAnsi="Times New Roman"/>
          <w:sz w:val="21"/>
          <w:szCs w:val="21"/>
          <w:b w:val="1"/>
          <w:bCs w:val="1"/>
          <w:color w:val="auto"/>
        </w:rPr>
        <w:t>7. Amendment and Termination</w:t>
      </w:r>
    </w:p>
    <w:p>
      <w:pPr>
        <w:ind w:right="80" w:firstLine="316"/>
        <w:spacing w:after="0" w:line="235" w:lineRule="auto"/>
        <w:rPr>
          <w:sz w:val="20"/>
          <w:szCs w:val="20"/>
          <w:color w:val="auto"/>
        </w:rPr>
      </w:pPr>
      <w:r>
        <w:rPr>
          <w:rFonts w:ascii="Times New Roman" w:cs="Times New Roman" w:eastAsia="Times New Roman" w:hAnsi="Times New Roman"/>
          <w:sz w:val="21"/>
          <w:szCs w:val="21"/>
          <w:color w:val="auto"/>
        </w:rPr>
        <w:t>To the extent permitted by, and in a manner consistent with applicable law, including SEC and NYSE rules, the Committee may terminate, suspend or amend this Policy at any time in its discretion.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8. Successors</w:t>
      </w:r>
    </w:p>
    <w:p>
      <w:pPr>
        <w:sectPr>
          <w:pgSz w:w="11900" w:h="16838" w:orient="portrait"/>
          <w:cols w:equalWidth="0" w:num="1">
            <w:col w:w="11180"/>
          </w:cols>
          <w:pgMar w:left="320" w:top="1373" w:right="399" w:bottom="1440" w:gutter="0" w:footer="0" w:header="0"/>
        </w:sectPr>
      </w:pPr>
    </w:p>
    <w:bookmarkStart w:id="217" w:name="page218"/>
    <w:bookmarkEnd w:id="217"/>
    <w:p>
      <w:pPr>
        <w:ind w:firstLine="316"/>
        <w:spacing w:after="0" w:line="243" w:lineRule="auto"/>
        <w:rPr>
          <w:sz w:val="20"/>
          <w:szCs w:val="20"/>
          <w:color w:val="auto"/>
        </w:rPr>
      </w:pPr>
      <w:r>
        <w:rPr>
          <w:rFonts w:ascii="Times New Roman" w:cs="Times New Roman" w:eastAsia="Times New Roman" w:hAnsi="Times New Roman"/>
          <w:sz w:val="21"/>
          <w:szCs w:val="21"/>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236" w:lineRule="auto"/>
        <w:rPr>
          <w:sz w:val="20"/>
          <w:szCs w:val="20"/>
          <w:color w:val="auto"/>
        </w:rPr>
      </w:pPr>
      <w:r>
        <w:rPr>
          <w:rFonts w:ascii="Times New Roman" w:cs="Times New Roman" w:eastAsia="Times New Roman" w:hAnsi="Times New Roman"/>
          <w:sz w:val="21"/>
          <w:szCs w:val="21"/>
          <w:b w:val="1"/>
          <w:bCs w:val="1"/>
          <w:color w:val="auto"/>
        </w:rPr>
        <w:t>9. Acknowledgement.</w:t>
      </w:r>
    </w:p>
    <w:p>
      <w:pPr>
        <w:ind w:right="120" w:firstLine="391"/>
        <w:spacing w:after="0" w:line="245" w:lineRule="auto"/>
        <w:rPr>
          <w:sz w:val="20"/>
          <w:szCs w:val="20"/>
          <w:color w:val="auto"/>
        </w:rPr>
      </w:pPr>
      <w:r>
        <w:rPr>
          <w:rFonts w:ascii="Times New Roman" w:cs="Times New Roman" w:eastAsia="Times New Roman" w:hAnsi="Times New Roman"/>
          <w:sz w:val="21"/>
          <w:szCs w:val="21"/>
          <w:color w:val="auto"/>
        </w:rPr>
        <w:t>Any person covered by this Policy will sign an acknowledgement consenting and agreeing to be bound by and subject to terms and conditions of the Policy in form determined by the Company Group.</w:t>
      </w:r>
    </w:p>
    <w:sectPr>
      <w:pgSz w:w="11900" w:h="16838" w:orient="portrait"/>
      <w:cols w:equalWidth="0" w:num="1">
        <w:col w:w="11200"/>
      </w:cols>
      <w:pgMar w:left="320" w:top="137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decimal"/>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1)"/>
      <w:numFmt w:val="lowerRoman"/>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1)"/>
      <w:numFmt w:val="lowerRoman"/>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1"/>
      <w:numFmt w:val="upperLetter"/>
      <w:start w:val="35"/>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lvl w:ilvl="1">
      <w:lvlJc w:val="left"/>
      <w:lvlText w:val="•"/>
      <w:numFmt w:val="bullet"/>
      <w:start w:val="1"/>
    </w:lvl>
  </w:abstractNum>
  <w:abstractNum w:abstractNumId="30">
    <w:nsid w:val="180115BE"/>
    <w:multiLevelType w:val="hybridMultilevel"/>
    <w:lvl w:ilvl="0">
      <w:lvlJc w:val="left"/>
      <w:lvlText w:val="•"/>
      <w:numFmt w:val="bullet"/>
      <w:start w:val="1"/>
    </w:lvl>
    <w:lvl w:ilvl="1">
      <w:lvlJc w:val="left"/>
      <w:lvlText w:val="•"/>
      <w:numFmt w:val="bullet"/>
      <w:start w:val="1"/>
    </w:lvl>
  </w:abstractNum>
  <w:abstractNum w:abstractNumId="31">
    <w:nsid w:val="235BA861"/>
    <w:multiLevelType w:val="hybridMultilevel"/>
    <w:lvl w:ilvl="0">
      <w:lvlJc w:val="left"/>
      <w:lvlText w:val="•"/>
      <w:numFmt w:val="bullet"/>
      <w:start w:val="1"/>
    </w:lvl>
    <w:lvl w:ilvl="1">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lowerLetter"/>
      <w:start w:val="1"/>
    </w:lvl>
  </w:abstractNum>
  <w:abstractNum w:abstractNumId="39">
    <w:nsid w:val="61574095"/>
    <w:multiLevelType w:val="hybridMultilevel"/>
    <w:lvl w:ilvl="0">
      <w:lvlJc w:val="left"/>
      <w:lvlText w:val="(%1)"/>
      <w:numFmt w:val="lowerLetter"/>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1)"/>
      <w:numFmt w:val="lowerLetter"/>
      <w:start w:val="1"/>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1)"/>
      <w:numFmt w:val="decimal"/>
      <w:start w:val="21"/>
    </w:lvl>
  </w:abstractNum>
  <w:abstractNum w:abstractNumId="47">
    <w:nsid w:val="1DBABF00"/>
    <w:multiLevelType w:val="hybridMultilevel"/>
    <w:lvl w:ilvl="0">
      <w:lvlJc w:val="left"/>
      <w:lvlText w:val="(%1)"/>
      <w:numFmt w:val="lowerLetter"/>
      <w:start w:val="1"/>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1)"/>
      <w:numFmt w:val="lowerLetter"/>
      <w:start w:val="1"/>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lvl w:ilvl="1">
      <w:lvlJc w:val="left"/>
      <w:lvlText w:val="\emdash "/>
      <w:numFmt w:val="bullet"/>
      <w:start w:val="1"/>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lowerLetter"/>
      <w:start w:val="1"/>
    </w:lvl>
  </w:abstractNum>
  <w:abstractNum w:abstractNumId="61">
    <w:nsid w:val="1EBA5D23"/>
    <w:multiLevelType w:val="hybridMultilevel"/>
    <w:lvl w:ilvl="0">
      <w:lvlJc w:val="left"/>
      <w:lvlText w:val="%1"/>
      <w:numFmt w:val="decimal"/>
      <w:start w:val="1"/>
    </w:lvl>
    <w:lvl w:ilvl="1">
      <w:lvlJc w:val="left"/>
      <w:lvlText w:val="%2"/>
      <w:numFmt w:val="decimal"/>
      <w:start w:val="104"/>
    </w:lvl>
  </w:abstractNum>
  <w:abstractNum w:abstractNumId="62">
    <w:nsid w:val="661E3F1E"/>
    <w:multiLevelType w:val="hybridMultilevel"/>
    <w:lvl w:ilvl="0">
      <w:lvlJc w:val="left"/>
      <w:lvlText w:val="(%1)"/>
      <w:numFmt w:val="decimal"/>
      <w:start w:val="1"/>
    </w:lvl>
    <w:lvl w:ilvl="1">
      <w:lvlJc w:val="left"/>
      <w:lvlText w:val="%2"/>
      <w:numFmt w:val="decimal"/>
      <w:start w:val="1"/>
    </w:lvl>
  </w:abstractNum>
  <w:abstractNum w:abstractNumId="63">
    <w:nsid w:val="5DC79EA8"/>
    <w:multiLevelType w:val="hybridMultilevel"/>
    <w:lvl w:ilvl="0">
      <w:lvlJc w:val="left"/>
      <w:lvlText w:val="%1."/>
      <w:numFmt w:val="upperLetter"/>
      <w:start w:val="5"/>
    </w:lvl>
  </w:abstractNum>
  <w:abstractNum w:abstractNumId="64">
    <w:nsid w:val="540A471C"/>
    <w:multiLevelType w:val="hybridMultilevel"/>
    <w:lvl w:ilvl="0">
      <w:lvlJc w:val="left"/>
      <w:lvlText w:val="(%1)"/>
      <w:numFmt w:val="lowerLetter"/>
      <w:start w:val="1"/>
    </w:lvl>
  </w:abstractNum>
  <w:abstractNum w:abstractNumId="65">
    <w:nsid w:val="7BD3EE7B"/>
    <w:multiLevelType w:val="hybridMultilevel"/>
    <w:lvl w:ilvl="0">
      <w:lvlJc w:val="left"/>
      <w:lvlText w:val="(%1)"/>
      <w:numFmt w:val="lowerLetter"/>
      <w:start w:val="1"/>
    </w:lvl>
  </w:abstractNum>
  <w:abstractNum w:abstractNumId="66">
    <w:nsid w:val="51D9C564"/>
    <w:multiLevelType w:val="hybridMultilevel"/>
    <w:lvl w:ilvl="0">
      <w:lvlJc w:val="left"/>
      <w:lvlText w:val="(%1)"/>
      <w:numFmt w:val="lowerRoman"/>
      <w:start w:val="1"/>
    </w:lvl>
  </w:abstractNum>
  <w:abstractNum w:abstractNumId="67">
    <w:nsid w:val="613EFDC5"/>
    <w:multiLevelType w:val="hybridMultilevel"/>
    <w:lvl w:ilvl="0">
      <w:lvlJc w:val="left"/>
      <w:lvlText w:val="(%1)"/>
      <w:numFmt w:val="lowerRoman"/>
      <w:start w:val="3"/>
    </w:lvl>
  </w:abstractNum>
  <w:abstractNum w:abstractNumId="68">
    <w:nsid w:val="BF72B14"/>
    <w:multiLevelType w:val="hybridMultilevel"/>
    <w:lvl w:ilvl="0">
      <w:lvlJc w:val="left"/>
      <w:lvlText w:val="%1"/>
      <w:numFmt w:val="lowerLetter"/>
      <w:start w:val="1"/>
    </w:lvl>
    <w:lvl w:ilvl="1">
      <w:lvlJc w:val="left"/>
      <w:lvlText w:val="(%2)"/>
      <w:numFmt w:val="lowerRoman"/>
      <w:start w:val="4"/>
    </w:lvl>
  </w:abstractNum>
  <w:abstractNum w:abstractNumId="69">
    <w:nsid w:val="11447B73"/>
    <w:multiLevelType w:val="hybridMultilevel"/>
    <w:lvl w:ilvl="0">
      <w:lvlJc w:val="left"/>
      <w:lvlText w:val="(%1)"/>
      <w:numFmt w:val="lowerLetter"/>
      <w:start w:val="2"/>
    </w:lvl>
    <w:lvl w:ilvl="1">
      <w:lvlJc w:val="left"/>
      <w:lvlText w:val="%2"/>
      <w:numFmt w:val="lowerRoman"/>
      <w:start w:val="1"/>
    </w:lvl>
  </w:abstractNum>
  <w:abstractNum w:abstractNumId="70">
    <w:nsid w:val="42963E5A"/>
    <w:multiLevelType w:val="hybridMultilevel"/>
    <w:lvl w:ilvl="0">
      <w:lvlJc w:val="left"/>
      <w:lvlText w:val="(%1)"/>
      <w:numFmt w:val="lowerLetter"/>
      <w:start w:val="1"/>
    </w:lvl>
    <w:lvl w:ilvl="1">
      <w:lvlJc w:val="left"/>
      <w:lvlText w:val="%2"/>
      <w:numFmt w:val="lowerLetter"/>
      <w:start w:val="1"/>
    </w:lvl>
  </w:abstractNum>
  <w:abstractNum w:abstractNumId="71">
    <w:nsid w:val="A0382C5"/>
    <w:multiLevelType w:val="hybridMultilevel"/>
    <w:lvl w:ilvl="0">
      <w:lvlJc w:val="left"/>
      <w:lvlText w:val="(%1)"/>
      <w:numFmt w:val="lowerLetter"/>
      <w:start w:val="1"/>
    </w:lvl>
    <w:lvl w:ilvl="1">
      <w:lvlJc w:val="left"/>
      <w:lvlText w:val="%2"/>
      <w:numFmt w:val="lowerLetter"/>
      <w:start w:val="1"/>
    </w:lvl>
  </w:abstractNum>
  <w:abstractNum w:abstractNumId="72">
    <w:nsid w:val="8F2B15E"/>
    <w:multiLevelType w:val="hybridMultilevel"/>
    <w:lvl w:ilvl="0">
      <w:lvlJc w:val="left"/>
      <w:lvlText w:val="(%1)"/>
      <w:numFmt w:val="lowerLetter"/>
      <w:start w:val="2"/>
    </w:lvl>
  </w:abstractNum>
  <w:abstractNum w:abstractNumId="73">
    <w:nsid w:val="1A32234B"/>
    <w:multiLevelType w:val="hybridMultilevel"/>
    <w:lvl w:ilvl="0">
      <w:lvlJc w:val="left"/>
      <w:lvlText w:val="(%1)"/>
      <w:numFmt w:val="lowerLetter"/>
      <w:start w:val="6"/>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decimal"/>
      <w:start w:val="1"/>
    </w:lvl>
    <w:lvl w:ilvl="1">
      <w:lvlJc w:val="left"/>
      <w:lvlText w:val="(%2)"/>
      <w:numFmt w:val="lowerLetter"/>
      <w:start w:val="1"/>
    </w:lvl>
  </w:abstractNum>
  <w:abstractNum w:abstractNumId="76">
    <w:nsid w:val="4962813B"/>
    <w:multiLevelType w:val="hybridMultilevel"/>
    <w:lvl w:ilvl="0">
      <w:lvlJc w:val="left"/>
      <w:lvlText w:val="%1."/>
      <w:numFmt w:val="decimal"/>
      <w:start w:val="1"/>
    </w:lvl>
    <w:lvl w:ilvl="1">
      <w:lvlJc w:val="left"/>
      <w:lvlText w:val="(%2)"/>
      <w:numFmt w:val="lowerLetter"/>
      <w:start w:val="1"/>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lowerLetter"/>
      <w:start w:val="1"/>
    </w:lvl>
  </w:abstractNum>
  <w:abstractNum w:abstractNumId="81">
    <w:nsid w:val="1A27709E"/>
    <w:multiLevelType w:val="hybridMultilevel"/>
    <w:lvl w:ilvl="0">
      <w:lvlJc w:val="left"/>
      <w:lvlText w:val="%1."/>
      <w:numFmt w:val="lowerLetter"/>
      <w:start w:val="7"/>
    </w:lvl>
  </w:abstractNum>
  <w:abstractNum w:abstractNumId="82">
    <w:nsid w:val="71EA1109"/>
    <w:multiLevelType w:val="hybridMultilevel"/>
    <w:lvl w:ilvl="0">
      <w:lvlJc w:val="left"/>
      <w:lvlText w:val="%1"/>
      <w:numFmt w:val="decimal"/>
      <w:start w:val="1"/>
    </w:lvl>
    <w:lvl w:ilvl="1">
      <w:lvlJc w:val="left"/>
      <w:lvlText w:val="%2."/>
      <w:numFmt w:val="lowerLetter"/>
      <w:start w:val="15"/>
    </w:lvl>
  </w:abstractNum>
  <w:abstractNum w:abstractNumId="83">
    <w:nsid w:val="100F59DC"/>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8" Type="http://schemas.openxmlformats.org/officeDocument/2006/relationships/image" Target="media/image284.png"/><Relationship Id="rId326" Type="http://schemas.openxmlformats.org/officeDocument/2006/relationships/image" Target="media/image285.png"/><Relationship Id="rId345" Type="http://schemas.openxmlformats.org/officeDocument/2006/relationships/image" Target="media/image286.png"/><Relationship Id="rId353" Type="http://schemas.openxmlformats.org/officeDocument/2006/relationships/image" Target="media/image287.png"/><Relationship Id="rId354" Type="http://schemas.openxmlformats.org/officeDocument/2006/relationships/image" Target="media/image288.png"/><Relationship Id="rId355" Type="http://schemas.openxmlformats.org/officeDocument/2006/relationships/image" Target="media/image289.png"/><Relationship Id="rId356" Type="http://schemas.openxmlformats.org/officeDocument/2006/relationships/image" Target="media/image290.png"/><Relationship Id="rId357" Type="http://schemas.openxmlformats.org/officeDocument/2006/relationships/image" Target="media/image291.png"/><Relationship Id="rId358" Type="http://schemas.openxmlformats.org/officeDocument/2006/relationships/image" Target="media/image292.png"/><Relationship Id="rId359" Type="http://schemas.openxmlformats.org/officeDocument/2006/relationships/image" Target="media/image293.png"/><Relationship Id="rId360" Type="http://schemas.openxmlformats.org/officeDocument/2006/relationships/image" Target="media/image294.png"/><Relationship Id="rId361" Type="http://schemas.openxmlformats.org/officeDocument/2006/relationships/image" Target="media/image295.png"/><Relationship Id="rId362" Type="http://schemas.openxmlformats.org/officeDocument/2006/relationships/image" Target="media/image296.png"/><Relationship Id="rId363" Type="http://schemas.openxmlformats.org/officeDocument/2006/relationships/image" Target="media/image297.png"/><Relationship Id="rId364" Type="http://schemas.openxmlformats.org/officeDocument/2006/relationships/image" Target="media/image298.png"/><Relationship Id="rId365" Type="http://schemas.openxmlformats.org/officeDocument/2006/relationships/image" Target="media/image299.png"/><Relationship Id="rId289" Type="http://schemas.openxmlformats.org/officeDocument/2006/relationships/hyperlink" Target="http://www.sec.gov/Archives/edgar/data/1331875/000110465920012350/tm207083d1_ex2-1.htm" TargetMode="External"/><Relationship Id="rId290" Type="http://schemas.openxmlformats.org/officeDocument/2006/relationships/hyperlink" Target="http://www.sec.gov/Archives/edgar/data/1331875/000104746920002579/a2241436zs-4a.htm#annb" TargetMode="External"/><Relationship Id="rId291" Type="http://schemas.openxmlformats.org/officeDocument/2006/relationships/hyperlink" Target="https://www.sec.gov/Archives/edgar/data/1331875/000133187522000100/exhibit21-fg8xk.htm" TargetMode="External"/><Relationship Id="rId292" Type="http://schemas.openxmlformats.org/officeDocument/2006/relationships/hyperlink" Target="http://www.sec.gov/Archives/edgar/data/1331875/000133187518000035/fnffifthamendedandrestated.htm" TargetMode="External"/><Relationship Id="rId293" Type="http://schemas.openxmlformats.org/officeDocument/2006/relationships/hyperlink" Target="https://www.sec.gov/Archives/edgar/data/0001331875/000133187522000006/ex32fifthamendedandrestate.htm" TargetMode="External"/><Relationship Id="rId294" Type="http://schemas.openxmlformats.org/officeDocument/2006/relationships/hyperlink" Target="http://www.sec.gov/Archives/edgar/data/1331875/000095013406005246/a16815exv4w1.txt" TargetMode="External"/><Relationship Id="rId295" Type="http://schemas.openxmlformats.org/officeDocument/2006/relationships/hyperlink" Target="http://www.sec.gov/Archives/edgar/data/1331875/000089256906000049/a16429exv4w1.htm" TargetMode="External"/><Relationship Id="rId296" Type="http://schemas.openxmlformats.org/officeDocument/2006/relationships/hyperlink" Target="http://www.sec.gov/Archives/edgar/data/1331875/000095012310044230/g23229exv4w1.htm" TargetMode="External"/><Relationship Id="rId297" Type="http://schemas.openxmlformats.org/officeDocument/2006/relationships/hyperlink" Target="https://www.sec.gov/Archives/edgar/data/1331875/000119312514255770/d750947dex41.htm" TargetMode="External"/><Relationship Id="rId298" Type="http://schemas.openxmlformats.org/officeDocument/2006/relationships/hyperlink" Target="http://www.sec.gov/Archives/edgar/data/1331875/000089256907001411/a35688exv4w2xay.htm" TargetMode="External"/><Relationship Id="rId299" Type="http://schemas.openxmlformats.org/officeDocument/2006/relationships/hyperlink" Target="http://www.sec.gov/Archives/edgar/data/1331875/000133187518000051/exhibit44-fourthsupplement.htm" TargetMode="External"/><Relationship Id="rId300" Type="http://schemas.openxmlformats.org/officeDocument/2006/relationships/hyperlink" Target="http://www.sec.gov/Archives/edgar/data/1331875/000119312514182698/d702315dex41.htm" TargetMode="External"/><Relationship Id="rId301" Type="http://schemas.openxmlformats.org/officeDocument/2006/relationships/hyperlink" Target="http://www.sec.gov/Archives/edgar/data/1331875/000133187520000008/ex49descriptionoffnfco.htm" TargetMode="External"/><Relationship Id="rId302" Type="http://schemas.openxmlformats.org/officeDocument/2006/relationships/hyperlink" Target="http://www.sec.gov/Archives/edgar/data/1331875/000110465920068392/tm2021453d4_ex4-1.htm" TargetMode="External"/><Relationship Id="rId303" Type="http://schemas.openxmlformats.org/officeDocument/2006/relationships/hyperlink" Target="http://www.sec.gov/Archives/edgar/data/1668428/000119312518131682/d553516dex41.htm" TargetMode="External"/><Relationship Id="rId304" Type="http://schemas.openxmlformats.org/officeDocument/2006/relationships/hyperlink" Target="http://www.sec.gov/Archives/edgar/data/1331875/000110465920072692/tm2021971d7_ex4-1.htm" TargetMode="External"/><Relationship Id="rId307" Type="http://schemas.openxmlformats.org/officeDocument/2006/relationships/hyperlink" Target="http://www.sec.gov/Archives/edgar/data/1331875/000110465920105249/tm2030447d4_ex4-1.htm" TargetMode="External"/><Relationship Id="rId309" Type="http://schemas.openxmlformats.org/officeDocument/2006/relationships/hyperlink" Target="https://www.sec.gov/Archives/edgar/data/0001331875/000110465921116748/tm2127512d4_ex4-1.htm" TargetMode="External"/><Relationship Id="rId310" Type="http://schemas.openxmlformats.org/officeDocument/2006/relationships/hyperlink" Target="https://www.sec.gov/Archives/edgar/data/1331875/000133187523000005/exhibit41-fnf8xk11323.htm" TargetMode="External"/><Relationship Id="rId311" Type="http://schemas.openxmlformats.org/officeDocument/2006/relationships/hyperlink" Target="https://www.sec.gov/Archives/edgar/data/1331875/000133187523000005/exhibit42-fnf8xk11323.htm" TargetMode="External"/><Relationship Id="rId312" Type="http://schemas.openxmlformats.org/officeDocument/2006/relationships/hyperlink" Target="https://www.sec.gov/Archives/edgar/data/1934850/000162828023040921/exhibit41-8xk.htm" TargetMode="External"/><Relationship Id="rId313" Type="http://schemas.openxmlformats.org/officeDocument/2006/relationships/hyperlink" Target="http://www.sec.gov/Archives/edgar/data/1331875/000119312516569331/d157551ddef14a.htm#toc157551_18" TargetMode="External"/><Relationship Id="rId314" Type="http://schemas.openxmlformats.org/officeDocument/2006/relationships/hyperlink" Target="https://www.sec.gov/Archives/edgar/data/1331875/000133187522000062/ex991-fnfamendedandrestate.htm" TargetMode="External"/><Relationship Id="rId315" Type="http://schemas.openxmlformats.org/officeDocument/2006/relationships/hyperlink" Target="http://www.sec.gov/Archives/edgar/data/1331875/000119312516569331/d157551ddef14a.htm#toc157551_19" TargetMode="External"/><Relationship Id="rId316" Type="http://schemas.openxmlformats.org/officeDocument/2006/relationships/hyperlink" Target="http://www.sec.gov/Archives/edgar/data/1331875/000095014409001785/g17782exv10w18.htm" TargetMode="External"/><Relationship Id="rId317" Type="http://schemas.openxmlformats.org/officeDocument/2006/relationships/hyperlink" Target="http://www.sec.gov/Archives/edgar/data/1331875/000133187516000111/exhibit10122015.htm" TargetMode="External"/><Relationship Id="rId318" Type="http://schemas.openxmlformats.org/officeDocument/2006/relationships/hyperlink" Target="http://www.sec.gov/Archives/edgar/data/1331875/000095014409001785/g17782exv10w11.htm" TargetMode="External"/><Relationship Id="rId319" Type="http://schemas.openxmlformats.org/officeDocument/2006/relationships/hyperlink" Target="http://www.sec.gov/Archives/edgar/data/1331875/000095012310019326/g21797exv10w13.htm" TargetMode="External"/><Relationship Id="rId320" Type="http://schemas.openxmlformats.org/officeDocument/2006/relationships/hyperlink" Target="http://www.sec.gov/Archives/edgar/data/1331875/000133187516000111/exhibit10272015.htm" TargetMode="External"/><Relationship Id="rId321" Type="http://schemas.openxmlformats.org/officeDocument/2006/relationships/hyperlink" Target="https://www.sec.gov/Archives/edgar/data/0001331875/000133187522000016/ex102quirkemploymentagr02-.htm" TargetMode="External"/><Relationship Id="rId322" Type="http://schemas.openxmlformats.org/officeDocument/2006/relationships/hyperlink" Target="https://www.sec.gov/Archives/edgar/data/1331875/000095012310019326/g21797exv10w22.htm" TargetMode="External"/><Relationship Id="rId323" Type="http://schemas.openxmlformats.org/officeDocument/2006/relationships/hyperlink" Target="http://www.sec.gov/Archives/edgar/data/1331875/000133187513000012/exhibit1022.htm" TargetMode="External"/><Relationship Id="rId324" Type="http://schemas.openxmlformats.org/officeDocument/2006/relationships/hyperlink" Target="http://www.sec.gov/Archives/edgar/data/1331875/000133187515000019/exhibit1021q2015b.htm" TargetMode="External"/><Relationship Id="rId325" Type="http://schemas.openxmlformats.org/officeDocument/2006/relationships/hyperlink" Target="http://www.sec.gov/Archives/edgar/data/1331875/000133187513000012/exhibit1026.htm" TargetMode="External"/><Relationship Id="rId327" Type="http://schemas.openxmlformats.org/officeDocument/2006/relationships/hyperlink" Target="http://www.sec.gov/Archives/edgar/data/1331875/000119312514012055/d657527dex102.htm" TargetMode="External"/><Relationship Id="rId328" Type="http://schemas.openxmlformats.org/officeDocument/2006/relationships/hyperlink" Target="http://www.sec.gov/Archives/edgar/data/1331875/000119312514012055/d657527dex104.htm" TargetMode="External"/><Relationship Id="rId329" Type="http://schemas.openxmlformats.org/officeDocument/2006/relationships/hyperlink" Target="http://www.sec.gov/Archives/edgar/data/1331875/000133187516000144/exhibit101q22016foleyagree.htm" TargetMode="External"/><Relationship Id="rId330" Type="http://schemas.openxmlformats.org/officeDocument/2006/relationships/hyperlink" Target="http://www.sec.gov/Archives/edgar/data/1331875/000133187520000038/ex9915-28foleydirector.htm" TargetMode="External"/><Relationship Id="rId331" Type="http://schemas.openxmlformats.org/officeDocument/2006/relationships/hyperlink" Target="http://www.sec.gov/Archives/edgar/data/1331875/000133187516000144/exhibit104q22016parkagreem.htm" TargetMode="External"/><Relationship Id="rId332" Type="http://schemas.openxmlformats.org/officeDocument/2006/relationships/hyperlink" Target="http://www.sec.gov/Archives/edgar/data/1331875/000133187516000144/exhibit105q22016gravelleag.htm" TargetMode="External"/><Relationship Id="rId333" Type="http://schemas.openxmlformats.org/officeDocument/2006/relationships/hyperlink" Target="http://www.sec.gov/Archives/edgar/data/1331875/000133187516000144/exhibit106q22016sadowskiag.htm" TargetMode="External"/><Relationship Id="rId334" Type="http://schemas.openxmlformats.org/officeDocument/2006/relationships/hyperlink" Target="https://www.sec.gov/Archives/edgar/data/0001331875/000133187522000016/ex101nolanemploymentagr02-.htm" TargetMode="External"/><Relationship Id="rId335" Type="http://schemas.openxmlformats.org/officeDocument/2006/relationships/hyperlink" Target="https://www.sec.gov/Archives/edgar/data/1331875/000133187522000024/ex1034formofgrant2021.htm" TargetMode="External"/><Relationship Id="rId336" Type="http://schemas.openxmlformats.org/officeDocument/2006/relationships/hyperlink" Target="https://www.sec.gov/Archives/edgar/data/1331875/000133187523000023/ex1024-formofgrant2022.htm" TargetMode="External"/><Relationship Id="rId337" Type="http://schemas.openxmlformats.org/officeDocument/2006/relationships/hyperlink" Target="http://www.sec.gov/Archives/edgar/data/1331875/000133187519000053/exhibit102q32019gravel.htm" TargetMode="External"/><Relationship Id="rId338" Type="http://schemas.openxmlformats.org/officeDocument/2006/relationships/hyperlink" Target="http://www.sec.gov/Archives/edgar/data/1331875/000110465920068435/tm2021453d1_ex99-1.htm" TargetMode="External"/><Relationship Id="rId339" Type="http://schemas.openxmlformats.org/officeDocument/2006/relationships/hyperlink" Target="https://www.sec.gov/Archives/edgar/data/1934850/000162828022031154/exhibit104-fg8xk.htm" TargetMode="External"/><Relationship Id="rId340" Type="http://schemas.openxmlformats.org/officeDocument/2006/relationships/hyperlink" Target="https://www.sec.gov/Archives/edgar/data/1934850/000162828022031154/exhibit105-fg8xk.htm" TargetMode="External"/><Relationship Id="rId341" Type="http://schemas.openxmlformats.org/officeDocument/2006/relationships/hyperlink" Target="https://www.sec.gov/Archives/edgar/data/1934850/000162828022031154/exhibit106-fg8xk.htm" TargetMode="External"/><Relationship Id="rId342" Type="http://schemas.openxmlformats.org/officeDocument/2006/relationships/hyperlink" Target="http://www.sec.gov/Archives/edgar/data/1331875/000110465920121229/tm2034956d1_ex10-1.htm" TargetMode="External"/><Relationship Id="rId343" Type="http://schemas.openxmlformats.org/officeDocument/2006/relationships/hyperlink" Target="https://www.sec.gov/Archives/edgar/data/1331875/000133187523000005/exhibit101-fnf8xk11323.htm" TargetMode="External"/><Relationship Id="rId344" Type="http://schemas.openxmlformats.org/officeDocument/2006/relationships/hyperlink" Target="https://www.sec.gov/Archives/edgar/data/1934850/000162828022025950/fidelity-ex1018xform10x12ba.htm" TargetMode="External"/><Relationship Id="rId346" Type="http://schemas.openxmlformats.org/officeDocument/2006/relationships/hyperlink" Target="https://www.sec.gov/Archives/edgar/data/1934850/000162828022025950/fidelity-ex1019xform10x12ba.htm" TargetMode="External"/><Relationship Id="rId347" Type="http://schemas.openxmlformats.org/officeDocument/2006/relationships/hyperlink" Target="https://www.sec.gov/Archives/edgar/data/1934850/000162828022025950/fidelity-ex1020xform10x12ba.htm" TargetMode="External"/><Relationship Id="rId348" Type="http://schemas.openxmlformats.org/officeDocument/2006/relationships/hyperlink" Target="https://www.sec.gov/Archives/edgar/data/1934850/000162828022025950/fidelity-ex1021xform10x12ba.htm" TargetMode="External"/><Relationship Id="rId349" Type="http://schemas.openxmlformats.org/officeDocument/2006/relationships/hyperlink" Target="https://www.sec.gov/Archives/edgar/data/1331875/000133187522000096/fgl-creditagreement.htm" TargetMode="External"/><Relationship Id="rId350" Type="http://schemas.openxmlformats.org/officeDocument/2006/relationships/hyperlink" Target="https://www.sec.gov/Archives/edgar/data/1331875/000133187522000100/exhibit102-fg8xk.htm" TargetMode="External"/><Relationship Id="rId351" Type="http://schemas.openxmlformats.org/officeDocument/2006/relationships/hyperlink" Target="https://www.sec.gov/Archives/edgar/data/1331875/000133187522000100/exhibit103-fg8xk.htm" TargetMode="External"/><Relationship Id="rId352" Type="http://schemas.openxmlformats.org/officeDocument/2006/relationships/hyperlink" Target="https://www.sec.gov/Archives/edgar/data/1331875/000133187522000100/exhibit101-fg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2024-02-29T13:43:47Z</dcterms:created>
  <dcterms:modified xsi:type="dcterms:W3CDTF">2024-02-29T13:43:47Z</dcterms:modified>
</cp:coreProperties>
</file>