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263"/>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227"/>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October 31, 2013, there were 249,720,579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A. Condensed Consolidated Balance Sheets as of September 30, 2013 and December 31,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B. Condensed Consolidated Statements of Earnings for the three-month and nine-month periods ended September 30, 2013 and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2013 and 2012</w:t>
              </w:r>
            </w:hyperlink>
          </w:p>
        </w:tc>
        <w:tc>
          <w:tcPr>
            <w:tcW w:w="8580" w:type="dxa"/>
            <w:vAlign w:val="bottom"/>
            <w:tcBorders>
              <w:top w:val="single" w:sz="8" w:color="0000FF"/>
            </w:tcBorders>
            <w:gridSpan w:val="15"/>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7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D. Condensed Consolidated Statement of Equity for the nine-month period ended September 30, 2013</w:t>
              </w:r>
            </w:hyperlink>
          </w:p>
        </w:tc>
        <w:tc>
          <w:tcPr>
            <w:tcW w:w="23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E. Condensed Consolidated Statements of Cash Flows for the nine-month periods ended September 30, 2013 and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5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41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F. Notes to Condensed Consolidated Financial Statements</w:t>
              </w:r>
            </w:hyperlink>
          </w:p>
        </w:tc>
        <w:tc>
          <w:tcPr>
            <w:tcW w:w="3840" w:type="dxa"/>
            <w:vAlign w:val="bottom"/>
            <w:tcBorders>
              <w:top w:val="single" w:sz="8" w:color="0000FF"/>
            </w:tcBorders>
            <w:gridSpan w:val="6"/>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Item 2.</w:t>
              </w:r>
            </w:hyperlink>
          </w:p>
        </w:tc>
        <w:tc>
          <w:tcPr>
            <w:tcW w:w="4380" w:type="dxa"/>
            <w:vAlign w:val="bottom"/>
            <w:gridSpan w:val="10"/>
          </w:tcPr>
          <w:p>
            <w:pPr>
              <w:ind w:lef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Item 6.</w:t>
              </w:r>
            </w:hyperlink>
          </w:p>
        </w:tc>
        <w:tc>
          <w:tcPr>
            <w:tcW w:w="4380" w:type="dxa"/>
            <w:vAlign w:val="bottom"/>
            <w:gridSpan w:val="10"/>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4"/>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94"/>
              </w:rPr>
              <w:t>Item 1.</w:t>
            </w:r>
          </w:p>
        </w:tc>
        <w:tc>
          <w:tcPr>
            <w:tcW w:w="8460" w:type="dxa"/>
            <w:vAlign w:val="bottom"/>
            <w:gridSpan w:val="2"/>
          </w:tcPr>
          <w:p>
            <w:pPr>
              <w:ind w:left="4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jc w:val="center"/>
              <w:ind w:left="977"/>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60" w:type="dxa"/>
            <w:vAlign w:val="bottom"/>
          </w:tcPr>
          <w:p>
            <w:pPr>
              <w:jc w:val="center"/>
              <w:ind w:left="957"/>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60" w:type="dxa"/>
            <w:vAlign w:val="bottom"/>
          </w:tcPr>
          <w:p>
            <w:pPr>
              <w:jc w:val="center"/>
              <w:ind w:left="977"/>
              <w:spacing w:after="0"/>
              <w:rPr>
                <w:sz w:val="20"/>
                <w:szCs w:val="20"/>
                <w:color w:val="auto"/>
              </w:rPr>
            </w:pPr>
            <w:r>
              <w:rPr>
                <w:rFonts w:ascii="Arial" w:cs="Arial" w:eastAsia="Arial" w:hAnsi="Arial"/>
                <w:sz w:val="14"/>
                <w:szCs w:val="14"/>
                <w:color w:val="auto"/>
                <w:w w:val="94"/>
              </w:rPr>
              <w:t>(Dollars in millions, except share data)</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2013 and December 31, 2012 includes pledged fixed</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$281 and $275, respectively, related to secured trust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w w:val="91"/>
              </w:rPr>
              <w:t>Cash and cash equivalents, at September 30, 2013 and December 31, 2012 includes $368 and $266, respectively, of pledged cash related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to secured trust deposits</w:t>
            </w: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$21 and $22, at September 30, 2013 and December 31, 2012,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7660" w:type="dxa"/>
            <w:vAlign w:val="bottom"/>
            <w:vMerge w:val="restart"/>
          </w:tcPr>
          <w:p>
            <w:pPr>
              <w:jc w:val="center"/>
              <w:ind w:left="957"/>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1"/>
              </w:rPr>
              <w:t>Accounts payable and accrued liabilities, at September 30, 2013 and December 31, 2012 includes accounts payable to related parties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of $5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0"/>
              </w:rPr>
              <w:t>Common stock, Class A, $0.0001 par value; authorized 600,000,000 shares as of September 30, 2013 and December 31, 2012; issued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271,131,734 as of September 30, 2013 and 268,541,117 as of December 31, 2012</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0"/>
              </w:rPr>
              <w:t>Less: treasury stock, 41,396,266 shares and 39,995,513 shares as of September 30, 2013 and December 31, 2012, respectively, at cost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6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60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6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Direct title insurance premiums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Agency title insurance premiums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Escrow, title related and other fees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 parts revenue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Restaurant revenue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investment income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Realized gains and losses, net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Personnel costs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Agent commissions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57"/>
        </w:trPr>
        <w:tc>
          <w:tcPr>
            <w:tcW w:w="7540" w:type="dxa"/>
            <w:vAlign w:val="bottom"/>
          </w:tcPr>
          <w:p>
            <w:pPr>
              <w:ind w:left="280"/>
              <w:spacing w:after="0" w:line="157" w:lineRule="exact"/>
              <w:rPr>
                <w:sz w:val="20"/>
                <w:szCs w:val="20"/>
                <w:color w:val="auto"/>
              </w:rPr>
            </w:pPr>
            <w:r>
              <w:rPr>
                <w:rFonts w:ascii="Arial" w:cs="Arial" w:eastAsia="Arial" w:hAnsi="Arial"/>
                <w:sz w:val="14"/>
                <w:szCs w:val="14"/>
                <w:color w:val="auto"/>
                <w:w w:val="98"/>
              </w:rPr>
              <w:t>Cost of auto parts revenue, includes $19 and $55 of depreciation and amortization for the three and nine months ended</w:t>
            </w:r>
          </w:p>
        </w:tc>
        <w:tc>
          <w:tcPr>
            <w:tcW w:w="22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8"/>
        </w:trPr>
        <w:tc>
          <w:tcPr>
            <w:tcW w:w="7540" w:type="dxa"/>
            <w:vAlign w:val="bottom"/>
          </w:tcPr>
          <w:p>
            <w:pPr>
              <w:ind w:left="280"/>
              <w:spacing w:after="0"/>
              <w:rPr>
                <w:sz w:val="20"/>
                <w:szCs w:val="20"/>
                <w:color w:val="auto"/>
              </w:rPr>
            </w:pPr>
            <w:r>
              <w:rPr>
                <w:rFonts w:ascii="Arial" w:cs="Arial" w:eastAsia="Arial" w:hAnsi="Arial"/>
                <w:sz w:val="14"/>
                <w:szCs w:val="14"/>
                <w:color w:val="auto"/>
              </w:rPr>
              <w:t>September 30, 2013, respectively, and $6 for the three and nine months ended September 30, 2012</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restaurant revenue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title claim losses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5,966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earnings of unconsolidated affiliates</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earnings of unconsolidated affiliates</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from discontinued operations, net of tax</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Basic</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from discontinued operations attributable to Fidelity National Financial, Inc. common shareholders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8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51"/>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Diluted</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from discontinued operations attributable to Fidelity National Financial, Inc. common shareholders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8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dividends paid per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Basic and diluted net earnings from continuing operations attributable to FNF common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net (losses) earnings from discontinued operations attributable to FNF common shareholders</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4"/>
                <w:szCs w:val="14"/>
                <w:color w:val="auto"/>
              </w:rPr>
              <w:t>Basic and diluted net earnings attributable to FNF common shareholders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962"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96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w w:val="90"/>
              </w:rPr>
              <w:t>Nine months ended September</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70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(loss) gain on investments in unconsolidated affiliates (2)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$13 million for the three-month periods ended September 30, 2013 and 2012, respectively, and $(13) million and $27 million for the nine-month periods ended September 30, 2013 and 2012, respectively.</w:t>
      </w:r>
    </w:p>
    <w:p>
      <w:pPr>
        <w:spacing w:after="0" w:line="116" w:lineRule="exact"/>
        <w:rPr>
          <w:rFonts w:ascii="Arial" w:cs="Arial" w:eastAsia="Arial" w:hAnsi="Arial"/>
          <w:sz w:val="18"/>
          <w:szCs w:val="18"/>
          <w:color w:val="auto"/>
        </w:rPr>
      </w:pPr>
    </w:p>
    <w:p>
      <w:pPr>
        <w:ind w:left="980" w:right="20" w:hanging="972"/>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expense of $(4) million and $11 million for the three-month periods ended September 30, 2013 and 2012, respectively, and $(11) million and $10 million for the nine-month periods ended September 30, 2013 and 2012, respectively.</w:t>
      </w:r>
    </w:p>
    <w:p>
      <w:pPr>
        <w:spacing w:after="0" w:line="92" w:lineRule="exact"/>
        <w:rPr>
          <w:rFonts w:ascii="Arial" w:cs="Arial" w:eastAsia="Arial" w:hAnsi="Arial"/>
          <w:sz w:val="17"/>
          <w:szCs w:val="17"/>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$4 million and $5 million for the three-month periods ended September 30, 2013 and 2012, respectively, and $(2) million and $5 million for the nine-month periods ended September 30, 2013 and 2012,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 million and $(2) million for the three-month periods ended September 30, 2013 and 2012, respectively, and $(2) million and $(6) million for the nine-month periods ended September 30, 2013 and 2012,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nine-month period ended September 30,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6"/>
              </w:rPr>
              <w:t>Fidelity National Financial, Inc. Common Shareholders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8"/>
        </w:trPr>
        <w:tc>
          <w:tcPr>
            <w:tcW w:w="2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6"/>
        </w:trPr>
        <w:tc>
          <w:tcPr>
            <w:tcW w:w="2420" w:type="dxa"/>
            <w:vAlign w:val="bottom"/>
          </w:tcPr>
          <w:p>
            <w:pPr>
              <w:spacing w:after="0"/>
              <w:rPr>
                <w:sz w:val="24"/>
                <w:szCs w:val="24"/>
                <w:color w:val="auto"/>
              </w:rPr>
            </w:pPr>
          </w:p>
        </w:tc>
        <w:tc>
          <w:tcPr>
            <w:tcW w:w="15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Earnings (Loss)</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Equity</w:t>
            </w:r>
          </w:p>
        </w:tc>
      </w:tr>
      <w:tr>
        <w:trPr>
          <w:trHeight w:val="23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2012</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4,749</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repurchased</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Tax benefit associated with the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Other comprehensive earnings —</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unrealized loss on investments 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financial instruments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(excluding investments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8"/>
              </w:rPr>
              <w:t>Other comprehensive earnings —</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2420" w:type="dxa"/>
            <w:vAlign w:val="bottom"/>
          </w:tcPr>
          <w:p>
            <w:pPr>
              <w:ind w:left="40"/>
              <w:spacing w:after="0"/>
              <w:rPr>
                <w:sz w:val="20"/>
                <w:szCs w:val="20"/>
                <w:color w:val="auto"/>
              </w:rPr>
            </w:pPr>
            <w:r>
              <w:rPr>
                <w:rFonts w:ascii="Arial" w:cs="Arial" w:eastAsia="Arial" w:hAnsi="Arial"/>
                <w:sz w:val="16"/>
                <w:szCs w:val="16"/>
                <w:color w:val="auto"/>
              </w:rPr>
              <w:t>unrealized loss on investments in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unconsolidated affiliates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Other comprehensive earnings —</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unrealized loss on foreign currency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translation and cash flow hedging</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8"/>
              </w:rPr>
              <w:t>Other comprehensive earnings —</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2420" w:type="dxa"/>
            <w:vAlign w:val="bottom"/>
          </w:tcPr>
          <w:p>
            <w:pPr>
              <w:ind w:left="40"/>
              <w:spacing w:after="0"/>
              <w:rPr>
                <w:sz w:val="20"/>
                <w:szCs w:val="20"/>
                <w:color w:val="auto"/>
              </w:rPr>
            </w:pPr>
            <w:r>
              <w:rPr>
                <w:rFonts w:ascii="Arial" w:cs="Arial" w:eastAsia="Arial" w:hAnsi="Arial"/>
                <w:sz w:val="16"/>
                <w:szCs w:val="16"/>
                <w:color w:val="auto"/>
              </w:rPr>
              <w:t>minimum pension liability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Consolidation of previous minority-</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owned subsidiary</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Contributions to non-controlling</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42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2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Subsidiary dividends declared to</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334</w:t>
            </w:r>
          </w:p>
        </w:tc>
      </w:tr>
      <w:tr>
        <w:trPr>
          <w:trHeight w:val="33"/>
        </w:trPr>
        <w:tc>
          <w:tcPr>
            <w:tcW w:w="2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September 30, 2013</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line="5"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consolidation of O'Charley's Inc. and American Blue Ribbon Holdings, LLC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Bargain purchase gain on O'Charley's, Inc.</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consolidation of Remy International Inc.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pledged cash, pledged investments, and secured trust deposits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trade receivables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Collection of seller note from sale of flood insurance</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(purchases of) short-term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O'Charley's Inc. and American Blue Ribbon Holdings, LLC,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J. Alexander's Corporation,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Remy International,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personal lines insurance business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4% ownership interest of Digital Insurance, Inc.</w:t>
            </w:r>
          </w:p>
        </w:tc>
        <w:tc>
          <w:tcPr>
            <w:tcW w:w="22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9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Make-whole call penalty on early extinguishment of debt</w:t>
            </w:r>
          </w:p>
        </w:tc>
        <w:tc>
          <w:tcPr>
            <w:tcW w:w="22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9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 excluding pledged cash related to secured trust deposits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808</w:t>
            </w:r>
          </w:p>
        </w:tc>
      </w:tr>
      <w:tr>
        <w:trPr>
          <w:trHeight w:val="73"/>
        </w:trPr>
        <w:tc>
          <w:tcPr>
            <w:tcW w:w="94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290"/>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paid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0"/>
        </w:trPr>
        <w:tc>
          <w:tcPr>
            <w:tcW w:w="9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This report should be read in conjunction with our Annual Report on Form 10-K for the year ended December 31, 2012.</w:t>
      </w:r>
    </w:p>
    <w:p>
      <w:pPr>
        <w:spacing w:after="0" w:line="79" w:lineRule="exact"/>
        <w:rPr>
          <w:sz w:val="20"/>
          <w:szCs w:val="20"/>
          <w:color w:val="auto"/>
        </w:rPr>
      </w:pPr>
    </w:p>
    <w:p>
      <w:pPr>
        <w:ind w:right="800" w:firstLine="324"/>
        <w:spacing w:after="0" w:line="375" w:lineRule="auto"/>
        <w:rPr>
          <w:sz w:val="20"/>
          <w:szCs w:val="20"/>
          <w:color w:val="auto"/>
        </w:rPr>
      </w:pPr>
      <w:r>
        <w:rPr>
          <w:rFonts w:ascii="Arial" w:cs="Arial" w:eastAsia="Arial" w:hAnsi="Arial"/>
          <w:sz w:val="18"/>
          <w:szCs w:val="18"/>
          <w:color w:val="auto"/>
        </w:rPr>
        <w:t xml:space="preserve">Certain reclassifications have been made in the 2012 Condensed Consolidated Financial Statements to conform to classifications used in 2013.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hold a 55% ownership interest in American Blue Ribbon Holdings ("ABRH"), the owner and operator of the O'Charley's, Ninety Nine Restaurants, Max &amp; Erma's, Village Inn and Bakers Square restaurant concepts. ABRH also franchises O'Charley's, Max and Erma's and Village Inn concepts. We also have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$510 million. The net proceeds from this offering will be used to pay a portion of the cash consideration for the previously announced merger with Lender Processing Services, Inc. ("LPS"). If we do not consummate the merger, the net proceeds will be used for general corporate purposes, which may include the repurchase of shares of our common stock.</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28, 2013, we announced the signing of a definitive agreement under which we will acquire all of the outstanding common stock of LPS for an estimated $33.25 per common share, for a total equity value of approximately $2.9 billion. Under the terms of the definitive agreement, we will pay the consideration for the LPS shares of common stock in a combination of cash and shares of our common stock, subject to adjustments as described in the agreement. At closing, we will combine our ServiceLink business with LPS and after closing sell a 35% minority equity interest to funds affiliated with Thomas H. Lee Partners, L.P. The transaction is subject to approval by LPS shareholders, approvals from applicable federal and state regulators and satisfaction of other customary closing conditions. On July 12, 2013, we received a second request from the United States Federal Trade Commission (the "FTC") regarding their regulatory review of the transaction. The effect of the second request is to extend the waiting period imposed by the Hart-Scott-Rodino Antitrust Improvements Act of 1976, as amended (the “HSR Act”) until 30 days after LPS and FNF have substantially complied with the second request, unless that period is extended voluntarily by the parties or terminated sooner by the FTC. LPS and FNF are responding to the second request and are committed to working cooperatively with the FTC staff as it conducts its review of the proposed transaction. Although LPS and FNF believe that the transactions contemplated by the merger agreement do not raise regulatory concerns material to the transaction and that all requisite regulatory approvals can be obtained on a timely basis, LPS and FNF cannot be certain when or if these approvals will be obtained. Closing of the transaction currently is expected to occur late in December of 2013 or January of 2014.</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2013, we formed J. Alexander's, a restaurant company which is focused on the upscale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$70 million in cash, net of cash acquired of $7 million.</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31, 2012, we acquired Digital Insurance, Inc. ("Digital Insurance"). Total consideration paid was $98 million in cash, net of cash acquired of $3 million. We have consolidated the operations of Digital Insurance as of December 31,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Digital Insurance is the nation's leading employee benefits platform specializing in health insurance distribution and benefits management for small and mid-sized businesses.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w:t>
      </w:r>
    </w:p>
    <w:p>
      <w:pPr>
        <w:spacing w:after="0" w:line="7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Total consideration paid was $122 million in cash, net of cash acquired of $35 million. Our investment in ABRH prior to the merger was $37 million and was included in Investments in unconsolidated affiliates on the Condensed Consolidated Balance Sheet. Our investment in O'Charley's prior to the tender offer of $14 million was included in Equity securities available for sale on the Condensed Consolidated Balance Sheet. We have consolidated the operations of ABRH with the O'Charley's group of companies, beginning on May 11, 2012. A realized gain of $66 million, which is included in Realized gains and losses on the Condensed Consolidated Statement of Earnings, was recognized in the nine months ending September 30, 2012 for the difference between our basis in our equity method investment of ABRH prior to consolidation and the fair value of our investment in ABRH at the date of consolidation. In regards to O'Charley's, we recognized a realized gain of $7 million in the nine months ending September 30, 2012, respectively. The gain results from the difference in the basis of our holdings in O'Charley's common stock prior to consolidation and the fair value of O'Charley's common stock at the date of consolidation. As a result of the final valuation, we recognized and measured the identifiable assets acquired and liabilities assumed from the O'Charley's purchase at fair value. Upon completion of the fair value process, the net assets of O'Charley's received by FNF exceeded the purchase price resulting in a bargain purchase gain of $48 million, which is included in Realized gains and losses on the Consolidated Statement of Earnings for 2012. The bargain purchase gain was due to the release of a valuation allowance on O'Charley's net deferred tax assets. O'Charley's previously had recorded a valuation allowance on the deferred tax assets, due to its history of net losses and the low probability of being able to utilize these assets. We also recorded an $11 million increase to our Additional paid-in capital during 2012, related to the fair value of the non-controlling interest portion of our ownership in O'Charley's.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results from two closed J. Alexander's locations and a settlement services company closed in the second quarter of 2013 are reflected in the Condensed Consolidated Statements of Earnings as discontinued operations for all periods presented. Total revenues included in discontinued operations was $9 million for the three months ending September 30, 2012, and $8 million and $28 million for the nine months ending September 30, 2013 and 2012, respectively. Pre-tax (loss) earnings included in discontinued operations are $(1) million for the three and nine months ending September 30, 2013 and 2012, and $(3) million and $7 million for the nine months ending September 30, 2013 and 2012, respectively.</w:t>
      </w:r>
    </w:p>
    <w:p>
      <w:pPr>
        <w:spacing w:after="0" w:line="1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 2012, we completed the sale of an 85% interest in our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$57 million for the nine months ending September 30, 2012. Pre-tax earnings from the at-risk insurance business included in discontinued operations are $10 million for the nine months ending September 30,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Fidelity National Information Services, Inc.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September 30, 2013 is as follows:</w:t>
      </w:r>
    </w:p>
    <w:p>
      <w:pPr>
        <w:spacing w:after="0" w:line="279"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Subject to certain early termination provisions, the agreement expires on or about June 30, 2014, with an option to renew for one additional year. Certain subsidiaries of FIS have also provided technology consulting services to FNF during 2013.</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52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Nine months ended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2013</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30, 2012</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September 30, 2012</w:t>
            </w:r>
          </w:p>
        </w:tc>
      </w:tr>
      <w:tr>
        <w:trPr>
          <w:trHeight w:val="19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5"/>
          </w:tcPr>
          <w:p>
            <w:pPr>
              <w:ind w:left="12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earned by us or charged to us under each of the foregoing arrangements are fair and reasonable. The IT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amounts due to FIS as a result of these agreements were $5 million as of September 30, 2013 and December 31, 2012.</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are 1,603,860 shares of FIS stock which were purchased during the fourth quarter of 2009 in connection with a merger between FIS and Metavante Technologies, Inc. The fair value of our investment was $74 million and $56 million as of September 30, 2013 and December 31, 2012, respectively.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included in fixed maturities available for sale are FIS bonds with a fair value of $42 million and $53 million as of September 30, 2013 and December 31, 2012, respectively. During the three and nine months ended September 30, 2013, we sold FIS bonds with a fair value of approximately $5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and shares of restricted stock as well as convertible debt instruments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to purchase shares of our common stock that are antidilutive are excluded from the computation of diluted earnings per share. Antidilutive options totaled one million shares for the three and nine-month periods ended September 30, 2013 and three million shares for the three and nine-month periods ended September 30, 2012.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Fair Value Measurements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 as of September 30, 2013 and December 31, 2012,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September 30, 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48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48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4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9</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247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agency mortgage-backed securities, commercial mortgage-backed securities, collaterized mortgage obligations, and asset-backed securities. They are valued based on available trade information, dealer quotes, cash flows, relevant indices and market data for similar assets in active markets.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Level 3 investments consist of structured notes that were purchased in 2009. The structured notes had a par value of $38 million and fair value of $39 million at September 30, 2013, and a par value of $38 million and fair value of $41 million at December 31, 2012. The structured notes are held for general investment purposes and represent approximately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believe they represent an exit price for the securities as of September 30, 2013.</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investments that are classified as Level 3 for the period ended September 30, 2013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realized loss</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2013</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0"/>
        </w:trPr>
        <w:tc>
          <w:tcPr>
            <w:tcW w:w="10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2013 and December 31, 2012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1,656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September 30, 2013</w:t>
            </w:r>
          </w:p>
        </w:tc>
        <w:tc>
          <w:tcPr>
            <w:tcW w:w="1340" w:type="dxa"/>
            <w:vAlign w:val="bottom"/>
            <w:tcBorders>
              <w:bottom w:val="single" w:sz="8" w:color="auto"/>
            </w:tcBorders>
          </w:tcPr>
          <w:p>
            <w:pPr>
              <w:spacing w:after="0"/>
              <w:rPr>
                <w:sz w:val="16"/>
                <w:szCs w:val="16"/>
                <w:color w:val="auto"/>
              </w:rPr>
            </w:pPr>
          </w:p>
        </w:tc>
      </w:tr>
      <w:tr>
        <w:trPr>
          <w:trHeight w:val="258"/>
        </w:trPr>
        <w:tc>
          <w:tcPr>
            <w:tcW w:w="5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22"/>
                <w:szCs w:val="22"/>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 of</w:t>
            </w:r>
          </w:p>
        </w:tc>
      </w:tr>
      <w:tr>
        <w:trPr>
          <w:trHeight w:val="276"/>
        </w:trPr>
        <w:tc>
          <w:tcPr>
            <w:tcW w:w="5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Borders>
              <w:top w:val="single" w:sz="8" w:color="auto"/>
            </w:tcBorders>
          </w:tcPr>
          <w:p>
            <w:pPr>
              <w:spacing w:after="0"/>
              <w:rPr>
                <w:sz w:val="21"/>
                <w:szCs w:val="21"/>
                <w:color w:val="auto"/>
              </w:rPr>
            </w:pPr>
          </w:p>
        </w:tc>
      </w:tr>
      <w:tr>
        <w:trPr>
          <w:trHeight w:val="256"/>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62</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w:t>
            </w:r>
          </w:p>
        </w:tc>
      </w:tr>
      <w:tr>
        <w:trPr>
          <w:trHeight w:val="297"/>
        </w:trPr>
        <w:tc>
          <w:tcPr>
            <w:tcW w:w="5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$1,214 million and $1,244 million in amortized cost and fair value, respectively, of fixed maturity securities with make-whole call provisions as of September 30, 2013.</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available for sale includes an investment in FIS stock. The fair value of our investment in the FIS stock was $74 million and $56 million at September 30, 2013 and December 31, 2012, respectively.</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in our other long-term investments are fixed maturity structured notes purchased in 2009 and various cost-method investments. The structured notes are carried at fair value (see Note B) and changes in the fair value of these structured notes are recorded as Realized gains and losses in the Condensed Consolidated Statements of Earnings. The carrying value of the structured notes was $39 million and $41 million as of September 30, 2013 and December 31, 2012, respectively. We recorded no loss relating to the structured notes during the three months ended September 30, 2013 and we recorded a $2 million loss related to the structured notes in the nine-month period ended September 30, 2013, and recorded a net loss of $4 million and $2 million in the three and nine-month period ended September 30,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firstLine="27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2013 and December 31, 2012,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520"/>
              <w:spacing w:after="0"/>
              <w:rPr>
                <w:sz w:val="20"/>
                <w:szCs w:val="20"/>
                <w:color w:val="auto"/>
              </w:rPr>
            </w:pPr>
            <w:r>
              <w:rPr>
                <w:rFonts w:ascii="Arial" w:cs="Arial" w:eastAsia="Arial" w:hAnsi="Arial"/>
                <w:sz w:val="18"/>
                <w:szCs w:val="18"/>
                <w:color w:val="auto"/>
              </w:rPr>
              <w:t>State and political subdivisions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three-month period ended September 30, 2013, we recorded no impairment charges relating to investments that were determined to be other-than-temporarily impaired. During the nine-month period ended September 30, 2013 we recorded impairment charges on fixed maturity securities relating to investments that were determined to be other-than-temporarily impaired, which resulted in a charge of $1 million. During the three and nine-month periods ended September 30, 2012, we recorded no impairment charges relating to investments that were determined to be other-than-temporarily impaired. Impairment charges recorded during 2013 related to fixed maturity securities primarily related to our conclusion that the credit risk of these holdings was high and the ability of the issuer to pay the full amount of the principal outstanding was unlikely. As of September 30, 2013, we held no fixed maturity securities for which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nine-month periods ending September 30, 2013 and 2012,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right="99"/>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Nine months ended September 30, 2013</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Gross Proceeds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Realized</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Realized</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Gains (Losses)</w:t>
            </w: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86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Debt extinguishment costs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center"/>
              <w:ind w:left="517"/>
              <w:spacing w:after="0"/>
              <w:rPr>
                <w:sz w:val="20"/>
                <w:szCs w:val="20"/>
                <w:color w:val="auto"/>
              </w:rPr>
            </w:pPr>
            <w:r>
              <w:rPr>
                <w:rFonts w:ascii="Arial" w:cs="Arial" w:eastAsia="Arial" w:hAnsi="Arial"/>
                <w:sz w:val="14"/>
                <w:szCs w:val="14"/>
                <w:b w:val="1"/>
                <w:bCs w:val="1"/>
                <w:color w:val="auto"/>
                <w:w w:val="91"/>
              </w:rPr>
              <w:t>Three months ended September 30, 2012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Nine months ended September 30, 2012</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9"/>
              </w:rPr>
              <w:t>Gross Proceeds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7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Gross Realized</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Net Realized</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2"/>
                <w:szCs w:val="12"/>
                <w:color w:val="auto"/>
              </w:rPr>
            </w:pPr>
          </w:p>
        </w:tc>
        <w:tc>
          <w:tcPr>
            <w:tcW w:w="7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5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Realized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2"/>
                <w:szCs w:val="12"/>
                <w:color w:val="auto"/>
              </w:rPr>
            </w:pPr>
          </w:p>
        </w:tc>
        <w:tc>
          <w:tcPr>
            <w:tcW w:w="7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Gains (Losses)</w:t>
            </w: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Fixed maturity securities available for</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Gain on consolidation of O'Charley's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ABRH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w w:val="96"/>
              </w:rPr>
              <w:t>Bargain purchase gain on O'Charley's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consolidation of Remy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40"/>
              <w:spacing w:after="0"/>
              <w:rPr>
                <w:sz w:val="20"/>
                <w:szCs w:val="20"/>
                <w:color w:val="auto"/>
              </w:rPr>
            </w:pPr>
            <w:r>
              <w:rPr>
                <w:rFonts w:ascii="Arial" w:cs="Arial" w:eastAsia="Arial" w:hAnsi="Arial"/>
                <w:sz w:val="18"/>
                <w:szCs w:val="18"/>
                <w:color w:val="auto"/>
              </w:rPr>
              <w:t>Loss on early extinguishment of</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5.25% bonds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96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September 30, 2013 and December 31, 2012,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 Ownership</w:t>
            </w:r>
          </w:p>
        </w:tc>
        <w:tc>
          <w:tcPr>
            <w:tcW w:w="2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Various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6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first quarter of 2013, we purchased $24 million in Ceridian bonds which are included in Fixed maturity securities available for sale on the Condensed Consolidated Balance Sheets, and have a fair value of $27 million as of September 30, 2013. Subsequent to September 30, 2013, we purchased an additional $9 million in Ceridian bonds, which will be included in Fixed maturity securities available for sale on the Condensed Consolidated Balance Sheets.</w:t>
      </w:r>
    </w:p>
    <w:p>
      <w:pPr>
        <w:spacing w:after="0" w:line="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our equity in Ceridian on a three-month lag. Accordingly, our net earnings for the three and nine-month periods ended September 30, 2013, includes our equity in Ceridian’s earnings for the three and nine-month periods ended June 30, 2013, and our net earnings for the three and nine-month periods ended September 30, 2012, includes our equity in Ceridian’s earnings for the three and nine-month periods ended June 30, 2012. During the three and nine-month periods ended September 30, 2013 and 2012, we recorded $15 million and $24 million, and $2 million and $10 million in equity in losses of Ceridian, respectively. Equity in earnings of other unconsolidated affiliates was $1 million and $4 million and $7 million and $23 million for the three and nine-month periods ended September 30, 2013 and 2012,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September 30, 2012</w:t>
            </w:r>
          </w:p>
        </w:tc>
      </w:tr>
      <w:tr>
        <w:trPr>
          <w:trHeight w:val="196"/>
        </w:trPr>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gridSpan w:val="4"/>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3,925</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157</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9,921</w:t>
            </w:r>
          </w:p>
        </w:tc>
      </w:tr>
      <w:tr>
        <w:trPr>
          <w:trHeight w:val="20"/>
        </w:trPr>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995</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3,445</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9,066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8,803</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9,921</w:t>
            </w:r>
          </w:p>
        </w:tc>
      </w:tr>
      <w:tr>
        <w:trPr>
          <w:trHeight w:val="20"/>
        </w:trPr>
        <w:tc>
          <w:tcPr>
            <w:tcW w:w="4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91"/>
        </w:trPr>
        <w:tc>
          <w:tcPr>
            <w:tcW w:w="40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 June</w:t>
            </w: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24"/>
                <w:szCs w:val="2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Nine Months Ended June</w:t>
            </w:r>
          </w:p>
        </w:tc>
        <w:tc>
          <w:tcPr>
            <w:tcW w:w="120" w:type="dxa"/>
            <w:vAlign w:val="bottom"/>
          </w:tcPr>
          <w:p>
            <w:pPr>
              <w:spacing w:after="0"/>
              <w:rPr>
                <w:sz w:val="24"/>
                <w:szCs w:val="24"/>
                <w:color w:val="auto"/>
              </w:rPr>
            </w:pPr>
          </w:p>
        </w:tc>
        <w:tc>
          <w:tcPr>
            <w:tcW w:w="170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Nine Months Ended June</w:t>
            </w:r>
          </w:p>
        </w:tc>
      </w:tr>
      <w:tr>
        <w:trPr>
          <w:trHeight w:val="192"/>
        </w:trPr>
        <w:tc>
          <w:tcPr>
            <w:tcW w:w="4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30, 2013</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30, 2012</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30, 2013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30, 2012</w:t>
            </w:r>
          </w:p>
        </w:tc>
      </w:tr>
      <w:tr>
        <w:trPr>
          <w:trHeight w:val="196"/>
        </w:trPr>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1"/>
                <w:szCs w:val="21"/>
                <w:color w:val="auto"/>
              </w:rPr>
            </w:pP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risks based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fifteen months to hedge against currency rate fluctuations, some of which are designated as hedges. As of September 30, 2013, Remy had the following outstanding foreign currency contracts to hedge forecasted purchases and revenues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Currency Denomination</w:t>
            </w:r>
          </w:p>
        </w:tc>
      </w:tr>
      <w:tr>
        <w:trPr>
          <w:trHeight w:val="270"/>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September 30, 2013</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December 31, 2012</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194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1940" w:type="dxa"/>
            <w:vAlign w:val="bottom"/>
          </w:tcPr>
          <w:p>
            <w:pPr>
              <w:jc w:val="right"/>
              <w:ind w:right="17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194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1940" w:type="dxa"/>
            <w:vAlign w:val="bottom"/>
          </w:tcPr>
          <w:p>
            <w:pPr>
              <w:jc w:val="right"/>
              <w:ind w:right="17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194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were net accumulated unrealized gains of $1 million relating to these instruments as of September 30, 2013. Accumulated unrealized net gains of $3 million were recorded in Accumulated other comprehensive earnings (loss) as of December 31, 2012, related to these instruments. As of September 30, 2013, gains related to these instruments of $1 million are expected to be reclassified to the Condensed Consolidated Statement of Earnings within the next 12 months. Any ineffectiveness during the three and nine-month periods ended September 30, 2013 was immaterial.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 was swapped to a fixed rate of 3.35%. Due to the significant value of the terminated swaps which were transferred into this swap, this interest rate swap is an undesignated hedge and changes in the fair value are recorded as Interest expense in the accompanying Condensed Consolidated Statements of Earnings.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Accumulated unrealized net gains of $1 million were recorded in Accumulated other comprehensive income (loss) as of September 30, 2013, and there were none as of December 31, 2012. As of September 30, 2013, no gains are expected to be reclassified to the Condensed Consolidated Statement of Earnings within the next twelve months. Any ineffectiveness during the three and nine-month periods ended September 30, 2013 was immaterial.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had twenty-nine commodity price hedge contracts outstanding at September 30, 2013, and thirty-six commodity price hedge contracts outstanding at December 31, 2012, with combined notional quantities of 5,423 and 6,566 metric tons of copper, respectively. These contracts mature within the next fifteen months and are designated as cash flow hedging instruments. Accumulated unrealized net losses of $3 million and $1 million, excluding the tax effect, were recorded in Accumulated other comprehensive earnings as of September 30, 2013, and December 31, 2012, respectively, related to these contracts. As of September 30, 2013, net losses related to these contracts of $3 million are expected to be reclassified to the accompanying Condensed Consolidated Statement of Earnings within the next 12 months. Hedging ineffectiveness during the three and nine-month periods ended September 30, 2013 was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derivative positions and any related material collateral under master netting agreements are presented on a net basis.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Earnings. Derivative gains and losses included in Accumulated other comprehensive earnings for effective hedges are reclassified into the accompanying Condensed Consolidated Statement of Earnings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Earnings.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 2013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5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Liability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514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Asset Derivatives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Derivatives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Asset Derivatives</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Derivatives</w:t>
            </w:r>
          </w:p>
        </w:tc>
      </w:tr>
      <w:tr>
        <w:trPr>
          <w:trHeight w:val="27"/>
        </w:trPr>
        <w:tc>
          <w:tcPr>
            <w:tcW w:w="5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(AOCE) into earnings, are included in Cost of auto parts revenue for commodity and foreign currency contracts, and Interest expense for interest rate swap contracts on the accompanying Condensed 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three months ended September 30, 2013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Amount of gain</w:t>
            </w: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80" w:type="dxa"/>
            <w:vAlign w:val="bottom"/>
          </w:tcPr>
          <w:p>
            <w:pPr>
              <w:spacing w:after="0"/>
              <w:rPr>
                <w:sz w:val="12"/>
                <w:szCs w:val="12"/>
                <w:color w:val="auto"/>
              </w:rPr>
            </w:pPr>
          </w:p>
        </w:tc>
        <w:tc>
          <w:tcPr>
            <w:tcW w:w="12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of gain</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AOCE into income</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recognized in income</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nine months ended September 30, 2013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of gain (loss)</w:t>
            </w: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80" w:type="dxa"/>
            <w:vAlign w:val="bottom"/>
          </w:tcPr>
          <w:p>
            <w:pPr>
              <w:spacing w:after="0"/>
              <w:rPr>
                <w:sz w:val="12"/>
                <w:szCs w:val="12"/>
                <w:color w:val="auto"/>
              </w:rPr>
            </w:pPr>
          </w:p>
        </w:tc>
        <w:tc>
          <w:tcPr>
            <w:tcW w:w="12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Amount of gain</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AOCE into income</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recognized in income</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discloses the effect of Remy's derivative instruments for the three and nine months ended September 30, 2012 (in millions):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of gain (loss)</w:t>
            </w: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80" w:type="dxa"/>
            <w:vAlign w:val="bottom"/>
          </w:tcPr>
          <w:p>
            <w:pPr>
              <w:spacing w:after="0"/>
              <w:rPr>
                <w:sz w:val="12"/>
                <w:szCs w:val="12"/>
                <w:color w:val="auto"/>
              </w:rPr>
            </w:pPr>
          </w:p>
        </w:tc>
        <w:tc>
          <w:tcPr>
            <w:tcW w:w="12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of gain</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AOCE into income</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recognized in income</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24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Unsecured convertible notes, net of discount, interest payable semi-annually at 4.25%, due August 2018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Revolving Credit Facility, unsecured, unused portion of $800 at September 30, 2013, due July 2018 with</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 monthly at LIBOR + 1.45% (1.63% at September 30, 2013)</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w w:val="99"/>
              </w:rPr>
              <w:t>Remy Term B Loan, interest payable quarterly at LIBOR (floor of 1.75%) + 4.50%, due December 2016</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Remy Amended and Restated Term B Loan, interest payable quarterly at LIBOR (floor of 1.25%) + 3.00%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(4.25% at September 30, 2013), due March 2020</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240" w:type="dxa"/>
            <w:vAlign w:val="bottom"/>
          </w:tcPr>
          <w:p>
            <w:pPr>
              <w:ind w:left="40"/>
              <w:spacing w:after="0"/>
              <w:rPr>
                <w:sz w:val="20"/>
                <w:szCs w:val="20"/>
                <w:color w:val="auto"/>
              </w:rPr>
            </w:pPr>
            <w:r>
              <w:rPr>
                <w:rFonts w:ascii="Arial" w:cs="Arial" w:eastAsia="Arial" w:hAnsi="Arial"/>
                <w:sz w:val="18"/>
                <w:szCs w:val="18"/>
                <w:color w:val="auto"/>
                <w:w w:val="98"/>
              </w:rPr>
              <w:t>Remy Revolving Credit Facility, unused portion of $70 at September 30, 2013, due September 2018 with</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interest payable monthly at base rate 3.25% + base rate margin .50% (3.75% at September 30, 2013)</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Restaurant Group Term Loan, interest payable monthly at LIBOR + 3.75% (3.93% at September 30, 2013), due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2017</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240" w:type="dxa"/>
            <w:vAlign w:val="bottom"/>
          </w:tcPr>
          <w:p>
            <w:pPr>
              <w:ind w:left="40"/>
              <w:spacing w:after="0"/>
              <w:rPr>
                <w:sz w:val="20"/>
                <w:szCs w:val="20"/>
                <w:color w:val="auto"/>
              </w:rPr>
            </w:pPr>
            <w:r>
              <w:rPr>
                <w:rFonts w:ascii="Arial" w:cs="Arial" w:eastAsia="Arial" w:hAnsi="Arial"/>
                <w:sz w:val="18"/>
                <w:szCs w:val="18"/>
                <w:color w:val="auto"/>
                <w:w w:val="93"/>
              </w:rPr>
              <w:t>Restaurant Group Revolving Credit Facility, unused portion of $51 at September 30, 2013, due May 2017 with</w:t>
            </w:r>
          </w:p>
        </w:tc>
        <w:tc>
          <w:tcPr>
            <w:tcW w:w="16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w w:val="99"/>
              </w:rPr>
              <w:t>interest payable monthly at base rate 3.25% + base rate margin 2.75% (6.00% at September 30, 2013)</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September 30, 2013, the estimated fair value of our long-term debt was approximately $1,525 million or $177 million higher than its carrying value. The fair value of our long-term debt at December 31, 2012 was approximately $1,504 million or $160 million higher than its estimated carrying value. The fair value of our unsecured notes payable was $1,156 million as of September 30, 2013. The fair values of our unsecured notes payable are based on established market prices for the securities on September 30, 2013 and are considered Level 2 financial liabilities. The fair value of our Remy Term Loan was $269 million, based on established market prices for the securities on September 30, 2013 and is considered a Level 2 financial liability. The fair value of our Restaurant Group Term Loan was $67 million, based on established market prices for the securities on September 30, 2013 and is considered a Level 2 financial liability.</w:t>
      </w:r>
    </w:p>
    <w:p>
      <w:pPr>
        <w:spacing w:after="0" w:line="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24, 2013, we entered into a bridge loan commitment letter (the “Bridge Loan Commitment Letter”) with Merrill Lynch, Pierce, Fenner &amp; Smith Incorporated, Bank of America, N.A. (“Bank of America”), J.P. Morgan Securities LLC and JPMorgan Chase Bank, N.A. The Bridge Loan Commitment Letter provides for up to an $800 million short-term loan facility (the “Bridge Facility”). The proceeds of the loans under the Bridge Facility will be used to fund, in part, the cash consideration for the acquisition of LPS and pay certain costs, fees and expenses in connection with the LPS merger. Pursuant to the Bridge Loan Commitment Letter, we will execute a promissory note in favor of the Bridge Facility lenders on the closing date of the Merger that will evidence the terms of the Bridge Facility. The Bridge Facility will mature on the second business day following the funding thereof and will require no scheduled amortization payments. Borrowings under the Bridge Facility will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will be substantially the same as the terms of the Amended Term Loan Agreement discussed below.</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Also on October 24, 2013, we entered into amendments to amend (i) our existing $800 million third amended and restated credit agreement (the “Existing Revolving Credit Agreement”), dated as of June 25, 2013, with Bank of America, N.A., as administrative agent, the other agents party thereto and the financial institutions party thereto as lenders (the “Amended Revolving Credit Agreement”) and (ii) our existing delayed-draw term loan credit agreement, dated as of July 11, 2013, with Bank of America, as administrative agent, the other agents party thereto and the financial institutions party thereto as lenders (the “Amended Term Loan Agreement”). Among other changes, the Amended Revolving Credit Agreement and Amended Term Loan Agreement amend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Existing Revolving Credit Agreement and Existing Term Loan Agreement, respectively, to permit us to incur the indebtedness in respect of the Bridge Facility and incorporate other technical changes to describe the structure of the LPS merger.</w:t>
      </w:r>
    </w:p>
    <w:p>
      <w:pPr>
        <w:spacing w:after="0" w:line="23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July 11, 2013, we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revolving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w:t>
      </w:r>
    </w:p>
    <w:p>
      <w:pPr>
        <w:spacing w:after="0" w:line="8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“Restated Credit Agreement”). Among other changes, the Restated Credit Agreement amends the Existing Credit Agreement to permit us to make a borrowing under the Restated Credit Agreement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Restated Credit Agreement.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an unused commitment fee of between 17.5 and 40 basis points on the entire facility, also depending on our senior unsecured long-term debt ratings. Under the Restated Credit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Restated Credit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In addition, upon the occurrence of certain insolvency or bankruptcy related events of default, all amounts payable under the Restated Credit Agreement shall automatically become immediately due and payable, and the lenders' commitments will automatically terminate. Under the Restated Credit Agreement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w:t>
      </w:r>
    </w:p>
    <w:p>
      <w:pPr>
        <w:spacing w:after="0" w:line="3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September 30, 2013, the Remy Credit Facility balance was zero. Based upon the collateral supporting the Remy Credit Facility, the amount borrowed, and the outstanding letters of credit of $3 million, there was additional availability for borrowing of $70 million on September 30, 2013.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w:t>
      </w:r>
    </w:p>
    <w:p>
      <w:pPr>
        <w:spacing w:after="0" w:line="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September 30, 2013. The Term B Loan is subject to an excess cash calculation which may require the payment of additional principal on an annual basis. At September 30, 2013, the average borrowing rate, including the impact of the interest rate swaps, was 4.25%.</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2013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 discussed below, depart from customary litigation incidental to our insurance business.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1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Two class action complaints titled </w:t>
      </w:r>
      <w:r>
        <w:rPr>
          <w:rFonts w:ascii="Arial" w:cs="Arial" w:eastAsia="Arial" w:hAnsi="Arial"/>
          <w:sz w:val="17"/>
          <w:szCs w:val="17"/>
          <w:i w:val="1"/>
          <w:iCs w:val="1"/>
          <w:color w:val="auto"/>
        </w:rPr>
        <w:t>Chultem v. Ticor Title Insurance Co., Chicago Title and Trust, Co., and Fidelity National Financial, Inc.</w:t>
      </w:r>
      <w:r>
        <w:rPr>
          <w:rFonts w:ascii="Arial" w:cs="Arial" w:eastAsia="Arial" w:hAnsi="Arial"/>
          <w:sz w:val="17"/>
          <w:szCs w:val="17"/>
          <w:color w:val="auto"/>
        </w:rPr>
        <w:t xml:space="preserve"> and </w:t>
      </w:r>
      <w:r>
        <w:rPr>
          <w:rFonts w:ascii="Arial" w:cs="Arial" w:eastAsia="Arial" w:hAnsi="Arial"/>
          <w:sz w:val="17"/>
          <w:szCs w:val="17"/>
          <w:i w:val="1"/>
          <w:iCs w:val="1"/>
          <w:color w:val="auto"/>
        </w:rPr>
        <w:t>Colella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Chicago Title Insurance Co. and Chicago Title and Trust Co. </w:t>
      </w:r>
      <w:r>
        <w:rPr>
          <w:rFonts w:ascii="Arial" w:cs="Arial" w:eastAsia="Arial" w:hAnsi="Arial"/>
          <w:sz w:val="17"/>
          <w:szCs w:val="17"/>
          <w:color w:val="auto"/>
        </w:rPr>
        <w:t>are pending in the Illinois state court against Chicago Title Insurance Company (“Chicago”),</w:t>
      </w:r>
      <w:r>
        <w:rPr>
          <w:rFonts w:ascii="Arial" w:cs="Arial" w:eastAsia="Arial" w:hAnsi="Arial"/>
          <w:sz w:val="17"/>
          <w:szCs w:val="17"/>
          <w:i w:val="1"/>
          <w:iCs w:val="1"/>
          <w:color w:val="auto"/>
        </w:rPr>
        <w:t xml:space="preserve"> </w:t>
      </w:r>
      <w:r>
        <w:rPr>
          <w:rFonts w:ascii="Arial" w:cs="Arial" w:eastAsia="Arial" w:hAnsi="Arial"/>
          <w:sz w:val="17"/>
          <w:szCs w:val="17"/>
          <w:color w:val="auto"/>
        </w:rPr>
        <w:t>Ticor Title Insurance Company (“Ticor”), Chicago Title and Trust Company, and Fidelity National Financial, Inc., their parent, (collectively “the Companies”). The Plaintiffs represent certified classes of all borrowers and sellers of residential real estate in Illinois who paid a premium for title insurance to Chicago and Ticor which was split with attorney agents for services which were performed in issuing the policies. The complaint alleges the Companies violated the Real Estate Settlement Procedures Act (RESPA) and by doing so violated the Illinois Title Insurance Act and the Illinois Consumer Fraud Act. The suit seeks compensatory damages in the amount of the premium split paid to the attorney agents, interest, punitive damages, a permanent injunction, attorney's fees and costs. Class certification was denied on May 26, 2009, but the plaintiffs appealed. The Court of Appeal reversed and the case was remanded to the trial court for certification and subsequent proceedings. Although such premium splits with attorney agents are expressly permitted by RESPA, Plaintiffs alleged in the trial court that HUD took the position in a statement issued in 1996 in Florida that providing “pro forma commitments” to attorney agents that could be signed to create a policy without further examination would permit an agent to issue a policy without performing actual services, thus the agent would be paid only for referral of the business violating RESPA. Plaintiffs argued RESPA must be interpreted in accordance with the Florida statement, that Chicago and Ticor provided their attorney agents with “pro forma commitments”, and Chicago Title and Trust Company and Fidelity National Financial, Inc. are vicariously liable. Contrary to Federal precedent, on March 1, 2013 the trial court agreed with Plaintiffs and ruled RESPA must be interpreted in accordance with HUD's Florida statement, but that a trial is necessary to determine if Chicago and Ticor provided “pro forma commitments”. A trial was held September 3, 2013 through September 13, 2013 to try “liability issues". There was a post-trial briefing for class decertification on October 17, 2013, followed by a hearing on October 22, 2013. At the October 22, 2013 hearing the court denied our motion for decertification. There is post-trial briefing on the merits issues in early November 2013 with a hearing set for November 18, 2013. We intend to vigorously defend this action. As the case continues to evolve it is not possible to reasonably estimate the probability that we will be ultimately held liable, or reasonably estimate the ultimate loss, if any, or range of loss that could result from the case.</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23, 2013, our Board of Directors declared cash dividends of $0.18 per share, payable on December 30, 2013, to shareholders of record as of December 16,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Summarized financial information concerning our reportable segments is presented in the following tables. As a result of combining O'Charley's with our investment in ABRH, which increased our ownership of ABRH to 55%, we have consolidated the operations of ABRH, including the O'Charley's group of companies, and added the restaurant group reporting segment. Restaurant group results include the results of operations of O'Charley's beginning April 9, 2012, ABRH beginning May 11, 2012, and J. Alexander's beginning September 26, 2012. As a result of our increase in ownership of Remy to 51%, we have consolidated the operations of Remy and added the Remy reporting segment. Remy results include the results of operations of Remy beginning August 14, 2012. Prior period segment information has been restated to conform to the current segment presentation.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1,102</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Interest and investment income, including net realized gains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10,077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9,736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w:t>
            </w:r>
          </w:p>
        </w:tc>
      </w:tr>
      <w:tr>
        <w:trPr>
          <w:trHeight w:val="459"/>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6,494</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10,077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r>
      <w:tr>
        <w:trPr>
          <w:trHeight w:val="459"/>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2,716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9,736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1,887</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Remy, a publicly traded company on the NASDAQ stock exchange,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Restaurant Group</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and the operations of J. Alexander's in which we have an 87% ownership interest. ABRH is the owner and operator of the O'Charley's, Ninety Nine Restaurants, Max &amp; Erma's, Village Inn, and Bakers Square concepts. ABRH also franchises O'Charley's, Max and Erma's and Village Inn concepts. J. Alexander's is the owner and operator of the J. Alexander's and Stoney River Legendary Steaks concepts.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corporate and other segment consists of the operations of the parent holding company, certain other unallocated corporate overhead expenses, our employee benefits agency, Digital Insurance, other smaller operations, and our share in the operations of certain equity investments, including Ceridian.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2012 and other filings with the Securities and Exchange Commission.</w:t>
      </w:r>
    </w:p>
    <w:p>
      <w:pPr>
        <w:spacing w:after="0" w:line="61" w:lineRule="exact"/>
        <w:rPr>
          <w:sz w:val="20"/>
          <w:szCs w:val="20"/>
          <w:color w:val="auto"/>
        </w:rPr>
      </w:pPr>
    </w:p>
    <w:p>
      <w:pPr>
        <w:ind w:right="1400" w:firstLine="324"/>
        <w:spacing w:after="0" w:line="375"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2012.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("ABRH"), the owner and operator of the O'Charley's, Ninety Nine Restaurants, Max &amp; Erma's, Village Inn and Bakers Square restaurant concepts. ABRH also franchises O'Charley's, Max and Erma's and Village Inn concepts. We also have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a publicly traded company on the NASDAQ stock exchange, in which we have a 51%</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Remy is a leading designer, manufacturer, remanufacturer, marketer and distributor of aftermarket and original equipment electrical components for automobiles, light trucks, heavy-duty trucks and other vehicles.</w:t>
      </w:r>
    </w:p>
    <w:p>
      <w:pPr>
        <w:spacing w:after="0" w:line="127" w:lineRule="exact"/>
        <w:rPr>
          <w:rFonts w:ascii="Arial" w:cs="Arial" w:eastAsia="Arial" w:hAnsi="Arial"/>
          <w:sz w:val="18"/>
          <w:szCs w:val="18"/>
          <w:color w:val="auto"/>
        </w:rPr>
      </w:pPr>
    </w:p>
    <w:p>
      <w:pPr>
        <w:jc w:val="both"/>
        <w:ind w:left="660" w:hanging="409"/>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J. Alexander's in which we have an 87% ownership interest. ABRH is the owner and operator of the O'Charley's, Ninety Nine Restaurants, Max &amp; Erma's, Village Inn, and Bakers Square concepts. ABRH also franchises O'Charley's, Max and Erma's and Village Inn concepts. J. Alexander's is the owner and operator of the J. Alexander's and Stoney River Legendary Steaks concepts.</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our employee benefits agency, Digital Insurance, other smaller operations, and our share in the operations of certain equity investments, including Ceridian.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have also granted the underwriters a 30-day option to purchase 2,587,500 additional shares at the offering price, which was subsequently exercised in full. A total of 19,837,500 shares were issued on October 30, 2013, for net proceeds of approximately $510 million. The net proceeds from this offering will be used to pay a portion of the cash consideration for the previously announced merger with Lender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Processing Services, Inc. ("LPS"). If we do not consummate the merger, the net proceeds will be used for general corporate purposes, which may include the repurchase of shares of our common stock.</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28, 2013, we announced the signing of a definitive agreement under which we will acquire all of the outstanding common stock of LPS for an estimated $33.25 per common share, for a total equity value of approximately $2.9 billion. Under the terms of the definitive agreement, we will pay the consideration for the LPS shares of common stock in a combination of cash and shares of our common stock, subject to adjustments as described in the agreement. At closing, we will combine our ServiceLink business with LPS and after closing sell a 35% minority equity interest to funds affiliated with Thomas H. Lee Partners, L.P. The transaction is subject to approval by LPS shareholders, approvals from applicable federal and state regulators and satisfaction of other customary closing conditions. On July 12, 2013, we received a second request from the United States Federal Trade Commission (the "FTC") regarding their regulatory review of the transaction. The effect of the second request is to extend the waiting period imposed by the Hart-Scott-Rodino Antitrust Improvements Act of 1976, as amended (the “HSR Act”) until 30 days after LPS and FNF have substantially complied with the second request, unless that period is extended voluntarily by the parties or terminated sooner by the FTC. LPS and FNF are responding to the second request and are committed to working cooperatively with the FTC staff as it conducts its review of the proposed transaction. Although LPS and FNF believe that the transactions contemplated by the merger agreement do not raise regulatory concerns material to the transaction and that all requisite regulatory approvals can be obtained on a timely basis, LPS and FNF cannot be certain when or if these approvals will be obtained. Closing of the transaction currently is expected to occur late in December of 2013 or January of 2014.</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2013, we formed J. Alexander's, a restaurant company which is focused on the upscale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$70 million in cash, net of cash acquired of $7 million.</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2012, we acquired Digital Insurance, Inc. ("Digital Insurance"). Total consideration paid was $98 million in cash, net of cash acquired of $3 million. We have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w:t>
      </w:r>
    </w:p>
    <w:p>
      <w:pPr>
        <w:spacing w:after="0" w:line="18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April 9, 2012, we successfully closed a tender offer for the outstanding common stock of O'Charley's Inc. ("O'Charley's"). We have consolidated the results of O'Charley's as of April 9, 2012. On May 11, 2012, we merged O'Charley's with our investment in ABRH resulting in an increase in our ownership position in ABRH from 45% to 55%. Total consideration paid was $122 million in cash, net of cash acquired of $35 million. Our investment in ABRH, prior to the merger was $37 million and was included in Investments in unconsolidated affiliates on the Condensed Consolidated Balance Sheet. Our investment in O'Charley's prior to the tender offer of $14 million was included in Equity securities available for sale on the Condensed Consolidated Balance Sheet. We have consolidated the operations of ABRH with the O'Charley's group of companies, beginning on May 11, 2012. A realized gain of $66 million, which is included in Realized gains and losses on the Condensed Consolidated Statement of Earnings, was recognized in nine months ending September 30, 2012 for the difference between our basis in our equity method investment of ABRH prior to consolidation and the fair value of our investment in ABRH at the date of consolidation. In regards to O'Charley's, we recognized a realized gain of $7 million in the nine months ending September 30, 2012, respectively. The gain results from the difference in the basis of our holdings in O'Charley's common stock prior to consolidation and the fair value of O'Charley's common stock at the date of consolidation. As a result of the final valuation, we recognized and measured the identifiable assets acquired and liabilities assumed from the O'Charley's purchase at fair value. Upon completion of the fair value process, the net assets of O'Charley's received by FNF exceeded the purchase price resulting in a bargain purchase gain of $48 million, which is included in Realized gains and losses on the Consolidated Statement of Earnings for 2012. The bargain purchase gain was due to the release of a valuation allowance on O'Charley's net deferred tax assets. O'Charley's previously had recorded a valuation allowance on the deferred tax assets, due to its history of net losses and the low probability of being able to utilize these assets. We also recorded an $11 million increase to our Additional paid-in capital during 2012, related to the fair value of the non-controlling interest portion of our ownership in O'Charley's.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two closed J. Alexander's locations and a settlement services company closed in the second quarter of 2013 are reflected in the Condensed Consolidated Statements of Earnings as discontinued operations for all periods presented. Total revenues included in discontinued operations was $9 million for the three months ending September 30, 2012, and $8 million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$28 million for the nine months ending September 30, 2013 and 2012, respectively. Pre-tax (loss) earnings included in discontinued operations are $(1) million for the three and nine months ending September 30, 2013 and 2012, and $(3) million and $7 million for the nine months ending September 30, 2013 and 2012, respectively.</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 2012, we completed the sale of an 85% interest in our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$57 million for the nine months ending September 30, 2012. Pre-tax earnings from the at-risk insurance business included in discontinued operations are $10 million for the nine months ending September 30, 2012.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related party transactions with Fidelity National Information Services, Inc. ("FIS"), which is a related party. See Note A of the Notes to Condensed Consolidated Financial Statements for further details on our transactions with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Fidelity National Title Group</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December 2008, the Federal Reserve has held the federal funds rate at 0.0%-0.25%, and has indicated that rates will stay at this level at least through 2014. Mortgage interest rates were at historically low levels throughout 2012. During the first nine months of 2013, however, we have seen interest rates rise; and in September, interest rates reached their highest levels since 2011.</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29, 2013, the Mortgage Banker's Association ("MBA") estimated the size of the U.S. mortgage originations market as shown in the following table for 2012 - 2015 in their "Mortgage Finance Forecast". (In trillions)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r>
      <w:tr>
        <w:trPr>
          <w:trHeight w:val="27"/>
        </w:trPr>
        <w:tc>
          <w:tcPr>
            <w:tcW w:w="3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3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3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shown above, the originations in 2012 - 2013 were driven primarily by refinance transactions, which coincides with the historically low interest rates experienced during those years. In 2014, the MBA predicts a 29% decrease in the total market, primarily due to a 50% decrease in refinance transactions in 2014.</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We believe that the modified HARP program had a positive impact on the volume of our refinance orders during 2012. On April 11, 2013, the FHFA announced that the modified HARP program had been extended through December 2015. We believe the modified HARP program has had a positive effect on our results during 2013, but are uncertain to what degree the program may impact our results in the future.</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 2012, the Obama Administration announced new initiatives designed to increase refinancing of mortgages, reduce foreclosures and improve the housing market. Under these initiatives, among other things: (i) certain borrowers with loans insured by Fannie Mae or Freddie Mac ("GSEs" and such loans, "GSE loans") and certain borrowers with non-GSE loans, through a new FHA program, would be able to refinance their mortgages and take advantage of the currently low interest rates; (ii) the FHA will begin transitioning foreclosed properties in the nation's hardest-hit cities into rental housing units; (iii) GSEs and major banks have begun offering one year of forbearance (up from three months) to certain unemployed borrowers; and (iv) the Home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Affordable Modification Program ("HAMP") was extended through 2013, including easing the eligibility requirements and increasing the financial incentives for banks to participate. In May 2013, HAMP was extended to 2015. As indicated, the Obama Administration has already begun implementing these initiatives, except for the refinancing initiatives. Although GSE loans today are eligible for HARP refinancing, the GSEs have not initiated the new refinancing program. which would streamline financing for GSE loans. The Obama Administration is looking to Congress to pass legislation to implement a refinancing program for non-GSE loans. We are uncertain to what degree these initiatives may affect our results in the future.</w:t>
      </w:r>
    </w:p>
    <w:p>
      <w:pPr>
        <w:spacing w:after="0" w:line="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We are not involved in these enforcement actions and we do not believe that we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 Many states continue to evaluate foreclosure practices and related legislation may change in the future. The consent orders imposed by the federal regulators have continued to delay lender foreclosure completions. In January 2013, ten large mortgage servicers concluded the reviews required by the 2011 consent orders and agreed to monetary settlements. In April 2013, these mortgage servicers began making restitution under these settlements.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1,000,000 underwater borrowers will have their mortgages reduced by lenders and 300,000 homeowners will be able to refinance their homes at lower interest rates. We are uncertain to what degree these initiatives have affected our results or may affect our results in the future.</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state-level regulation, segments of our title insurance business are subject to regulation by federal agencies, including the Consumer Financial Protection Bureau (“CFPB”). The Dodd-Frank Wall Street Reform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A final version of these rules is expected to be published in late 2013. We cannot be certain what impact, if any, the final rules, or the CFPB generally, will have on our title insurance business.</w:t>
      </w:r>
    </w:p>
    <w:p>
      <w:pPr>
        <w:spacing w:after="0" w:line="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2013, we experienced an increase in existing home sales to the highest volume levels since 2007. We have also seen a decline in total housing inventory to the lowest levels since 2005.</w:t>
      </w:r>
    </w:p>
    <w:p>
      <w:pPr>
        <w:spacing w:after="0" w:line="3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In 2012 and through the first nine months of 2013, we have experienced an increase in fee per file of commercial transactions from the previous years, which indicates an improvement in commercial markets.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its aftermarket operations,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Pressure from customers to reduce prices is characteristic of the automotive supply industry. Remy has and is currently in the process of negotiating several customer agreements which are anticipated to be finalized during the fourth quarter of 2013. Due to the competitive nature of the business, the revised terms with customers are expected to impact Remy's ongoing profitability. Remy has taken and expects to continue to take steps to improve operating efficiencies and minimize or resist price reductions.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have accounted for almost 46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2010, the Patient Protection and Affordable Care Act ("Affordable Care Act") was passed and was to become effective in 2014. In July 2013, compliance with the employer mandate and certain reporting requirements under the Affordable Care Act were delayed until January 1, 2015. We are continuing to assess the impact of the Affordable Care Act on our health care benefit costs. The imposition of any requirement that we provide health insurance benefits to employees that are more extensive than the health insurance benefits we currently provide, or the imposition of additional employer paid employment taxes on income earned by our employees, could have an adverse effect on our results of operations in the future. The Affordable Care Act is likely to similarly affect the restaurant industry in general. Additionally, our Restaurant Group and suppliers may also be affected by higher minimum wage and benefit standards, which could result in higher costs for goods and services supplied to us.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results of operations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1,144</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w w:val="96"/>
              </w:rPr>
              <w:t>Cost  of  auto  parts  revenue,  includes  $19  and  $55  of  depreciation  and</w:t>
            </w: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16"/>
        </w:trPr>
        <w:tc>
          <w:tcPr>
            <w:tcW w:w="6180" w:type="dxa"/>
            <w:vAlign w:val="bottom"/>
          </w:tcPr>
          <w:p>
            <w:pPr>
              <w:ind w:left="280"/>
              <w:spacing w:after="0"/>
              <w:rPr>
                <w:sz w:val="20"/>
                <w:szCs w:val="20"/>
                <w:color w:val="auto"/>
              </w:rPr>
            </w:pPr>
            <w:r>
              <w:rPr>
                <w:rFonts w:ascii="Arial" w:cs="Arial" w:eastAsia="Arial" w:hAnsi="Arial"/>
                <w:sz w:val="18"/>
                <w:szCs w:val="18"/>
                <w:color w:val="auto"/>
                <w:w w:val="96"/>
              </w:rPr>
              <w:t>amortization  in  the  three  and  nine  months  ended  September  30,  2013,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180" w:type="dxa"/>
            <w:vAlign w:val="bottom"/>
          </w:tcPr>
          <w:p>
            <w:pPr>
              <w:ind w:left="280"/>
              <w:spacing w:after="0"/>
              <w:rPr>
                <w:sz w:val="20"/>
                <w:szCs w:val="20"/>
                <w:color w:val="auto"/>
              </w:rPr>
            </w:pPr>
            <w:r>
              <w:rPr>
                <w:rFonts w:ascii="Arial" w:cs="Arial" w:eastAsia="Arial" w:hAnsi="Arial"/>
                <w:sz w:val="18"/>
                <w:szCs w:val="18"/>
                <w:color w:val="auto"/>
                <w:w w:val="95"/>
              </w:rPr>
              <w:t>respectively, and $6 in the three and nine months ended September 30, 2012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4,317</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(losses)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earnings of unconsolidated affiliates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474,000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707,000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1,789,000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2,025,000</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1,349,000</w:t>
            </w:r>
          </w:p>
        </w:tc>
      </w:tr>
      <w:tr>
        <w:trPr>
          <w:trHeight w:val="27"/>
        </w:trPr>
        <w:tc>
          <w:tcPr>
            <w:tcW w:w="6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Total revenues increased $141 million in the three months ended September 30, 2013, compared to the 2012 period. The increase consisted of increases of $87 million in the Fidelity National Title Group segment, a $44 million increase in the Remy segment, and a $20 million increase in the Corporate and Other segment, offset by a decrease of $10 million from the Restaurant Group segment. Total revenues increased $1,554 million in the nine months ended September 30, 2013, compared to the 2012 period. The increase consisted of increases of $520 million in the Fidelity National Title Group segment, $365 million in the Restaurant Group segment, $609 million in the Remy segment and $60 million in the Corporate and Other segment.</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revenue includes the consolidated results of operations of ABRH and J. Alexander's. Auto parts revenue includes the consolidated results of operations of Remy.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$7 million in the three months ended September 30, 2013</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compared to the 2012 period, and decreased $10 million in the nine months ended September 30, 2013 compared to the 2012 period. The decreases in both periods are a direct result of decreases in bond yields and holdings.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realized gains totaled $4 million and $123 million in the three-month periods ended September 30, 2013 and 2012, and $7 million and $193 million in the nine-month periods ended September 30, 2013 and 2012, respectively. The decrease was primarily the result of recognizing a $79 million gain on on the consolidation of Remy and a $48 million bargain purchase gain recognized on the purchase of O'Charley's in the three-month period ended September 30, 2012, as well as a $73 million gain on the consolidation of O'Charley's and ABRH, and a $2 million gain on the sale of a small title agency in Illinois in the nine-months ended September 30, 2012. This was offset by a $6 million impairment on land held at our majority-owned affiliate Cascade Timberlands, a $6 million loss on the early extinguishment of debt, and a $7 million impairment of title plants in the 2012 three and nine-month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$70 million, or 15%, in the three months ended September 30, 2013, from the 2012 period, with increases of $31 million in the Fidelity National Title Group segment, $11 million in the Remy segment, and $29 million in the Corporate and Other segment, offset by a decrease of $1 million in the Restaurant Group segment. Personnel costs increased $283 million, or 21%, in the nine months ended September 30, 2013, from the 2012 period, with increases of $137 million in the Fidelity National Title Group segment, $22 million in the Restaurant Group segment, $57 million from the Remy segment, and $67 million from the Corporate and Other segment. The increases in the Remy and Restaurant Group segments in the nine-month period is due to 2012 only including Remy and Restaurant group results for a portion of the nine months. Personnel costs as a percentage of total revenue were 25% and 23% in the three-month periods ended September 30, 2013 and 2012, respectively, and 25% and 27% in the nine-month periods ended September 30, 2013 and 2012, respectively. Average employee count, excluding Remy and the Restaurant group, was 20,691 and 19,297 in the three-month periods ended September 30, 2013 and 2012, respectively and 20,044 and 18,514 in the nine-month periods ended September 30, 2013 and 2012, respectively. There were 31,353 employees added with the consolidation of the Restaurant group during the second quarter of 2012. Average employee count of the Restaurant group was 33,126 and 33,389 in the three and nine-months ended September 30, 2013. There were 6,705 employees added with the consolidation of Remy during the third quarter of 2012. Personnel costs that are directly attributable to the operations of Remy and the Restaurant Group are included in Cost of auto parts revenue and Cost of restaurant revenue, respectively. The change in personnel costs is discussed in further detail at the segment level below.</w:t>
      </w:r>
    </w:p>
    <w:p>
      <w:pPr>
        <w:spacing w:after="0" w:line="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decreased $2 million in the three months ended September 30, 2013, from the 2012 period, reflecting a decrease of $13 million in the Fidelity National Title Group segment and a decrease in the Restaurant Group segment of $3 million, offset by an increase of $8 million in the Remy segment and $6 million in the Corporate and Other segment. Other operating expenses increased $88 million in the nine months ended September 30, 2013, from the 2012 period, reflecting increases of $18 million in the Fidelity National Title Group segment, $4 million in the Restaurant Group segment, $31 million in the Remy segment and $35 million in the Corporate and Other segment. In the Fidelity National Title Group segment, the decrease in the three-month period was due mainly to decreases in cost of sales, title plant maintenance, and premium taxes. The increase in the nine-month period was primarily due to increases in variable costs of sales associated with the increase in title orders experienced during the first part of the year. In the Remy segment the increase in the three and nine-month periods ended September 30, 2013, is due primarily to the fact that these are the first full three and nine-month periods for which operating results for Remy have been consolidated. In the Corporate and Other segment, the increase in the three-month period was due to $2 million in increased expenses related to Digital Insurance which was acquired in December 2012, and $8 million in transaction costs related to the LPS acquisition.The increase in the nine-month period was due mainly to a $20 million accrual related to an employment litigation matter, $2 million in increased expenses related to Digital Insurance which was acquired in December 2012, and $11 million in transaction costs related to the LPS acquisition.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advertising and other expenses at the restaurant level. The Restaurant group results of operations are discussed in further detail at the segment level below.</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Depreciation and amortization increased $8 million in the three months ended September 30, 2013, from the 2012 period and increased $33 million in the nine months ended September 30, 2013, from the 2012 period. The increase in the nine-month period is due to $20 million of additional depreciation and amortization from the Restaurant Group which was acquired during the second quarter of 2012 and $3 million from the Remy segment, as well as an increase of $10 million in the Corporate and Other segment mainly as a result of the acquisition of Digital Insurance in the fourth quarter of 2012.</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The provision for title claim losses is discussed in further detail below at the segment level.</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expense increased $8 million in the three months ended September 30, 2013, from the 2012 period and increased $21 million in the nine months ended September 30, 2013, from the 2012 period. The increase includes additional interest expense incurred on the FNF 5.50% notes issued in August 2012, as well as finance costs related to the LPS acquisition. In the Restaurant Group, interest expense increased $1 million and $4 million in the three and nine-month periods ended September 30, 2013, respectively, from the 2012 periods due to interest incurred on the Group's revolving line of credit and term loan, which were entered into during the second quarter of 2012. Remy interest expense increased $2 million and $12 million during the three and nine-month periods ended September 30, 2013, respectively, mainly due to the 2012 period including only a partial quarter of interest expense.</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Income tax expense was $54 million and $70 million in the three-month periods ended September 30, 2013 and 2012, respectively and $172 million and $188 million in the nine-month periods ended September 30, 2013 and 2012. Income tax expense as a percentage of earnings before income taxes was 32% and 23% for the three-month periods ended September 30, 2013 and 2012, respectively and 33% and 30% for the nine-month periods ended September 30, 2013 and 2012. Income tax expense as a percentage of earnings before income taxes fluctuates depending on our estimate of ultimate income tax liability and changes in the characteristics of net earnings, such as the weighting of operating income versus investment income. The increase in the effective tax rate in the three and nine months ending September 30, 2013, from the corresponding 2012 period is due to a one-time tax benefit related to the bargain purchase gain on the O'Charley's acquisition and the consolidation of Remy, which was recognized in the 2012 period.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Equity in (losses) earnings of unconsolidated affiliates was $(14) million and $5 million for the three-month periods ended September 30, 2013 and 2012, respectively and $(20) million and $13 million for the nine-month periods ended September 30, 2013 and 2012, respectively. The equity (losses) in earnings in 2013 and 2012 consisted of net (losses) earnings related to our investment in Ceridian, Remy (prior to its consolidation in August 2012), and other investments in unconsolidated affiliates. The 2013 time periods include our 32% share of a $10 million, net of tax, one time charge to write off a deferred tax asset at Ceridian.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674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Total revenues for the Fidelity National Title Group segment increased $87 million, or 6%, in the three months ended September 30, 2013, from the 2012 period. Total revenues for this segment increased $520 million or 13%, in the nine months ended September 30, 2013, from the 2012 period.</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1,779</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55</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Title premiums increased 10% in the three months ended September 30, 2013 and 16% in the nine months ended September 30, 2013 as compared to the 2012 period. The increase was made up of an increase in premiums from direct operations of $36 million, or 8%, and an increase in premiums from agency operations of $61 million, or 11% in the three months ended September 30, 2013. The increase in the nine months ended September 30, 2013 was made up of an increase in premiums from direct operations of $162 million or 13%, and an increase in premiums from agency operations of $278 million, or 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presents the percentages of closed title insurance orders generated by purchase and refinance transactions by our direct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8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83"/>
        </w:trPr>
        <w:tc>
          <w:tcPr>
            <w:tcW w:w="6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Title premiums from direct operations increased in 2013, primarily due to an increase in fee per file. Although there was a decrease in closed order volumes in the current quarter, there was a small increase in closed order volume during the nine-month period. Closed order volumes were 410,000 and 1,401,000 in the three and nine months ended September 30, 2013 compared with 480,000 and 1,349,000 in the three and nine months ended September 30, 2012. The average fee per file in our direct operations was $1,807 and $1,568 in the three and nine months ended September 30, 2013, compared to $1,467 and $1,456 in the three and nine months ended September 30, 2012, with the increase reflecting a higher volume of purchase transactions, which have a higher fee per file, as well as a higher average fee per file on commercial transactions in 2013 versus the 2012 period.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title premiums from agency operations is primarily the result of an increase in remitted agency premiums related to the mix of business. Our percentage of title premiums from agency operations compared to direct operations has increased since 2012 due to our agency operations typically garnering a higher percentage of purchase transactions and a lower percentage of commercial and refinance transactions. The increase in the three and nine months ending September 30, 2013 was due to strengthening in the residential purchase market.</w:t>
      </w:r>
    </w:p>
    <w:p>
      <w:pPr>
        <w:spacing w:after="0" w:line="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Escrow, title related and other fees decreased by $8 million, or 2% in the three months ending September 30, 2013 from 2012 and increased $82 million, or 7% in the nine months ending September 30, 2013 from 2012. Escrow fees, which are more directly related to our direct operations, decreased $4 million, or 2%, in the three months ended September 30, 2013 compared to the 2012 period, primarily due to a decrease of $4 million at a division of our business which handles default services. Escrow fees increased $46 million, or 9%, in the nine months ended September 30, 2013 compared to the 2012 period due to the increase in direct residential purchase activity. Other fees in the Fidelity National Title Group segment, excluding escrow fees, decreased $4 million, or 2%, in the three months ended September 30, 2013 compared to the 2012 period due to a decline in appraisal and default fees during the period. Other fees increased $36 million, or 5%, in the nine months ended September 30, 2013 compared to the 2012 period due increased residential purchase activity.</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 $31 million or 7% increase in the three-month period ended September 30, 2013, and the increase of $137 million, or 11% in the nine-month period ended September 30, 2013 are due to an increase in employee levels, higher bonuses and commissions, as well as an increase in average annualized personnel cost which correspond to increases in closed order counts and revenues. Personnel costs as a percentage of total revenues from direct title premiums and escrow, title-related and other fees were 53% for the three-month periods ended September 30, 2013 and 51% for the three-month period ended September 30, 2012, and 53% for the nine-month periods ended September 30, 2013 and 2012. Average employee count in the Fidelity National Title Group segment, which has remained relatively consistent since 2012, was 20,190 and 19,186 in the three-month periods ended September 30, 2013 and 2012, respectively, and 19,722 and 18,303 for the nine-month periods ended September 30, 2013 and 2012, respectively, with the increase in both periods due to increases in orders and revenues.</w:t>
      </w:r>
    </w:p>
    <w:p>
      <w:pPr>
        <w:spacing w:after="0" w:line="7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1,352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claim loss provision for title insurance was $77 million and $69 million for the three-month periods ended September 30, 2013 and 2012, respectively and $221 million and $200 million for the nine-month periods ended September 30, 2013 and 2012, respectively, and reflects an average provision rate of 7% of title premiums. We will continue to monitor and evaluate our loss provision level, actual claims paid, and the loss reserve position each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three and nine months ended September 30, 2013, reflect results of Remy and subsidiaries, which were initially consolidated on August 14,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37"/>
        </w:trPr>
        <w:tc>
          <w:tcPr>
            <w:tcW w:w="56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Cost of auto parts revenue, includes $19 and $55 of depreciation and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16"/>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amortization for the three and nine months ended September 30, 2013,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respectively, and $6 for the three and nine months ended September 30,</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three and nine-month periods ending September 30, 2013, are the first full three and nine-month periods for which operating results for Remy have been consolidated. Prior to consolidation of Remy on August 14, 2012, we held a $179 million investment in Remy which was included in Investments in unconsolidated affiliates on the Condensed Consolidated Balance Sheet. As a result of the difference between our basis and the fair value of Remy at the time of consolidation, we recognized a $79 million gain during the three and nine months ended September 30, 2012.</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the Remy segment for the three months ending September 30, 2013 were negatively affected by $2 million of restructuring charges. The results for the nine months ending September 30, 2013, were negatively affected by $3 million in debt</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extinguishment costs and $4 million of restructuring charges. Also affecting the nine months ending September 30, 2013 was a $7 million charge to Personnel costs for a one-time executive separation payment made to Remy's former Chief Executive Officer and President pursuant to the terms of a Transition, Noncompetition and Release Agreement, effective February 28, 2013. Remy's results for the three and nine months ending September 30, 2012 were negatively affected by a one-time mark to market fair value adjustment to Remy's finished goods inventory as a result of the purchase accounting related to the Remy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include results of ABRH as of the date of acquisition, which includes legacy O'Charley's as of April 9, 2012 and legacy ABRH as of May 11, 2012, and J. Alexander's, which was initially consolidated during the third quarter of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190"/>
        </w:trPr>
        <w:tc>
          <w:tcPr>
            <w:tcW w:w="5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473</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revenues for the Restaurant group segment decreased $10 million, or 3%, in the three months ended September 30, 2013, from the 2012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for this segment increased $365 million, or 54%, in the nine months ended September 30, 2013, from the 2012 period.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in the three and nine months ending September 30, 2012 was a $73 million realized gain on the consolidation of legacy O'Charley's and ABRH. Prior to the consolidation of legacy O'Charley's and ABRH, we held a $14 million investment in common stock of O'Charley's, which was included in Equity securities available for sale on the Consolidated Balance Sheet and a $37 million investment in ABRH which was included in Investments in unconsolidated affiliates on the Consolidated Balance Sheet. As a result of the difference between our basis in these investments and the fair value at the time of consolidation, we recognized a $73 million gain. We also recognized a bargain purchase gain of $48 million in the three-month period ending September 30, 2012.</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the Restaurant Group for the three and nine months ending September 30, 2013 and 2012 were negatively affected by $1 million, $5 million, $5 million, and $14 million, respectively, of transaction and integration costs included in Other operating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Corporate and Other segment consists of the operations of the parent holding company, certain other unallocated corporate overhead expenses, our employee benefits agency, Digital Insurance, other smaller operations, and our share in the operations of certain equity investments, including Ceridian. The Corporate and Other segment generated revenues of $31 million and $11 million in the three-month periods ended September 30, 2013 and 2012, respectively, and $97 million and $37 million in the nine-month periods ended September 30, 2013 and 2012, respectively, with the increase mainly due to the addition of Digital Insurance in the fourth quarter of 2012 which contributed $19 million and $50 million of revenue to Escrow, title-related and other fees in the three and nine months ending September 30, 2013, respectively.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increased $29 million in the three months ended September 30, 2013 compared to the 2012 period, and increased $67 million in the nine months ended September 30, 2013 compared to the 2012 period, both due to $14 million and $30 million of additional expense recorded in the three and nine months ended September 30, 2013, respectively, related to the accrual for our Long Term Incentive Plan established in the third quarter of 2012, which is tied to the fair value of certain of our non-title operations. Also included were $12 million and $30 million in personnel costs, in the three and nine months ended September 30, 2013, respectively, at Digital Insurance.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6"/>
          <w:szCs w:val="16"/>
          <w:color w:val="auto"/>
        </w:rPr>
        <w:t>This segment generated pretax losses of $57 million and $31 million in the three-month periods ended September 30, 2013 and 2012, respectively, and $146 million and $89 million in the nine-month periods ended September 30, 2013 and 2012, respectively. The increase in pre-tax losses was due mainly to the increase in personnel costs in 2013 as discussed above as well as an increase in other operating expenses during the three and nine months ending September 30, 2013. During the three-month period there were $7 million in transaction costs related to the LPS acquisition. During the nine-month period there was a $20 million accrual related to an employment litigation matter and $10 million in transaction costs related to the LPS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claim payments, taxes, payments of interest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on our debt, capital expenditures, business acquisitions, stock repurchases, and dividends on our common stock. We paid dividends of $0.16 per share for the third quarter of 2013, or approximately $36 million. On October 23, 2013, our Board of Directors declared cash dividends of $0.18 per share, payable on December 30, 2013, to shareholders of record as of December 16, 2013.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especially the LPS acquisition as previously discussed, stock repurchases, and debt repayments.We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2012, $1,997 million of our net assets were restricted from dividend payments without prior approval from the relevant departments of insurance. As of September 30, 2013, our title subsidiaries could pay or make distributions to us of approximately $129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$510 million. The net proceeds from this offering will be used to pay a portion of the cash consideration for the previously announced merger with LPS. If we do not consummate the merger, the net proceeds will be used for general corporate purposes, which may include the repurchase of shares of our common stock.</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cash flows provided by operations for the nine months ended September 30, 2013 and 2012 totaled $344 million and $377 million, respectively. The decrease of $33 million is mainly due to an increase in income tax payments in the 2013 time period offset by increases in operating income in 2013.</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were $98 million and $43 million for the nine-month periods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and 2012, respectively, with the increase relating to capital expenditures in the Fidelity National Title Group segment for technology equipment of $11 million, furniture and equipment of $8 million, and $9 million for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$42 million in our Restaurant Group segment of which $22 million was to remodel restaurants and the remaining $20 million was for property and equipment, and $17 million in our Remy segment on property and equipment.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On October 24, 2013, we entered into a bridge loan commitment letter (the “Bridge Loan Commitment Letter”) with Merrill Lynch, Pierce,</w:t>
      </w:r>
      <w:r>
        <w:rPr>
          <w:rFonts w:ascii="Arial" w:cs="Arial" w:eastAsia="Arial" w:hAnsi="Arial"/>
          <w:sz w:val="18"/>
          <w:szCs w:val="18"/>
          <w:i w:val="1"/>
          <w:iCs w:val="1"/>
          <w:color w:val="auto"/>
        </w:rPr>
        <w:t xml:space="preserve"> </w:t>
      </w:r>
      <w:r>
        <w:rPr>
          <w:rFonts w:ascii="Arial" w:cs="Arial" w:eastAsia="Arial" w:hAnsi="Arial"/>
          <w:sz w:val="18"/>
          <w:szCs w:val="18"/>
          <w:color w:val="auto"/>
        </w:rPr>
        <w:t>Fenner &amp; Smith Incorporated, Bank of America, N.A. (“Bank of America”), J.P. Morgan Securities LLC and JPMorgan Chase Bank, N.A. The Bridge Loan Commitment Letter provides for up to an $800 million short-term loan facility (the “Bridge Facility”). The proceeds of the loans under the Bridge Facility will be used to fund, in part, the cash consideration for the acquisition of the LPS acquisition and pay certain costs, fees and expenses in connection with the merger. Pursuant to the Bridge Loan Commitment Letter, we will execute a promissory note in favor of the Bridge Facility lenders on the closing date of the merger that will evidence the terms of the Bridge Facility. The Bridge Facility will mature on the second business day following the funding thereof and will require no scheduled amortization payments. Borrowings under the Bridge Facility will bear interest at a rate equal to the highest of (i) the Bank of America prime rate, (ii) the federal fund effective rate from time to time plus 0.5% and (iii) the one month adjusted London interbank offered rate plus 1.0%. Other than as set forth in this paragraph, the terms of the Bridge Facility will be substantially the same as the terms of the Amended Term Loan Agreement as discussed below.</w:t>
      </w:r>
    </w:p>
    <w:p>
      <w:pPr>
        <w:spacing w:after="0" w:line="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Also on October 24, 2013, we entered into amendments to amend (i) our existing $800 million third amended and restated credit agreement (the “Existing Revolving Credit Agreement”), dated as of June 25, 2013, with Bank of America, N.A., as administrative agent, the other agents party thereto and the financial institutions party thereto as lenders (the “Amended Revolving Credit Agreement”) and (ii) our existing delayed-draw term loan credit agreement, dated as of July 11, 2013, with Bank of America, as administrative agent, the other agents party thereto and the financial institutions party thereto as lenders (the “Amended Term Loan Agreement”). Among other changes, the Amended Revolving Credit Agreement and Amended Term Loan Agreement amend the Existing Revolving Credit Agreement and Existing Term Loan Agreement, respectively, to permit us to incur the indebtedness in respect of the Bridge Facility and incorporate other technical changes to describe the structure of the Merger.</w:t>
      </w:r>
    </w:p>
    <w:p>
      <w:pPr>
        <w:spacing w:after="0" w:line="24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July 11, 2013, we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one-half of one percent in excess of the federal funds rate, (b) the TL Administrative Agent’s “prime rate”, or (c) the sum of one percent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revolving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There were no amounts borrowed or outstanding under the Term Loan Agreement as of September 30, 2013.</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“Restated Credit Agreement”). Among other changes, the Restated Credit Agreement amends the Existing Credit Agreement to permit us to make a borrowing under the Restated Credit Agreement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Restated Credit Agreement.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revolving loans subject to LIBOR is 145 basis points. In addition, we will pay an unused commitment fee of between 17.5 and 40 basis points on the entire facility, also depending on our senior unsecured long-term debt ratings. Under the Restated Credit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Restated Credit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In addition, upon the occurrence of certain insolvency or bankruptcy related events of default, all amounts payable under the Restated Credit Agreement shall automatically become immediately due and payable, and the lenders' commitments will automatically terminate. Under the Restated Credit Agreement the financial covenants remain essentially the same as under the Existing Credit Agreement, except that the total debt to total capitalization ratio limit of 35% will increase to 37.5% for a period of one year after the closing of the LPS acquisition and the net worth test is reset. As of September 30, 2013, there were no amounts outstanding, nor were any amounts borrowed or repaid under this facility during the three and nine months then ended.</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Remy will incur an unused commitment fee of 0.375% on the unused amount of commitments under the Remy Credit Facility First Amendment. Based upon the collateral supporting the Remy Credit Facility, the amount borrowed, and the outstanding letters of credit of $3 million, there was additional availability for borrowing of $70 million on September 30, 2013. The Remy Credit Facility contains various 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 At September 30, 2013, the Remy Credit Facility balance was zero. There were no amounts borrowed or repaid on this facility during the three and nine months ended September 30, 2013.</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Loan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Loan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Loan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September 30, 2013. The Term B Loan is subject to an excess cash calculation which may require the payment of additional principal on an annual basis. At September 30, 2013, the average borrowing rate, including the impact of the interest rate swaps, was 4.25%. As of September 30, 2013, there was $267 million outstanding.</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pay interest semi-annually on the 1st of March and September, beginning March 1, 2013. We received net proceeds of $396 million, after expenses, which were used to repay the $237 million aggregate principal amount outstanding of our 5.25% unsecured notes maturing in March 2013 and the $50 million outstanding on our revolving credit facility, and the remainder was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$750,000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September 30, 2013, the balance of the term loan was $67 million and there was a $10 million outstanding balance on the revolving loan. ABRH had $19 million of outstanding letters of credit and $51 million of remaining borrowing capacity under its revolving credit facility as of September 30, 2013. During the three and nine months ended September 30, 2013, $2 million and $6 million, respectively, of principal payments were made on this facility. There was $10 million borrowed and nothing repaid during the three and nine months ended September 30, 2013.</w:t>
      </w:r>
    </w:p>
    <w:p>
      <w:pPr>
        <w:spacing w:after="0" w:line="15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Remy has revolving credit facilities with four Korean banks with a total facility amount of approximately $17 million, of which $3 million is borrowed at average interest rates of 3.44% at September 30, 2013. During the three months ended September 30, 2013, Remy did not borrow or repay any amounts on the Korean facility and in the nine months ended September 30, 2013, Remy borrowed less than $1 million and repaid $3 million on the Korean facility. In Hungary, Remy has a revolving credit facility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two separate banks for a credit facility of $4 million, of which nothing is borrowed at September 30, 2013. During the three months ended September 30, 2013 Remy did not borrow under the Hungary credit facility. During the nine months ended September 30, 2013, Remy borrowed $6 million under the Hungary credit facility. Remy did not borrow during the three months ended September 30, 2012, Remy repaid $9 million in the nine months ending September 30, 2013.</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less than $1 million, which is netted against the $300 million aggregate principal amount of notes. The discount is amortized to May 2017 when the 6.60% Notes mature.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2013, we experienced an increase in existing home sales to the highest volume levels since 2007. We have also seen a decline in total housing inventory to the lowest levels since 2005.</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Changes have been made to our payout schedule for Notes payable as follows: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we amended and extended our existing $800 million second amended and restated credit agreement to extend the maturity date under the credit facility from April 16, 2016 to July 15, 2018. During the nine months ending September 30, 2013, Remy entered into a $300 million Term B Amendment to refinance the existing $287 million Term B Loan and extend the maturity from December 17, 2016 to March 5, 2020. See the "Financing" section above and Note E for further information on these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October 24, 2013, we offered 17,250,000 shares of our common stock at an offering price of $26.75 per share,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$510 million. The net proceeds from this offering will be used to pay a portion of the cash consideration for the previously announced merger with LPS. If we do not consummate the merger, the net proceeds will be used for general corporate purposes, which may include the repurchase of shares of our common stock.</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21, 2012, our Board of Directors approved a three-year stock 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We did not repurchase any shares during the three months ended September 30, 2013. In the nine months ended September 30, 2013, we repurchased 1,400,000 shares for $34 million, or an average of $24.14 per share. Subsequent to September 30, 2013 through market close on November 1, 2013, we did not purchase any additional shares. Since the original commencement of the plan on August 1, 2012, we have repurchased a total of 2,080,000 shares for $50 million, or an average of $23.90 per share, and there are 12,920,000 shares available to be repurchased under this program.</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Included in Equity securities available for sale are 1,603,860 shares of FIS stock which were purchased during the fourth quarter of 2009 in connection with a merger between FIS and Metavante Technologies, Inc. The fair value of our remaining investment was $74 million as of September 30, 2013.</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September 30, 2013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our fiscal year ended December 31, 2012.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2013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199" w:firstLine="324"/>
        <w:spacing w:after="0" w:line="264"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Part II, Item 1, as well as Item 3. Legal Proceedings, in our Annual Report on Form 10-K for the year ended December 31, 2012.</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September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1"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9380" w:type="dxa"/>
            <w:vAlign w:val="bottom"/>
          </w:tcPr>
          <w:p>
            <w:pPr>
              <w:spacing w:after="0"/>
              <w:rPr>
                <w:sz w:val="17"/>
                <w:szCs w:val="17"/>
                <w:color w:val="auto"/>
              </w:rPr>
            </w:pPr>
          </w:p>
        </w:tc>
      </w:tr>
      <w:tr>
        <w:trPr>
          <w:trHeight w:val="696"/>
        </w:trPr>
        <w:tc>
          <w:tcPr>
            <w:tcW w:w="13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24"/>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380" w:type="dxa"/>
            <w:vAlign w:val="bottom"/>
          </w:tcPr>
          <w:p>
            <w:pPr>
              <w:spacing w:after="0"/>
              <w:rPr>
                <w:sz w:val="24"/>
                <w:szCs w:val="24"/>
                <w:color w:val="auto"/>
              </w:rPr>
            </w:pPr>
          </w:p>
        </w:tc>
      </w:tr>
      <w:tr>
        <w:trPr>
          <w:trHeight w:val="364"/>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5"/>
              </w:rPr>
              <w:t>Third amendment effective as of August 27, 2013 to Amended and Restated Employment Agreement between the</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Registrant and William P. Foley, effective as of July 2, 2008.</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Fidelity National Financial, Inc. 2013 Employee Stock Purchase Plan.</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3"/>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9"/>
              </w:rPr>
              <w:t>The following materials from Fidelity National Financial's Quarterly Report on Form 10-Q for the quarter ended</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3"/>
              </w:rPr>
              <w:t>September 30, 2013, formatted in Extensible Business Reporting Language (XBRL): (i) the Condensed Consolidated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89"/>
              </w:rPr>
              <w:t>Balance Sheets, (ii) the Condensed Consolidated Statements of Earnings, (iii) the Condensed Consolidated Statements of</w:t>
            </w:r>
          </w:p>
        </w:tc>
      </w:tr>
    </w:tbl>
    <w:p>
      <w:pPr>
        <w:ind w:left="2660" w:right="20"/>
        <w:spacing w:after="0" w:line="290" w:lineRule="auto"/>
        <w:rPr>
          <w:sz w:val="20"/>
          <w:szCs w:val="20"/>
          <w:color w:val="auto"/>
        </w:rPr>
      </w:pPr>
      <w:r>
        <w:rPr>
          <w:rFonts w:ascii="Arial" w:cs="Arial" w:eastAsia="Arial" w:hAnsi="Arial"/>
          <w:sz w:val="17"/>
          <w:szCs w:val="17"/>
          <w:color w:val="auto"/>
        </w:rPr>
        <w:t>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08"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Date: November 7, 2013</w:t>
            </w: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400" w:type="dxa"/>
            <w:vAlign w:val="bottom"/>
          </w:tcPr>
          <w:p>
            <w:pPr>
              <w:spacing w:after="0"/>
              <w:rPr>
                <w:sz w:val="20"/>
                <w:szCs w:val="20"/>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(registrant)</w:t>
            </w:r>
          </w:p>
        </w:tc>
      </w:tr>
      <w:tr>
        <w:trPr>
          <w:trHeight w:val="486"/>
        </w:trPr>
        <w:tc>
          <w:tcPr>
            <w:tcW w:w="3400" w:type="dxa"/>
            <w:vAlign w:val="bottom"/>
          </w:tcPr>
          <w:p>
            <w:pPr>
              <w:spacing w:after="0"/>
              <w:rPr>
                <w:sz w:val="24"/>
                <w:szCs w:val="24"/>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4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40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780" w:type="dxa"/>
            <w:vAlign w:val="bottom"/>
          </w:tcPr>
          <w:p>
            <w:pPr>
              <w:spacing w:after="0"/>
              <w:rPr>
                <w:sz w:val="24"/>
                <w:szCs w:val="24"/>
                <w:color w:val="auto"/>
              </w:rPr>
            </w:pPr>
          </w:p>
        </w:tc>
      </w:tr>
      <w:tr>
        <w:trPr>
          <w:trHeight w:val="209"/>
        </w:trPr>
        <w:tc>
          <w:tcPr>
            <w:tcW w:w="26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8"/>
              </w:rPr>
              <w:t>No.</w:t>
            </w:r>
          </w:p>
        </w:tc>
        <w:tc>
          <w:tcPr>
            <w:tcW w:w="878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480" w:type="dxa"/>
            <w:vAlign w:val="bottom"/>
          </w:tcPr>
          <w:p>
            <w:pPr>
              <w:spacing w:after="0"/>
              <w:rPr>
                <w:sz w:val="19"/>
                <w:szCs w:val="19"/>
                <w:color w:val="auto"/>
              </w:rPr>
            </w:pPr>
          </w:p>
        </w:tc>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Third amendment effective as of August 27, 2013 to Amended and Restated Employment Agreement between the</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Registrant and William P. Foley, effective as of July 2, 2008.</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Fidelity National Financial, Inc. 2013 Employee Stock Purchase Plan.</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9"/>
              </w:rPr>
              <w:t>The following materials from Fidelity National Financial's Quarterly Report on Form 10-Q for the quarter ended</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September 30, 2013, formatted in Extensible Business Reporting Language (XBRL): (i) the Condensed Consolidated</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89"/>
              </w:rPr>
              <w:t>Balance Sheets, (ii) the Condensed Consolidated Statements of Earnings, (iii) the Condensed Consolidated Statements of</w:t>
            </w:r>
          </w:p>
        </w:tc>
      </w:tr>
    </w:tbl>
    <w:p>
      <w:pPr>
        <w:ind w:left="2660" w:right="40"/>
        <w:spacing w:after="0" w:line="290" w:lineRule="auto"/>
        <w:rPr>
          <w:sz w:val="20"/>
          <w:szCs w:val="20"/>
          <w:color w:val="auto"/>
        </w:rPr>
      </w:pPr>
      <w:r>
        <w:rPr>
          <w:rFonts w:ascii="Arial" w:cs="Arial" w:eastAsia="Arial" w:hAnsi="Arial"/>
          <w:sz w:val="17"/>
          <w:szCs w:val="17"/>
          <w:color w:val="auto"/>
        </w:rPr>
        <w:t>Comprehensive Earnings, (iv) the Condensed Consolidated Statements of Stockholders' Equity, (v) the Condensed Consolidated Statements of Cash Flows, and (vi) the Notes to the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THIS THIRD AMENDMENT TO AMENDED AND RESTATED EMPLOYMENT AGREEMENT (the "Amendment") is effective as of August 27, 2013 (the "Effective Date"), by and between </w:t>
      </w:r>
      <w:r>
        <w:rPr>
          <w:rFonts w:ascii="Arial" w:cs="Arial" w:eastAsia="Arial" w:hAnsi="Arial"/>
          <w:sz w:val="16"/>
          <w:szCs w:val="16"/>
          <w:b w:val="1"/>
          <w:bCs w:val="1"/>
          <w:color w:val="auto"/>
        </w:rPr>
        <w:t>FIDELITY NATIONAL FINANCIAL, INC.</w:t>
      </w:r>
      <w:r>
        <w:rPr>
          <w:rFonts w:ascii="Arial" w:cs="Arial" w:eastAsia="Arial" w:hAnsi="Arial"/>
          <w:sz w:val="16"/>
          <w:szCs w:val="16"/>
          <w:color w:val="auto"/>
        </w:rPr>
        <w:t xml:space="preserve">, a Delaware corporation (the "Company"), and </w:t>
      </w:r>
      <w:r>
        <w:rPr>
          <w:rFonts w:ascii="Arial" w:cs="Arial" w:eastAsia="Arial" w:hAnsi="Arial"/>
          <w:sz w:val="16"/>
          <w:szCs w:val="16"/>
          <w:b w:val="1"/>
          <w:bCs w:val="1"/>
          <w:color w:val="auto"/>
        </w:rPr>
        <w:t>WILLIAM P.</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FOLEY, II </w:t>
      </w:r>
      <w:r>
        <w:rPr>
          <w:rFonts w:ascii="Arial" w:cs="Arial" w:eastAsia="Arial" w:hAnsi="Arial"/>
          <w:sz w:val="16"/>
          <w:szCs w:val="16"/>
          <w:color w:val="auto"/>
        </w:rPr>
        <w:t>(the "Employee") and amends that certain Amended and Restated Employment Agreement dated as of July 2, 2008, as amended on February 4,</w:t>
      </w:r>
      <w:r>
        <w:rPr>
          <w:rFonts w:ascii="Arial" w:cs="Arial" w:eastAsia="Arial" w:hAnsi="Arial"/>
          <w:sz w:val="16"/>
          <w:szCs w:val="16"/>
          <w:b w:val="1"/>
          <w:bCs w:val="1"/>
          <w:color w:val="auto"/>
        </w:rPr>
        <w:t xml:space="preserve"> </w:t>
      </w:r>
      <w:r>
        <w:rPr>
          <w:rFonts w:ascii="Arial" w:cs="Arial" w:eastAsia="Arial" w:hAnsi="Arial"/>
          <w:sz w:val="16"/>
          <w:szCs w:val="16"/>
          <w:color w:val="auto"/>
        </w:rPr>
        <w:t>2010 and August 1, 2012 (the “Agreement”). In consideration of the mutual covenants and agreements set forth herein, the parties agree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 of the Agreement is replaced in its entirety with the following:</w:t>
      </w:r>
    </w:p>
    <w:p>
      <w:pPr>
        <w:spacing w:after="0" w:line="225" w:lineRule="exact"/>
        <w:rPr>
          <w:sz w:val="20"/>
          <w:szCs w:val="20"/>
          <w:color w:val="auto"/>
        </w:rPr>
      </w:pPr>
    </w:p>
    <w:p>
      <w:pPr>
        <w:jc w:val="both"/>
        <w:ind w:left="660" w:firstLine="645"/>
        <w:spacing w:after="0" w:line="255" w:lineRule="auto"/>
        <w:tabs>
          <w:tab w:leader="none" w:pos="16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Salary</w:t>
      </w:r>
      <w:r>
        <w:rPr>
          <w:rFonts w:ascii="Arial" w:cs="Arial" w:eastAsia="Arial" w:hAnsi="Arial"/>
          <w:sz w:val="18"/>
          <w:szCs w:val="18"/>
          <w:color w:val="auto"/>
        </w:rPr>
        <w:t>. Effective as of August 27, 2012 and continuing during the Employment Term, the Company shall pay the Employee an annual base salary, before deducting all applicable withholdings, of no less than $850,000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 and performance results (the aggregate amount of paid salary in any given year shall be referred to as the “Annual Base Salary”).”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FIDELITY NATINOAL FINANCIAL, INC.</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L. Gravelle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Executive Vice President, General Counel and Corporate Secretary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P. Foley, 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WILLIAM P. FOLEY, II</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EMPLOYEE STOCK PURCHASE PLAN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Fidelity National Financial, Inc., (f/k/a/ Fidelity National Title Group, Inc.), a Delaware corporation (hereinafter referred to as the “Company”), hereby establishes an employee stock purchase plan to be known as the “Fidelity National Financial, Inc. 2013 Employee Stock Purchase Plan” (hereinafter referred to as the “Plan”). The Plan became effective on October 1, 2013. The Plan shall remain in effect, subject to the right of the Board to amend or terminate the Plan at any time pursuant to Section 9.1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 OF THE PLAN</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1.1 PURPOSE. The Company has determined that it is in its best interests to provide an incentive to attract and retain Employees and to increase Employee morale by providing a program through which Employees may acquire a proprietary interest in the Company through the purchase of shares of Company Stock. The Plan shall permit Employees to purchase shares of Company Stock through payroll deductions. Participation in the Plan is entirely voluntary and neither the Company nor any of its Subsidiaries makes any recommendations to their Employees as to whether they should participate in the Plan. The Plan is not intended to be an employee benefit plan under the Employee Retirement Income Security Act of 1974, as amended, nor qualify as an “employee stock purchase plan” under Section 423 of the Code.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without definition shall have the respective meanings set forth below:</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2.1 ACCOUNT. “Account” means the bookkeeping entry maintained by the Company on behalf of each Participant for the purpose of accounting for all Participant Contributions credited to the Participant pursuant to the Plan. BASE EARNINGS. “Base Earnings” means the amount of a Participant’s regular salary before deductions required by law and deductions authorized by the Participant, including any elective deferrals with respect to a plan of the Employer qualified under Sections 125 or 401(a) of the Code and any amounts deferred by the Participant to a nonqualified deferred compensation plan sponsored by the Employer. In the case of Participants primarily compensated on a commission basis, “Base Earnings” may include commission earnings not to exceed $10,000 per month. “Base Earnings” shall not include: wages paid for overtime, extended workweek schedules or any other form of extra compensation, payments made by the Employer based upon salary for Social Security, workers’ compensation, unemployment compensation, disability payments or any other payment mandated by state or federal statute, or salary-related contributions made by the Employer for insurance, annuity or any other employee benefit plan.</w:t>
      </w:r>
    </w:p>
    <w:p>
      <w:pPr>
        <w:spacing w:after="0" w:line="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BOARD. “Board” means the Board of Directors of the Company.</w:t>
      </w:r>
    </w:p>
    <w:p>
      <w:pPr>
        <w:spacing w:after="0" w:line="1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BROKER. “Broker” means the financial institution designated by the Company to act as Broker for the Plan.</w:t>
      </w:r>
    </w:p>
    <w:p>
      <w:pPr>
        <w:spacing w:after="0" w:line="1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CODE. “Code” means the Internal Revenue Code of 1986, as amended, and the regulations promulgated thereunder.</w:t>
      </w:r>
    </w:p>
    <w:p>
      <w:pPr>
        <w:spacing w:after="0" w:line="1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COMMITTEE. “Committee” means the Committee described in Article 7.</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2.6 COMPANY. “Company” means Fidelity National Financial, Inc. (f/k/a Fidelity National Title Group, Inc.), a Delaware corporation, and any successor thereto.</w:t>
      </w:r>
    </w:p>
    <w:p>
      <w:pPr>
        <w:spacing w:after="0" w:line="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COMPANY STOCK. “Company Stock” means Class A common stock of the Company, par value $0.0001 per share.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2.8 EMPLOYEE. “Employee” means each person currently employed by the Employer (a) any portion of whose income is subject to withholding of income tax or for whom Social Security retirement contributions are made by the Employer, or (b) who qualifies as a common-law employee of the Employer. Notwithstanding the foregoing, persons determined by the Committee not to be Employees and persons on a leave of absence shall not be treated as “Employees” for purposes of this Plan.</w:t>
      </w:r>
    </w:p>
    <w:p>
      <w:pPr>
        <w:spacing w:after="0" w:line="7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EMPLOYER. “Employer” means the Company and any Subsidiary that adopts this Plan with the approval of the Board.</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2.10 PARTICIPANT. “Participant” means an Employee who has satisfied the eligibility requirements of Section 3.1 and has become a participant in the Plan in accordance with Section 3.2.</w:t>
      </w:r>
    </w:p>
    <w:p>
      <w:pPr>
        <w:spacing w:after="0" w:line="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PAYROLL PERIOD. “Payroll Period” means the pay periods coinciding with the Employer’s payroll practices, as revised from time to time.</w:t>
      </w:r>
    </w:p>
    <w:p>
      <w:pPr>
        <w:sectPr>
          <w:pgSz w:w="11900" w:h="16838" w:orient="portrait"/>
          <w:cols w:equalWidth="0" w:num="1">
            <w:col w:w="11420"/>
          </w:cols>
          <w:pgMar w:left="240" w:top="580" w:right="239" w:bottom="1440" w:gutter="0" w:footer="0" w:header="0"/>
        </w:sectPr>
      </w:pPr>
    </w:p>
    <w:bookmarkStart w:id="54" w:name="page55"/>
    <w:bookmarkEnd w:id="54"/>
    <w:p>
      <w:pPr>
        <w:ind w:left="660"/>
        <w:spacing w:after="0"/>
        <w:tabs>
          <w:tab w:leader="none" w:pos="1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PLAN YEAR. “Plan Year” means the twelve consecutive month period ending each December 31.</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2.13 SHARE ACCOUNT. “Share Account” means the account maintained by the Broker on behalf of each Participant for the purpose of accounting for Company Stock purchased by the Participant pursuant to the Plan.</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2.14 SUBSIDIARY. “Subsidiary” means any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 AND PARTICIPATION</w:t>
      </w:r>
    </w:p>
    <w:p>
      <w:pPr>
        <w:spacing w:after="0" w:line="10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tab/>
        <w:t>ELIGIBILITY.</w:t>
      </w:r>
    </w:p>
    <w:p>
      <w:pPr>
        <w:spacing w:after="0" w:line="144" w:lineRule="exact"/>
        <w:rPr>
          <w:sz w:val="20"/>
          <w:szCs w:val="20"/>
          <w:color w:val="auto"/>
        </w:rPr>
      </w:pPr>
    </w:p>
    <w:p>
      <w:pPr>
        <w:ind w:left="2160" w:hanging="855"/>
        <w:spacing w:after="0"/>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Employees of the Employer shall be eligible to become Participants in the Plan following the later of:</w:t>
      </w:r>
    </w:p>
    <w:p>
      <w:pPr>
        <w:spacing w:after="0" w:line="157" w:lineRule="exact"/>
        <w:rPr>
          <w:rFonts w:ascii="Arial" w:cs="Arial" w:eastAsia="Arial" w:hAnsi="Arial"/>
          <w:sz w:val="18"/>
          <w:szCs w:val="18"/>
          <w:color w:val="auto"/>
        </w:rPr>
      </w:pPr>
    </w:p>
    <w:p>
      <w:pPr>
        <w:ind w:left="2780" w:hanging="827"/>
        <w:spacing w:after="0"/>
        <w:tabs>
          <w:tab w:leader="none" w:pos="2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attaining the age of eighteen (18), and</w:t>
      </w:r>
    </w:p>
    <w:p>
      <w:pPr>
        <w:spacing w:after="0" w:line="157" w:lineRule="exact"/>
        <w:rPr>
          <w:rFonts w:ascii="Arial" w:cs="Arial" w:eastAsia="Arial" w:hAnsi="Arial"/>
          <w:sz w:val="18"/>
          <w:szCs w:val="18"/>
          <w:color w:val="auto"/>
        </w:rPr>
      </w:pPr>
    </w:p>
    <w:p>
      <w:pPr>
        <w:ind w:left="2820" w:hanging="867"/>
        <w:spacing w:after="0"/>
        <w:tabs>
          <w:tab w:leader="none" w:pos="2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completion of ninety (90) days of employment with the Employer.</w:t>
      </w:r>
    </w:p>
    <w:p>
      <w:pPr>
        <w:spacing w:after="0" w:line="157" w:lineRule="exact"/>
        <w:rPr>
          <w:rFonts w:ascii="Arial" w:cs="Arial" w:eastAsia="Arial" w:hAnsi="Arial"/>
          <w:sz w:val="18"/>
          <w:szCs w:val="18"/>
          <w:color w:val="auto"/>
        </w:rPr>
      </w:pPr>
    </w:p>
    <w:p>
      <w:pPr>
        <w:jc w:val="both"/>
        <w:ind w:firstLine="1305"/>
        <w:spacing w:after="0" w:line="306" w:lineRule="auto"/>
        <w:tabs>
          <w:tab w:leader="none" w:pos="2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 other provisions herein, each Employee who was employed by an organization, which was part of a corporate transaction with the Company immediately prior to commencing employment with the Employer, shall be eligible to participate in the Plan upon commencing employment with the Employer if (1) such corporate transaction documents provided for such immediate eligibility or (2) the Committee so decides.</w:t>
      </w:r>
    </w:p>
    <w:p>
      <w:pPr>
        <w:spacing w:after="0" w:line="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3.2 PARTICIPATION. An Employee who has satisfied the eligibility requirements of Section 3.1 may become a Participant in the Plan upon his or her completion of such enrollment procedures as the Committee may prescribe, which procedures may include responding to enrollment procedures set forth via an Internet website or a voice response system authorizing payroll deductions. Payroll deductions for a Participant shall commence as soon as administratively practicable following the completion of the enrollment procedures established by the Committee and shall remain in effect until changed by the Participant in accordance with Section 4.2 below.</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3.3 SPECIAL RULES. In the event that a person is excluded from participation in the Plan under Section 2.9 above and a court of competent jurisdiction determines that the person is eligible to participate in the Plan, the person shall be treated as an Employee only from the date of the court’s determination and shall not be entitled to retroactive participation in the Plan.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PARTICIPANT CONTRIBUTIONS</w:t>
      </w:r>
    </w:p>
    <w:p>
      <w:pPr>
        <w:spacing w:after="0" w:line="1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4.1 PARTICIPANT ELECTION. Pursuant to the enrollment procedures established by the Committee in Section 3.2, each Participant shall designate the amount of payroll deductions (“Participant Contributions”) to be made from his or her paycheck to purchase Company Stock under the Plan. The amount of Participant Contributions shall be designated in whole percentages of Base Earnings, of at least 3% and not to exceed 15% of Base Earnings for any Plan Year. The amount so designated by the Participant shall be effective as soon as administratively practicable following completion of the enrollment procedures and shall continue until terminated or altered in accordance with Section 4.2 below.</w:t>
      </w:r>
    </w:p>
    <w:p>
      <w:pPr>
        <w:spacing w:after="0" w:line="6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4.2 CHANGES IN ELECTION. In accordance with procedures established by the Committee, a Participant may decrease or increase the rate of his or her Participant Contributions or elect to discontinue his or her Participant Contributions, in either case as soon as administratively practicable. No such election may be made retroactive, and any new election shall remain in effect until subsequently modified by the Participant pursuant to this Section 4.2.</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4.3 PARTICIPANT ACCOUNTS. The Company shall establish and maintain a separate Account for each Participant. The amount of each Participant’s Participant Contribution shall be credited to his or her Account. No interest shall accrue at any time for any amount credited to an Account of a Participant.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OF STOCK</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5.1 PURCHASE OF COMPANY STOCK. As soon as practicable following the close of each Payroll Period (each such case, the “Purchase Date”), the amount credited to a Participant’s Plan Account shall be transferred by the Employer to the Broker, and the Plan shall cause the Broker to use such amount to purchase shares of Company Stock on the open market on the Participant’s behalf. Any balance remaining after the purchase shall be credited to the Participant’s Share Account and shall be used to purchase additional shares of Company Stock as of the next Purchase Date.</w:t>
      </w:r>
    </w:p>
    <w:p>
      <w:pPr>
        <w:sectPr>
          <w:pgSz w:w="11900" w:h="16838" w:orient="portrait"/>
          <w:cols w:equalWidth="0" w:num="1">
            <w:col w:w="11420"/>
          </w:cols>
          <w:pgMar w:left="240" w:top="584" w:right="239" w:bottom="1440" w:gutter="0" w:footer="0" w:header="0"/>
        </w:sectPr>
      </w:pPr>
    </w:p>
    <w:bookmarkStart w:id="55" w:name="page56"/>
    <w:bookmarkEnd w:id="55"/>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SHARE ACCOUNTS AND DELIVERY OF COMPANY STOCK.</w:t>
      </w:r>
    </w:p>
    <w:p>
      <w:pPr>
        <w:spacing w:after="0" w:line="117" w:lineRule="exact"/>
        <w:rPr>
          <w:sz w:val="20"/>
          <w:szCs w:val="20"/>
          <w:color w:val="auto"/>
        </w:rPr>
      </w:pPr>
    </w:p>
    <w:p>
      <w:pPr>
        <w:jc w:val="both"/>
        <w:ind w:firstLine="1305"/>
        <w:spacing w:after="0" w:line="264" w:lineRule="auto"/>
        <w:tabs>
          <w:tab w:leader="none" w:pos="167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Stock purchased by each Participant under the Plan shall be posted to the Participant’s Share Account as soon as practicable after, and credited to such Share Account as of, each Purchase Date. Dividends on shares of Company Stock held in a Participant’s Share Account shall be credited to such Participant’s Share Account.</w:t>
      </w:r>
    </w:p>
    <w:p>
      <w:pPr>
        <w:spacing w:after="0" w:line="73" w:lineRule="exact"/>
        <w:rPr>
          <w:rFonts w:ascii="Arial" w:cs="Arial" w:eastAsia="Arial" w:hAnsi="Arial"/>
          <w:sz w:val="18"/>
          <w:szCs w:val="18"/>
          <w:color w:val="auto"/>
        </w:rPr>
      </w:pPr>
    </w:p>
    <w:p>
      <w:pPr>
        <w:jc w:val="both"/>
        <w:ind w:firstLine="1305"/>
        <w:spacing w:after="0" w:line="257" w:lineRule="auto"/>
        <w:tabs>
          <w:tab w:leader="none" w:pos="1713"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Certificates representing the number of full shares of Company Stock held in a Participant’s Share Account will be delivered to such Participant as soon as administratively practicable after the Participant submits a request for the delivery of such shares pursuant to procedures established by the Committee. The time of delivery of shares may be postponed for such period as may be necessary to comply with the registration requirements under the Securities Act of 1933, as amended, the listing requirements of any securities exchange on which the Company Stock may then be listed, or the requirements under other laws or regulations applicable to the sale of such shares.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5.3 FEES AND COMMISSIONS. The Company shall pay the Broker’s administrative charges for opening the Share Accounts for the Participants and the brokerage commissions on purchases made that are attributable to the purchase of Company Stock with Participant Contributions. Participants shall pay all other expenses of their Share Account, including but not limited to the Broker’s fees attributable to the issuance of certificates for any and all shares of Company Stock held in a Participant’s Share Account. Participants shall also pay the brokerage commissions and any charges associated with the sale of Company Stock held in the Participant’s Share Account, pursuant to Section 5.4 below.</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5.4 SALE OF COMPANY STOCK. Any Participant may request the Broker to sell any or all of the shares of Company Stock allocated to his or her Share Account. Unless directed otherwise by the Participant, the Broker shall mail to the Participant a check for the proceeds, less any applicable fees and brokerage commissions and any transfer taxes, registration fees or other normal charges associated with such a sale, as soon as administratively practicable thereafter.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EMPLOYMENT</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TERMINATION OF EMPLOYMENT. In the event that a Participant’s employment with the Employer terminates for any reason, the Participant will cease to be a Participant in the Plan as of the date of termination. All cash in the Participant’s Account will be transferred to the Participant’s Share Account. The Broker will continue to maintain the Participant’s Share Account on behalf of the Participant; however, the Participant’s Share Account will cease to be administered under or have any other affiliation with the Plan. As of the date of termination of employment, the Participant shall pay for any and all expenses and costs related to his or her Share Account, including but not limited to the brokerage commissions on purchases of shares of Company stock made on or after the date of termination and any other fees, commissions, or charges for which the Participant would otherwise have been responsible for if he or she had continued to be a Participant in the Plan.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PLAN ADMINISTRATION</w:t>
      </w:r>
    </w:p>
    <w:p>
      <w:pPr>
        <w:spacing w:after="0" w:line="10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PLAN ADMINISTRATION.</w:t>
      </w:r>
    </w:p>
    <w:p>
      <w:pPr>
        <w:spacing w:after="0" w:line="117" w:lineRule="exact"/>
        <w:rPr>
          <w:sz w:val="20"/>
          <w:szCs w:val="20"/>
          <w:color w:val="auto"/>
        </w:rPr>
      </w:pPr>
    </w:p>
    <w:p>
      <w:pPr>
        <w:jc w:val="both"/>
        <w:ind w:firstLine="1305"/>
        <w:spacing w:after="0" w:line="312" w:lineRule="auto"/>
        <w:tabs>
          <w:tab w:leader="none" w:pos="1838" w:val="left"/>
        </w:tabs>
        <w:numPr>
          <w:ilvl w:val="0"/>
          <w:numId w:val="9"/>
        </w:numPr>
        <w:rPr>
          <w:rFonts w:ascii="Arial" w:cs="Arial" w:eastAsia="Arial" w:hAnsi="Arial"/>
          <w:sz w:val="16"/>
          <w:szCs w:val="16"/>
          <w:color w:val="auto"/>
        </w:rPr>
      </w:pPr>
      <w:r>
        <w:rPr>
          <w:rFonts w:ascii="Arial" w:cs="Arial" w:eastAsia="Arial" w:hAnsi="Arial"/>
          <w:sz w:val="16"/>
          <w:szCs w:val="16"/>
          <w:color w:val="auto"/>
        </w:rPr>
        <w:t>Authority to control and manage the operation and administration of the Plan shall be vested in the Board, or a committee (“Committee’) appointed by the Board. Until such time as the Board appoints a Committee to administer the Plan, the Board shall serve as the Committee for purposes of the Plan. The Board or Committee shall have all powers necessary to supervise the administration of the Plan and control its operations.</w:t>
      </w:r>
    </w:p>
    <w:p>
      <w:pPr>
        <w:spacing w:after="0" w:line="38" w:lineRule="exact"/>
        <w:rPr>
          <w:rFonts w:ascii="Arial" w:cs="Arial" w:eastAsia="Arial" w:hAnsi="Arial"/>
          <w:sz w:val="16"/>
          <w:szCs w:val="16"/>
          <w:color w:val="auto"/>
        </w:rPr>
      </w:pPr>
    </w:p>
    <w:p>
      <w:pPr>
        <w:ind w:firstLine="1305"/>
        <w:spacing w:after="0" w:line="277" w:lineRule="auto"/>
        <w:tabs>
          <w:tab w:leader="none" w:pos="168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any powers and authority conferred on the Board or Committee elsewhere in the Plan or by law, the Board or Committee shall have the following powers and authority:</w:t>
      </w:r>
    </w:p>
    <w:p>
      <w:pPr>
        <w:spacing w:after="0" w:line="89" w:lineRule="exact"/>
        <w:rPr>
          <w:rFonts w:ascii="Arial" w:cs="Arial" w:eastAsia="Arial" w:hAnsi="Arial"/>
          <w:sz w:val="18"/>
          <w:szCs w:val="18"/>
          <w:color w:val="auto"/>
        </w:rPr>
      </w:pPr>
    </w:p>
    <w:p>
      <w:pPr>
        <w:ind w:left="2780" w:hanging="827"/>
        <w:spacing w:after="0"/>
        <w:tabs>
          <w:tab w:leader="none" w:pos="2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designate agents to carry out responsibilities relating to the Plan;</w:t>
      </w:r>
    </w:p>
    <w:p>
      <w:pPr>
        <w:spacing w:after="0" w:line="157" w:lineRule="exact"/>
        <w:rPr>
          <w:rFonts w:ascii="Arial" w:cs="Arial" w:eastAsia="Arial" w:hAnsi="Arial"/>
          <w:sz w:val="18"/>
          <w:szCs w:val="18"/>
          <w:color w:val="auto"/>
        </w:rPr>
      </w:pPr>
    </w:p>
    <w:p>
      <w:pPr>
        <w:ind w:left="660" w:firstLine="1293"/>
        <w:spacing w:after="0" w:line="324" w:lineRule="auto"/>
        <w:tabs>
          <w:tab w:leader="none" w:pos="2825"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administer, interpret, construe and apply this Plan and to answer all questions that may arise or that may be raised under this Plan by a Participant, his or her beneficiary or any other person whatsoever;</w:t>
      </w:r>
    </w:p>
    <w:p>
      <w:pPr>
        <w:spacing w:after="0" w:line="62" w:lineRule="exact"/>
        <w:rPr>
          <w:rFonts w:ascii="Arial" w:cs="Arial" w:eastAsia="Arial" w:hAnsi="Arial"/>
          <w:sz w:val="18"/>
          <w:szCs w:val="18"/>
          <w:color w:val="auto"/>
        </w:rPr>
      </w:pPr>
    </w:p>
    <w:p>
      <w:pPr>
        <w:ind w:left="660" w:firstLine="1293"/>
        <w:spacing w:after="0" w:line="324" w:lineRule="auto"/>
        <w:tabs>
          <w:tab w:leader="none" w:pos="2875"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establish rules and procedures from time to time for the conduct of its business and for the administration and effectuation of its responsibilities under the Plan; and</w:t>
      </w:r>
    </w:p>
    <w:p>
      <w:pPr>
        <w:spacing w:after="0" w:line="62" w:lineRule="exact"/>
        <w:rPr>
          <w:rFonts w:ascii="Arial" w:cs="Arial" w:eastAsia="Arial" w:hAnsi="Arial"/>
          <w:sz w:val="18"/>
          <w:szCs w:val="18"/>
          <w:color w:val="auto"/>
        </w:rPr>
      </w:pPr>
    </w:p>
    <w:p>
      <w:pPr>
        <w:ind w:left="2860" w:hanging="907"/>
        <w:spacing w:after="0"/>
        <w:tabs>
          <w:tab w:leader="none" w:pos="28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perform or cause to be performed such further acts as it may deem to be necessary, appropriate, or convenient for</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operation of the Plan.</w:t>
      </w:r>
    </w:p>
    <w:p>
      <w:pPr>
        <w:spacing w:after="0" w:line="130" w:lineRule="exact"/>
        <w:rPr>
          <w:rFonts w:ascii="Arial" w:cs="Arial" w:eastAsia="Arial" w:hAnsi="Arial"/>
          <w:sz w:val="16"/>
          <w:szCs w:val="16"/>
          <w:color w:val="auto"/>
        </w:rPr>
      </w:pPr>
    </w:p>
    <w:p>
      <w:pPr>
        <w:ind w:firstLine="1305"/>
        <w:spacing w:after="0" w:line="342" w:lineRule="auto"/>
        <w:tabs>
          <w:tab w:leader="none" w:pos="1784"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action taken in good faith by the Board or Committee in the exercise of authority conferred upon it by this Plan shall be conclusive and binding upon a Participant and his or her beneficiaries. All discretionary powers conferred upon the Board and Committee shall be absolute.</w:t>
      </w:r>
    </w:p>
    <w:p>
      <w:pPr>
        <w:spacing w:after="0" w:line="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7.2 LIMITATION ON LIABILITY. No Employee of the Employer nor any member of the Board or Committee shall be subject to any liability with respect to his or her duties under the Plan unless the person acts fraudulently or in bad faith.</w:t>
      </w:r>
    </w:p>
    <w:p>
      <w:pPr>
        <w:sectPr>
          <w:pgSz w:w="11900" w:h="16838" w:orient="portrait"/>
          <w:cols w:equalWidth="0" w:num="1">
            <w:col w:w="11420"/>
          </w:cols>
          <w:pgMar w:left="240" w:top="584" w:right="2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color w:val="auto"/>
        </w:rPr>
        <w:t>To the extent permitted by law, the Company shall indemnify each member of the Board or Committee, and any other Employee of the Employer with duties under the Plan who was or is a party, or is threatened to be made a party, to any threatened, pending or completed proceeding, whether civil, criminal, administrative, or investigative, by reason of the person’s conduct in the performance of his or her duties under the Plan.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STOCK</w:t>
      </w:r>
    </w:p>
    <w:p>
      <w:pPr>
        <w:spacing w:after="0" w:line="10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SHARES OF STOCK. All shares of Company Stock shall be purchased on the open market.</w:t>
      </w:r>
    </w:p>
    <w:p>
      <w:pPr>
        <w:spacing w:after="0" w:line="1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VOTING COMPANY STOCK. The Participant will have no interest or voting right in shares of Company Stock to be purchased under Article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of the Plan until such shares have been purchased.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MATTERS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9.1 AMENDMENT AND TERMINATION. Since future conditions affecting the Company cannot be anticipated or foreseen, the Board reserves the right to amend, modify, or terminate the Plan at any time; provided, however, that no amendment that requires stockholder approval in order for the Plan to continue to comply with the New York Stock Exchange listing standards or any rule promulgated by the United States Securities and Exchange Commission or any securities exchange on which the securities of the Company are listed shall be effective unless such amendment shall be approved by the requisite vote of stockholders of the Company entitled to vote thereon within the time period required under such applicable listing standard or rule. Upon termination of the Plan, all benefits shall become payable immediately. Notwithstanding the foregoing, no such amendment or termination shall affect rights previously granted, nor may an amendment make any change in any right previously granted which adversely affects the rights of any Participant without the consent of such Participant.</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9.2 TAX WITHOLDING. The Company shall have the right to deduct from all amounts payable to a Participant (whether under this Plan or otherwise) any taxes required by law to be withheld in respect of amounts payable under this Plan.</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9.3 BENEFITS NOT ALIENABLE. Benefits under the Plan may not be assigned or alienated, whether voluntarily or involuntarily, except as expressly permitted in this Plan. Any such attempt at assignment, transfer, pledge or other disposition shall be without effect.</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9.4 NO ENLARGEMENT OF EMPLOYEE RIGHTS. This Plan is strictly a voluntary undertaking on the part of the Employer and shall not be deemed to constitute a contract between the Employer and any Employee or to be consideration for, or an inducement to, or a condition of, the employment of any Employee. Nothing contained in the Plan shall be deemed to give the right to any Employee to be retained in the employ of the Employer or to interfere with the right of the Employer to discharge any Employee at any time.</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9.5 GOVERNING LAW. To the extent not preempted by Federal law, the Plan shall be construed in accordance with and governed by the laws of the State of Florida, excluding any conflicts or choice of law rule or principle that might otherwise refer construction or interpretation of this Plan to the substantive law of another jurisdiction.</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9.6 NON-BUSINESS DAYS. When any act under the Plan is required to be performed on a day that falls on a Saturday, Sunday or legal holiday, that act shall be performed on the next succeeding day which is not a Saturday, Sunday or legal holiday.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9.7 COMPLIANCE WITH SECURITIES LAWS. Notwithstanding any provision of the Plan to the contrary, the Committee shall administer the Plan in such a way to insure that the Plan at all times complies with any applicable requirements of Federal securities laws.</w:t>
      </w:r>
    </w:p>
    <w:p>
      <w:pPr>
        <w:sectPr>
          <w:pgSz w:w="11900" w:h="16838" w:orient="portrait"/>
          <w:cols w:equalWidth="0" w:num="1">
            <w:col w:w="11420"/>
          </w:cols>
          <w:pgMar w:left="240" w:top="58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15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George P. Scanlon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7, 2013</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7, 2013</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lowerLetter"/>
      <w:start w:val="1"/>
    </w:lvl>
    <w:lvl w:ilvl="1">
      <w:lvlJc w:val="left"/>
      <w:lvlText w:val="(%2)"/>
      <w:numFmt w:val="lowerRoman"/>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lvl w:ilvl="1">
      <w:lvlJc w:val="left"/>
      <w:lvlText w:val="(%2)"/>
      <w:numFmt w:val="lowerRoman"/>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2019-12-07T10:11:32Z</dcterms:created>
  <dcterms:modified xsi:type="dcterms:W3CDTF">2019-12-07T10:11:32Z</dcterms:modified>
</cp:coreProperties>
</file>