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June 10, 2026</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4"/>
          <w:szCs w:val="34"/>
          <w:b w:val="1"/>
          <w:bCs w:val="1"/>
          <w:color w:val="auto"/>
        </w:rPr>
        <w:t>Fidelity National Financial, Inc.</w:t>
      </w:r>
    </w:p>
    <w:p>
      <w:pPr>
        <w:spacing w:after="0" w:line="9" w:lineRule="exact"/>
        <w:rPr>
          <w:sz w:val="24"/>
          <w:szCs w:val="24"/>
          <w:color w:val="auto"/>
        </w:rPr>
      </w:pPr>
    </w:p>
    <w:tbl>
      <w:tblPr>
        <w:tblLayout w:type="fixed"/>
        <w:tblInd w:w="20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5460" w:type="dxa"/>
            <w:vAlign w:val="bottom"/>
          </w:tcPr>
          <w:p>
            <w:pPr>
              <w:jc w:val="center"/>
              <w:ind w:right="204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170"/>
        </w:trPr>
        <w:tc>
          <w:tcPr>
            <w:tcW w:w="1920" w:type="dxa"/>
            <w:vAlign w:val="bottom"/>
          </w:tcPr>
          <w:p>
            <w:pPr>
              <w:spacing w:after="0"/>
              <w:rPr>
                <w:sz w:val="14"/>
                <w:szCs w:val="14"/>
                <w:color w:val="auto"/>
              </w:rPr>
            </w:pPr>
          </w:p>
        </w:tc>
        <w:tc>
          <w:tcPr>
            <w:tcW w:w="5460" w:type="dxa"/>
            <w:vAlign w:val="bottom"/>
          </w:tcPr>
          <w:p>
            <w:pPr>
              <w:jc w:val="center"/>
              <w:ind w:right="2049"/>
              <w:spacing w:after="0"/>
              <w:rPr>
                <w:sz w:val="20"/>
                <w:szCs w:val="20"/>
                <w:color w:val="auto"/>
              </w:rPr>
            </w:pPr>
            <w:r>
              <w:rPr>
                <w:rFonts w:ascii="Times New Roman" w:cs="Times New Roman" w:eastAsia="Times New Roman" w:hAnsi="Times New Roman"/>
                <w:sz w:val="14"/>
                <w:szCs w:val="14"/>
                <w:color w:val="auto"/>
              </w:rPr>
              <w:t>001-32630</w:t>
            </w:r>
          </w:p>
        </w:tc>
      </w:tr>
      <w:tr>
        <w:trPr>
          <w:trHeight w:val="184"/>
        </w:trPr>
        <w:tc>
          <w:tcPr>
            <w:tcW w:w="1920" w:type="dxa"/>
            <w:vAlign w:val="bottom"/>
          </w:tcPr>
          <w:p>
            <w:pPr>
              <w:spacing w:after="0"/>
              <w:rPr>
                <w:sz w:val="16"/>
                <w:szCs w:val="16"/>
                <w:color w:val="auto"/>
              </w:rPr>
            </w:pPr>
          </w:p>
        </w:tc>
        <w:tc>
          <w:tcPr>
            <w:tcW w:w="5460" w:type="dxa"/>
            <w:vAlign w:val="bottom"/>
          </w:tcPr>
          <w:p>
            <w:pPr>
              <w:jc w:val="center"/>
              <w:ind w:right="2069"/>
              <w:spacing w:after="0"/>
              <w:rPr>
                <w:sz w:val="20"/>
                <w:szCs w:val="20"/>
                <w:color w:val="auto"/>
              </w:rPr>
            </w:pPr>
            <w:r>
              <w:rPr>
                <w:rFonts w:ascii="Times New Roman" w:cs="Times New Roman" w:eastAsia="Times New Roman" w:hAnsi="Times New Roman"/>
                <w:sz w:val="14"/>
                <w:szCs w:val="14"/>
                <w:color w:val="auto"/>
              </w:rPr>
              <w:t>(Commission File Number)</w:t>
            </w:r>
          </w:p>
        </w:tc>
      </w:tr>
      <w:tr>
        <w:trPr>
          <w:trHeight w:val="202"/>
        </w:trPr>
        <w:tc>
          <w:tcPr>
            <w:tcW w:w="19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Nevada</w:t>
            </w:r>
          </w:p>
        </w:tc>
        <w:tc>
          <w:tcPr>
            <w:tcW w:w="54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16-1725106</w:t>
            </w:r>
          </w:p>
        </w:tc>
      </w:tr>
      <w:tr>
        <w:trPr>
          <w:trHeight w:val="276"/>
        </w:trPr>
        <w:tc>
          <w:tcPr>
            <w:tcW w:w="19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460" w:type="dxa"/>
            <w:vAlign w:val="bottom"/>
          </w:tcPr>
          <w:p>
            <w:pPr>
              <w:spacing w:after="0"/>
              <w:rPr>
                <w:sz w:val="24"/>
                <w:szCs w:val="24"/>
                <w:color w:val="auto"/>
              </w:rPr>
            </w:pPr>
          </w:p>
        </w:tc>
      </w:tr>
      <w:tr>
        <w:trPr>
          <w:trHeight w:val="191"/>
        </w:trPr>
        <w:tc>
          <w:tcPr>
            <w:tcW w:w="19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460" w:type="dxa"/>
            <w:vAlign w:val="bottom"/>
          </w:tcPr>
          <w:p>
            <w:pPr>
              <w:jc w:val="center"/>
              <w:ind w:left="3189"/>
              <w:spacing w:after="0"/>
              <w:rPr>
                <w:sz w:val="20"/>
                <w:szCs w:val="20"/>
                <w:color w:val="auto"/>
              </w:rPr>
            </w:pPr>
            <w:r>
              <w:rPr>
                <w:rFonts w:ascii="Times New Roman" w:cs="Times New Roman" w:eastAsia="Times New Roman" w:hAnsi="Times New Roman"/>
                <w:sz w:val="14"/>
                <w:szCs w:val="14"/>
                <w:color w:val="auto"/>
              </w:rPr>
              <w:t>(IRS Employer Identification Number)</w:t>
            </w:r>
          </w:p>
        </w:tc>
      </w:tr>
    </w:tbl>
    <w:p>
      <w:pPr>
        <w:spacing w:after="0" w:line="4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601 Riverside Avenue</w:t>
      </w:r>
    </w:p>
    <w:p>
      <w:pPr>
        <w:spacing w:after="0" w:line="2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Jacksonville, Florida 32204</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(Addresses of Principal Executive Offices)</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(904) 854-8100</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6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35" w:lineRule="exact"/>
        <w:rPr>
          <w:sz w:val="24"/>
          <w:szCs w:val="24"/>
          <w:color w:val="auto"/>
        </w:rPr>
      </w:pPr>
    </w:p>
    <w:tbl>
      <w:tblPr>
        <w:tblLayout w:type="fixed"/>
        <w:tblInd w:w="110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3200" w:type="dxa"/>
            <w:vAlign w:val="bottom"/>
            <w:gridSpan w:val="2"/>
          </w:tcPr>
          <w:p>
            <w:pPr>
              <w:jc w:val="center"/>
              <w:ind w:right="218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380" w:type="dxa"/>
            <w:vAlign w:val="bottom"/>
            <w:gridSpan w:val="2"/>
          </w:tcPr>
          <w:p>
            <w:pPr>
              <w:jc w:val="center"/>
              <w:ind w:left="1816"/>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2"/>
        </w:trPr>
        <w:tc>
          <w:tcPr>
            <w:tcW w:w="366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FNF</w:t>
            </w:r>
          </w:p>
        </w:tc>
        <w:tc>
          <w:tcPr>
            <w:tcW w:w="188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24" w:lineRule="exact"/>
        <w:rPr>
          <w:sz w:val="24"/>
          <w:szCs w:val="24"/>
          <w:color w:val="auto"/>
        </w:rPr>
      </w:pPr>
    </w:p>
    <w:p>
      <w:pPr>
        <w:ind w:right="320"/>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6"/>
          <w:szCs w:val="16"/>
          <w:color w:val="auto"/>
        </w:rPr>
        <w:t>☐</w:t>
      </w:r>
    </w:p>
    <w:p>
      <w:pPr>
        <w:spacing w:after="0" w:line="126"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1544320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178" w:right="5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5.03 Amendments to Articles of Incorporation or Bylaws; Change in Fiscal Year.</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Amended and Restated Articles of Incorporation (the “Articles of Incorporation”) of Fidelity National Financial, Inc. (“FNF” or the “Company”) were approved by the Company’s stockholders at the 2026 Annual Meeting and were filed with the Nevada Secretary of State and became effective on June 10, 2026. The purpose of the changes to the Articles of Incorporation was to eliminate the classified structure of our board over a three-year period. The board declassification will be phased in over a three-year period beginning at the 2027 Annual Meeting, at and after which directors will be elected to one-year terms as the incumbents’ three-year terms expire. Beginning with the 2029 Annual Meeting, all directors will stand for annual elections. The Articles of Incorporation do not change the unexpired three-year terms of directors elected prior to the effectiveness of the amendment, including those directors elected at the Annual Meeting of Stockholders held on June 10, 2026.</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Company’s Amended and Restated Bylaws, which were previously approved by the board of directors contingent upon approval of the Articles of Incorporation by the Company’s stockholders at the 2026 Annual Meeting, contain changes to conform to the Articles of Incorporation and became effective on June 10, 2026. The Amended and Restated Articles of Incorporation and Amended and Restated Bylaws are attached hereto as Exhibits 3.1 and 3.2, respectively, and are incorporated herein by reference.</w:t>
      </w:r>
    </w:p>
    <w:p>
      <w:pPr>
        <w:spacing w:after="0" w:line="16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5.07</w:t>
        <w:tab/>
        <w:t>Submission of Matters to a Vote of Security Holders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April 13, 2026, the record date for the Annual Meeting, 269,157,540 shares of common stock of the Company were outstanding and entitled to vote. A quorum of shares of common stock were present or represented at the Annual Meeting. The number of votes cast for, against or withheld, as well as abstentions, if applicable, with respect to each proposal is set out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To elect four Class III directors to serve until the 2029 Annual Meeting of Stockholders or until their successors are duly elected and qualified or their earlier death, resignation or removal.</w:t>
      </w:r>
    </w:p>
    <w:p>
      <w:pPr>
        <w:spacing w:after="0" w:line="3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tcPr>
          <w:p>
            <w:pPr>
              <w:spacing w:after="0"/>
              <w:rPr>
                <w:sz w:val="13"/>
                <w:szCs w:val="13"/>
                <w:color w:val="auto"/>
              </w:rPr>
            </w:pPr>
          </w:p>
        </w:tc>
        <w:tc>
          <w:tcPr>
            <w:tcW w:w="2020" w:type="dxa"/>
            <w:vAlign w:val="bottom"/>
            <w:gridSpan w:val="3"/>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020" w:type="dxa"/>
            <w:vAlign w:val="bottom"/>
            <w:gridSpan w:val="3"/>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6"/>
        </w:trPr>
        <w:tc>
          <w:tcPr>
            <w:tcW w:w="2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William P. Foley II</w:t>
            </w:r>
          </w:p>
        </w:tc>
        <w:tc>
          <w:tcPr>
            <w:tcW w:w="2480" w:type="dxa"/>
            <w:vAlign w:val="bottom"/>
            <w:gridSpan w:val="3"/>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168,273,395</w:t>
            </w:r>
          </w:p>
        </w:tc>
        <w:tc>
          <w:tcPr>
            <w:tcW w:w="1580" w:type="dxa"/>
            <w:vAlign w:val="bottom"/>
            <w:gridSpan w:val="2"/>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46,102,247</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25,956,874</w:t>
            </w:r>
          </w:p>
        </w:tc>
        <w:tc>
          <w:tcPr>
            <w:tcW w:w="100" w:type="dxa"/>
            <w:vAlign w:val="bottom"/>
            <w:shd w:val="clear" w:color="auto" w:fill="CCEEFF"/>
          </w:tcPr>
          <w:p>
            <w:pPr>
              <w:spacing w:after="0"/>
              <w:rPr>
                <w:sz w:val="16"/>
                <w:szCs w:val="16"/>
                <w:color w:val="auto"/>
              </w:rPr>
            </w:pPr>
          </w:p>
        </w:tc>
      </w:tr>
      <w:tr>
        <w:trPr>
          <w:trHeight w:val="18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 K. Ammerman</w:t>
            </w:r>
          </w:p>
        </w:tc>
        <w:tc>
          <w:tcPr>
            <w:tcW w:w="248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193,164,233</w:t>
            </w:r>
          </w:p>
        </w:tc>
        <w:tc>
          <w:tcPr>
            <w:tcW w:w="158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rPr>
              <w:t>21,211,409</w:t>
            </w:r>
          </w:p>
        </w:tc>
        <w:tc>
          <w:tcPr>
            <w:tcW w:w="440" w:type="dxa"/>
            <w:vAlign w:val="bottom"/>
          </w:tcPr>
          <w:p>
            <w:pPr>
              <w:spacing w:after="0"/>
              <w:rPr>
                <w:sz w:val="15"/>
                <w:szCs w:val="15"/>
                <w:color w:val="auto"/>
              </w:rPr>
            </w:pPr>
          </w:p>
        </w:tc>
        <w:tc>
          <w:tcPr>
            <w:tcW w:w="192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rPr>
              <w:t>25,956,874</w:t>
            </w:r>
          </w:p>
        </w:tc>
        <w:tc>
          <w:tcPr>
            <w:tcW w:w="100" w:type="dxa"/>
            <w:vAlign w:val="bottom"/>
          </w:tcPr>
          <w:p>
            <w:pPr>
              <w:spacing w:after="0"/>
              <w:rPr>
                <w:sz w:val="15"/>
                <w:szCs w:val="15"/>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M. Hagerty</w:t>
            </w:r>
          </w:p>
        </w:tc>
        <w:tc>
          <w:tcPr>
            <w:tcW w:w="2480" w:type="dxa"/>
            <w:vAlign w:val="bottom"/>
            <w:gridSpan w:val="3"/>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198,538,903</w:t>
            </w:r>
          </w:p>
        </w:tc>
        <w:tc>
          <w:tcPr>
            <w:tcW w:w="1580" w:type="dxa"/>
            <w:vAlign w:val="bottom"/>
            <w:gridSpan w:val="2"/>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15,836,739</w:t>
            </w:r>
          </w:p>
        </w:tc>
        <w:tc>
          <w:tcPr>
            <w:tcW w:w="44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25,956,874</w:t>
            </w:r>
          </w:p>
        </w:tc>
        <w:tc>
          <w:tcPr>
            <w:tcW w:w="100" w:type="dxa"/>
            <w:vAlign w:val="bottom"/>
            <w:shd w:val="clear" w:color="auto" w:fill="CCEEFF"/>
          </w:tcPr>
          <w:p>
            <w:pPr>
              <w:spacing w:after="0"/>
              <w:rPr>
                <w:sz w:val="15"/>
                <w:szCs w:val="15"/>
                <w:color w:val="auto"/>
              </w:rPr>
            </w:pPr>
          </w:p>
        </w:tc>
      </w:tr>
      <w:tr>
        <w:trPr>
          <w:trHeight w:val="184"/>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O. Shea, Jr.</w:t>
            </w:r>
          </w:p>
        </w:tc>
        <w:tc>
          <w:tcPr>
            <w:tcW w:w="248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180,312,569</w:t>
            </w:r>
          </w:p>
        </w:tc>
        <w:tc>
          <w:tcPr>
            <w:tcW w:w="158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rPr>
              <w:t>34,063,073</w:t>
            </w:r>
          </w:p>
        </w:tc>
        <w:tc>
          <w:tcPr>
            <w:tcW w:w="440" w:type="dxa"/>
            <w:vAlign w:val="bottom"/>
          </w:tcPr>
          <w:p>
            <w:pPr>
              <w:spacing w:after="0"/>
              <w:rPr>
                <w:sz w:val="16"/>
                <w:szCs w:val="16"/>
                <w:color w:val="auto"/>
              </w:rPr>
            </w:pPr>
          </w:p>
        </w:tc>
        <w:tc>
          <w:tcPr>
            <w:tcW w:w="192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rPr>
              <w:t>25,956,874</w:t>
            </w:r>
          </w:p>
        </w:tc>
        <w:tc>
          <w:tcPr>
            <w:tcW w:w="100" w:type="dxa"/>
            <w:vAlign w:val="bottom"/>
          </w:tcPr>
          <w:p>
            <w:pPr>
              <w:spacing w:after="0"/>
              <w:rPr>
                <w:sz w:val="16"/>
                <w:szCs w:val="16"/>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whose term of office as a director continued after the meeting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I (term expires at the 2027 Annual Meeting of Stockholders)</w:t>
      </w:r>
      <w:r>
        <w:rPr>
          <w:rFonts w:ascii="Times New Roman" w:cs="Times New Roman" w:eastAsia="Times New Roman" w:hAnsi="Times New Roman"/>
          <w:sz w:val="14"/>
          <w:szCs w:val="14"/>
          <w:color w:val="auto"/>
        </w:rPr>
        <w:t>: Raymond R. Quirk, Sandra D. Morgan, Heather H. Miller, and John D. Rood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II (term expires at the 2028 Annual Meeting of Stockholders)</w:t>
      </w:r>
      <w:r>
        <w:rPr>
          <w:rFonts w:ascii="Times New Roman" w:cs="Times New Roman" w:eastAsia="Times New Roman" w:hAnsi="Times New Roman"/>
          <w:sz w:val="14"/>
          <w:szCs w:val="14"/>
          <w:color w:val="auto"/>
        </w:rPr>
        <w:t>: Hon. Halim Dhanidina, Daniel D. (Ron) Lane, and Cary H. Thompson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To approve the Amended and Restated Articles of Incorporation to implement annual elections of directors.</w:t>
      </w:r>
    </w:p>
    <w:p>
      <w:pPr>
        <w:spacing w:after="0" w:line="3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21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2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192"/>
        </w:trPr>
        <w:tc>
          <w:tcPr>
            <w:tcW w:w="234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color w:val="auto"/>
                <w:w w:val="97"/>
              </w:rPr>
              <w:t>213,953,766</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253,201</w:t>
            </w:r>
          </w:p>
        </w:tc>
        <w:tc>
          <w:tcPr>
            <w:tcW w:w="16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168,675</w:t>
            </w:r>
          </w:p>
        </w:tc>
        <w:tc>
          <w:tcPr>
            <w:tcW w:w="980" w:type="dxa"/>
            <w:vAlign w:val="bottom"/>
          </w:tcPr>
          <w:p>
            <w:pPr>
              <w:spacing w:after="0"/>
              <w:rPr>
                <w:sz w:val="16"/>
                <w:szCs w:val="16"/>
                <w:color w:val="auto"/>
              </w:rPr>
            </w:pP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25,956,874</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To approve a non-binding advisory resolution on the compensation paid to our named executive officers.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1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4260" w:type="dxa"/>
            <w:vAlign w:val="bottom"/>
            <w:gridSpan w:val="2"/>
          </w:tcPr>
          <w:p>
            <w:pPr>
              <w:jc w:val="center"/>
              <w:ind w:right="27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2"/>
        </w:trPr>
        <w:tc>
          <w:tcPr>
            <w:tcW w:w="310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color w:val="auto"/>
              </w:rPr>
              <w:t>203,983,950</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w w:val="98"/>
              </w:rPr>
              <w:t>10,025,836</w:t>
            </w:r>
          </w:p>
        </w:tc>
        <w:tc>
          <w:tcPr>
            <w:tcW w:w="16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365,856</w:t>
            </w:r>
          </w:p>
        </w:tc>
        <w:tc>
          <w:tcPr>
            <w:tcW w:w="980" w:type="dxa"/>
            <w:vAlign w:val="bottom"/>
          </w:tcPr>
          <w:p>
            <w:pPr>
              <w:spacing w:after="0"/>
              <w:rPr>
                <w:sz w:val="16"/>
                <w:szCs w:val="16"/>
                <w:color w:val="auto"/>
              </w:rPr>
            </w:pP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25,956,874</w:t>
            </w:r>
          </w:p>
        </w:tc>
        <w:tc>
          <w:tcPr>
            <w:tcW w:w="2780" w:type="dxa"/>
            <w:vAlign w:val="bottom"/>
          </w:tcPr>
          <w:p>
            <w:pPr>
              <w:spacing w:after="0"/>
              <w:rPr>
                <w:sz w:val="16"/>
                <w:szCs w:val="16"/>
                <w:color w:val="auto"/>
              </w:rPr>
            </w:pPr>
          </w:p>
        </w:tc>
      </w:tr>
      <w:tr>
        <w:trPr>
          <w:trHeight w:val="1720"/>
        </w:trPr>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4. To ratify the appointment of Ernst &amp; Young LLP as the Company’s independent registered public accounting firm for the 2026 fiscal year.</w:t>
      </w:r>
    </w:p>
    <w:p>
      <w:pPr>
        <w:spacing w:after="0" w:line="10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21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4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60" w:type="dxa"/>
            <w:vAlign w:val="bottom"/>
            <w:gridSpan w:val="2"/>
          </w:tcPr>
          <w:p>
            <w:pPr>
              <w:jc w:val="center"/>
              <w:ind w:left="789"/>
              <w:spacing w:after="0"/>
              <w:rPr>
                <w:sz w:val="20"/>
                <w:szCs w:val="20"/>
                <w:color w:val="auto"/>
              </w:rPr>
            </w:pPr>
            <w:r>
              <w:rPr>
                <w:rFonts w:ascii="Times New Roman" w:cs="Times New Roman" w:eastAsia="Times New Roman" w:hAnsi="Times New Roman"/>
                <w:sz w:val="14"/>
                <w:szCs w:val="14"/>
                <w:b w:val="1"/>
                <w:bCs w:val="1"/>
                <w:color w:val="auto"/>
                <w:w w:val="96"/>
              </w:rPr>
              <w:t>ABSTAIN</w:t>
            </w: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92"/>
        </w:trPr>
        <w:tc>
          <w:tcPr>
            <w:tcW w:w="234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color w:val="auto"/>
                <w:w w:val="97"/>
              </w:rPr>
              <w:t>239,467,458</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648,427</w:t>
            </w:r>
          </w:p>
        </w:tc>
        <w:tc>
          <w:tcPr>
            <w:tcW w:w="84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216,631</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200" w:lineRule="exact"/>
        <w:rPr>
          <w:sz w:val="20"/>
          <w:szCs w:val="20"/>
          <w:color w:val="auto"/>
        </w:rPr>
      </w:pPr>
    </w:p>
    <w:p>
      <w:pPr>
        <w:spacing w:after="0" w:line="273"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7576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7670" cy="6985"/>
                    </a:xfrm>
                    <a:prstGeom prst="rect">
                      <a:avLst/>
                    </a:prstGeom>
                    <a:noFill/>
                  </pic:spPr>
                </pic:pic>
              </a:graphicData>
            </a:graphic>
          </wp:anchor>
        </w:drawing>
      </w:r>
    </w:p>
    <w:p>
      <w:pPr>
        <w:spacing w:after="0" w:line="28"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0000FF"/>
        </w:rPr>
        <w:t>Amended and Restated Articles of Incorporation of Fidelity National Financial, Inc.</w:t>
      </w:r>
    </w:p>
    <w:p>
      <w:pPr>
        <w:spacing w:after="0" w:line="23"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u w:val="single" w:color="auto"/>
          <w:color w:val="0000FF"/>
        </w:rPr>
        <w:t>Amended and Restated Bylaws of Fidelity National Financial, Inc.</w:t>
      </w:r>
    </w:p>
    <w:p>
      <w:pPr>
        <w:spacing w:after="0" w:line="19"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19" w:right="1440" w:bottom="1440" w:gutter="0" w:footer="0" w:header="0"/>
        </w:sectPr>
      </w:pPr>
    </w:p>
    <w:bookmarkStart w:id="3" w:name="page4"/>
    <w:bookmarkEnd w:id="3"/>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50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r>
      <w:tr>
        <w:trPr>
          <w:trHeight w:val="32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June 11, 2026</w:t>
            </w:r>
          </w:p>
        </w:tc>
        <w:tc>
          <w:tcPr>
            <w:tcW w:w="22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By:</w:t>
            </w: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Michael L. Gravelle</w:t>
            </w:r>
          </w:p>
        </w:tc>
      </w:tr>
      <w:tr>
        <w:trPr>
          <w:trHeight w:val="167"/>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Michael L. Gravelle</w:t>
            </w:r>
          </w:p>
        </w:tc>
      </w:tr>
      <w:tr>
        <w:trPr>
          <w:trHeight w:val="142"/>
        </w:trPr>
        <w:tc>
          <w:tcPr>
            <w:tcW w:w="5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36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Executive Vice President, General Counsel and Corporate</w:t>
            </w:r>
          </w:p>
        </w:tc>
      </w:tr>
      <w:tr>
        <w:trPr>
          <w:trHeight w:val="184"/>
        </w:trPr>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Secretary</w:t>
            </w:r>
          </w:p>
        </w:tc>
      </w:tr>
    </w:tbl>
    <w:p>
      <w:pPr>
        <w:sectPr>
          <w:pgSz w:w="11900" w:h="16838" w:orient="portrait"/>
          <w:cols w:equalWidth="0" w:num="1">
            <w:col w:w="10440"/>
          </w:cols>
          <w:pgMar w:left="520" w:top="728" w:right="9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2026-06-11T15:16:58Z</dcterms:created>
  <dcterms:modified xsi:type="dcterms:W3CDTF">2026-06-11T15:16:58Z</dcterms:modified>
</cp:coreProperties>
</file>